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4"/>
          <w:szCs w:val="24"/>
          <w:color w:val="auto"/>
        </w:rPr>
      </w:pPr>
    </w:p>
    <w:p>
      <w:pPr>
        <w:spacing w:after="0" w:line="268" w:lineRule="exact"/>
        <w:rPr>
          <w:sz w:val="24"/>
          <w:szCs w:val="24"/>
          <w:color w:val="auto"/>
        </w:rPr>
      </w:pPr>
    </w:p>
    <w:p>
      <w:pPr>
        <w:jc w:val="center"/>
        <w:ind w:right="-800"/>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860"/>
        <w:spacing w:after="0"/>
        <w:rPr>
          <w:sz w:val="20"/>
          <w:szCs w:val="20"/>
          <w:color w:val="auto"/>
        </w:rPr>
      </w:pPr>
      <w:r>
        <w:rPr>
          <w:rFonts w:ascii="Arial" w:cs="Arial" w:eastAsia="Arial" w:hAnsi="Arial"/>
          <w:sz w:val="22"/>
          <w:szCs w:val="22"/>
          <w:b w:val="1"/>
          <w:bCs w:val="1"/>
          <w:color w:val="auto"/>
        </w:rPr>
        <w:t>SECURITIES AND EXCHANGE COMMISSION</w:t>
      </w:r>
    </w:p>
    <w:p>
      <w:pPr>
        <w:spacing w:after="0" w:line="2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Washington, D.C. 20549</w:t>
      </w:r>
    </w:p>
    <w:p>
      <w:pPr>
        <w:spacing w:after="0" w:line="135" w:lineRule="exact"/>
        <w:rPr>
          <w:sz w:val="24"/>
          <w:szCs w:val="24"/>
          <w:color w:val="auto"/>
        </w:rPr>
      </w:pPr>
    </w:p>
    <w:p>
      <w:pPr>
        <w:jc w:val="center"/>
        <w:ind w:right="-860"/>
        <w:spacing w:after="0"/>
        <w:rPr>
          <w:sz w:val="20"/>
          <w:szCs w:val="20"/>
          <w:color w:val="auto"/>
        </w:rPr>
      </w:pPr>
      <w:r>
        <w:rPr>
          <w:rFonts w:ascii="Arial" w:cs="Arial" w:eastAsia="Arial" w:hAnsi="Arial"/>
          <w:sz w:val="22"/>
          <w:szCs w:val="22"/>
          <w:b w:val="1"/>
          <w:bCs w:val="1"/>
          <w:color w:val="auto"/>
        </w:rPr>
        <w:t>SCHEDULE 14A</w:t>
      </w:r>
    </w:p>
    <w:p>
      <w:pPr>
        <w:spacing w:after="0" w:line="125" w:lineRule="exact"/>
        <w:rPr>
          <w:sz w:val="24"/>
          <w:szCs w:val="24"/>
          <w:color w:val="auto"/>
        </w:rPr>
      </w:pPr>
    </w:p>
    <w:p>
      <w:pPr>
        <w:jc w:val="center"/>
        <w:ind w:right="-800"/>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the Securities Exchange Act of 1934 (Amendment No.    )</w:t>
      </w:r>
    </w:p>
    <w:p>
      <w:pPr>
        <w:spacing w:after="0" w:line="111"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0"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40"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62"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16" w:lineRule="exact"/>
        <w:rPr>
          <w:sz w:val="24"/>
          <w:szCs w:val="24"/>
          <w:color w:val="auto"/>
        </w:rPr>
      </w:pPr>
    </w:p>
    <w:p>
      <w:pPr>
        <w:jc w:val="center"/>
        <w:ind w:right="-860"/>
        <w:spacing w:after="0"/>
        <w:rPr>
          <w:sz w:val="20"/>
          <w:szCs w:val="20"/>
          <w:color w:val="auto"/>
        </w:rPr>
      </w:pPr>
      <w:r>
        <w:rPr>
          <w:rFonts w:ascii="Arial" w:cs="Arial" w:eastAsia="Arial" w:hAnsi="Arial"/>
          <w:sz w:val="25"/>
          <w:szCs w:val="25"/>
          <w:b w:val="1"/>
          <w:bCs w:val="1"/>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54610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06"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(Name of Registrant as Specified In Its Charter)</w:t>
      </w:r>
    </w:p>
    <w:p>
      <w:pPr>
        <w:spacing w:after="0" w:line="185" w:lineRule="exact"/>
        <w:rPr>
          <w:sz w:val="24"/>
          <w:szCs w:val="24"/>
          <w:color w:val="auto"/>
        </w:rPr>
      </w:pPr>
    </w:p>
    <w:p>
      <w:pPr>
        <w:jc w:val="center"/>
        <w:ind w:right="-80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84" w:lineRule="exact"/>
        <w:rPr>
          <w:sz w:val="24"/>
          <w:szCs w:val="24"/>
          <w:color w:val="auto"/>
        </w:rPr>
      </w:pPr>
    </w:p>
    <w:p>
      <w:pPr>
        <w:ind w:left="26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3335655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40005</wp:posOffset>
            </wp:positionV>
            <wp:extent cx="6831965" cy="8679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867918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DEFINITIVE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137160</wp:posOffset>
            </wp:positionV>
            <wp:extent cx="2520315" cy="557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031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March 17, 2023</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Stockholder:</w:t>
      </w:r>
    </w:p>
    <w:p>
      <w:pPr>
        <w:spacing w:after="0" w:line="14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We are pleased to invite you to attend Clearway Energy, Inc.’s Annual Meeting of Stockholders, which will be held at 9 a.m., Eastern Time, on April 27, 2023. The Annual Meeting of Stockholders will be held in a virtual meeting format only, via live webcast on the Internet. Details regarding admission to the meeting and the business to be conducted are more fully described in the accompanying Notice of Annual Meeting of Stockholders and Proxy Statement.</w:t>
      </w:r>
    </w:p>
    <w:p>
      <w:pPr>
        <w:spacing w:after="0" w:line="120"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Your vote is important. Whether or not you plan to attend the Annual Meeting, we hope you will vote as soon as possible. Information about voting methods is set forth in the accompanying Notice of Annual Meeting of Stockholders and Proxy Statement.</w:t>
      </w:r>
    </w:p>
    <w:p>
      <w:pPr>
        <w:spacing w:after="0" w:line="116"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On behalf of Clearway Energy, Inc., I thank you for your ongoing interest and investment in Clearway Energy, Inc. We are committed to acting in your best interests. If you have any questions with respect to voting, please call our proxy solicitor, MacKenzie Partners, Inc. at (800) 322-2885.</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134620</wp:posOffset>
            </wp:positionV>
            <wp:extent cx="1311275" cy="608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27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Jonathan Bram</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Chairman of the Board</w:t>
      </w:r>
    </w:p>
    <w:p>
      <w:pPr>
        <w:spacing w:after="0" w:line="14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THIS PROXY STATEMENT AND PROXY CARD ARE</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BEING DISTRIBUTED ON OR ABOUT 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3293745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300 Carnegie Center, Suite 300, Princeton, New Jersey 08540</w:t>
      </w:r>
    </w:p>
    <w:p>
      <w:pPr>
        <w:spacing w:after="0" w:line="207" w:lineRule="exact"/>
        <w:rPr>
          <w:sz w:val="20"/>
          <w:szCs w:val="20"/>
          <w:color w:val="auto"/>
        </w:rPr>
      </w:pPr>
    </w:p>
    <w:p>
      <w:pPr>
        <w:ind w:left="1260" w:right="2299" w:firstLine="1886"/>
        <w:spacing w:after="0" w:line="375" w:lineRule="auto"/>
        <w:rPr>
          <w:sz w:val="20"/>
          <w:szCs w:val="20"/>
          <w:color w:val="auto"/>
        </w:rPr>
      </w:pPr>
      <w:r>
        <w:rPr>
          <w:rFonts w:ascii="Arial" w:cs="Arial" w:eastAsia="Arial" w:hAnsi="Arial"/>
          <w:sz w:val="18"/>
          <w:szCs w:val="18"/>
          <w:b w:val="1"/>
          <w:bCs w:val="1"/>
          <w:color w:val="auto"/>
        </w:rPr>
        <w:t xml:space="preserve">NOTICE OF ANNUAL MEETING OF STOCKHOLDERS When: </w:t>
      </w:r>
      <w:r>
        <w:rPr>
          <w:rFonts w:ascii="Arial" w:cs="Arial" w:eastAsia="Arial" w:hAnsi="Arial"/>
          <w:sz w:val="18"/>
          <w:szCs w:val="18"/>
          <w:color w:val="auto"/>
        </w:rPr>
        <w:t>Thursday, April 27, 2023, 9:00 a.m., Eastern Time</w:t>
      </w:r>
    </w:p>
    <w:p>
      <w:pPr>
        <w:spacing w:after="0" w:line="1" w:lineRule="exact"/>
        <w:rPr>
          <w:sz w:val="20"/>
          <w:szCs w:val="20"/>
          <w:color w:val="auto"/>
        </w:rPr>
      </w:pPr>
    </w:p>
    <w:p>
      <w:pPr>
        <w:ind w:left="1260" w:right="659"/>
        <w:spacing w:after="0" w:line="282" w:lineRule="auto"/>
        <w:rPr>
          <w:sz w:val="20"/>
          <w:szCs w:val="20"/>
          <w:color w:val="auto"/>
        </w:rPr>
      </w:pPr>
      <w:r>
        <w:rPr>
          <w:rFonts w:ascii="Arial" w:cs="Arial" w:eastAsia="Arial" w:hAnsi="Arial"/>
          <w:sz w:val="18"/>
          <w:szCs w:val="18"/>
          <w:b w:val="1"/>
          <w:bCs w:val="1"/>
          <w:color w:val="auto"/>
        </w:rPr>
        <w:t xml:space="preserve">Where: </w:t>
      </w:r>
      <w:r>
        <w:rPr>
          <w:rFonts w:ascii="Arial" w:cs="Arial" w:eastAsia="Arial" w:hAnsi="Arial"/>
          <w:sz w:val="18"/>
          <w:szCs w:val="18"/>
          <w:color w:val="auto"/>
        </w:rPr>
        <w:t>Virtual via live webcast on the Internet at www.virtualshareholdermeeting.com/CWEN2023. No</w:t>
      </w:r>
      <w:r>
        <w:rPr>
          <w:rFonts w:ascii="Arial" w:cs="Arial" w:eastAsia="Arial" w:hAnsi="Arial"/>
          <w:sz w:val="18"/>
          <w:szCs w:val="18"/>
          <w:b w:val="1"/>
          <w:bCs w:val="1"/>
          <w:color w:val="auto"/>
        </w:rPr>
        <w:t xml:space="preserve"> </w:t>
      </w:r>
      <w:r>
        <w:rPr>
          <w:rFonts w:ascii="Arial" w:cs="Arial" w:eastAsia="Arial" w:hAnsi="Arial"/>
          <w:sz w:val="18"/>
          <w:szCs w:val="18"/>
          <w:color w:val="auto"/>
        </w:rPr>
        <w:t>physical meeting will be held.</w:t>
      </w:r>
    </w:p>
    <w:p>
      <w:pPr>
        <w:sectPr>
          <w:pgSz w:w="11900" w:h="16838" w:orient="portrait"/>
          <w:cols w:equalWidth="0" w:num="1">
            <w:col w:w="9879"/>
          </w:cols>
          <w:pgMar w:left="580" w:top="132" w:right="1440" w:bottom="1440" w:gutter="0" w:footer="0" w:header="0"/>
        </w:sectPr>
      </w:pPr>
    </w:p>
    <w:p>
      <w:pPr>
        <w:spacing w:after="0" w:line="81" w:lineRule="exact"/>
        <w:rPr>
          <w:sz w:val="20"/>
          <w:szCs w:val="20"/>
          <w:color w:val="auto"/>
        </w:rPr>
      </w:pPr>
    </w:p>
    <w:p>
      <w:pPr>
        <w:ind w:left="1260" w:right="220"/>
        <w:spacing w:after="0" w:line="352" w:lineRule="auto"/>
        <w:rPr>
          <w:sz w:val="20"/>
          <w:szCs w:val="20"/>
          <w:color w:val="auto"/>
        </w:rPr>
      </w:pPr>
      <w:r>
        <w:rPr>
          <w:rFonts w:ascii="Arial" w:cs="Arial" w:eastAsia="Arial" w:hAnsi="Arial"/>
          <w:sz w:val="15"/>
          <w:szCs w:val="15"/>
          <w:b w:val="1"/>
          <w:bCs w:val="1"/>
          <w:color w:val="auto"/>
        </w:rPr>
        <w:t>We are pleased to invite you to join our Board of Directors and senior leadership at the Clearway Energy, Inc. 2023 Annual Meeting of Stockholders.</w:t>
      </w:r>
    </w:p>
    <w:p>
      <w:pPr>
        <w:spacing w:after="0" w:line="1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ITEMS OF BUSINESS:</w:t>
      </w:r>
    </w:p>
    <w:p>
      <w:pPr>
        <w:spacing w:after="0" w:line="135" w:lineRule="exact"/>
        <w:rPr>
          <w:sz w:val="20"/>
          <w:szCs w:val="20"/>
          <w:color w:val="auto"/>
        </w:rPr>
      </w:pPr>
    </w:p>
    <w:p>
      <w:pPr>
        <w:ind w:left="1620" w:hanging="36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eleven directors.</w:t>
      </w:r>
    </w:p>
    <w:p>
      <w:pPr>
        <w:spacing w:after="0" w:line="144" w:lineRule="exact"/>
        <w:rPr>
          <w:rFonts w:ascii="Arial" w:cs="Arial" w:eastAsia="Arial" w:hAnsi="Arial"/>
          <w:sz w:val="18"/>
          <w:szCs w:val="18"/>
          <w:color w:val="auto"/>
        </w:rPr>
      </w:pPr>
    </w:p>
    <w:p>
      <w:pPr>
        <w:ind w:left="1620" w:right="200" w:hanging="360"/>
        <w:spacing w:after="0" w:line="263"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 non-binding advisory basis, Clearway Energy, Inc.’s executive compensation.</w:t>
      </w:r>
    </w:p>
    <w:p>
      <w:pPr>
        <w:spacing w:after="0" w:line="89" w:lineRule="exact"/>
        <w:rPr>
          <w:rFonts w:ascii="Arial" w:cs="Arial" w:eastAsia="Arial" w:hAnsi="Arial"/>
          <w:sz w:val="18"/>
          <w:szCs w:val="18"/>
          <w:color w:val="auto"/>
        </w:rPr>
      </w:pPr>
    </w:p>
    <w:p>
      <w:pPr>
        <w:ind w:left="1620" w:right="100" w:hanging="360"/>
        <w:spacing w:after="0" w:line="286" w:lineRule="auto"/>
        <w:tabs>
          <w:tab w:leader="none" w:pos="1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on a non-binding advisory basis, the frequency of the vote to approve Clearway Energy, Inc.’s executive compensation.</w:t>
      </w:r>
    </w:p>
    <w:p>
      <w:pPr>
        <w:spacing w:after="0" w:line="84" w:lineRule="exact"/>
        <w:rPr>
          <w:rFonts w:ascii="Arial" w:cs="Arial" w:eastAsia="Arial" w:hAnsi="Arial"/>
          <w:sz w:val="17"/>
          <w:szCs w:val="17"/>
          <w:color w:val="auto"/>
        </w:rPr>
      </w:pPr>
    </w:p>
    <w:p>
      <w:pPr>
        <w:ind w:left="1620" w:right="120" w:hanging="360"/>
        <w:spacing w:after="0" w:line="259"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Clearway Energy, Inc.’s independent registered public accounting firm for the 2023 fiscal year.</w:t>
      </w:r>
    </w:p>
    <w:p>
      <w:pPr>
        <w:spacing w:after="0" w:line="105" w:lineRule="exact"/>
        <w:rPr>
          <w:rFonts w:ascii="Arial" w:cs="Arial" w:eastAsia="Arial" w:hAnsi="Arial"/>
          <w:sz w:val="18"/>
          <w:szCs w:val="18"/>
          <w:color w:val="auto"/>
        </w:rPr>
      </w:pPr>
    </w:p>
    <w:p>
      <w:pPr>
        <w:ind w:left="1620" w:hanging="360"/>
        <w:spacing w:after="0" w:line="263"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and any adjournment or postponement.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RECORD DATE:</w:t>
      </w:r>
    </w:p>
    <w:p>
      <w:pPr>
        <w:spacing w:after="0" w:line="121" w:lineRule="exact"/>
        <w:rPr>
          <w:sz w:val="20"/>
          <w:szCs w:val="20"/>
          <w:color w:val="auto"/>
        </w:rPr>
      </w:pPr>
    </w:p>
    <w:p>
      <w:pPr>
        <w:ind w:left="1260" w:right="20"/>
        <w:spacing w:after="0" w:line="264" w:lineRule="auto"/>
        <w:rPr>
          <w:sz w:val="20"/>
          <w:szCs w:val="20"/>
          <w:color w:val="auto"/>
        </w:rPr>
      </w:pPr>
      <w:r>
        <w:rPr>
          <w:rFonts w:ascii="Arial" w:cs="Arial" w:eastAsia="Arial" w:hAnsi="Arial"/>
          <w:sz w:val="18"/>
          <w:szCs w:val="18"/>
          <w:color w:val="auto"/>
        </w:rPr>
        <w:t>You are entitled to vote if you were a stockholder of record of our Class A, Class B, Class C or Class D common stock at the close of business on March 3, 2023.</w:t>
      </w:r>
    </w:p>
    <w:p>
      <w:pPr>
        <w:spacing w:after="0" w:line="8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117475</wp:posOffset>
            </wp:positionV>
            <wp:extent cx="891540"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9154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1260" w:right="400"/>
        <w:spacing w:after="0" w:line="292" w:lineRule="auto"/>
        <w:rPr>
          <w:sz w:val="20"/>
          <w:szCs w:val="20"/>
          <w:color w:val="auto"/>
        </w:rPr>
      </w:pPr>
      <w:r>
        <w:rPr>
          <w:rFonts w:ascii="Arial" w:cs="Arial" w:eastAsia="Arial" w:hAnsi="Arial"/>
          <w:sz w:val="18"/>
          <w:szCs w:val="18"/>
          <w:i w:val="1"/>
          <w:iCs w:val="1"/>
          <w:color w:val="auto"/>
        </w:rPr>
        <w:t>Executive Vice President, General Counsel and Corporate Secretary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Voting Information</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HOW TO VOTE:</w:t>
      </w:r>
    </w:p>
    <w:p>
      <w:pPr>
        <w:spacing w:after="0" w:line="121" w:lineRule="exact"/>
        <w:rPr>
          <w:sz w:val="20"/>
          <w:szCs w:val="20"/>
          <w:color w:val="auto"/>
        </w:rPr>
      </w:pPr>
    </w:p>
    <w:p>
      <w:pPr>
        <w:ind w:left="8" w:right="459"/>
        <w:spacing w:after="0" w:line="267" w:lineRule="auto"/>
        <w:rPr>
          <w:sz w:val="20"/>
          <w:szCs w:val="20"/>
          <w:color w:val="auto"/>
        </w:rPr>
      </w:pPr>
      <w:r>
        <w:rPr>
          <w:rFonts w:ascii="Arial" w:cs="Arial" w:eastAsia="Arial" w:hAnsi="Arial"/>
          <w:sz w:val="17"/>
          <w:szCs w:val="17"/>
          <w:color w:val="auto"/>
        </w:rPr>
        <w:t>Even if you plan to attend the Annual Meeting virtually, please vote right away using one of the following advance voting methods. Make sure to have your proxy card or voting instruction form in hand and follow the instructions in the card or form.</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Via the Internet:</w:t>
      </w:r>
    </w:p>
    <w:p>
      <w:pPr>
        <w:spacing w:after="0" w:line="104" w:lineRule="exact"/>
        <w:rPr>
          <w:sz w:val="20"/>
          <w:szCs w:val="20"/>
          <w:color w:val="auto"/>
        </w:rPr>
      </w:pPr>
    </w:p>
    <w:p>
      <w:pPr>
        <w:ind w:left="8" w:right="459"/>
        <w:spacing w:after="0" w:line="249" w:lineRule="auto"/>
        <w:rPr>
          <w:sz w:val="20"/>
          <w:szCs w:val="20"/>
          <w:color w:val="auto"/>
        </w:rPr>
      </w:pPr>
      <w:r>
        <w:rPr>
          <w:rFonts w:ascii="Arial" w:cs="Arial" w:eastAsia="Arial" w:hAnsi="Arial"/>
          <w:sz w:val="18"/>
          <w:szCs w:val="18"/>
          <w:color w:val="auto"/>
        </w:rPr>
        <w:t xml:space="preserve">You may vote at </w:t>
      </w:r>
      <w:r>
        <w:rPr>
          <w:rFonts w:ascii="Arial" w:cs="Arial" w:eastAsia="Arial" w:hAnsi="Arial"/>
          <w:sz w:val="18"/>
          <w:szCs w:val="18"/>
          <w:i w:val="1"/>
          <w:iCs w:val="1"/>
          <w:color w:val="auto"/>
        </w:rPr>
        <w:t>www.proxyvote.com</w:t>
      </w:r>
      <w:r>
        <w:rPr>
          <w:rFonts w:ascii="Arial" w:cs="Arial" w:eastAsia="Arial" w:hAnsi="Arial"/>
          <w:sz w:val="18"/>
          <w:szCs w:val="18"/>
          <w:color w:val="auto"/>
        </w:rPr>
        <w:t>, from anywhere in the world, 24 hours a day, 7 days a week, up until 11:59 p.m. Eastern Time on April 26, 2023.</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By phone:</w:t>
      </w:r>
    </w:p>
    <w:p>
      <w:pPr>
        <w:spacing w:after="0" w:line="104" w:lineRule="exact"/>
        <w:rPr>
          <w:sz w:val="20"/>
          <w:szCs w:val="20"/>
          <w:color w:val="auto"/>
        </w:rPr>
      </w:pPr>
    </w:p>
    <w:p>
      <w:pPr>
        <w:ind w:left="8" w:right="619"/>
        <w:spacing w:after="0" w:line="249" w:lineRule="auto"/>
        <w:rPr>
          <w:sz w:val="20"/>
          <w:szCs w:val="20"/>
          <w:color w:val="auto"/>
        </w:rPr>
      </w:pPr>
      <w:r>
        <w:rPr>
          <w:rFonts w:ascii="Arial" w:cs="Arial" w:eastAsia="Arial" w:hAnsi="Arial"/>
          <w:sz w:val="18"/>
          <w:szCs w:val="18"/>
          <w:color w:val="auto"/>
        </w:rPr>
        <w:t>If you live in the United States, you may vote 24 hours a day, 7 days a week, up until 11:59 p.m. Eastern Time on April 26, 2023, by calling 1-800-690-6903 from a touch-tone phone.</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By mail:</w:t>
      </w:r>
    </w:p>
    <w:p>
      <w:pPr>
        <w:spacing w:after="0" w:line="117" w:lineRule="exact"/>
        <w:rPr>
          <w:sz w:val="20"/>
          <w:szCs w:val="20"/>
          <w:color w:val="auto"/>
        </w:rPr>
      </w:pPr>
    </w:p>
    <w:p>
      <w:pPr>
        <w:ind w:left="8" w:right="459"/>
        <w:spacing w:after="0" w:line="246" w:lineRule="auto"/>
        <w:rPr>
          <w:sz w:val="20"/>
          <w:szCs w:val="20"/>
          <w:color w:val="auto"/>
        </w:rPr>
      </w:pPr>
      <w:r>
        <w:rPr>
          <w:rFonts w:ascii="Arial" w:cs="Arial" w:eastAsia="Arial" w:hAnsi="Arial"/>
          <w:sz w:val="18"/>
          <w:szCs w:val="18"/>
          <w:color w:val="auto"/>
        </w:rPr>
        <w:t>If you received a paper copy of the materials, you may mark, sign, date and mail your proxy card or voting instruction card in the enclosed, postage- paid address envelope, as soon as possible as it must be received by the Company prior to April 27, 2023, the Annual Meeting date.</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At the virtual meeting:</w:t>
      </w:r>
    </w:p>
    <w:p>
      <w:pPr>
        <w:spacing w:after="0" w:line="117" w:lineRule="exact"/>
        <w:rPr>
          <w:sz w:val="20"/>
          <w:szCs w:val="20"/>
          <w:color w:val="auto"/>
        </w:rPr>
      </w:pPr>
    </w:p>
    <w:p>
      <w:pPr>
        <w:ind w:left="8" w:right="419"/>
        <w:spacing w:after="0" w:line="255" w:lineRule="auto"/>
        <w:rPr>
          <w:sz w:val="20"/>
          <w:szCs w:val="20"/>
          <w:color w:val="auto"/>
        </w:rPr>
      </w:pPr>
      <w:r>
        <w:rPr>
          <w:rFonts w:ascii="Arial" w:cs="Arial" w:eastAsia="Arial" w:hAnsi="Arial"/>
          <w:sz w:val="17"/>
          <w:szCs w:val="17"/>
          <w:color w:val="auto"/>
        </w:rPr>
        <w:t xml:space="preserve">Stockholders of record at the close of business on March 3, 2023, or their legal proxy holders, will be able to access the Annual Meeting webcast, ask questions and vote online at www.virtualshareholdermeeting.com/CWEN2023 by entering their 16-digit control number provided on their proxy card. This website also will contain instructions to participate in the virtual Annual Meeting. Please see the Questions and Answers section beginning on page </w:t>
      </w:r>
      <w:r>
        <w:rPr>
          <w:rFonts w:ascii="Arial" w:cs="Arial" w:eastAsia="Arial" w:hAnsi="Arial"/>
          <w:sz w:val="17"/>
          <w:szCs w:val="17"/>
          <w:u w:val="single" w:color="auto"/>
          <w:color w:val="0000EE"/>
        </w:rPr>
        <w:t>73</w:t>
      </w:r>
      <w:r>
        <w:rPr>
          <w:rFonts w:ascii="Arial" w:cs="Arial" w:eastAsia="Arial" w:hAnsi="Arial"/>
          <w:sz w:val="17"/>
          <w:szCs w:val="17"/>
          <w:color w:val="auto"/>
        </w:rPr>
        <w:t xml:space="preserve"> for important information about participating in the virtual Annual Meeting. Additional questions may be directed to our proxy solicitor, MacKenzie Partners, Inc. at</w:t>
      </w:r>
    </w:p>
    <w:p>
      <w:pPr>
        <w:spacing w:after="0" w:line="3" w:lineRule="exact"/>
        <w:rPr>
          <w:sz w:val="20"/>
          <w:szCs w:val="20"/>
          <w:color w:val="auto"/>
        </w:rPr>
      </w:pPr>
    </w:p>
    <w:p>
      <w:pPr>
        <w:ind w:left="8" w:right="1999" w:hanging="8"/>
        <w:spacing w:after="0" w:line="303" w:lineRule="auto"/>
        <w:tabs>
          <w:tab w:leader="none" w:pos="464"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322-2885 or </w:t>
      </w:r>
      <w:r>
        <w:rPr>
          <w:rFonts w:ascii="Arial" w:cs="Arial" w:eastAsia="Arial" w:hAnsi="Arial"/>
          <w:sz w:val="16"/>
          <w:szCs w:val="16"/>
          <w:i w:val="1"/>
          <w:iCs w:val="1"/>
          <w:color w:val="auto"/>
        </w:rPr>
        <w:t>proxy@mackenziepartners.com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-3484245</wp:posOffset>
            </wp:positionH>
            <wp:positionV relativeFrom="paragraph">
              <wp:posOffset>1071245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220" w:space="252"/>
            <w:col w:w="4407"/>
          </w:cols>
          <w:pgMar w:left="580" w:top="132"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80" w:type="dxa"/>
            <w:vAlign w:val="bottom"/>
            <w:gridSpan w:val="17"/>
          </w:tcPr>
          <w:p>
            <w:pPr>
              <w:jc w:val="center"/>
              <w:ind w:right="1560"/>
              <w:spacing w:after="0"/>
              <w:rPr>
                <w:sz w:val="20"/>
                <w:szCs w:val="20"/>
                <w:color w:val="auto"/>
              </w:rPr>
            </w:pPr>
            <w:r>
              <w:rPr>
                <w:rFonts w:ascii="Arial" w:cs="Arial" w:eastAsia="Arial" w:hAnsi="Arial"/>
                <w:sz w:val="18"/>
                <w:szCs w:val="18"/>
                <w:b w:val="1"/>
                <w:bCs w:val="1"/>
                <w:color w:val="auto"/>
                <w:w w:val="96"/>
              </w:rPr>
              <w:t>2023 ANNUAL MEETING OF STOCKHOLDERS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60" w:type="dxa"/>
            <w:vAlign w:val="bottom"/>
            <w:gridSpan w:val="12"/>
          </w:tcPr>
          <w:p>
            <w:pPr>
              <w:jc w:val="center"/>
              <w:ind w:right="2380"/>
              <w:spacing w:after="0"/>
              <w:rPr>
                <w:sz w:val="20"/>
                <w:szCs w:val="20"/>
                <w:color w:val="auto"/>
              </w:rPr>
            </w:pPr>
            <w:r>
              <w:rPr>
                <w:rFonts w:ascii="Arial" w:cs="Arial" w:eastAsia="Arial" w:hAnsi="Arial"/>
                <w:sz w:val="18"/>
                <w:szCs w:val="18"/>
                <w:b w:val="1"/>
                <w:bCs w:val="1"/>
                <w:color w:val="auto"/>
                <w:w w:val="97"/>
              </w:rPr>
              <w:t>PROXY STATEMENT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60" w:type="dxa"/>
            <w:vAlign w:val="bottom"/>
            <w:gridSpan w:val="12"/>
          </w:tcPr>
          <w:p>
            <w:pPr>
              <w:jc w:val="center"/>
              <w:ind w:right="2380"/>
              <w:spacing w:after="0"/>
              <w:rPr>
                <w:sz w:val="20"/>
                <w:szCs w:val="20"/>
                <w:color w:val="auto"/>
              </w:rPr>
            </w:pPr>
            <w:r>
              <w:rPr>
                <w:rFonts w:ascii="Arial" w:cs="Arial" w:eastAsia="Arial" w:hAnsi="Arial"/>
                <w:sz w:val="18"/>
                <w:szCs w:val="18"/>
                <w:b w:val="1"/>
                <w:bCs w:val="1"/>
                <w:color w:val="auto"/>
                <w:w w:val="95"/>
              </w:rPr>
              <w:t>TABLE OF CONTENTS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2"/>
        </w:trPr>
        <w:tc>
          <w:tcPr>
            <w:tcW w:w="2920" w:type="dxa"/>
            <w:vAlign w:val="bottom"/>
            <w:gridSpan w:val="9"/>
            <w:shd w:val="clear" w:color="auto" w:fill="CCEEFF"/>
          </w:tcPr>
          <w:p>
            <w:pPr>
              <w:spacing w:after="0" w:line="162" w:lineRule="exact"/>
              <w:rPr>
                <w:sz w:val="20"/>
                <w:szCs w:val="20"/>
                <w:color w:val="auto"/>
              </w:rPr>
            </w:pPr>
            <w:r>
              <w:rPr>
                <w:rFonts w:ascii="Arial" w:cs="Arial" w:eastAsia="Arial" w:hAnsi="Arial"/>
                <w:sz w:val="18"/>
                <w:szCs w:val="18"/>
                <w:color w:val="0000EE"/>
                <w:w w:val="99"/>
              </w:rPr>
              <w:t>PROXY STATEMENT HIGHLIGHTS</w:t>
            </w:r>
          </w:p>
        </w:tc>
        <w:tc>
          <w:tcPr>
            <w:tcW w:w="4760" w:type="dxa"/>
            <w:vAlign w:val="bottom"/>
            <w:gridSpan w:val="12"/>
            <w:shd w:val="clear" w:color="auto" w:fill="CCEEFF"/>
          </w:tcPr>
          <w:p>
            <w:pPr>
              <w:spacing w:after="0"/>
              <w:rPr>
                <w:sz w:val="14"/>
                <w:szCs w:val="14"/>
                <w:color w:val="auto"/>
              </w:rPr>
            </w:pPr>
          </w:p>
        </w:tc>
        <w:tc>
          <w:tcPr>
            <w:tcW w:w="52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8"/>
                <w:szCs w:val="18"/>
                <w:color w:val="0000EE"/>
              </w:rPr>
              <w:t>1</w:t>
            </w:r>
          </w:p>
        </w:tc>
      </w:tr>
      <w:tr>
        <w:trPr>
          <w:trHeight w:val="27"/>
        </w:trPr>
        <w:tc>
          <w:tcPr>
            <w:tcW w:w="1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216"/>
        </w:trPr>
        <w:tc>
          <w:tcPr>
            <w:tcW w:w="7680" w:type="dxa"/>
            <w:vAlign w:val="bottom"/>
            <w:gridSpan w:val="21"/>
          </w:tcPr>
          <w:p>
            <w:pPr>
              <w:spacing w:after="0"/>
              <w:rPr>
                <w:sz w:val="20"/>
                <w:szCs w:val="20"/>
                <w:color w:val="auto"/>
              </w:rPr>
            </w:pPr>
            <w:r>
              <w:rPr>
                <w:rFonts w:ascii="Arial" w:cs="Arial" w:eastAsia="Arial" w:hAnsi="Arial"/>
                <w:sz w:val="18"/>
                <w:szCs w:val="18"/>
                <w:color w:val="0000EE"/>
              </w:rPr>
              <w:t>GOVERNANCE OF THE COMPANY</w:t>
            </w:r>
          </w:p>
        </w:tc>
        <w:tc>
          <w:tcPr>
            <w:tcW w:w="520" w:type="dxa"/>
            <w:vAlign w:val="bottom"/>
            <w:gridSpan w:val="3"/>
          </w:tcPr>
          <w:p>
            <w:pPr>
              <w:jc w:val="right"/>
              <w:spacing w:after="0"/>
              <w:rPr>
                <w:sz w:val="20"/>
                <w:szCs w:val="20"/>
                <w:color w:val="auto"/>
              </w:rPr>
            </w:pPr>
            <w:r>
              <w:rPr>
                <w:rFonts w:ascii="Arial" w:cs="Arial" w:eastAsia="Arial" w:hAnsi="Arial"/>
                <w:sz w:val="18"/>
                <w:szCs w:val="18"/>
                <w:color w:val="0000EE"/>
              </w:rPr>
              <w:t>4</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7"/>
        </w:trPr>
        <w:tc>
          <w:tcPr>
            <w:tcW w:w="2620" w:type="dxa"/>
            <w:vAlign w:val="bottom"/>
            <w:tcBorders>
              <w:bottom w:val="single" w:sz="8" w:color="0000EE"/>
            </w:tcBorders>
            <w:gridSpan w:val="8"/>
            <w:shd w:val="clear" w:color="auto" w:fill="CCEEFF"/>
          </w:tcPr>
          <w:p>
            <w:pPr>
              <w:spacing w:after="0"/>
              <w:rPr>
                <w:sz w:val="20"/>
                <w:szCs w:val="20"/>
                <w:color w:val="auto"/>
              </w:rPr>
            </w:pPr>
            <w:r>
              <w:rPr>
                <w:rFonts w:ascii="Arial" w:cs="Arial" w:eastAsia="Arial" w:hAnsi="Arial"/>
                <w:sz w:val="18"/>
                <w:szCs w:val="18"/>
                <w:color w:val="0000EE"/>
                <w:w w:val="96"/>
              </w:rPr>
              <w:t>PROPOSALS TO BE VOTED ON</w:t>
            </w:r>
          </w:p>
        </w:tc>
        <w:tc>
          <w:tcPr>
            <w:tcW w:w="5060" w:type="dxa"/>
            <w:vAlign w:val="bottom"/>
            <w:tcBorders>
              <w:bottom w:val="single" w:sz="8" w:color="CCEEFF"/>
            </w:tcBorders>
            <w:gridSpan w:val="13"/>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79"/>
              </w:rPr>
              <w:t>16</w:t>
            </w:r>
          </w:p>
        </w:tc>
      </w:tr>
      <w:tr>
        <w:trPr>
          <w:trHeight w:val="229"/>
        </w:trPr>
        <w:tc>
          <w:tcPr>
            <w:tcW w:w="7680" w:type="dxa"/>
            <w:vAlign w:val="bottom"/>
            <w:gridSpan w:val="21"/>
          </w:tcPr>
          <w:p>
            <w:pPr>
              <w:spacing w:after="0"/>
              <w:rPr>
                <w:sz w:val="20"/>
                <w:szCs w:val="20"/>
                <w:color w:val="auto"/>
              </w:rPr>
            </w:pPr>
            <w:r>
              <w:rPr>
                <w:rFonts w:ascii="Arial" w:cs="Arial" w:eastAsia="Arial" w:hAnsi="Arial"/>
                <w:sz w:val="18"/>
                <w:szCs w:val="18"/>
                <w:color w:val="0000EE"/>
              </w:rPr>
              <w:t>PROPOSAL NO. 1 ELECTION OF DIRECTORS</w:t>
            </w:r>
          </w:p>
        </w:tc>
        <w:tc>
          <w:tcPr>
            <w:tcW w:w="520" w:type="dxa"/>
            <w:vAlign w:val="bottom"/>
            <w:gridSpan w:val="3"/>
          </w:tcPr>
          <w:p>
            <w:pPr>
              <w:jc w:val="right"/>
              <w:spacing w:after="0"/>
              <w:rPr>
                <w:sz w:val="20"/>
                <w:szCs w:val="20"/>
                <w:color w:val="auto"/>
              </w:rPr>
            </w:pPr>
            <w:r>
              <w:rPr>
                <w:rFonts w:ascii="Arial" w:cs="Arial" w:eastAsia="Arial" w:hAnsi="Arial"/>
                <w:sz w:val="18"/>
                <w:szCs w:val="18"/>
                <w:color w:val="0000EE"/>
              </w:rPr>
              <w:t>16</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16"/>
        </w:trPr>
        <w:tc>
          <w:tcPr>
            <w:tcW w:w="7680" w:type="dxa"/>
            <w:vAlign w:val="bottom"/>
            <w:tcBorders>
              <w:bottom w:val="single" w:sz="8" w:color="0000EE"/>
            </w:tcBorders>
            <w:gridSpan w:val="21"/>
            <w:shd w:val="clear" w:color="auto" w:fill="CCEEFF"/>
          </w:tcPr>
          <w:p>
            <w:pPr>
              <w:spacing w:after="0"/>
              <w:rPr>
                <w:sz w:val="20"/>
                <w:szCs w:val="20"/>
                <w:color w:val="auto"/>
              </w:rPr>
            </w:pPr>
            <w:r>
              <w:rPr>
                <w:rFonts w:ascii="Arial" w:cs="Arial" w:eastAsia="Arial" w:hAnsi="Arial"/>
                <w:sz w:val="18"/>
                <w:szCs w:val="18"/>
                <w:color w:val="0000EE"/>
                <w:w w:val="99"/>
              </w:rPr>
              <w:t>PROPOSAL NO. 2 APPROVAL, ON AN ADVISORY BASIS, OF THE COMPANY’S EXECUTIVE</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0000EE"/>
            </w:tcBorders>
            <w:gridSpan w:val="2"/>
            <w:shd w:val="clear" w:color="auto" w:fill="CCEEFF"/>
          </w:tcPr>
          <w:p>
            <w:pPr>
              <w:spacing w:after="0" w:line="196" w:lineRule="exact"/>
              <w:rPr>
                <w:sz w:val="20"/>
                <w:szCs w:val="20"/>
                <w:color w:val="auto"/>
              </w:rPr>
            </w:pPr>
            <w:r>
              <w:rPr>
                <w:rFonts w:ascii="Arial" w:cs="Arial" w:eastAsia="Arial" w:hAnsi="Arial"/>
                <w:sz w:val="18"/>
                <w:szCs w:val="18"/>
                <w:color w:val="0000EE"/>
                <w:w w:val="97"/>
              </w:rPr>
              <w:t>COMPENSATION</w:t>
            </w:r>
          </w:p>
        </w:tc>
        <w:tc>
          <w:tcPr>
            <w:tcW w:w="6060" w:type="dxa"/>
            <w:vAlign w:val="bottom"/>
            <w:tcBorders>
              <w:bottom w:val="single" w:sz="8" w:color="CCEEFF"/>
            </w:tcBorders>
            <w:gridSpan w:val="18"/>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79"/>
              </w:rPr>
              <w:t>24</w:t>
            </w:r>
          </w:p>
        </w:tc>
      </w:tr>
      <w:tr>
        <w:trPr>
          <w:trHeight w:val="216"/>
        </w:trPr>
        <w:tc>
          <w:tcPr>
            <w:tcW w:w="754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9"/>
              </w:rPr>
              <w:t>PROPOSAL NO. 3 APPROVAL, ON A NON-BINDING ADVISORY BASIS, THE FREQUENCY</w:t>
            </w:r>
          </w:p>
        </w:tc>
        <w:tc>
          <w:tcPr>
            <w:tcW w:w="1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598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9"/>
              </w:rPr>
              <w:t>OF THE VOTE TO APPROVE CLEARWAY ENERGY, INC.’S EXECUTIVE</w:t>
            </w:r>
          </w:p>
        </w:tc>
        <w:tc>
          <w:tcPr>
            <w:tcW w:w="1520" w:type="dxa"/>
            <w:vAlign w:val="bottom"/>
            <w:gridSpan w:val="7"/>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500" w:type="dxa"/>
            <w:vAlign w:val="bottom"/>
            <w:gridSpan w:val="20"/>
          </w:tcPr>
          <w:p>
            <w:pPr>
              <w:spacing w:after="0" w:line="196" w:lineRule="exact"/>
              <w:rPr>
                <w:sz w:val="20"/>
                <w:szCs w:val="20"/>
                <w:color w:val="auto"/>
              </w:rPr>
            </w:pPr>
            <w:r>
              <w:rPr>
                <w:rFonts w:ascii="Arial" w:cs="Arial" w:eastAsia="Arial" w:hAnsi="Arial"/>
                <w:sz w:val="18"/>
                <w:szCs w:val="18"/>
                <w:color w:val="0000EE"/>
              </w:rPr>
              <w:t>COMPENSATION</w:t>
            </w:r>
          </w:p>
        </w:tc>
        <w:tc>
          <w:tcPr>
            <w:tcW w:w="52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25</w:t>
            </w:r>
          </w:p>
        </w:tc>
      </w:tr>
      <w:tr>
        <w:trPr>
          <w:trHeight w:val="34"/>
        </w:trPr>
        <w:tc>
          <w:tcPr>
            <w:tcW w:w="18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216"/>
        </w:trPr>
        <w:tc>
          <w:tcPr>
            <w:tcW w:w="7560" w:type="dxa"/>
            <w:vAlign w:val="bottom"/>
            <w:tcBorders>
              <w:bottom w:val="single" w:sz="8" w:color="0000EE"/>
            </w:tcBorders>
            <w:gridSpan w:val="20"/>
            <w:shd w:val="clear" w:color="auto" w:fill="CCEEFF"/>
          </w:tcPr>
          <w:p>
            <w:pPr>
              <w:spacing w:after="0"/>
              <w:rPr>
                <w:sz w:val="20"/>
                <w:szCs w:val="20"/>
                <w:color w:val="auto"/>
              </w:rPr>
            </w:pPr>
            <w:r>
              <w:rPr>
                <w:rFonts w:ascii="Arial" w:cs="Arial" w:eastAsia="Arial" w:hAnsi="Arial"/>
                <w:sz w:val="18"/>
                <w:szCs w:val="18"/>
                <w:color w:val="0000EE"/>
                <w:w w:val="98"/>
              </w:rPr>
              <w:t>PROPOSAL NO. 4 RATIFICATION OF INDEPENDENT REGISTERED PUBLIC ACCOUNTING</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99"/>
              </w:rPr>
              <w:t>FIRM</w:t>
            </w:r>
          </w:p>
        </w:tc>
        <w:tc>
          <w:tcPr>
            <w:tcW w:w="7040" w:type="dxa"/>
            <w:vAlign w:val="bottom"/>
            <w:tcBorders>
              <w:bottom w:val="single" w:sz="8" w:color="CCEEFF"/>
            </w:tcBorders>
            <w:gridSpan w:val="19"/>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79"/>
              </w:rPr>
              <w:t>26</w:t>
            </w:r>
          </w:p>
        </w:tc>
      </w:tr>
      <w:tr>
        <w:trPr>
          <w:trHeight w:val="216"/>
        </w:trPr>
        <w:tc>
          <w:tcPr>
            <w:tcW w:w="716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8"/>
              </w:rPr>
              <w:t>STOCK OWNERSHIP OF DIRECTORS, NAMED EXECUTIVE OFFICERS AND CERTAIN</w:t>
            </w:r>
          </w:p>
        </w:tc>
        <w:tc>
          <w:tcPr>
            <w:tcW w:w="52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500" w:type="dxa"/>
            <w:vAlign w:val="bottom"/>
            <w:gridSpan w:val="20"/>
          </w:tcPr>
          <w:p>
            <w:pPr>
              <w:spacing w:after="0" w:line="196" w:lineRule="exact"/>
              <w:rPr>
                <w:sz w:val="20"/>
                <w:szCs w:val="20"/>
                <w:color w:val="auto"/>
              </w:rPr>
            </w:pPr>
            <w:r>
              <w:rPr>
                <w:rFonts w:ascii="Arial" w:cs="Arial" w:eastAsia="Arial" w:hAnsi="Arial"/>
                <w:sz w:val="18"/>
                <w:szCs w:val="18"/>
                <w:color w:val="0000EE"/>
              </w:rPr>
              <w:t>BENEFICIAL OWNERS</w:t>
            </w:r>
          </w:p>
        </w:tc>
        <w:tc>
          <w:tcPr>
            <w:tcW w:w="52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28</w:t>
            </w:r>
          </w:p>
        </w:tc>
      </w:tr>
      <w:tr>
        <w:trPr>
          <w:trHeight w:val="34"/>
        </w:trPr>
        <w:tc>
          <w:tcPr>
            <w:tcW w:w="18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250"/>
        </w:trPr>
        <w:tc>
          <w:tcPr>
            <w:tcW w:w="7680" w:type="dxa"/>
            <w:vAlign w:val="bottom"/>
            <w:gridSpan w:val="21"/>
            <w:shd w:val="clear" w:color="auto" w:fill="CCEEFF"/>
          </w:tcPr>
          <w:p>
            <w:pPr>
              <w:spacing w:after="0"/>
              <w:rPr>
                <w:sz w:val="20"/>
                <w:szCs w:val="20"/>
                <w:color w:val="auto"/>
              </w:rPr>
            </w:pPr>
            <w:r>
              <w:rPr>
                <w:rFonts w:ascii="Arial" w:cs="Arial" w:eastAsia="Arial" w:hAnsi="Arial"/>
                <w:sz w:val="18"/>
                <w:szCs w:val="18"/>
                <w:color w:val="0000EE"/>
              </w:rPr>
              <w:t>CERTAIN RELATIONSHIPS AND RELATED PERSON TRANSACTIONS</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34</w:t>
            </w:r>
          </w:p>
        </w:tc>
      </w:tr>
      <w:tr>
        <w:trPr>
          <w:trHeight w:val="229"/>
        </w:trPr>
        <w:tc>
          <w:tcPr>
            <w:tcW w:w="578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EXECUTIVE COMPENSATION</w:t>
            </w:r>
          </w:p>
        </w:tc>
        <w:tc>
          <w:tcPr>
            <w:tcW w:w="1900" w:type="dxa"/>
            <w:vAlign w:val="bottom"/>
            <w:tcBorders>
              <w:top w:val="single" w:sz="8" w:color="CCEEFF"/>
            </w:tcBorders>
            <w:gridSpan w:val="8"/>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80" w:type="dxa"/>
            <w:vAlign w:val="bottom"/>
            <w:tcBorders>
              <w:top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44</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6220" w:type="dxa"/>
            <w:vAlign w:val="bottom"/>
            <w:tcBorders>
              <w:bottom w:val="single" w:sz="8" w:color="0000EE"/>
            </w:tcBorders>
            <w:gridSpan w:val="15"/>
            <w:shd w:val="clear" w:color="auto" w:fill="CCEEFF"/>
          </w:tcPr>
          <w:p>
            <w:pPr>
              <w:spacing w:after="0"/>
              <w:rPr>
                <w:sz w:val="20"/>
                <w:szCs w:val="20"/>
                <w:color w:val="auto"/>
              </w:rPr>
            </w:pPr>
            <w:r>
              <w:rPr>
                <w:rFonts w:ascii="Arial" w:cs="Arial" w:eastAsia="Arial" w:hAnsi="Arial"/>
                <w:sz w:val="18"/>
                <w:szCs w:val="18"/>
                <w:color w:val="0000EE"/>
                <w:w w:val="98"/>
              </w:rPr>
              <w:t>COMPENSATION COMMITTEE REPORT ON EXECUTIVE COMPENSATION</w:t>
            </w:r>
          </w:p>
        </w:tc>
        <w:tc>
          <w:tcPr>
            <w:tcW w:w="1460" w:type="dxa"/>
            <w:vAlign w:val="bottom"/>
            <w:tcBorders>
              <w:bottom w:val="single" w:sz="8" w:color="CCEEFF"/>
            </w:tcBorders>
            <w:gridSpan w:val="6"/>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79"/>
              </w:rPr>
              <w:t>64</w:t>
            </w:r>
          </w:p>
        </w:tc>
      </w:tr>
      <w:tr>
        <w:trPr>
          <w:trHeight w:val="230"/>
        </w:trPr>
        <w:tc>
          <w:tcPr>
            <w:tcW w:w="7680" w:type="dxa"/>
            <w:vAlign w:val="bottom"/>
            <w:gridSpan w:val="21"/>
          </w:tcPr>
          <w:p>
            <w:pPr>
              <w:spacing w:after="0"/>
              <w:rPr>
                <w:sz w:val="20"/>
                <w:szCs w:val="20"/>
                <w:color w:val="auto"/>
              </w:rPr>
            </w:pPr>
            <w:r>
              <w:rPr>
                <w:rFonts w:ascii="Arial" w:cs="Arial" w:eastAsia="Arial" w:hAnsi="Arial"/>
                <w:sz w:val="18"/>
                <w:szCs w:val="18"/>
                <w:color w:val="0000EE"/>
              </w:rPr>
              <w:t>COMPENSATION COMMITTEE INTERLOCKS AND INSIDER PARTICIPATION</w:t>
            </w:r>
          </w:p>
        </w:tc>
        <w:tc>
          <w:tcPr>
            <w:tcW w:w="520" w:type="dxa"/>
            <w:vAlign w:val="bottom"/>
            <w:gridSpan w:val="3"/>
          </w:tcPr>
          <w:p>
            <w:pPr>
              <w:jc w:val="right"/>
              <w:spacing w:after="0"/>
              <w:rPr>
                <w:sz w:val="20"/>
                <w:szCs w:val="20"/>
                <w:color w:val="auto"/>
              </w:rPr>
            </w:pPr>
            <w:r>
              <w:rPr>
                <w:rFonts w:ascii="Arial" w:cs="Arial" w:eastAsia="Arial" w:hAnsi="Arial"/>
                <w:sz w:val="18"/>
                <w:szCs w:val="18"/>
                <w:color w:val="0000EE"/>
              </w:rPr>
              <w:t>64</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2480" w:type="dxa"/>
            <w:vAlign w:val="bottom"/>
            <w:tcBorders>
              <w:bottom w:val="single" w:sz="8" w:color="0000EE"/>
            </w:tcBorders>
            <w:gridSpan w:val="6"/>
            <w:shd w:val="clear" w:color="auto" w:fill="CCEEFF"/>
          </w:tcPr>
          <w:p>
            <w:pPr>
              <w:spacing w:after="0"/>
              <w:rPr>
                <w:sz w:val="20"/>
                <w:szCs w:val="20"/>
                <w:color w:val="auto"/>
              </w:rPr>
            </w:pPr>
            <w:r>
              <w:rPr>
                <w:rFonts w:ascii="Arial" w:cs="Arial" w:eastAsia="Arial" w:hAnsi="Arial"/>
                <w:sz w:val="18"/>
                <w:szCs w:val="18"/>
                <w:color w:val="0000EE"/>
                <w:w w:val="99"/>
              </w:rPr>
              <w:t>AUDIT COMMITTEE REPORT</w:t>
            </w:r>
          </w:p>
        </w:tc>
        <w:tc>
          <w:tcPr>
            <w:tcW w:w="5200" w:type="dxa"/>
            <w:vAlign w:val="bottom"/>
            <w:tcBorders>
              <w:bottom w:val="single" w:sz="8" w:color="CCEEFF"/>
            </w:tcBorders>
            <w:gridSpan w:val="15"/>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79"/>
              </w:rPr>
              <w:t>70</w:t>
            </w:r>
          </w:p>
        </w:tc>
      </w:tr>
      <w:tr>
        <w:trPr>
          <w:trHeight w:val="230"/>
        </w:trPr>
        <w:tc>
          <w:tcPr>
            <w:tcW w:w="7680" w:type="dxa"/>
            <w:vAlign w:val="bottom"/>
            <w:gridSpan w:val="21"/>
          </w:tcPr>
          <w:p>
            <w:pPr>
              <w:spacing w:after="0"/>
              <w:rPr>
                <w:sz w:val="20"/>
                <w:szCs w:val="20"/>
                <w:color w:val="auto"/>
              </w:rPr>
            </w:pPr>
            <w:r>
              <w:rPr>
                <w:rFonts w:ascii="Arial" w:cs="Arial" w:eastAsia="Arial" w:hAnsi="Arial"/>
                <w:sz w:val="18"/>
                <w:szCs w:val="18"/>
                <w:color w:val="0000EE"/>
              </w:rPr>
              <w:t>INDEPENDENT REGISTERED PUBLIC ACCOUNTING FIRM</w:t>
            </w:r>
          </w:p>
        </w:tc>
        <w:tc>
          <w:tcPr>
            <w:tcW w:w="520" w:type="dxa"/>
            <w:vAlign w:val="bottom"/>
            <w:gridSpan w:val="3"/>
          </w:tcPr>
          <w:p>
            <w:pPr>
              <w:jc w:val="right"/>
              <w:spacing w:after="0"/>
              <w:rPr>
                <w:sz w:val="20"/>
                <w:szCs w:val="20"/>
                <w:color w:val="auto"/>
              </w:rPr>
            </w:pPr>
            <w:r>
              <w:rPr>
                <w:rFonts w:ascii="Arial" w:cs="Arial" w:eastAsia="Arial" w:hAnsi="Arial"/>
                <w:sz w:val="18"/>
                <w:szCs w:val="18"/>
                <w:color w:val="0000EE"/>
              </w:rPr>
              <w:t>71</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24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8"/>
                <w:szCs w:val="18"/>
                <w:color w:val="0000EE"/>
                <w:w w:val="97"/>
              </w:rPr>
              <w:t>QUESTIONS AND ANSWERS</w:t>
            </w:r>
          </w:p>
        </w:tc>
        <w:tc>
          <w:tcPr>
            <w:tcW w:w="5260" w:type="dxa"/>
            <w:vAlign w:val="bottom"/>
            <w:tcBorders>
              <w:bottom w:val="single" w:sz="8" w:color="CCEEFF"/>
            </w:tcBorders>
            <w:gridSpan w:val="16"/>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79"/>
              </w:rPr>
              <w:t>73</w:t>
            </w:r>
          </w:p>
        </w:tc>
      </w:tr>
      <w:tr>
        <w:trPr>
          <w:trHeight w:val="216"/>
        </w:trPr>
        <w:tc>
          <w:tcPr>
            <w:tcW w:w="7680" w:type="dxa"/>
            <w:vAlign w:val="bottom"/>
            <w:gridSpan w:val="21"/>
          </w:tcPr>
          <w:p>
            <w:pPr>
              <w:spacing w:after="0"/>
              <w:rPr>
                <w:sz w:val="20"/>
                <w:szCs w:val="20"/>
                <w:color w:val="auto"/>
              </w:rPr>
            </w:pPr>
            <w:r>
              <w:rPr>
                <w:rFonts w:ascii="Arial" w:cs="Arial" w:eastAsia="Arial" w:hAnsi="Arial"/>
                <w:sz w:val="18"/>
                <w:szCs w:val="18"/>
                <w:color w:val="0000EE"/>
              </w:rPr>
              <w:t>REQUIREMENTS FOR SUBMISSION OF STOCKHOLDER PROPOSALS FOR THE 2024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46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9"/>
              </w:rPr>
              <w:t>ANNUAL MEETING OF STOCKHOLDERS</w:t>
            </w:r>
          </w:p>
        </w:tc>
        <w:tc>
          <w:tcPr>
            <w:tcW w:w="3400" w:type="dxa"/>
            <w:vAlign w:val="bottom"/>
            <w:tcBorders>
              <w:top w:val="single" w:sz="8" w:color="0000EE"/>
            </w:tcBorders>
            <w:gridSpan w:val="7"/>
          </w:tcPr>
          <w:p>
            <w:pPr>
              <w:spacing w:after="0"/>
              <w:rPr>
                <w:sz w:val="17"/>
                <w:szCs w:val="17"/>
                <w:color w:val="auto"/>
              </w:rPr>
            </w:pPr>
          </w:p>
        </w:tc>
        <w:tc>
          <w:tcPr>
            <w:tcW w:w="64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3999230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PROXY STATEMENT HIGHLIGHTS</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(the “Proxy Statement”). This summary does not contain all of the information that you should consider, and you should read the entire Proxy Statement before voting. For information regarding Clearway Energy, Inc.’s 2022 performance, please review Clearway Energy, Inc.’s Annual Report on Form 10-K for the year ended December 31, 2022 (the “2022 Form 10-K”).</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ROADMAP OF VOTING MATTERS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Stockholders are being asked to vote on the following matters at the 2022 Annual Meeting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Stockholders (the “Annual Meeting”):</w:t>
      </w:r>
    </w:p>
    <w:p>
      <w:pPr>
        <w:spacing w:after="0" w:line="162"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Board</w:t>
      </w:r>
    </w:p>
    <w:p>
      <w:pPr>
        <w:spacing w:after="0" w:line="17" w:lineRule="exact"/>
        <w:rPr>
          <w:sz w:val="20"/>
          <w:szCs w:val="20"/>
          <w:color w:val="auto"/>
        </w:rPr>
      </w:pPr>
    </w:p>
    <w:p>
      <w:pPr>
        <w:jc w:val="center"/>
        <w:ind w:left="6480"/>
        <w:spacing w:after="0"/>
        <w:rPr>
          <w:sz w:val="20"/>
          <w:szCs w:val="20"/>
          <w:color w:val="auto"/>
        </w:rPr>
      </w:pPr>
      <w:r>
        <w:rPr>
          <w:rFonts w:ascii="Arial" w:cs="Arial" w:eastAsia="Arial" w:hAnsi="Arial"/>
          <w:sz w:val="14"/>
          <w:szCs w:val="14"/>
          <w:b w:val="1"/>
          <w:bCs w:val="1"/>
          <w:color w:val="auto"/>
        </w:rPr>
        <w:t>Recommendation</w:t>
      </w:r>
    </w:p>
    <w:p>
      <w:pPr>
        <w:sectPr>
          <w:pgSz w:w="11900" w:h="16838" w:orient="portrait"/>
          <w:cols w:equalWidth="0" w:num="1">
            <w:col w:w="9879"/>
          </w:cols>
          <w:pgMar w:left="580" w:top="131" w:right="1440" w:bottom="1440" w:gutter="0" w:footer="0" w:header="0"/>
        </w:sectPr>
      </w:pP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Proposal 1. Election of Directors (page </w:t>
      </w:r>
      <w:r>
        <w:rPr>
          <w:rFonts w:ascii="Arial" w:cs="Arial" w:eastAsia="Arial" w:hAnsi="Arial"/>
          <w:sz w:val="18"/>
          <w:szCs w:val="18"/>
          <w:b w:val="1"/>
          <w:bCs w:val="1"/>
          <w:u w:val="single" w:color="auto"/>
          <w:color w:val="0000EE"/>
        </w:rPr>
        <w:t>16</w:t>
      </w:r>
      <w:r>
        <w:rPr>
          <w:rFonts w:ascii="Arial" w:cs="Arial" w:eastAsia="Arial" w:hAnsi="Arial"/>
          <w:sz w:val="18"/>
          <w:szCs w:val="18"/>
          <w:b w:val="1"/>
          <w:bCs w:val="1"/>
          <w:color w:val="auto"/>
        </w:rPr>
        <w:t>)</w:t>
      </w:r>
    </w:p>
    <w:p>
      <w:pPr>
        <w:spacing w:after="0" w:line="40" w:lineRule="exact"/>
        <w:rPr>
          <w:sz w:val="20"/>
          <w:szCs w:val="20"/>
          <w:color w:val="auto"/>
        </w:rPr>
      </w:pPr>
    </w:p>
    <w:p>
      <w:pPr>
        <w:ind w:left="1260"/>
        <w:spacing w:after="0" w:line="268" w:lineRule="auto"/>
        <w:rPr>
          <w:sz w:val="20"/>
          <w:szCs w:val="20"/>
          <w:color w:val="auto"/>
        </w:rPr>
      </w:pPr>
      <w:r>
        <w:rPr>
          <w:rFonts w:ascii="Arial" w:cs="Arial" w:eastAsia="Arial" w:hAnsi="Arial"/>
          <w:sz w:val="17"/>
          <w:szCs w:val="17"/>
          <w:color w:val="auto"/>
        </w:rPr>
        <w:t>The Board of Directors (the “Board”) and the Corporate Governance, Conflicts and Nominating Committee believe that the eleven director nominees possess the necessary qualifications, attributes, skills and experience to provide advice and counsel to the Company’s management and effectively oversee the business and the long-term interests of our stockholders.</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-119380</wp:posOffset>
            </wp:positionV>
            <wp:extent cx="10718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FOR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each director nominee</w:t>
      </w:r>
    </w:p>
    <w:p>
      <w:pPr>
        <w:spacing w:after="0" w:line="680" w:lineRule="exact"/>
        <w:rPr>
          <w:sz w:val="20"/>
          <w:szCs w:val="20"/>
          <w:color w:val="auto"/>
        </w:rPr>
      </w:pPr>
    </w:p>
    <w:p>
      <w:pPr>
        <w:sectPr>
          <w:pgSz w:w="11900" w:h="16838" w:orient="portrait"/>
          <w:cols w:equalWidth="0" w:num="2">
            <w:col w:w="7400" w:space="380"/>
            <w:col w:w="2099"/>
          </w:cols>
          <w:pgMar w:left="580" w:top="131" w:right="1440" w:bottom="1440" w:gutter="0" w:footer="0" w:header="0"/>
          <w:type w:val="continuous"/>
        </w:sectPr>
      </w:pPr>
    </w:p>
    <w:p>
      <w:pPr>
        <w:spacing w:after="0" w:line="22" w:lineRule="exact"/>
        <w:rPr>
          <w:sz w:val="20"/>
          <w:szCs w:val="20"/>
          <w:color w:val="auto"/>
        </w:rPr>
      </w:pPr>
    </w:p>
    <w:p>
      <w:pPr>
        <w:ind w:left="1260" w:right="440"/>
        <w:spacing w:after="0" w:line="347" w:lineRule="auto"/>
        <w:rPr>
          <w:sz w:val="20"/>
          <w:szCs w:val="20"/>
          <w:color w:val="auto"/>
        </w:rPr>
      </w:pPr>
      <w:r>
        <w:rPr>
          <w:rFonts w:ascii="Arial" w:cs="Arial" w:eastAsia="Arial" w:hAnsi="Arial"/>
          <w:sz w:val="16"/>
          <w:szCs w:val="16"/>
          <w:b w:val="1"/>
          <w:bCs w:val="1"/>
          <w:color w:val="auto"/>
        </w:rPr>
        <w:t xml:space="preserve">Proposal 2. Approval, on a non-binding advisory basis, of Clearway Energy, Inc.’s executive compensation (the “Say on Pay Proposal”) (page </w:t>
      </w:r>
      <w:r>
        <w:rPr>
          <w:rFonts w:ascii="Arial" w:cs="Arial" w:eastAsia="Arial" w:hAnsi="Arial"/>
          <w:sz w:val="16"/>
          <w:szCs w:val="16"/>
          <w:b w:val="1"/>
          <w:bCs w:val="1"/>
          <w:u w:val="single" w:color="auto"/>
          <w:color w:val="0000EE"/>
        </w:rPr>
        <w:t>24</w:t>
      </w:r>
      <w:r>
        <w:rPr>
          <w:rFonts w:ascii="Arial" w:cs="Arial" w:eastAsia="Arial" w:hAnsi="Arial"/>
          <w:sz w:val="16"/>
          <w:szCs w:val="16"/>
          <w:b w:val="1"/>
          <w:bCs w:val="1"/>
          <w:color w:val="auto"/>
        </w:rPr>
        <w:t>)</w:t>
      </w:r>
    </w:p>
    <w:p>
      <w:pPr>
        <w:spacing w:after="0" w:line="52" w:lineRule="exact"/>
        <w:rPr>
          <w:sz w:val="20"/>
          <w:szCs w:val="20"/>
          <w:color w:val="auto"/>
        </w:rPr>
      </w:pPr>
    </w:p>
    <w:p>
      <w:pPr>
        <w:ind w:left="1260" w:right="320"/>
        <w:spacing w:after="0" w:line="252" w:lineRule="auto"/>
        <w:rPr>
          <w:sz w:val="20"/>
          <w:szCs w:val="20"/>
          <w:color w:val="auto"/>
        </w:rPr>
      </w:pPr>
      <w:r>
        <w:rPr>
          <w:rFonts w:ascii="Arial" w:cs="Arial" w:eastAsia="Arial" w:hAnsi="Arial"/>
          <w:sz w:val="18"/>
          <w:szCs w:val="18"/>
          <w:color w:val="auto"/>
        </w:rPr>
        <w:t xml:space="preserve">The Company seeks a non-binding advisory vote to approve the compensation of its named executive officers (the “NEOs”) as described in the Compensation Discussion and Analysis (the “CD&amp;A”) beginning on page </w:t>
      </w:r>
      <w:r>
        <w:rPr>
          <w:rFonts w:ascii="Arial" w:cs="Arial" w:eastAsia="Arial" w:hAnsi="Arial"/>
          <w:sz w:val="18"/>
          <w:szCs w:val="18"/>
          <w:u w:val="single" w:color="auto"/>
          <w:color w:val="0000EE"/>
        </w:rPr>
        <w:t>44</w:t>
      </w:r>
      <w:r>
        <w:rPr>
          <w:rFonts w:ascii="Arial" w:cs="Arial" w:eastAsia="Arial" w:hAnsi="Arial"/>
          <w:sz w:val="18"/>
          <w:szCs w:val="18"/>
          <w:color w:val="auto"/>
        </w:rPr>
        <w:t xml:space="preserve"> and the compensation tables and respective narrative discussion. The Board values stockholders’ opinions, and the Compensation Committee will take into account the outcome of the Say on Pay Proposal when considering future executive compensation decisions.</w:t>
      </w:r>
    </w:p>
    <w:p>
      <w:pPr>
        <w:spacing w:after="0" w:line="20" w:lineRule="exact"/>
        <w:rPr>
          <w:sz w:val="20"/>
          <w:szCs w:val="20"/>
          <w:color w:val="auto"/>
        </w:rPr>
      </w:pPr>
      <w:r>
        <w:rPr>
          <w:sz w:val="20"/>
          <w:szCs w:val="20"/>
          <w:color w:val="auto"/>
        </w:rPr>
        <w:br w:type="column"/>
      </w:r>
    </w:p>
    <w:p>
      <w:pPr>
        <w:jc w:val="center"/>
        <w:ind w:right="1039"/>
        <w:spacing w:after="0"/>
        <w:rPr>
          <w:sz w:val="20"/>
          <w:szCs w:val="20"/>
          <w:color w:val="auto"/>
        </w:rPr>
      </w:pPr>
      <w:r>
        <w:rPr>
          <w:rFonts w:ascii="Arial" w:cs="Arial" w:eastAsia="Arial" w:hAnsi="Arial"/>
          <w:sz w:val="18"/>
          <w:szCs w:val="18"/>
          <w:b w:val="1"/>
          <w:bCs w:val="1"/>
          <w:color w:val="auto"/>
        </w:rPr>
        <w:t>​</w:t>
      </w:r>
    </w:p>
    <w:p>
      <w:pPr>
        <w:spacing w:after="0" w:line="396"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FOR</w:t>
      </w:r>
    </w:p>
    <w:p>
      <w:pPr>
        <w:spacing w:after="0" w:line="1323" w:lineRule="exact"/>
        <w:rPr>
          <w:sz w:val="20"/>
          <w:szCs w:val="20"/>
          <w:color w:val="auto"/>
        </w:rPr>
      </w:pPr>
    </w:p>
    <w:p>
      <w:pPr>
        <w:sectPr>
          <w:pgSz w:w="11900" w:h="16838" w:orient="portrait"/>
          <w:cols w:equalWidth="0" w:num="2">
            <w:col w:w="7700" w:space="720"/>
            <w:col w:w="1459"/>
          </w:cols>
          <w:pgMar w:left="580" w:top="131"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38"/>
        </w:trPr>
        <w:tc>
          <w:tcPr>
            <w:tcW w:w="6780" w:type="dxa"/>
            <w:vAlign w:val="bottom"/>
            <w:gridSpan w:val="3"/>
          </w:tcPr>
          <w:p>
            <w:pPr>
              <w:spacing w:after="0"/>
              <w:rPr>
                <w:sz w:val="20"/>
                <w:szCs w:val="20"/>
                <w:color w:val="auto"/>
              </w:rPr>
            </w:pPr>
            <w:r>
              <w:rPr>
                <w:rFonts w:ascii="Arial" w:cs="Arial" w:eastAsia="Arial" w:hAnsi="Arial"/>
                <w:sz w:val="18"/>
                <w:szCs w:val="18"/>
                <w:b w:val="1"/>
                <w:bCs w:val="1"/>
                <w:color w:val="auto"/>
                <w:w w:val="92"/>
              </w:rPr>
              <w:t>Proposal 3. Approval, on a non-binding advisory basis, of the frequency of the vote to</w:t>
            </w:r>
          </w:p>
        </w:tc>
        <w:tc>
          <w:tcPr>
            <w:tcW w:w="620" w:type="dxa"/>
            <w:vAlign w:val="bottom"/>
          </w:tcPr>
          <w:p>
            <w:pPr>
              <w:ind w:left="580"/>
              <w:spacing w:after="0"/>
              <w:rPr>
                <w:sz w:val="20"/>
                <w:szCs w:val="20"/>
                <w:color w:val="auto"/>
              </w:rPr>
            </w:pPr>
            <w:r>
              <w:rPr>
                <w:rFonts w:ascii="Arial" w:cs="Arial" w:eastAsia="Arial" w:hAnsi="Arial"/>
                <w:sz w:val="18"/>
                <w:szCs w:val="18"/>
                <w:b w:val="1"/>
                <w:bCs w:val="1"/>
                <w:color w:val="auto"/>
              </w:rPr>
              <w:t>​</w:t>
            </w:r>
          </w:p>
        </w:tc>
      </w:tr>
      <w:tr>
        <w:trPr>
          <w:trHeight w:val="216"/>
        </w:trPr>
        <w:tc>
          <w:tcPr>
            <w:tcW w:w="6780" w:type="dxa"/>
            <w:vAlign w:val="bottom"/>
            <w:gridSpan w:val="3"/>
          </w:tcPr>
          <w:p>
            <w:pPr>
              <w:spacing w:after="0"/>
              <w:rPr>
                <w:sz w:val="20"/>
                <w:szCs w:val="20"/>
                <w:color w:val="auto"/>
              </w:rPr>
            </w:pPr>
            <w:r>
              <w:rPr>
                <w:rFonts w:ascii="Arial" w:cs="Arial" w:eastAsia="Arial" w:hAnsi="Arial"/>
                <w:sz w:val="18"/>
                <w:szCs w:val="18"/>
                <w:b w:val="1"/>
                <w:bCs w:val="1"/>
                <w:color w:val="auto"/>
                <w:w w:val="96"/>
              </w:rPr>
              <w:t>approve Clearway Energy, Inc.’s executive compensation (the “Say on Frequency</w:t>
            </w:r>
          </w:p>
        </w:tc>
        <w:tc>
          <w:tcPr>
            <w:tcW w:w="620" w:type="dxa"/>
            <w:vAlign w:val="bottom"/>
          </w:tcPr>
          <w:p>
            <w:pPr>
              <w:spacing w:after="0"/>
              <w:rPr>
                <w:sz w:val="18"/>
                <w:szCs w:val="18"/>
                <w:color w:val="auto"/>
              </w:rPr>
            </w:pPr>
          </w:p>
        </w:tc>
      </w:tr>
      <w:tr>
        <w:trPr>
          <w:trHeight w:val="194"/>
        </w:trPr>
        <w:tc>
          <w:tcPr>
            <w:tcW w:w="67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 xml:space="preserve">Proposal”) (page </w:t>
            </w:r>
            <w:r>
              <w:rPr>
                <w:rFonts w:ascii="Arial" w:cs="Arial" w:eastAsia="Arial" w:hAnsi="Arial"/>
                <w:sz w:val="18"/>
                <w:szCs w:val="18"/>
                <w:b w:val="1"/>
                <w:bCs w:val="1"/>
                <w:color w:val="0000EE"/>
              </w:rPr>
              <w:t>25</w:t>
            </w:r>
            <w:r>
              <w:rPr>
                <w:rFonts w:ascii="Arial" w:cs="Arial" w:eastAsia="Arial" w:hAnsi="Arial"/>
                <w:sz w:val="18"/>
                <w:szCs w:val="18"/>
                <w:b w:val="1"/>
                <w:bCs w:val="1"/>
                <w:color w:val="auto"/>
              </w:rPr>
              <w:t>)</w:t>
            </w:r>
          </w:p>
        </w:tc>
        <w:tc>
          <w:tcPr>
            <w:tcW w:w="620" w:type="dxa"/>
            <w:vAlign w:val="bottom"/>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879"/>
          </w:cols>
          <w:pgMar w:left="580" w:top="131" w:right="1440" w:bottom="1440" w:gutter="0" w:footer="0" w:header="0"/>
          <w:type w:val="continuous"/>
        </w:sectPr>
      </w:pPr>
    </w:p>
    <w:p>
      <w:pPr>
        <w:spacing w:after="0" w:line="4" w:lineRule="exact"/>
        <w:rPr>
          <w:sz w:val="20"/>
          <w:szCs w:val="20"/>
          <w:color w:val="auto"/>
        </w:rPr>
      </w:pPr>
    </w:p>
    <w:p>
      <w:pPr>
        <w:ind w:left="1260" w:right="20"/>
        <w:spacing w:after="0" w:line="257" w:lineRule="auto"/>
        <w:rPr>
          <w:sz w:val="20"/>
          <w:szCs w:val="20"/>
          <w:color w:val="auto"/>
        </w:rPr>
      </w:pPr>
      <w:r>
        <w:rPr>
          <w:rFonts w:ascii="Arial" w:cs="Arial" w:eastAsia="Arial" w:hAnsi="Arial"/>
          <w:sz w:val="18"/>
          <w:szCs w:val="18"/>
          <w:color w:val="auto"/>
        </w:rPr>
        <w:t>The Company seeks a non-binding advisory vote on how often the Company should include a vote to approve the Company’s executive compensation, the Say on Pay Proposal, in its proxy materials for future annual stockholder meetings. Stockholders may vote to have the Say on Pay Proposal included every year, two years or three years or abstain from the vote.</w:t>
      </w:r>
    </w:p>
    <w:p>
      <w:pPr>
        <w:spacing w:after="0" w:line="8" w:lineRule="exact"/>
        <w:rPr>
          <w:sz w:val="20"/>
          <w:szCs w:val="20"/>
          <w:color w:val="auto"/>
        </w:rPr>
      </w:pPr>
    </w:p>
    <w:p>
      <w:pPr>
        <w:ind w:left="1260" w:right="40"/>
        <w:spacing w:after="0" w:line="314" w:lineRule="auto"/>
        <w:rPr>
          <w:sz w:val="20"/>
          <w:szCs w:val="20"/>
          <w:color w:val="auto"/>
        </w:rPr>
      </w:pPr>
      <w:r>
        <w:rPr>
          <w:rFonts w:ascii="Arial" w:cs="Arial" w:eastAsia="Arial" w:hAnsi="Arial"/>
          <w:sz w:val="16"/>
          <w:szCs w:val="16"/>
          <w:b w:val="1"/>
          <w:bCs w:val="1"/>
          <w:color w:val="auto"/>
        </w:rPr>
        <w:t xml:space="preserve">Proposal 4. Ratification of the appointment of Ernst &amp; Young LLP as Clearway Energy, Inc.’s independent registered public accounting firm for the 2023 fiscal year (the “Ratification of Ernst &amp; Young LLP’s Appointment Proposal”) (page </w:t>
      </w:r>
      <w:r>
        <w:rPr>
          <w:rFonts w:ascii="Arial" w:cs="Arial" w:eastAsia="Arial" w:hAnsi="Arial"/>
          <w:sz w:val="16"/>
          <w:szCs w:val="16"/>
          <w:b w:val="1"/>
          <w:bCs w:val="1"/>
          <w:u w:val="single" w:color="auto"/>
          <w:color w:val="0000EE"/>
        </w:rPr>
        <w:t>26</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jc w:val="center"/>
        <w:ind w:right="799"/>
        <w:spacing w:after="0"/>
        <w:rPr>
          <w:sz w:val="20"/>
          <w:szCs w:val="20"/>
          <w:color w:val="auto"/>
        </w:rPr>
      </w:pPr>
      <w:r>
        <w:rPr>
          <w:rFonts w:ascii="Arial" w:cs="Arial" w:eastAsia="Arial" w:hAnsi="Arial"/>
          <w:sz w:val="17"/>
          <w:szCs w:val="17"/>
          <w:b w:val="1"/>
          <w:bCs w:val="1"/>
          <w:color w:val="auto"/>
        </w:rPr>
        <w:t>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w:t>
      </w:r>
    </w:p>
    <w:p>
      <w:pPr>
        <w:spacing w:after="0" w:line="616" w:lineRule="exact"/>
        <w:rPr>
          <w:sz w:val="20"/>
          <w:szCs w:val="20"/>
          <w:color w:val="auto"/>
        </w:rPr>
      </w:pPr>
    </w:p>
    <w:p>
      <w:pPr>
        <w:sectPr>
          <w:pgSz w:w="11900" w:h="16838" w:orient="portrait"/>
          <w:cols w:equalWidth="0" w:num="2">
            <w:col w:w="7440" w:space="720"/>
            <w:col w:w="1719"/>
          </w:cols>
          <w:pgMar w:left="580" w:top="131" w:right="1440" w:bottom="1440" w:gutter="0" w:footer="0" w:header="0"/>
          <w:type w:val="continuous"/>
        </w:sectPr>
      </w:pPr>
    </w:p>
    <w:p>
      <w:pPr>
        <w:ind w:left="1260"/>
        <w:spacing w:after="0"/>
        <w:tabs>
          <w:tab w:leader="none" w:pos="8400" w:val="left"/>
        </w:tabs>
        <w:rPr>
          <w:sz w:val="20"/>
          <w:szCs w:val="20"/>
          <w:color w:val="auto"/>
        </w:rPr>
      </w:pPr>
      <w:r>
        <w:rPr>
          <w:rFonts w:ascii="Arial" w:cs="Arial" w:eastAsia="Arial" w:hAnsi="Arial"/>
          <w:sz w:val="18"/>
          <w:szCs w:val="18"/>
          <w:color w:val="auto"/>
        </w:rPr>
        <w:t>The Audit Committee and the Board believe that the retention of Ernst &amp; Young</w:t>
      </w:r>
      <w:r>
        <w:rPr>
          <w:sz w:val="20"/>
          <w:szCs w:val="20"/>
          <w:color w:val="auto"/>
        </w:rPr>
        <w:tab/>
      </w:r>
      <w:r>
        <w:rPr>
          <w:rFonts w:ascii="Arial" w:cs="Arial" w:eastAsia="Arial" w:hAnsi="Arial"/>
          <w:sz w:val="18"/>
          <w:szCs w:val="18"/>
          <w:b w:val="1"/>
          <w:bCs w:val="1"/>
          <w:color w:val="auto"/>
        </w:rPr>
        <w:t>FOR</w:t>
      </w:r>
    </w:p>
    <w:p>
      <w:pPr>
        <w:spacing w:after="0" w:line="27" w:lineRule="exact"/>
        <w:rPr>
          <w:sz w:val="20"/>
          <w:szCs w:val="20"/>
          <w:color w:val="auto"/>
        </w:rPr>
      </w:pPr>
    </w:p>
    <w:p>
      <w:pPr>
        <w:ind w:left="1260" w:right="2379"/>
        <w:spacing w:after="0" w:line="253" w:lineRule="auto"/>
        <w:rPr>
          <w:sz w:val="20"/>
          <w:szCs w:val="20"/>
          <w:color w:val="auto"/>
        </w:rPr>
      </w:pPr>
      <w:r>
        <w:rPr>
          <w:rFonts w:ascii="Arial" w:cs="Arial" w:eastAsia="Arial" w:hAnsi="Arial"/>
          <w:sz w:val="18"/>
          <w:szCs w:val="18"/>
          <w:color w:val="auto"/>
        </w:rPr>
        <w:t>LLP as the Company’s independent registered public accounting firm for the 2023 fiscal year is in the best interests of the Company and its stockholders. As a matter of good corporate governance, stockholders are being asked to ratify the Audit Committee’s selection of 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GOVERNANCE HIGHLIGHTS</w:t>
      </w:r>
    </w:p>
    <w:p>
      <w:pPr>
        <w:spacing w:after="0" w:line="162"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8"/>
          <w:szCs w:val="18"/>
          <w:color w:val="auto"/>
        </w:rPr>
        <w:t>We are committed to maintaining high standards of corporate governance, which promote the long-term interests of our stockholders, strengthen Board and management accountability and help build public trust in the Company. The “Governance of the Company” section beginning on page 4 describes our corporate governance framework, which includes the following highlights:</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  Separate Chairman and Chief Executive</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3900" w:type="dxa"/>
            <w:vAlign w:val="bottom"/>
            <w:gridSpan w:val="17"/>
          </w:tcPr>
          <w:p>
            <w:pPr>
              <w:spacing w:after="0"/>
              <w:rPr>
                <w:sz w:val="20"/>
                <w:szCs w:val="20"/>
                <w:color w:val="auto"/>
              </w:rPr>
            </w:pPr>
            <w:r>
              <w:rPr>
                <w:rFonts w:ascii="Arial" w:cs="Arial" w:eastAsia="Arial" w:hAnsi="Arial"/>
                <w:sz w:val="18"/>
                <w:szCs w:val="18"/>
                <w:color w:val="auto"/>
              </w:rPr>
              <w:t>Independent audit and governance committees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Officer</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0"/>
                <w:szCs w:val="20"/>
                <w:color w:val="auto"/>
              </w:rPr>
            </w:pPr>
            <w:r>
              <w:rPr>
                <w:rFonts w:ascii="Arial" w:cs="Arial" w:eastAsia="Arial" w:hAnsi="Arial"/>
                <w:sz w:val="18"/>
                <w:szCs w:val="18"/>
                <w:color w:val="auto"/>
              </w:rPr>
              <w:t>•  11 director nominees</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4220" w:type="dxa"/>
            <w:vAlign w:val="bottom"/>
            <w:gridSpan w:val="18"/>
          </w:tcPr>
          <w:p>
            <w:pPr>
              <w:spacing w:after="0"/>
              <w:rPr>
                <w:sz w:val="20"/>
                <w:szCs w:val="20"/>
                <w:color w:val="auto"/>
              </w:rPr>
            </w:pPr>
            <w:r>
              <w:rPr>
                <w:rFonts w:ascii="Arial" w:cs="Arial" w:eastAsia="Arial" w:hAnsi="Arial"/>
                <w:sz w:val="18"/>
                <w:szCs w:val="18"/>
                <w:color w:val="auto"/>
              </w:rPr>
              <w:t>Regular executive sessions of independent directors</w:t>
            </w:r>
          </w:p>
        </w:tc>
        <w:tc>
          <w:tcPr>
            <w:tcW w:w="0" w:type="dxa"/>
            <w:vAlign w:val="bottom"/>
          </w:tcPr>
          <w:p>
            <w:pPr>
              <w:spacing w:after="0"/>
              <w:rPr>
                <w:sz w:val="1"/>
                <w:szCs w:val="1"/>
                <w:color w:val="auto"/>
              </w:rPr>
            </w:pPr>
          </w:p>
        </w:tc>
      </w:tr>
      <w:tr>
        <w:trPr>
          <w:trHeight w:val="257"/>
        </w:trPr>
        <w:tc>
          <w:tcPr>
            <w:tcW w:w="3760" w:type="dxa"/>
            <w:vAlign w:val="bottom"/>
          </w:tcPr>
          <w:p>
            <w:pPr>
              <w:spacing w:after="0"/>
              <w:rPr>
                <w:sz w:val="20"/>
                <w:szCs w:val="20"/>
                <w:color w:val="auto"/>
              </w:rPr>
            </w:pPr>
            <w:r>
              <w:rPr>
                <w:rFonts w:ascii="Arial" w:cs="Arial" w:eastAsia="Arial" w:hAnsi="Arial"/>
                <w:sz w:val="18"/>
                <w:szCs w:val="18"/>
                <w:color w:val="auto"/>
              </w:rPr>
              <w:t>•  4 independent director nominees</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3060" w:type="dxa"/>
            <w:vAlign w:val="bottom"/>
            <w:gridSpan w:val="12"/>
          </w:tcPr>
          <w:p>
            <w:pPr>
              <w:spacing w:after="0"/>
              <w:rPr>
                <w:sz w:val="20"/>
                <w:szCs w:val="20"/>
                <w:color w:val="auto"/>
              </w:rPr>
            </w:pPr>
            <w:r>
              <w:rPr>
                <w:rFonts w:ascii="Arial" w:cs="Arial" w:eastAsia="Arial" w:hAnsi="Arial"/>
                <w:sz w:val="18"/>
                <w:szCs w:val="18"/>
                <w:color w:val="auto"/>
                <w:w w:val="98"/>
              </w:rPr>
              <w:t>Anti-hedging and anti-pledging policies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Arial" w:cs="Arial" w:eastAsia="Arial" w:hAnsi="Arial"/>
                <w:sz w:val="18"/>
                <w:szCs w:val="18"/>
                <w:color w:val="auto"/>
              </w:rPr>
              <w:t>•  Risk oversight by full Board and committees</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4220" w:type="dxa"/>
            <w:vAlign w:val="bottom"/>
            <w:gridSpan w:val="18"/>
          </w:tcPr>
          <w:p>
            <w:pPr>
              <w:spacing w:after="0"/>
              <w:rPr>
                <w:sz w:val="20"/>
                <w:szCs w:val="20"/>
                <w:color w:val="auto"/>
              </w:rPr>
            </w:pPr>
            <w:r>
              <w:rPr>
                <w:rFonts w:ascii="Arial" w:cs="Arial" w:eastAsia="Arial" w:hAnsi="Arial"/>
                <w:sz w:val="18"/>
                <w:szCs w:val="18"/>
                <w:color w:val="auto"/>
                <w:w w:val="97"/>
              </w:rPr>
              <w:t>Director orientation and continuing education program</w:t>
            </w: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Arial" w:cs="Arial" w:eastAsia="Arial" w:hAnsi="Arial"/>
                <w:sz w:val="18"/>
                <w:szCs w:val="18"/>
                <w:color w:val="auto"/>
              </w:rPr>
              <w:t>•  Annual self-evaluation of full Board and</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4220" w:type="dxa"/>
            <w:vAlign w:val="bottom"/>
            <w:gridSpan w:val="18"/>
          </w:tcPr>
          <w:p>
            <w:pPr>
              <w:spacing w:after="0"/>
              <w:rPr>
                <w:sz w:val="20"/>
                <w:szCs w:val="20"/>
                <w:color w:val="auto"/>
              </w:rPr>
            </w:pPr>
            <w:r>
              <w:rPr>
                <w:rFonts w:ascii="Arial" w:cs="Arial" w:eastAsia="Arial" w:hAnsi="Arial"/>
                <w:sz w:val="18"/>
                <w:szCs w:val="18"/>
                <w:color w:val="auto"/>
                <w:w w:val="96"/>
              </w:rPr>
              <w:t>Engagement on and oversight of environmental, social</w:t>
            </w: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each committee</w:t>
            </w:r>
          </w:p>
        </w:tc>
        <w:tc>
          <w:tcPr>
            <w:tcW w:w="220" w:type="dxa"/>
            <w:vAlign w:val="bottom"/>
          </w:tcPr>
          <w:p>
            <w:pPr>
              <w:spacing w:after="0"/>
              <w:rPr>
                <w:sz w:val="20"/>
                <w:szCs w:val="20"/>
                <w:color w:val="auto"/>
              </w:rPr>
            </w:pPr>
          </w:p>
        </w:tc>
        <w:tc>
          <w:tcPr>
            <w:tcW w:w="2800" w:type="dxa"/>
            <w:vAlign w:val="bottom"/>
            <w:gridSpan w:val="10"/>
          </w:tcPr>
          <w:p>
            <w:pPr>
              <w:spacing w:after="0"/>
              <w:rPr>
                <w:sz w:val="20"/>
                <w:szCs w:val="20"/>
                <w:color w:val="auto"/>
              </w:rPr>
            </w:pPr>
            <w:r>
              <w:rPr>
                <w:rFonts w:ascii="Arial" w:cs="Arial" w:eastAsia="Arial" w:hAnsi="Arial"/>
                <w:sz w:val="18"/>
                <w:szCs w:val="18"/>
                <w:color w:val="auto"/>
              </w:rPr>
              <w:t>and governance (“ESG”) matters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0"/>
                <w:szCs w:val="20"/>
                <w:color w:val="auto"/>
              </w:rPr>
            </w:pPr>
            <w:r>
              <w:rPr>
                <w:rFonts w:ascii="Arial" w:cs="Arial" w:eastAsia="Arial" w:hAnsi="Arial"/>
                <w:sz w:val="18"/>
                <w:szCs w:val="18"/>
                <w:color w:val="auto"/>
              </w:rPr>
              <w:t>•  Lead Independent Director</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920" w:type="dxa"/>
            <w:vAlign w:val="bottom"/>
            <w:gridSpan w:val="8"/>
          </w:tcPr>
          <w:p>
            <w:pPr>
              <w:spacing w:after="0"/>
              <w:rPr>
                <w:sz w:val="20"/>
                <w:szCs w:val="20"/>
                <w:color w:val="auto"/>
              </w:rPr>
            </w:pPr>
            <w:r>
              <w:rPr>
                <w:rFonts w:ascii="Arial" w:cs="Arial" w:eastAsia="Arial" w:hAnsi="Arial"/>
                <w:sz w:val="18"/>
                <w:szCs w:val="18"/>
                <w:color w:val="auto"/>
              </w:rPr>
              <w:t>Board Diversity Policy</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6"/>
        </w:trPr>
        <w:tc>
          <w:tcPr>
            <w:tcW w:w="3760" w:type="dxa"/>
            <w:vAlign w:val="bottom"/>
          </w:tcPr>
          <w:p>
            <w:pPr>
              <w:spacing w:after="0"/>
              <w:rPr>
                <w:sz w:val="20"/>
                <w:szCs w:val="20"/>
                <w:color w:val="auto"/>
              </w:rPr>
            </w:pPr>
            <w:r>
              <w:rPr>
                <w:rFonts w:ascii="Arial" w:cs="Arial" w:eastAsia="Arial" w:hAnsi="Arial"/>
                <w:sz w:val="18"/>
                <w:szCs w:val="18"/>
                <w:b w:val="1"/>
                <w:bCs w:val="1"/>
                <w:color w:val="auto"/>
              </w:rPr>
              <w:t>DIRECTOR NOMINEES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Other Public</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Committee</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6"/>
            <w:vMerge w:val="restart"/>
          </w:tcPr>
          <w:p>
            <w:pPr>
              <w:jc w:val="center"/>
              <w:ind w:right="71"/>
              <w:spacing w:after="0"/>
              <w:rPr>
                <w:sz w:val="20"/>
                <w:szCs w:val="20"/>
                <w:color w:val="auto"/>
              </w:rPr>
            </w:pPr>
            <w:r>
              <w:rPr>
                <w:rFonts w:ascii="Arial" w:cs="Arial" w:eastAsia="Arial" w:hAnsi="Arial"/>
                <w:sz w:val="14"/>
                <w:szCs w:val="14"/>
                <w:b w:val="1"/>
                <w:bCs w:val="1"/>
                <w:color w:val="auto"/>
                <w:w w:val="88"/>
              </w:rPr>
              <w:t>Memberships</w:t>
            </w:r>
            <w:r>
              <w:rPr>
                <w:rFonts w:ascii="Arial" w:cs="Arial" w:eastAsia="Arial" w:hAnsi="Arial"/>
                <w:sz w:val="17"/>
                <w:szCs w:val="17"/>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3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line="125" w:lineRule="exact"/>
              <w:rPr>
                <w:sz w:val="20"/>
                <w:szCs w:val="20"/>
                <w:color w:val="auto"/>
              </w:rPr>
            </w:pPr>
            <w:r>
              <w:rPr>
                <w:rFonts w:ascii="Arial" w:cs="Arial" w:eastAsia="Arial" w:hAnsi="Arial"/>
                <w:sz w:val="14"/>
                <w:szCs w:val="14"/>
                <w:b w:val="1"/>
                <w:bCs w:val="1"/>
                <w:color w:val="auto"/>
                <w:w w:val="96"/>
              </w:rPr>
              <w:t>Director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0"/>
              </w:rPr>
              <w:t>Company</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4"/>
                <w:szCs w:val="14"/>
                <w:b w:val="1"/>
                <w:bCs w:val="1"/>
                <w:color w:val="auto"/>
              </w:rPr>
              <w:t>Name, Primary Occupation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rPr>
              <w:t>​​Age ​​  Since</w:t>
            </w: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​​Independent ​​</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Boards</w:t>
            </w:r>
          </w:p>
        </w:tc>
        <w:tc>
          <w:tcPr>
            <w:tcW w:w="260" w:type="dxa"/>
            <w:vAlign w:val="bottom"/>
            <w:gridSpan w:val="2"/>
          </w:tcPr>
          <w:p>
            <w:pPr>
              <w:ind w:left="20"/>
              <w:spacing w:after="0" w:line="210"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24"/>
                <w:szCs w:val="24"/>
                <w:b w:val="1"/>
                <w:bCs w:val="1"/>
                <w:color w:val="auto"/>
                <w:vertAlign w:val="superscript"/>
              </w:rPr>
              <w:t>A</w:t>
            </w:r>
          </w:p>
        </w:tc>
        <w:tc>
          <w:tcPr>
            <w:tcW w:w="120" w:type="dxa"/>
            <w:vAlign w:val="bottom"/>
          </w:tcPr>
          <w:p>
            <w:pPr>
              <w:spacing w:after="0"/>
              <w:rPr>
                <w:sz w:val="18"/>
                <w:szCs w:val="18"/>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w:t>
            </w:r>
          </w:p>
        </w:tc>
        <w:tc>
          <w:tcPr>
            <w:tcW w:w="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GCN</w:t>
            </w: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rPr>
              <w:t>ERM</w:t>
            </w:r>
          </w:p>
        </w:tc>
        <w:tc>
          <w:tcPr>
            <w:tcW w:w="0" w:type="dxa"/>
            <w:vAlign w:val="bottom"/>
          </w:tcPr>
          <w:p>
            <w:pPr>
              <w:spacing w:after="0"/>
              <w:rPr>
                <w:sz w:val="1"/>
                <w:szCs w:val="1"/>
                <w:color w:val="auto"/>
              </w:rPr>
            </w:pPr>
          </w:p>
        </w:tc>
      </w:tr>
      <w:tr>
        <w:trPr>
          <w:trHeight w:val="20"/>
        </w:trPr>
        <w:tc>
          <w:tcPr>
            <w:tcW w:w="3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Jonathan Bram</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​​57 ​​ 2018</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rPr>
              <w:t>NO</w:t>
            </w: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980" w:type="dxa"/>
            <w:vAlign w:val="bottom"/>
            <w:gridSpan w:val="2"/>
          </w:tcPr>
          <w:p>
            <w:pPr>
              <w:ind w:left="180"/>
              <w:spacing w:after="0"/>
              <w:rPr>
                <w:sz w:val="20"/>
                <w:szCs w:val="20"/>
                <w:color w:val="auto"/>
              </w:rPr>
            </w:pPr>
            <w:r>
              <w:rPr>
                <w:rFonts w:ascii="Arial" w:cs="Arial" w:eastAsia="Arial" w:hAnsi="Arial"/>
                <w:sz w:val="18"/>
                <w:szCs w:val="18"/>
                <w:i w:val="1"/>
                <w:iCs w:val="1"/>
                <w:color w:val="auto"/>
                <w:w w:val="94"/>
              </w:rPr>
              <w:t>Chairman of the Board of the Company, Founding</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i w:val="1"/>
                <w:iCs w:val="1"/>
                <w:color w:val="auto"/>
              </w:rPr>
              <w:t>Partner of Global Infrastructure Partners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62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20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64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740" w:type="dxa"/>
            <w:vAlign w:val="bottom"/>
          </w:tcPr>
          <w:p>
            <w:pPr>
              <w:jc w:val="right"/>
              <w:ind w:right="272"/>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0"/>
                <w:szCs w:val="20"/>
                <w:color w:val="auto"/>
              </w:rPr>
            </w:pPr>
          </w:p>
        </w:tc>
        <w:tc>
          <w:tcPr>
            <w:tcW w:w="28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Nathaniel Anschuetz</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​​35</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2018</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rPr>
              <w:t>NO</w:t>
            </w: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i w:val="1"/>
                <w:iCs w:val="1"/>
                <w:color w:val="auto"/>
              </w:rPr>
              <w:t>Principal at Global Infrastructure Partners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62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20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64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740" w:type="dxa"/>
            <w:vAlign w:val="bottom"/>
          </w:tcPr>
          <w:p>
            <w:pPr>
              <w:jc w:val="right"/>
              <w:ind w:right="272"/>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8"/>
                <w:szCs w:val="18"/>
                <w:color w:val="auto"/>
              </w:rPr>
            </w:pPr>
          </w:p>
        </w:tc>
        <w:tc>
          <w:tcPr>
            <w:tcW w:w="28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Emmanuel Barrois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​​40 ​​ 2022</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rPr>
              <w:t>NO</w:t>
            </w: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5"/>
        </w:trPr>
        <w:tc>
          <w:tcPr>
            <w:tcW w:w="3760" w:type="dxa"/>
            <w:vAlign w:val="bottom"/>
          </w:tcPr>
          <w:p>
            <w:pPr>
              <w:ind w:left="180"/>
              <w:spacing w:after="0"/>
              <w:rPr>
                <w:sz w:val="20"/>
                <w:szCs w:val="20"/>
                <w:color w:val="auto"/>
              </w:rPr>
            </w:pPr>
            <w:r>
              <w:rPr>
                <w:rFonts w:ascii="Arial" w:cs="Arial" w:eastAsia="Arial" w:hAnsi="Arial"/>
                <w:sz w:val="18"/>
                <w:szCs w:val="18"/>
                <w:i w:val="1"/>
                <w:iCs w:val="1"/>
                <w:color w:val="auto"/>
                <w:w w:val="95"/>
              </w:rPr>
              <w:t>Head of Renewables Portfolio Management for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i w:val="1"/>
                <w:iCs w:val="1"/>
                <w:color w:val="auto"/>
              </w:rPr>
              <w:t>TotalEnergies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62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20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64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740" w:type="dxa"/>
            <w:vAlign w:val="bottom"/>
          </w:tcPr>
          <w:p>
            <w:pPr>
              <w:jc w:val="right"/>
              <w:ind w:right="272"/>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0"/>
                <w:szCs w:val="20"/>
                <w:color w:val="auto"/>
              </w:rPr>
            </w:pPr>
          </w:p>
        </w:tc>
        <w:tc>
          <w:tcPr>
            <w:tcW w:w="28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spacing w:after="0" w:line="243" w:lineRule="exact"/>
              <w:rPr>
                <w:sz w:val="20"/>
                <w:szCs w:val="20"/>
                <w:color w:val="auto"/>
              </w:rPr>
            </w:pPr>
            <w:r>
              <w:rPr>
                <w:rFonts w:ascii="Arial" w:cs="Arial" w:eastAsia="Arial" w:hAnsi="Arial"/>
                <w:sz w:val="18"/>
                <w:szCs w:val="18"/>
                <w:b w:val="1"/>
                <w:bCs w:val="1"/>
                <w:color w:val="auto"/>
              </w:rPr>
              <w:t>Brian R. Ford</w:t>
            </w:r>
            <w:r>
              <w:rPr>
                <w:rFonts w:ascii="Arial" w:cs="Arial" w:eastAsia="Arial" w:hAnsi="Arial"/>
                <w:sz w:val="23"/>
                <w:szCs w:val="23"/>
                <w:b w:val="1"/>
                <w:bCs w:val="1"/>
                <w:color w:val="auto"/>
                <w:vertAlign w:val="superscript"/>
              </w:rPr>
              <w:t>(2)</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​​74 ​​ 2013</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YES</w:t>
            </w: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w:t>
            </w:r>
          </w:p>
        </w:tc>
        <w:tc>
          <w:tcPr>
            <w:tcW w:w="660" w:type="dxa"/>
            <w:vAlign w:val="bottom"/>
            <w:gridSpan w:val="5"/>
            <w:shd w:val="clear" w:color="auto" w:fill="CCEEFF"/>
          </w:tcPr>
          <w:p>
            <w:pPr>
              <w:ind w:left="20"/>
              <w:spacing w:after="0" w:line="207"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auto"/>
              </w:rPr>
              <w:t>★ ✓</w:t>
            </w:r>
          </w:p>
        </w:tc>
        <w:tc>
          <w:tcPr>
            <w:tcW w:w="440" w:type="dxa"/>
            <w:vAlign w:val="bottom"/>
            <w:gridSpan w:val="2"/>
            <w:shd w:val="clear" w:color="auto" w:fill="CCEEFF"/>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760" w:type="dxa"/>
            <w:vAlign w:val="bottom"/>
          </w:tcPr>
          <w:p>
            <w:pPr>
              <w:ind w:left="180"/>
              <w:spacing w:after="0"/>
              <w:rPr>
                <w:sz w:val="20"/>
                <w:szCs w:val="20"/>
                <w:color w:val="auto"/>
              </w:rPr>
            </w:pPr>
            <w:r>
              <w:rPr>
                <w:rFonts w:ascii="Arial" w:cs="Arial" w:eastAsia="Arial" w:hAnsi="Arial"/>
                <w:sz w:val="18"/>
                <w:szCs w:val="18"/>
                <w:i w:val="1"/>
                <w:iCs w:val="1"/>
                <w:color w:val="auto"/>
                <w:w w:val="97"/>
              </w:rPr>
              <w:t>Former Chief Executive Officer of Washington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i w:val="1"/>
                <w:iCs w:val="1"/>
                <w:color w:val="auto"/>
              </w:rPr>
              <w:t>Philadelphia Partners, LP</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62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20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64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740" w:type="dxa"/>
            <w:vAlign w:val="bottom"/>
          </w:tcPr>
          <w:p>
            <w:pPr>
              <w:jc w:val="right"/>
              <w:ind w:right="272"/>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0"/>
                <w:szCs w:val="20"/>
                <w:color w:val="auto"/>
              </w:rPr>
            </w:pPr>
          </w:p>
        </w:tc>
        <w:tc>
          <w:tcPr>
            <w:tcW w:w="28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Guillaume Hédiard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​​41 ​​ 2022</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rPr>
              <w:t>NO</w:t>
            </w: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760" w:type="dxa"/>
            <w:vAlign w:val="bottom"/>
          </w:tcPr>
          <w:p>
            <w:pPr>
              <w:ind w:left="180"/>
              <w:spacing w:after="0"/>
              <w:rPr>
                <w:sz w:val="20"/>
                <w:szCs w:val="20"/>
                <w:color w:val="auto"/>
              </w:rPr>
            </w:pPr>
            <w:r>
              <w:rPr>
                <w:rFonts w:ascii="Arial" w:cs="Arial" w:eastAsia="Arial" w:hAnsi="Arial"/>
                <w:sz w:val="18"/>
                <w:szCs w:val="18"/>
                <w:i w:val="1"/>
                <w:iCs w:val="1"/>
                <w:color w:val="auto"/>
                <w:w w:val="97"/>
              </w:rPr>
              <w:t>Vice President Transactions for TotalEnergies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i w:val="1"/>
                <w:iCs w:val="1"/>
                <w:color w:val="auto"/>
              </w:rPr>
              <w:t>Renewables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62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20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64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740" w:type="dxa"/>
            <w:vAlign w:val="bottom"/>
          </w:tcPr>
          <w:p>
            <w:pPr>
              <w:jc w:val="right"/>
              <w:ind w:right="272"/>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0"/>
                <w:szCs w:val="20"/>
                <w:color w:val="auto"/>
              </w:rPr>
            </w:pPr>
          </w:p>
        </w:tc>
        <w:tc>
          <w:tcPr>
            <w:tcW w:w="28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Jennifer Lowry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​​54 ​​ 2022</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YES</w:t>
            </w: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w:t>
            </w:r>
          </w:p>
        </w:tc>
        <w:tc>
          <w:tcPr>
            <w:tcW w:w="660" w:type="dxa"/>
            <w:vAlign w:val="bottom"/>
            <w:gridSpan w:val="5"/>
            <w:shd w:val="clear" w:color="auto" w:fill="CCEEFF"/>
          </w:tcPr>
          <w:p>
            <w:pPr>
              <w:ind w:left="20"/>
              <w:spacing w:after="0" w:line="207"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auto"/>
              </w:rPr>
              <w:t>✓ ✓</w:t>
            </w:r>
          </w:p>
        </w:tc>
        <w:tc>
          <w:tcPr>
            <w:tcW w:w="440" w:type="dxa"/>
            <w:vAlign w:val="bottom"/>
            <w:gridSpan w:val="2"/>
            <w:shd w:val="clear" w:color="auto" w:fill="CCEEFF"/>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32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5"/>
        </w:trPr>
        <w:tc>
          <w:tcPr>
            <w:tcW w:w="3760" w:type="dxa"/>
            <w:vAlign w:val="bottom"/>
          </w:tcPr>
          <w:p>
            <w:pPr>
              <w:ind w:left="180"/>
              <w:spacing w:after="0"/>
              <w:rPr>
                <w:sz w:val="20"/>
                <w:szCs w:val="20"/>
                <w:color w:val="auto"/>
              </w:rPr>
            </w:pPr>
            <w:r>
              <w:rPr>
                <w:rFonts w:ascii="Arial" w:cs="Arial" w:eastAsia="Arial" w:hAnsi="Arial"/>
                <w:sz w:val="18"/>
                <w:szCs w:val="18"/>
                <w:i w:val="1"/>
                <w:iCs w:val="1"/>
                <w:color w:val="auto"/>
              </w:rPr>
              <w:t>Former Vice President of Risk, Treasury and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i w:val="1"/>
                <w:iCs w:val="1"/>
                <w:color w:val="auto"/>
              </w:rPr>
              <w:t>Corporate Finance for McCormick &amp; Company,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i w:val="1"/>
                <w:iCs w:val="1"/>
                <w:color w:val="auto"/>
              </w:rPr>
              <w:t>Inc.</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62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20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64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740" w:type="dxa"/>
            <w:vAlign w:val="bottom"/>
          </w:tcPr>
          <w:p>
            <w:pPr>
              <w:jc w:val="right"/>
              <w:ind w:right="272"/>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0"/>
                <w:szCs w:val="20"/>
                <w:color w:val="auto"/>
              </w:rPr>
            </w:pPr>
          </w:p>
        </w:tc>
        <w:tc>
          <w:tcPr>
            <w:tcW w:w="28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Bruce MacLennan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​​56</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2018</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rPr>
              <w:t>NO</w:t>
            </w: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i w:val="1"/>
                <w:iCs w:val="1"/>
                <w:color w:val="auto"/>
              </w:rPr>
              <w:t>Partner of Global Infrastructure Partners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62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20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64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740" w:type="dxa"/>
            <w:vAlign w:val="bottom"/>
          </w:tcPr>
          <w:p>
            <w:pPr>
              <w:jc w:val="right"/>
              <w:ind w:right="272"/>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8"/>
                <w:szCs w:val="18"/>
                <w:color w:val="auto"/>
              </w:rPr>
            </w:pPr>
          </w:p>
        </w:tc>
        <w:tc>
          <w:tcPr>
            <w:tcW w:w="28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Daniel B. More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​​66</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2019</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YES</w:t>
            </w: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w:t>
            </w:r>
          </w:p>
        </w:tc>
        <w:tc>
          <w:tcPr>
            <w:tcW w:w="660" w:type="dxa"/>
            <w:vAlign w:val="bottom"/>
            <w:gridSpan w:val="5"/>
            <w:shd w:val="clear" w:color="auto" w:fill="CCEEFF"/>
          </w:tcPr>
          <w:p>
            <w:pPr>
              <w:ind w:left="20"/>
              <w:spacing w:after="0" w:line="207"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auto"/>
              </w:rPr>
              <w:t>✓ ✓</w:t>
            </w:r>
          </w:p>
        </w:tc>
        <w:tc>
          <w:tcPr>
            <w:tcW w:w="440" w:type="dxa"/>
            <w:vAlign w:val="bottom"/>
            <w:gridSpan w:val="2"/>
            <w:shd w:val="clear" w:color="auto" w:fill="CCEEFF"/>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i w:val="1"/>
                <w:iCs w:val="1"/>
                <w:color w:val="auto"/>
              </w:rPr>
              <w:t>Senior Advisor at Guggenheim Securities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62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20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64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740" w:type="dxa"/>
            <w:vAlign w:val="bottom"/>
          </w:tcPr>
          <w:p>
            <w:pPr>
              <w:jc w:val="right"/>
              <w:ind w:right="272"/>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8"/>
                <w:szCs w:val="18"/>
                <w:color w:val="auto"/>
              </w:rPr>
            </w:pPr>
          </w:p>
        </w:tc>
        <w:tc>
          <w:tcPr>
            <w:tcW w:w="28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 Stanley O’Neal</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​​71 ​​ 2018</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YES</w:t>
            </w: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w:t>
            </w:r>
          </w:p>
        </w:tc>
        <w:tc>
          <w:tcPr>
            <w:tcW w:w="660" w:type="dxa"/>
            <w:vAlign w:val="bottom"/>
            <w:gridSpan w:val="5"/>
            <w:shd w:val="clear" w:color="auto" w:fill="CCEEFF"/>
          </w:tcPr>
          <w:p>
            <w:pPr>
              <w:ind w:left="20"/>
              <w:spacing w:after="0" w:line="207"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auto"/>
              </w:rPr>
              <w:t>✓ ★</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440" w:type="dxa"/>
            <w:vAlign w:val="bottom"/>
            <w:gridSpan w:val="5"/>
          </w:tcPr>
          <w:p>
            <w:pPr>
              <w:ind w:left="180"/>
              <w:spacing w:after="0"/>
              <w:rPr>
                <w:sz w:val="20"/>
                <w:szCs w:val="20"/>
                <w:color w:val="auto"/>
              </w:rPr>
            </w:pPr>
            <w:r>
              <w:rPr>
                <w:rFonts w:ascii="Arial" w:cs="Arial" w:eastAsia="Arial" w:hAnsi="Arial"/>
                <w:sz w:val="18"/>
                <w:szCs w:val="18"/>
                <w:i w:val="1"/>
                <w:iCs w:val="1"/>
                <w:color w:val="auto"/>
              </w:rPr>
              <w:t>Former Chairman of the Board and Chief Executive</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i w:val="1"/>
                <w:iCs w:val="1"/>
                <w:color w:val="auto"/>
              </w:rPr>
              <w:t>Officer of Merrill Lynch &amp; Co.</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62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20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64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740" w:type="dxa"/>
            <w:vAlign w:val="bottom"/>
          </w:tcPr>
          <w:p>
            <w:pPr>
              <w:jc w:val="right"/>
              <w:ind w:right="272"/>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0"/>
                <w:szCs w:val="20"/>
                <w:color w:val="auto"/>
              </w:rPr>
            </w:pPr>
          </w:p>
        </w:tc>
        <w:tc>
          <w:tcPr>
            <w:tcW w:w="28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Christopher S. Sotos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​​51 ​​ 2013</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rPr>
              <w:t>NO</w:t>
            </w: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760" w:type="dxa"/>
            <w:vAlign w:val="bottom"/>
          </w:tcPr>
          <w:p>
            <w:pPr>
              <w:ind w:left="180"/>
              <w:spacing w:after="0"/>
              <w:rPr>
                <w:sz w:val="20"/>
                <w:szCs w:val="20"/>
                <w:color w:val="auto"/>
              </w:rPr>
            </w:pPr>
            <w:r>
              <w:rPr>
                <w:rFonts w:ascii="Arial" w:cs="Arial" w:eastAsia="Arial" w:hAnsi="Arial"/>
                <w:sz w:val="18"/>
                <w:szCs w:val="18"/>
                <w:i w:val="1"/>
                <w:iCs w:val="1"/>
                <w:color w:val="auto"/>
              </w:rPr>
              <w:t>President and Chief Executive Officer of the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i w:val="1"/>
                <w:iCs w:val="1"/>
                <w:color w:val="auto"/>
              </w:rPr>
              <w:t>Company</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62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20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64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740" w:type="dxa"/>
            <w:vAlign w:val="bottom"/>
          </w:tcPr>
          <w:p>
            <w:pPr>
              <w:jc w:val="right"/>
              <w:ind w:right="272"/>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0"/>
                <w:szCs w:val="20"/>
                <w:color w:val="auto"/>
              </w:rPr>
            </w:pPr>
          </w:p>
        </w:tc>
        <w:tc>
          <w:tcPr>
            <w:tcW w:w="28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Vincent Stoquart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​​48</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2022</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rPr>
              <w:t>NO</w:t>
            </w: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40" w:type="dxa"/>
            <w:vAlign w:val="bottom"/>
            <w:gridSpan w:val="5"/>
          </w:tcPr>
          <w:p>
            <w:pPr>
              <w:ind w:left="180"/>
              <w:spacing w:after="0"/>
              <w:rPr>
                <w:sz w:val="20"/>
                <w:szCs w:val="20"/>
                <w:color w:val="auto"/>
              </w:rPr>
            </w:pPr>
            <w:r>
              <w:rPr>
                <w:rFonts w:ascii="Arial" w:cs="Arial" w:eastAsia="Arial" w:hAnsi="Arial"/>
                <w:sz w:val="18"/>
                <w:szCs w:val="18"/>
                <w:i w:val="1"/>
                <w:iCs w:val="1"/>
                <w:color w:val="auto"/>
                <w:w w:val="99"/>
              </w:rPr>
              <w:t>Senior Vice President for TotalEnergies Renewables ​​</w:t>
            </w:r>
          </w:p>
        </w:tc>
        <w:tc>
          <w:tcPr>
            <w:tcW w:w="62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20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64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740" w:type="dxa"/>
            <w:vAlign w:val="bottom"/>
          </w:tcPr>
          <w:p>
            <w:pPr>
              <w:jc w:val="right"/>
              <w:ind w:right="272"/>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1"/>
                <w:szCs w:val="21"/>
                <w:color w:val="auto"/>
              </w:rPr>
            </w:pPr>
          </w:p>
        </w:tc>
        <w:tc>
          <w:tcPr>
            <w:tcW w:w="28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center"/>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5728970</wp:posOffset>
            </wp:positionH>
            <wp:positionV relativeFrom="paragraph">
              <wp:posOffset>-4217035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-4217035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5274945</wp:posOffset>
            </wp:positionH>
            <wp:positionV relativeFrom="paragraph">
              <wp:posOffset>-4217035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-4217035</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-4217035</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-4217035</wp:posOffset>
            </wp:positionV>
            <wp:extent cx="514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-4217035</wp:posOffset>
            </wp:positionV>
            <wp:extent cx="51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-4217035</wp:posOffset>
            </wp:positionV>
            <wp:extent cx="51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38" w:lineRule="exact"/>
        <w:rPr>
          <w:sz w:val="20"/>
          <w:szCs w:val="20"/>
          <w:color w:val="auto"/>
        </w:rPr>
      </w:pPr>
    </w:p>
    <w:p>
      <w:pPr>
        <w:ind w:left="1260"/>
        <w:spacing w:after="0" w:line="207" w:lineRule="exact"/>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Chair</w:t>
      </w:r>
      <w:r>
        <w:rPr>
          <w:rFonts w:ascii="MS PGothic" w:cs="MS PGothic" w:eastAsia="MS PGothic" w:hAnsi="MS PGothic"/>
          <w:sz w:val="16"/>
          <w:szCs w:val="16"/>
          <w:color w:val="auto"/>
        </w:rPr>
        <w:t xml:space="preserve"> ✓ </w:t>
      </w:r>
      <w:r>
        <w:rPr>
          <w:rFonts w:ascii="Arial" w:cs="Arial" w:eastAsia="Arial" w:hAnsi="Arial"/>
          <w:sz w:val="16"/>
          <w:szCs w:val="16"/>
          <w:color w:val="auto"/>
        </w:rPr>
        <w:t>Member</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19"/>
        <w:spacing w:after="0" w:line="277" w:lineRule="auto"/>
        <w:rPr>
          <w:sz w:val="20"/>
          <w:szCs w:val="20"/>
          <w:color w:val="auto"/>
        </w:rPr>
      </w:pPr>
      <w:r>
        <w:rPr>
          <w:rFonts w:ascii="Arial" w:cs="Arial" w:eastAsia="Arial" w:hAnsi="Arial"/>
          <w:sz w:val="18"/>
          <w:szCs w:val="18"/>
          <w:color w:val="auto"/>
        </w:rPr>
        <w:t>A = Audit Committee; C = Compensation Committee; GCN = Corporate Governance, Conflicts and Nominating Committee; ERM = Energy Risk Management Committee</w:t>
      </w:r>
    </w:p>
    <w:p>
      <w:pPr>
        <w:spacing w:after="0" w:line="3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Lead Independent Director</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QUESTIONS AND ANSWERS</w:t>
      </w:r>
    </w:p>
    <w:p>
      <w:pPr>
        <w:spacing w:after="0" w:line="148"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 xml:space="preserve">Please see the Questions and Answers section beginning on page </w:t>
      </w:r>
      <w:r>
        <w:rPr>
          <w:rFonts w:ascii="Arial" w:cs="Arial" w:eastAsia="Arial" w:hAnsi="Arial"/>
          <w:sz w:val="18"/>
          <w:szCs w:val="18"/>
          <w:u w:val="single" w:color="auto"/>
          <w:color w:val="0000EE"/>
        </w:rPr>
        <w:t>73</w:t>
      </w:r>
      <w:r>
        <w:rPr>
          <w:rFonts w:ascii="Arial" w:cs="Arial" w:eastAsia="Arial" w:hAnsi="Arial"/>
          <w:sz w:val="18"/>
          <w:szCs w:val="18"/>
          <w:color w:val="auto"/>
        </w:rPr>
        <w:t xml:space="preserve"> for important information about the proxy materials, voting and the Annual Meeting. Additional questions may be directed to our proxy solicitor, MacKenzie Partners, Inc. at (800) 322-2885 or </w:t>
      </w:r>
      <w:r>
        <w:rPr>
          <w:rFonts w:ascii="Arial" w:cs="Arial" w:eastAsia="Arial" w:hAnsi="Arial"/>
          <w:sz w:val="18"/>
          <w:szCs w:val="18"/>
          <w:i w:val="1"/>
          <w:iCs w:val="1"/>
          <w:color w:val="auto"/>
        </w:rPr>
        <w:t>proxy@mackenziepartners.com</w:t>
      </w:r>
      <w:r>
        <w:rPr>
          <w:rFonts w:ascii="Arial" w:cs="Arial" w:eastAsia="Arial" w:hAnsi="Arial"/>
          <w:sz w:val="18"/>
          <w:szCs w:val="18"/>
          <w:color w:val="auto"/>
        </w:rPr>
        <w: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LEARN MORE ABOUT OUR COMPANY</w:t>
      </w:r>
    </w:p>
    <w:p>
      <w:pPr>
        <w:spacing w:after="0" w:line="162"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 xml:space="preserve">You can learn more about the Company and view our governance materials and much more by visiting the “Corporate Governance” section of our website, </w:t>
      </w:r>
      <w:r>
        <w:rPr>
          <w:rFonts w:ascii="Arial" w:cs="Arial" w:eastAsia="Arial" w:hAnsi="Arial"/>
          <w:sz w:val="18"/>
          <w:szCs w:val="18"/>
          <w:i w:val="1"/>
          <w:iCs w:val="1"/>
          <w:color w:val="auto"/>
        </w:rPr>
        <w:t>www.clearwayenergy.com.</w:t>
      </w:r>
    </w:p>
    <w:p>
      <w:pPr>
        <w:spacing w:after="0" w:line="103"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 xml:space="preserve">Please also visit our Annual Meeting website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to easily access the Company’s proxy materials and vote through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PROXY STATEMENT</w:t>
      </w:r>
    </w:p>
    <w:p>
      <w:pPr>
        <w:spacing w:after="0" w:line="162"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We are providing these proxy materials to you in connection with the solicitation of proxies by the Board of Clearway Energy, Inc. for the Annual Meeting and for any adjournment or postponement of the Annual Meeting. The Annual Meeting will be held Thursday, April 27, 2023, at 9 a.m., Eastern Time. The Annual Meeting will be held in a virtual meeting format only, via live webcast on the Internet. In this Proxy Statement, “we,” “us,” “our,” “Clearway Energy,” “Clearway,” “CWEN” and the “Company” refer to Clearway Energy, Inc.</w:t>
      </w:r>
    </w:p>
    <w:p>
      <w:pPr>
        <w:spacing w:after="0" w:line="118" w:lineRule="exact"/>
        <w:rPr>
          <w:sz w:val="20"/>
          <w:szCs w:val="20"/>
          <w:color w:val="auto"/>
        </w:rPr>
      </w:pPr>
    </w:p>
    <w:p>
      <w:pPr>
        <w:ind w:left="1260" w:right="519" w:firstLine="360"/>
        <w:spacing w:after="0" w:line="249" w:lineRule="auto"/>
        <w:rPr>
          <w:sz w:val="20"/>
          <w:szCs w:val="20"/>
          <w:color w:val="auto"/>
        </w:rPr>
      </w:pPr>
      <w:r>
        <w:rPr>
          <w:rFonts w:ascii="Arial" w:cs="Arial" w:eastAsia="Arial" w:hAnsi="Arial"/>
          <w:sz w:val="18"/>
          <w:szCs w:val="18"/>
          <w:color w:val="auto"/>
        </w:rPr>
        <w:t>You are receiving this Proxy Statement because you own shares of our Class A, Class B, Class C or Class D common stock, par value $0.01 per share, that entitle you to vote at the Annual Meeting. By use of a proxy, you can vote whether or not you attend the Annual Meeting. The Proxy Statement describes the matters on which we would like you to vote and provides information on those matters.</w:t>
      </w:r>
    </w:p>
    <w:p>
      <w:pPr>
        <w:spacing w:after="0" w:line="17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for the Annual Meeting of Stockholders to be held on Thursday, April 27, 2023</w:t>
      </w:r>
    </w:p>
    <w:p>
      <w:pPr>
        <w:spacing w:after="0" w:line="12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Each of the Notice of Annual Meeting, this Proxy Statement and our 2022 Form 10-K is available at</w:t>
      </w:r>
    </w:p>
    <w:p>
      <w:pPr>
        <w:spacing w:after="0" w:line="35" w:lineRule="exact"/>
        <w:rPr>
          <w:sz w:val="20"/>
          <w:szCs w:val="20"/>
          <w:color w:val="auto"/>
        </w:rPr>
      </w:pPr>
    </w:p>
    <w:p>
      <w:pPr>
        <w:ind w:left="1260" w:right="679"/>
        <w:spacing w:after="0" w:line="261" w:lineRule="auto"/>
        <w:rPr>
          <w:sz w:val="20"/>
          <w:szCs w:val="20"/>
          <w:color w:val="auto"/>
        </w:rPr>
      </w:pPr>
      <w:r>
        <w:rPr>
          <w:rFonts w:ascii="Arial" w:cs="Arial" w:eastAsia="Arial" w:hAnsi="Arial"/>
          <w:sz w:val="17"/>
          <w:szCs w:val="17"/>
          <w:i w:val="1"/>
          <w:iCs w:val="1"/>
          <w:color w:val="auto"/>
        </w:rPr>
        <w:t>www.proxyvote.com</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If you would like to receive, without charge, a paper copy of our 2022 Form 10-K,</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including the financial statements and the financial statement schedules, please send your request to Investor Relations, 300 Carnegie Center, Suite 300, Princeton, New Jersey 08540.</w:t>
      </w:r>
    </w:p>
    <w:p>
      <w:pPr>
        <w:spacing w:after="0" w:line="18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GOVERNANCE OF THE COMPANY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GOVERNANCE GUIDELINES AND CHARTERS</w:t>
      </w:r>
    </w:p>
    <w:p>
      <w:pPr>
        <w:spacing w:after="0" w:line="148" w:lineRule="exact"/>
        <w:rPr>
          <w:sz w:val="20"/>
          <w:szCs w:val="20"/>
          <w:color w:val="auto"/>
        </w:rPr>
      </w:pPr>
    </w:p>
    <w:p>
      <w:pPr>
        <w:ind w:left="1260" w:right="459" w:firstLine="360"/>
        <w:spacing w:after="0" w:line="242" w:lineRule="auto"/>
        <w:rPr>
          <w:sz w:val="20"/>
          <w:szCs w:val="20"/>
          <w:color w:val="auto"/>
        </w:rPr>
      </w:pPr>
      <w:r>
        <w:rPr>
          <w:rFonts w:ascii="Arial" w:cs="Arial" w:eastAsia="Arial" w:hAnsi="Arial"/>
          <w:sz w:val="18"/>
          <w:szCs w:val="18"/>
          <w:color w:val="auto"/>
        </w:rPr>
        <w:t xml:space="preserve">The Board has adopted Corporate Governance Guidelines (the “Guidelines”) that, along with the Amended and Restated Certificate of Incorporation, the Fourth Amended and Restated Bylaws (the “Bylaws”) and the written charters of the committees of the Board (the “Committees”), provide the framework for the governance of the Company. The Board’s Corporate Governance, Conflicts and Nominating Committee is responsible for periodically reviewing the Guidelines and recommending any proposed changes to the Board for approval. The Guidelines are available on the Corporate Governance section of the Company’s website at </w:t>
      </w:r>
      <w:r>
        <w:rPr>
          <w:rFonts w:ascii="Arial" w:cs="Arial" w:eastAsia="Arial" w:hAnsi="Arial"/>
          <w:sz w:val="18"/>
          <w:szCs w:val="18"/>
          <w:i w:val="1"/>
          <w:iCs w:val="1"/>
          <w:color w:val="auto"/>
        </w:rPr>
        <w:t>www.clearwayenergy.com</w:t>
      </w:r>
      <w:r>
        <w:rPr>
          <w:rFonts w:ascii="Arial" w:cs="Arial" w:eastAsia="Arial" w:hAnsi="Arial"/>
          <w:sz w:val="18"/>
          <w:szCs w:val="18"/>
          <w:color w:val="auto"/>
        </w:rPr>
        <w:t>, along with the written charters of all of the Committees and the Company’s Code of Business Conduct and Ethics (the “Code of Conduct”). The Guidelines, the charters of all of the Committees and the Code of Conduct are also available in print to any stockholder upon request. Stockholders who desire to receive such items in print may request them from the Company’s Corporate Secretary by writing to Clearway Energy, Inc., 300 Carnegie Center, Suite 300, Princeton, New Jersey 08540.</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CONTROLLED COMPANY</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7"/>
          <w:szCs w:val="17"/>
          <w:color w:val="auto"/>
        </w:rPr>
        <w:t>Clearway Energy Group LLC (“CEG”), which became equally owned by TotalEnergies SE (“TotalEnergies”) and funds comprising Global Infrastructure Partners III (“GIP”) as of September 12, 2022, controls more than 50% of the combined voting power of our common stock and has the voting power to elect the members of our Board. Thus, for purposes of the New York Stock Exchange (“NYSE”) rules, we are a “controlled company.” Controlled companies under those rules are companies of which more than 50% of the voting power for the election of directors is held by an individual, a group or another company. As a controlled company, we may take advantage of certain exemptions from corporate governance requirements provided in the NYSE rules. Specifically, we are not required to have (a) a majority of independent directors, (b) a nominating/corporate governance committee composed entirely of independent directors,</w:t>
      </w:r>
    </w:p>
    <w:p>
      <w:pPr>
        <w:spacing w:after="0" w:line="1" w:lineRule="exact"/>
        <w:rPr>
          <w:sz w:val="20"/>
          <w:szCs w:val="20"/>
          <w:color w:val="auto"/>
        </w:rPr>
      </w:pPr>
    </w:p>
    <w:p>
      <w:pPr>
        <w:ind w:left="1260" w:right="439"/>
        <w:spacing w:after="0" w:line="243" w:lineRule="auto"/>
        <w:tabs>
          <w:tab w:leader="none" w:pos="1519"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compensation committee composed entirely of independent directors or (d) an annual performance evaluation of the nominating/corporate governance and compensation committees. Therefore, our stockholders may not have the same protections afforded to stockholders of companies that are subject to all of the applicable NYSE rules.</w:t>
      </w:r>
    </w:p>
    <w:p>
      <w:pPr>
        <w:spacing w:after="0" w:line="119" w:lineRule="exact"/>
        <w:rPr>
          <w:sz w:val="20"/>
          <w:szCs w:val="20"/>
          <w:color w:val="auto"/>
        </w:rPr>
      </w:pPr>
    </w:p>
    <w:p>
      <w:pPr>
        <w:ind w:left="1260" w:right="879" w:firstLine="360"/>
        <w:spacing w:after="0" w:line="249" w:lineRule="auto"/>
        <w:rPr>
          <w:sz w:val="20"/>
          <w:szCs w:val="20"/>
          <w:color w:val="auto"/>
        </w:rPr>
      </w:pPr>
      <w:r>
        <w:rPr>
          <w:rFonts w:ascii="Arial" w:cs="Arial" w:eastAsia="Arial" w:hAnsi="Arial"/>
          <w:sz w:val="18"/>
          <w:szCs w:val="18"/>
          <w:color w:val="auto"/>
        </w:rPr>
        <w:t>We currently avail ourselves of the majority of independent directors exemption and the entirely independent compensation committee exemption. However, we have elected to have a Corporate Governance, Conflicts and Nominating Committee consisting entirely of independent directors and we conduct an</w:t>
      </w:r>
    </w:p>
    <w:p>
      <w:pPr>
        <w:sectPr>
          <w:pgSz w:w="11900" w:h="16838" w:orient="portrait"/>
          <w:cols w:equalWidth="0" w:num="1">
            <w:col w:w="9879"/>
          </w:cols>
          <w:pgMar w:left="580" w:top="131" w:right="1440" w:bottom="1440" w:gutter="0" w:footer="0" w:header="0"/>
        </w:sectPr>
      </w:pPr>
    </w:p>
    <w:p>
      <w:pPr>
        <w:spacing w:after="0" w:line="35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annual performance evaluation of the Committees. The controlled company exemption does not modify the independence requirements for the Audit Committee, and we comply with the requirements of the Sarbanes-Oxley Act of 2002 and the NYSE rules, which require that our Audit Committee be composed of at least three members, all of whom are independent.</w:t>
      </w:r>
    </w:p>
    <w:p>
      <w:pPr>
        <w:sectPr>
          <w:pgSz w:w="11900" w:h="16838" w:orient="portrait"/>
          <w:cols w:equalWidth="0" w:num="1">
            <w:col w:w="9879"/>
          </w:cols>
          <w:pgMar w:left="580" w:top="131" w:right="1440" w:bottom="1440" w:gutter="0" w:footer="0" w:header="0"/>
        </w:sectPr>
      </w:pP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STRUCTURE AND LEADERSHIP</w:t>
      </w:r>
    </w:p>
    <w:p>
      <w:pPr>
        <w:spacing w:after="0" w:line="185" w:lineRule="exact"/>
        <w:rPr>
          <w:sz w:val="20"/>
          <w:szCs w:val="20"/>
          <w:color w:val="auto"/>
        </w:rPr>
      </w:pPr>
    </w:p>
    <w:p>
      <w:pPr>
        <w:jc w:val="right"/>
        <w:spacing w:after="0"/>
        <w:tabs>
          <w:tab w:leader="none" w:pos="1100" w:val="left"/>
        </w:tabs>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Chairman of the Board</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Jonathan Bram</w:t>
      </w:r>
    </w:p>
    <w:p>
      <w:pPr>
        <w:spacing w:after="0" w:line="16" w:lineRule="exact"/>
        <w:rPr>
          <w:sz w:val="20"/>
          <w:szCs w:val="20"/>
          <w:color w:val="auto"/>
        </w:rPr>
      </w:pPr>
    </w:p>
    <w:p>
      <w:pPr>
        <w:ind w:left="1620"/>
        <w:spacing w:after="0"/>
        <w:tabs>
          <w:tab w:leader="none" w:pos="348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Number of directors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11</w:t>
      </w:r>
    </w:p>
    <w:p>
      <w:pPr>
        <w:spacing w:after="0" w:line="81" w:lineRule="exact"/>
        <w:rPr>
          <w:sz w:val="20"/>
          <w:szCs w:val="20"/>
          <w:color w:val="auto"/>
        </w:rPr>
      </w:pPr>
    </w:p>
    <w:p>
      <w:pPr>
        <w:ind w:left="1620"/>
        <w:spacing w:after="0"/>
        <w:tabs>
          <w:tab w:leader="none" w:pos="4620" w:val="left"/>
        </w:tabs>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Number of regular meetings in 2022</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5</w:t>
      </w:r>
    </w:p>
    <w:p>
      <w:pPr>
        <w:spacing w:after="0" w:line="15" w:lineRule="exact"/>
        <w:rPr>
          <w:sz w:val="20"/>
          <w:szCs w:val="20"/>
          <w:color w:val="auto"/>
        </w:rPr>
      </w:pPr>
    </w:p>
    <w:p>
      <w:pPr>
        <w:ind w:left="1800" w:hanging="180"/>
        <w:spacing w:after="0"/>
        <w:tabs>
          <w:tab w:leader="none" w:pos="180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Number of special meetings in 2022</w:t>
      </w:r>
      <w:r>
        <w:rPr>
          <w:rFonts w:ascii="Arial" w:cs="Arial" w:eastAsia="Arial" w:hAnsi="Arial"/>
          <w:sz w:val="16"/>
          <w:szCs w:val="16"/>
          <w:color w:val="auto"/>
        </w:rPr>
        <w:t>:  1</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Annual election of directors</w:t>
      </w:r>
    </w:p>
    <w:p>
      <w:pPr>
        <w:ind w:left="1800" w:right="20" w:hanging="179"/>
        <w:spacing w:after="0" w:line="196"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Separate Chairman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Arial" w:cs="Arial" w:eastAsia="Arial" w:hAnsi="Arial"/>
                <w:sz w:val="18"/>
                <w:szCs w:val="18"/>
                <w:color w:val="auto"/>
              </w:rPr>
              <w:t>​ ​ •</w:t>
            </w:r>
          </w:p>
        </w:tc>
        <w:tc>
          <w:tcPr>
            <w:tcW w:w="3500" w:type="dxa"/>
            <w:vAlign w:val="bottom"/>
          </w:tcPr>
          <w:p>
            <w:pPr>
              <w:ind w:left="60"/>
              <w:spacing w:after="0"/>
              <w:rPr>
                <w:sz w:val="20"/>
                <w:szCs w:val="20"/>
                <w:color w:val="auto"/>
              </w:rPr>
            </w:pPr>
            <w:r>
              <w:rPr>
                <w:rFonts w:ascii="Arial" w:cs="Arial" w:eastAsia="Arial" w:hAnsi="Arial"/>
                <w:sz w:val="18"/>
                <w:szCs w:val="18"/>
                <w:b w:val="1"/>
                <w:bCs w:val="1"/>
                <w:color w:val="auto"/>
                <w:w w:val="97"/>
              </w:rPr>
              <w:t>Lead Independent Director</w:t>
            </w:r>
            <w:r>
              <w:rPr>
                <w:rFonts w:ascii="Arial" w:cs="Arial" w:eastAsia="Arial" w:hAnsi="Arial"/>
                <w:sz w:val="18"/>
                <w:szCs w:val="18"/>
                <w:color w:val="auto"/>
                <w:w w:val="97"/>
              </w:rPr>
              <w:t>:  Brian R. Ford</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320" w:type="dxa"/>
            <w:vAlign w:val="bottom"/>
          </w:tcPr>
          <w:p>
            <w:pPr>
              <w:spacing w:after="0" w:line="283"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2"/>
                <w:szCs w:val="32"/>
                <w:color w:val="auto"/>
                <w:vertAlign w:val="subscript"/>
              </w:rPr>
              <w:t>•</w:t>
            </w:r>
          </w:p>
        </w:tc>
        <w:tc>
          <w:tcPr>
            <w:tcW w:w="3500" w:type="dxa"/>
            <w:vAlign w:val="bottom"/>
          </w:tcPr>
          <w:p>
            <w:pPr>
              <w:ind w:left="60"/>
              <w:spacing w:after="0"/>
              <w:rPr>
                <w:sz w:val="20"/>
                <w:szCs w:val="20"/>
                <w:color w:val="auto"/>
              </w:rPr>
            </w:pPr>
            <w:r>
              <w:rPr>
                <w:rFonts w:ascii="Arial" w:cs="Arial" w:eastAsia="Arial" w:hAnsi="Arial"/>
                <w:sz w:val="18"/>
                <w:szCs w:val="18"/>
                <w:color w:val="auto"/>
                <w:w w:val="99"/>
              </w:rPr>
              <w:t>Regular executive sessions of independent</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 w:type="dxa"/>
            <w:vAlign w:val="bottom"/>
            <w:vMerge w:val="restart"/>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color w:val="auto"/>
                <w:vertAlign w:val="subscript"/>
              </w:rPr>
              <w:t>•</w:t>
            </w:r>
          </w:p>
        </w:tc>
        <w:tc>
          <w:tcPr>
            <w:tcW w:w="3500" w:type="dxa"/>
            <w:vAlign w:val="bottom"/>
          </w:tcPr>
          <w:p>
            <w:pPr>
              <w:ind w:left="60"/>
              <w:spacing w:after="0"/>
              <w:rPr>
                <w:sz w:val="20"/>
                <w:szCs w:val="20"/>
                <w:color w:val="auto"/>
              </w:rPr>
            </w:pPr>
            <w:r>
              <w:rPr>
                <w:rFonts w:ascii="Arial" w:cs="Arial" w:eastAsia="Arial" w:hAnsi="Arial"/>
                <w:sz w:val="18"/>
                <w:szCs w:val="18"/>
                <w:color w:val="auto"/>
              </w:rPr>
              <w:t>directors</w:t>
            </w:r>
          </w:p>
        </w:tc>
        <w:tc>
          <w:tcPr>
            <w:tcW w:w="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320" w:type="dxa"/>
            <w:vAlign w:val="bottom"/>
            <w:vMerge w:val="continue"/>
          </w:tcPr>
          <w:p>
            <w:pPr>
              <w:spacing w:after="0"/>
              <w:rPr>
                <w:sz w:val="23"/>
                <w:szCs w:val="23"/>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auto"/>
                <w:w w:val="99"/>
              </w:rPr>
              <w:t>Audit and Corporate Governance, Conflicts</w:t>
            </w:r>
          </w:p>
        </w:tc>
        <w:tc>
          <w:tcPr>
            <w:tcW w:w="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auto"/>
                <w:w w:val="95"/>
              </w:rPr>
              <w:t>and Nominating Committees composed of all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vMerge w:val="restart"/>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color w:val="auto"/>
                <w:vertAlign w:val="subscript"/>
              </w:rPr>
              <w:t>•</w:t>
            </w:r>
          </w:p>
        </w:tc>
        <w:tc>
          <w:tcPr>
            <w:tcW w:w="3500" w:type="dxa"/>
            <w:vAlign w:val="bottom"/>
          </w:tcPr>
          <w:p>
            <w:pPr>
              <w:ind w:left="60"/>
              <w:spacing w:after="0"/>
              <w:rPr>
                <w:sz w:val="20"/>
                <w:szCs w:val="20"/>
                <w:color w:val="auto"/>
              </w:rPr>
            </w:pPr>
            <w:r>
              <w:rPr>
                <w:rFonts w:ascii="Arial" w:cs="Arial" w:eastAsia="Arial" w:hAnsi="Arial"/>
                <w:sz w:val="18"/>
                <w:szCs w:val="18"/>
                <w:color w:val="auto"/>
              </w:rPr>
              <w:t>independent directors</w:t>
            </w:r>
          </w:p>
        </w:tc>
        <w:tc>
          <w:tcPr>
            <w:tcW w:w="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20" w:type="dxa"/>
            <w:vAlign w:val="bottom"/>
            <w:vMerge w:val="continue"/>
          </w:tcPr>
          <w:p>
            <w:pPr>
              <w:spacing w:after="0"/>
              <w:rPr>
                <w:sz w:val="22"/>
                <w:szCs w:val="22"/>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auto"/>
              </w:rPr>
              <w:t>Active engagement by all directors</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 ​ ​</w:t>
            </w:r>
          </w:p>
        </w:tc>
        <w:tc>
          <w:tcPr>
            <w:tcW w:w="3500" w:type="dxa"/>
            <w:vAlign w:val="bottom"/>
          </w:tcPr>
          <w:p>
            <w:pPr>
              <w:spacing w:after="0"/>
              <w:rPr>
                <w:sz w:val="20"/>
                <w:szCs w:val="20"/>
                <w:color w:val="auto"/>
              </w:rPr>
            </w:pP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417" w:lineRule="exact"/>
        <w:rPr>
          <w:sz w:val="20"/>
          <w:szCs w:val="20"/>
          <w:color w:val="auto"/>
        </w:rPr>
      </w:pPr>
    </w:p>
    <w:p>
      <w:pPr>
        <w:sectPr>
          <w:pgSz w:w="11900" w:h="16838" w:orient="portrait"/>
          <w:cols w:equalWidth="0" w:num="2">
            <w:col w:w="4840" w:space="420"/>
            <w:col w:w="4619"/>
          </w:cols>
          <w:pgMar w:left="580" w:top="131" w:right="1440" w:bottom="1440" w:gutter="0" w:footer="0" w:header="0"/>
          <w:type w:val="continuous"/>
        </w:sectPr>
      </w:pPr>
    </w:p>
    <w:p>
      <w:pPr>
        <w:ind w:left="1260" w:right="459" w:firstLine="360"/>
        <w:spacing w:after="0" w:line="254" w:lineRule="auto"/>
        <w:rPr>
          <w:sz w:val="20"/>
          <w:szCs w:val="20"/>
          <w:color w:val="auto"/>
        </w:rPr>
      </w:pPr>
      <w:r>
        <w:rPr>
          <w:rFonts w:ascii="Arial" w:cs="Arial" w:eastAsia="Arial" w:hAnsi="Arial"/>
          <w:sz w:val="18"/>
          <w:szCs w:val="18"/>
          <w:color w:val="auto"/>
        </w:rPr>
        <w:t>Our Board is responsible for, among other things, overseeing the conduct of our business, reviewing and, where appropriate, approving our long-term strategic, financial and organizational goals and plans, and reviewing the performance of our Chief Executive Officer (the “CEO”) and any other members of senior management. Our Board conducts an annual self-evaluation, which includes a review of any areas in which the Board or management believes the Board can make a better contribution to our corporate governance, as well as a review of the committee structure and an assessment of the Board’s compliance with corporate governance principles. In fulfilling the Board responsibilities, directors have full access to our management and independent advisors.</w:t>
      </w:r>
    </w:p>
    <w:p>
      <w:pPr>
        <w:spacing w:after="0" w:line="124"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8"/>
          <w:szCs w:val="18"/>
          <w:color w:val="auto"/>
        </w:rPr>
        <w:t>During the 2022 fiscal year, all directors attended at least 75% of the meetings of the Board and Committees on which they served in 2022. Non-management directors meet in executive session regularly following Board meetings. Directors are encouraged to attend the annual meetings of stockholders. All of the directors who served as such at the time of the meeting attended the 2022 Annual Meeting of Stockholders.</w:t>
      </w:r>
    </w:p>
    <w:p>
      <w:pPr>
        <w:spacing w:after="0" w:line="120"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As stated in the Guidelines, the Board understands that there is no single, generally accepted approach to providing Board leadership and that it is in the best interests of the Company for the Board to make a determination regarding whether or not to separate the roles of Chairman and CEO based upon the present circumstances. Currently, Jonathan Bram, a non-executive director and Founding Partner of GIP, our shared majority voting stockholder, serves as Chairman of the Board. Irrespective of the Company’s current practice, the Board believes that an effective board leadership structure is highly dependent on the experience, skills and personal interaction between persons in leadership roles. Although our Board believes that the separation of the Chairman and CEO roles is appropriate under current circumstances, it will continue to review this issue periodically to determine whether, based on the relevant facts and circumstances, the combination of these offices would serve the Company’s best interests and the best interests of its stockholders.</w:t>
      </w:r>
    </w:p>
    <w:p>
      <w:pPr>
        <w:spacing w:after="0" w:line="111"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Our President and CEO, Mr. Sotos, and the Chairman, Mr. Bram, work together in complementary roles. Mr. Sotos focuses on the day-to-day operations of the Company and establishes the Company’s strategic plan. Mr. Bram leads the Board’s responsibilities for reviewing, approving and monitoring fundamental financial and business strategies and major corporate actions, assessing major risks facing the Company and management, and he presides over the Board and its Committees as they perform their oversight functions. The Board believes that these complementary roles provide the appropriate governance structure for the Company.</w:t>
      </w:r>
    </w:p>
    <w:p>
      <w:pPr>
        <w:spacing w:after="0" w:line="127"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When the Chairman is a director affiliated with GIP, TotalEnergies, or a member of Company management, or when the independent directors determine that it is in the best interests of the Company, the independent directors will annually appoint from among themselves a Lead Independent Director. Mr. Ford is currently the Lead Independent Director. As Lead Independent Director, Mr. Ford is responsible for the activities of the independent directors and is authorized to call meetings of the independent</w:t>
      </w:r>
    </w:p>
    <w:p>
      <w:pPr>
        <w:sectPr>
          <w:pgSz w:w="11900" w:h="16838" w:orient="portrait"/>
          <w:cols w:equalWidth="0" w:num="1">
            <w:col w:w="9879"/>
          </w:cols>
          <w:pgMar w:left="580" w:top="131" w:right="1440" w:bottom="1440" w:gutter="0" w:footer="0" w:header="0"/>
          <w:type w:val="continuous"/>
        </w:sectPr>
      </w:pPr>
    </w:p>
    <w:p>
      <w:pPr>
        <w:spacing w:after="0" w:line="35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19"/>
        <w:spacing w:after="0" w:line="277" w:lineRule="auto"/>
        <w:rPr>
          <w:sz w:val="20"/>
          <w:szCs w:val="20"/>
          <w:color w:val="auto"/>
        </w:rPr>
      </w:pPr>
      <w:r>
        <w:rPr>
          <w:rFonts w:ascii="Arial" w:cs="Arial" w:eastAsia="Arial" w:hAnsi="Arial"/>
          <w:sz w:val="18"/>
          <w:szCs w:val="18"/>
          <w:color w:val="auto"/>
        </w:rPr>
        <w:t>directors, chairs executive sessions of the independent directors, and performs the other duties either specified in the Guidelines or as assigned from time to time by the Board.</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GOVERNANCE PRACTICES</w:t>
      </w:r>
    </w:p>
    <w:p>
      <w:pPr>
        <w:spacing w:after="0" w:line="162"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7"/>
          <w:szCs w:val="17"/>
          <w:color w:val="auto"/>
        </w:rPr>
        <w:t>The Board has taken a proactive approach in applying leading governance practices. As described in the Guidelines, the Board follows a series of governance practices that it believes foster effective Board oversight and accountability to you, our stockholders. These practices include:</w:t>
      </w:r>
    </w:p>
    <w:p>
      <w:pPr>
        <w:spacing w:after="0" w:line="57" w:lineRule="exact"/>
        <w:rPr>
          <w:sz w:val="20"/>
          <w:szCs w:val="20"/>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succession planning for the CEO and other senior management;</w:t>
      </w:r>
    </w:p>
    <w:p>
      <w:pPr>
        <w:spacing w:after="0" w:line="130" w:lineRule="exact"/>
        <w:rPr>
          <w:rFonts w:ascii="Arial" w:cs="Arial" w:eastAsia="Arial" w:hAnsi="Arial"/>
          <w:sz w:val="18"/>
          <w:szCs w:val="18"/>
          <w:color w:val="auto"/>
        </w:rPr>
      </w:pPr>
    </w:p>
    <w:p>
      <w:pPr>
        <w:ind w:left="1800" w:right="105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performance evaluations of the Board and each of its standing Committees, as well as periodic peer review for individual directors;</w:t>
      </w:r>
    </w:p>
    <w:p>
      <w:pPr>
        <w:spacing w:after="0" w:line="62" w:lineRule="exact"/>
        <w:rPr>
          <w:rFonts w:ascii="Arial" w:cs="Arial" w:eastAsia="Arial" w:hAnsi="Arial"/>
          <w:sz w:val="18"/>
          <w:szCs w:val="18"/>
          <w:color w:val="auto"/>
        </w:rPr>
      </w:pPr>
    </w:p>
    <w:p>
      <w:pPr>
        <w:ind w:left="1800" w:right="131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director orientation and continuing education program, including Company site visits and information sessions with Company management at relevant sites; and</w:t>
      </w:r>
    </w:p>
    <w:p>
      <w:pPr>
        <w:spacing w:after="0" w:line="75"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to and engagement of outside advisors and consultants to assist the Board and the Committees in the performance of their duties, as appropriate.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 OVERSIGHT</w:t>
      </w:r>
    </w:p>
    <w:p>
      <w:pPr>
        <w:spacing w:after="0" w:line="121" w:lineRule="exact"/>
        <w:rPr>
          <w:sz w:val="20"/>
          <w:szCs w:val="20"/>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has responsibility for overall risk oversight of the Company.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Audit Committee oversees financial risks.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Compensation Committee oversees risks related to compensation policies and practices.</w:t>
      </w:r>
    </w:p>
    <w:p>
      <w:pPr>
        <w:spacing w:after="0" w:line="117"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Corporate Governance, Conflicts and Nominating Committee oversees risks related to governance practices, including ESG-related matters, conflicts of interest or changes of control and related person transactions.</w:t>
      </w:r>
    </w:p>
    <w:p>
      <w:pPr>
        <w:spacing w:after="0" w:line="75"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Energy Risk Management Committee oversees risks related to the marketing and trading of fuel, transportation, energy and related products and services.</w:t>
      </w:r>
    </w:p>
    <w:p>
      <w:pPr>
        <w:spacing w:after="0" w:line="75"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 oversight includes understanding the material risks to the business and what steps management is taking or should be taking to manage those risks, as well as understanding and determining the appropriate risk appetite for the Company.</w:t>
      </w:r>
    </w:p>
    <w:p>
      <w:pPr>
        <w:spacing w:after="0" w:line="75" w:lineRule="exact"/>
        <w:rPr>
          <w:rFonts w:ascii="Arial" w:cs="Arial" w:eastAsia="Arial" w:hAnsi="Arial"/>
          <w:sz w:val="18"/>
          <w:szCs w:val="18"/>
          <w:color w:val="auto"/>
        </w:rPr>
      </w:pPr>
    </w:p>
    <w:p>
      <w:pPr>
        <w:jc w:val="both"/>
        <w:ind w:left="1800" w:right="759" w:hanging="180"/>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define the Company’s risk appetite, the Board reviews and approves the annual business plan, budget and long-term plan, strategic initiatives, individual development projects, capital raising, acquisitions and divestitures, and capital allocation plan.</w:t>
      </w:r>
    </w:p>
    <w:p>
      <w:pPr>
        <w:spacing w:after="0" w:line="116"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Other than the Energy Risk Management Committee, the Board does not have a separate risk committee, but instead believes that the entire Board is responsible for overseeing the Company’s risk management with the assistance of management and the Committees. The Board performs its risk oversight function in several ways. The Board monitors, reviews and reacts to strategic and corporate risks through reports by management and Committees. The Chair of each of the Committees regularly report to the Board on all matters reviewed by their Committees, thereby providing the full Board with the opportunity to identify and discuss any risk-related issues or request additional information from management or the Committees that may assist the Board in its risk oversight role. To this end, risk-related issues presented to each Committee are routinely presented to the full Board to ensure proper oversight.</w:t>
      </w:r>
    </w:p>
    <w:p>
      <w:pPr>
        <w:spacing w:after="0" w:line="100"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With the full Board providing the top level of risk oversight, the Committees have a more specific risk oversight role for matters that fall under their purview. The Audit Committee considers the Company’s policies with respect to risk assessment and risk management. The Audit Committee also oversees financial risks, which includes reviewing the effectiveness of our internal controls, conducting a detailed review of the financial portions of the Company’s SEC reports, approving the independent auditor and the annual audit plan, and receiving and considering periodic reports from the Company’s independent auditor, the Company’s internal auditor and the Company’s corporate compliance officer. In addition, the Audit Committee oversees risks related to information technology systems and cybersecurity matters.</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firstLine="360"/>
        <w:spacing w:after="0" w:line="275" w:lineRule="auto"/>
        <w:rPr>
          <w:sz w:val="20"/>
          <w:szCs w:val="20"/>
          <w:color w:val="auto"/>
        </w:rPr>
      </w:pPr>
      <w:r>
        <w:rPr>
          <w:rFonts w:ascii="Arial" w:cs="Arial" w:eastAsia="Arial" w:hAnsi="Arial"/>
          <w:sz w:val="17"/>
          <w:szCs w:val="17"/>
          <w:color w:val="auto"/>
        </w:rPr>
        <w:t>The Compensation Committee oversees risks related to our compensation policies and practices with input from management, and reviews the Company’s compensation policies and practices to determine whether they subject the Company to unnecessary risk. As a result of the review, management and the Compensation Committee have concluded that the Company’s compensation policies and practices are not reasonably likely to have a material adverse effect on the Company.</w:t>
      </w:r>
    </w:p>
    <w:p>
      <w:pPr>
        <w:spacing w:after="0" w:line="10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Corporate Governance, Conflicts and Nominating Committee oversees risks related to our governance practices, including but not limited to, Board and Committee membership and Board effectiveness, as well as risks related to perceived conflicts of interest or changes of control and acquisitions of the CEG ROFO Assets (as defined and described in “Certain Relationships and Related Person Transactions”) from, and agreements that we have in place with, CEG, and its affiliates, and other related person transactions. The Corporate Governance, Conflicts and Nominating Committee is also responsible for reviewing and assessing risks from ESG-related matters.</w:t>
      </w:r>
    </w:p>
    <w:p>
      <w:pPr>
        <w:spacing w:after="0" w:line="127"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The Energy Risk Management Committee oversees risks related to management’s process for the identification, evaluation and mitigation of risks related to our marketing and trading of fuel, transportation, energy and related products and services.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NOMINEE SELECTION PROCESS</w:t>
      </w:r>
    </w:p>
    <w:p>
      <w:pPr>
        <w:spacing w:after="0" w:line="14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The Corporate Governance, Conflicts and Nominating Committee is responsible for identifying individuals that the Committee believes are qualified to become Board members in accordance with criteria set forth in the Guidelines. These criteria include (1) relevant knowledge, diversity of background and experience in areas including business, finance, accounting, marketing, as well as “next-generational” experience, such as technology, cybersecurity and social communication; (2) personal qualities of leadership, character, judgment and whether the candidate possesses a reputation in the community at large of integrity, trust, respect, competence and adherence to the highest ethical standards; (3) roles and contributions valuable to the business community; and (4) whether the candidate is free of conflicts, including the candidate’s qualification as “independent” under the various standards applicable to the Board and its committees, and has the time required for preparation, participation and attendance at meetings. The Committee does not assign specific weights to particular criteria and no particular criterion is necessarily applicable to all Board members.</w:t>
      </w:r>
    </w:p>
    <w:p>
      <w:pPr>
        <w:spacing w:after="0" w:line="132" w:lineRule="exact"/>
        <w:rPr>
          <w:sz w:val="20"/>
          <w:szCs w:val="20"/>
          <w:color w:val="auto"/>
        </w:rPr>
      </w:pPr>
    </w:p>
    <w:p>
      <w:pPr>
        <w:ind w:left="1260" w:right="919" w:firstLine="360"/>
        <w:spacing w:after="0" w:line="275" w:lineRule="auto"/>
        <w:rPr>
          <w:sz w:val="20"/>
          <w:szCs w:val="20"/>
          <w:color w:val="auto"/>
        </w:rPr>
      </w:pPr>
      <w:r>
        <w:rPr>
          <w:rFonts w:ascii="Arial" w:cs="Arial" w:eastAsia="Arial" w:hAnsi="Arial"/>
          <w:sz w:val="17"/>
          <w:szCs w:val="17"/>
          <w:color w:val="auto"/>
        </w:rPr>
        <w:t>The Corporate Governance, Conflicts and Nominating Committee’s process for identifying and evaluating director nominees may also include consultation with all directors, solicitation of proposed nominees from all directors, the engagement of one or more professional search firms (if deemed appropriate), interviews with prospective nominees by the Committee (and other directors, if deemed appropriate) and recommendations regarding qualified candidates to the full Board.</w:t>
      </w:r>
    </w:p>
    <w:p>
      <w:pPr>
        <w:spacing w:after="0" w:line="109"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In December 2020, in addition to the emphasis in the Guidelines on diversity of backgrounds and perspectives on the Board, the Board adopted a formal diversity policy (the “Diversity Policy”). The Diversity Policy is driven by the Company’s view that the Board should include members with diverse backgrounds, skills and experience, including appropriate financial and other expertise relevant to the business of the Company. The Diversity Policy supports periodically adding new perspectives to the Board to help the Company adapt to changing business trends and affirms that this is a policy. The Corporate Governance, Conflicts and Nominating Committee seeks to achieve diversity within the Board and adheres to the Company’s philosophy of maintaining an environment free from discrimination on the basis of race, color, religion, sex, sexual orientation, gender identity, age, national origin, disability, veteran status or any protected category under applicable law. The composition of the current Board reflects diversity in business and professional experience and skills.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Stockholder-Recommended Director Candidates</w:t>
      </w:r>
    </w:p>
    <w:p>
      <w:pPr>
        <w:spacing w:after="0" w:line="148"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The Corporate Governance, Conflicts and Nominating Committee considers nominations by stockholders who recommend candidates for election to the Board. A stockholder seeking to recommend a prospective candidate for the Committee’s consideration may do so by writing to the Corporate Secretary, at Clearway Energy, Inc., 300 Carnegie Center, Suite 300, Princeton, New Jersey 08540, and by following the</w:t>
      </w:r>
    </w:p>
    <w:p>
      <w:pPr>
        <w:sectPr>
          <w:pgSz w:w="11900" w:h="16838" w:orient="portrait"/>
          <w:cols w:equalWidth="0" w:num="1">
            <w:col w:w="9879"/>
          </w:cols>
          <w:pgMar w:left="580" w:top="132" w:right="1440" w:bottom="1440" w:gutter="0" w:footer="0" w:header="0"/>
        </w:sectPr>
      </w:pPr>
    </w:p>
    <w:p>
      <w:pPr>
        <w:spacing w:after="0" w:line="36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308" w:lineRule="auto"/>
        <w:rPr>
          <w:sz w:val="20"/>
          <w:szCs w:val="20"/>
          <w:color w:val="auto"/>
        </w:rPr>
      </w:pPr>
      <w:r>
        <w:rPr>
          <w:rFonts w:ascii="Arial" w:cs="Arial" w:eastAsia="Arial" w:hAnsi="Arial"/>
          <w:sz w:val="17"/>
          <w:szCs w:val="17"/>
          <w:color w:val="auto"/>
        </w:rPr>
        <w:t>requirements to submit nominees discussed under “Stockholder Proposals or Stockholder Nomination of Director to be brought at the 2024 Annual Meeting (without Inclusion in the Company’s Proxy Statement).”</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Stockholder-Nominated Director Candidates</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As discussed under “Requirements for Submission of Stockholder Proposals for the 2024 Annual Meeting of Stockholders,” stockholders intending to appear at the 2024 Annual Meeting in order to nominate a candidate for election by the stockholders at the meeting (in cases where the Board does not intend to nominate the candidate or where the Corporate Governance, Conflicts and Nominating Committee was not requested to consider his or her candidacy) must comply with the procedures in the Bylaws, a copy of which is available upon request to the Company’s Corporate Secretary.</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COMMITTEES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Board has the following three standing Committees:</w:t>
      </w:r>
    </w:p>
    <w:p>
      <w:pPr>
        <w:spacing w:after="0" w:line="117" w:lineRule="exact"/>
        <w:rPr>
          <w:sz w:val="20"/>
          <w:szCs w:val="20"/>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Compensation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Governance, Conflicts and Nominating</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Energy Risk Management</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membership and the functions of each Committee are described below.</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w:t>
      </w:r>
    </w:p>
    <w:p>
      <w:pPr>
        <w:spacing w:after="0" w:line="117" w:lineRule="exact"/>
        <w:rPr>
          <w:sz w:val="20"/>
          <w:szCs w:val="20"/>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Current Members:  </w:t>
      </w:r>
      <w:r>
        <w:rPr>
          <w:rFonts w:ascii="Arial" w:cs="Arial" w:eastAsia="Arial" w:hAnsi="Arial"/>
          <w:sz w:val="18"/>
          <w:szCs w:val="18"/>
          <w:color w:val="auto"/>
        </w:rPr>
        <w:t>Brian R. Ford (Chair), Jennifer Lowry, Daniel B. More, E. Stanley O’Neal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Number of meetings in 2022: </w:t>
      </w:r>
      <w:r>
        <w:rPr>
          <w:rFonts w:ascii="Arial" w:cs="Arial" w:eastAsia="Arial" w:hAnsi="Arial"/>
          <w:sz w:val="18"/>
          <w:szCs w:val="18"/>
          <w:color w:val="auto"/>
        </w:rPr>
        <w:t>4</w:t>
      </w:r>
    </w:p>
    <w:p>
      <w:pPr>
        <w:spacing w:after="0" w:line="117" w:lineRule="exact"/>
        <w:rPr>
          <w:rFonts w:ascii="Arial" w:cs="Arial" w:eastAsia="Arial" w:hAnsi="Arial"/>
          <w:sz w:val="18"/>
          <w:szCs w:val="18"/>
          <w:color w:val="auto"/>
        </w:rPr>
      </w:pPr>
    </w:p>
    <w:p>
      <w:pPr>
        <w:ind w:left="1800" w:right="839" w:hanging="180"/>
        <w:spacing w:after="0" w:line="282"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Financial Experts: </w:t>
      </w:r>
      <w:r>
        <w:rPr>
          <w:rFonts w:ascii="Arial" w:cs="Arial" w:eastAsia="Arial" w:hAnsi="Arial"/>
          <w:sz w:val="18"/>
          <w:szCs w:val="18"/>
          <w:color w:val="auto"/>
        </w:rPr>
        <w:t>Brian R. Ford, Jennifer Lowry, Daniel B. More, E. Stanley</w:t>
      </w:r>
      <w:r>
        <w:rPr>
          <w:rFonts w:ascii="Arial" w:cs="Arial" w:eastAsia="Arial" w:hAnsi="Arial"/>
          <w:sz w:val="18"/>
          <w:szCs w:val="18"/>
          <w:b w:val="1"/>
          <w:bCs w:val="1"/>
          <w:color w:val="auto"/>
        </w:rPr>
        <w:t xml:space="preserve"> </w:t>
      </w:r>
      <w:r>
        <w:rPr>
          <w:rFonts w:ascii="Arial" w:cs="Arial" w:eastAsia="Arial" w:hAnsi="Arial"/>
          <w:sz w:val="18"/>
          <w:szCs w:val="18"/>
          <w:color w:val="auto"/>
        </w:rPr>
        <w:t>O’Neal</w:t>
      </w:r>
    </w:p>
    <w:p>
      <w:pPr>
        <w:spacing w:after="0" w:line="53" w:lineRule="exact"/>
        <w:rPr>
          <w:rFonts w:ascii="Arial" w:cs="Arial" w:eastAsia="Arial" w:hAnsi="Arial"/>
          <w:sz w:val="18"/>
          <w:szCs w:val="18"/>
          <w:color w:val="auto"/>
        </w:rPr>
      </w:pPr>
    </w:p>
    <w:p>
      <w:pPr>
        <w:ind w:left="1800" w:right="659" w:hanging="180"/>
        <w:spacing w:after="0" w:line="289" w:lineRule="auto"/>
        <w:tabs>
          <w:tab w:leader="none" w:pos="180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Primary Responsibilities: </w:t>
      </w:r>
      <w:r>
        <w:rPr>
          <w:rFonts w:ascii="Arial" w:cs="Arial" w:eastAsia="Arial" w:hAnsi="Arial"/>
          <w:sz w:val="17"/>
          <w:szCs w:val="17"/>
          <w:color w:val="auto"/>
        </w:rPr>
        <w:t>appoints, retains, oversees, evaluates, and compensates the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auditors; reviews the annual audited and quarterly consolidated financial statements; and reviews major issues regarding accounting principles and financial statement presentations.</w:t>
      </w:r>
    </w:p>
    <w:p>
      <w:pPr>
        <w:spacing w:after="0" w:line="49" w:lineRule="exact"/>
        <w:rPr>
          <w:rFonts w:ascii="Arial" w:cs="Arial" w:eastAsia="Arial" w:hAnsi="Arial"/>
          <w:sz w:val="17"/>
          <w:szCs w:val="17"/>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Independence:  </w:t>
      </w:r>
      <w:r>
        <w:rPr>
          <w:rFonts w:ascii="Arial" w:cs="Arial" w:eastAsia="Arial" w:hAnsi="Arial"/>
          <w:sz w:val="18"/>
          <w:szCs w:val="18"/>
          <w:color w:val="auto"/>
        </w:rPr>
        <w:t>all members</w:t>
      </w:r>
    </w:p>
    <w:p>
      <w:pPr>
        <w:spacing w:after="0" w:line="148"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color w:val="auto"/>
        </w:rPr>
        <w:t>The Audit Committee represents and provides assistance to the Board with respect to matters involving the accounting, auditing, financial reporting, internal control and legal compliance functions of the Company and its subsidiaries, including assisting the Board in its oversight of the integrity of the Company’s financial statements, compliance with legal and regulatory requirements, the qualifications, independence, and performance of the Company’s independent auditors, the performance of the Company’s internal audit function, and effectiveness of the Company’s financial risk management.</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Among other things, the Audit Committee:</w:t>
      </w:r>
    </w:p>
    <w:p>
      <w:pPr>
        <w:spacing w:after="0" w:line="144" w:lineRule="exact"/>
        <w:rPr>
          <w:sz w:val="20"/>
          <w:szCs w:val="20"/>
          <w:color w:val="auto"/>
        </w:rPr>
      </w:pPr>
    </w:p>
    <w:p>
      <w:pPr>
        <w:ind w:left="1980" w:hanging="360"/>
        <w:spacing w:after="0"/>
        <w:tabs>
          <w:tab w:leader="none" w:pos="1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appoints, retains, oversees, evaluates, compensates, and terminates the independent auditors;</w:t>
      </w:r>
    </w:p>
    <w:p>
      <w:pPr>
        <w:spacing w:after="0" w:line="169" w:lineRule="exact"/>
        <w:rPr>
          <w:rFonts w:ascii="Arial" w:cs="Arial" w:eastAsia="Arial" w:hAnsi="Arial"/>
          <w:sz w:val="17"/>
          <w:szCs w:val="17"/>
          <w:color w:val="auto"/>
        </w:rPr>
      </w:pPr>
    </w:p>
    <w:p>
      <w:pPr>
        <w:ind w:left="1980" w:right="579" w:hanging="360"/>
        <w:spacing w:after="0" w:line="277"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reviews the annual audited and quarterly consolidated financial statements with management and independent auditors;</w:t>
      </w:r>
    </w:p>
    <w:p>
      <w:pPr>
        <w:spacing w:after="0" w:line="102" w:lineRule="exact"/>
        <w:rPr>
          <w:rFonts w:ascii="Arial" w:cs="Arial" w:eastAsia="Arial" w:hAnsi="Arial"/>
          <w:sz w:val="18"/>
          <w:szCs w:val="18"/>
          <w:color w:val="auto"/>
        </w:rPr>
      </w:pPr>
    </w:p>
    <w:p>
      <w:pPr>
        <w:ind w:left="1980" w:right="639" w:hanging="360"/>
        <w:spacing w:after="0" w:line="308" w:lineRule="auto"/>
        <w:tabs>
          <w:tab w:leader="none" w:pos="1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reviews significant accounting and reporting issues, including significant changes in Company’s application of accounting principles and recent professional or regulatory pronouncements;</w:t>
      </w:r>
    </w:p>
    <w:p>
      <w:pPr>
        <w:spacing w:after="0" w:line="65" w:lineRule="exact"/>
        <w:rPr>
          <w:rFonts w:ascii="Arial" w:cs="Arial" w:eastAsia="Arial" w:hAnsi="Arial"/>
          <w:sz w:val="17"/>
          <w:szCs w:val="17"/>
          <w:color w:val="auto"/>
        </w:rPr>
      </w:pPr>
    </w:p>
    <w:p>
      <w:pPr>
        <w:ind w:left="1980" w:hanging="360"/>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reviews major issues regarding accounting principles and financial statement presentations;</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reviews earnings press releases and earnings guidance provided to analysts and rating agencies;</w:t>
      </w:r>
    </w:p>
    <w:p>
      <w:pPr>
        <w:spacing w:after="0" w:line="155" w:lineRule="exact"/>
        <w:rPr>
          <w:rFonts w:ascii="Arial" w:cs="Arial" w:eastAsia="Arial" w:hAnsi="Arial"/>
          <w:sz w:val="17"/>
          <w:szCs w:val="17"/>
          <w:color w:val="auto"/>
        </w:rPr>
      </w:pPr>
    </w:p>
    <w:p>
      <w:pPr>
        <w:ind w:left="1980" w:right="579" w:hanging="360"/>
        <w:spacing w:after="0" w:line="277"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reviews and pre-approves all audit and permitted non-audit services provided by the independent auditors;</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1059" w:hanging="360"/>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resolves disagreements between management and independent auditors regarding financial reporting;</w:t>
      </w:r>
    </w:p>
    <w:p>
      <w:pPr>
        <w:spacing w:after="0" w:line="102" w:lineRule="exact"/>
        <w:rPr>
          <w:rFonts w:ascii="Arial" w:cs="Arial" w:eastAsia="Arial" w:hAnsi="Arial"/>
          <w:sz w:val="18"/>
          <w:szCs w:val="18"/>
          <w:color w:val="auto"/>
        </w:rPr>
      </w:pPr>
    </w:p>
    <w:p>
      <w:pPr>
        <w:ind w:left="1980" w:hanging="360"/>
        <w:spacing w:after="0"/>
        <w:tabs>
          <w:tab w:leader="none" w:pos="1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considers the adequacy and effectiveness of the Company’s internal control and reporting system;</w:t>
      </w:r>
    </w:p>
    <w:p>
      <w:pPr>
        <w:spacing w:after="0" w:line="155" w:lineRule="exact"/>
        <w:rPr>
          <w:rFonts w:ascii="Arial" w:cs="Arial" w:eastAsia="Arial" w:hAnsi="Arial"/>
          <w:sz w:val="17"/>
          <w:szCs w:val="17"/>
          <w:color w:val="auto"/>
        </w:rPr>
      </w:pPr>
    </w:p>
    <w:p>
      <w:pPr>
        <w:ind w:left="1980" w:right="979" w:hanging="360"/>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and approves the internal corporate audit staff functions and sets hiring policies for employees or former employees of the independent auditors;</w:t>
      </w:r>
    </w:p>
    <w:p>
      <w:pPr>
        <w:spacing w:after="0" w:line="89" w:lineRule="exact"/>
        <w:rPr>
          <w:rFonts w:ascii="Arial" w:cs="Arial" w:eastAsia="Arial" w:hAnsi="Arial"/>
          <w:sz w:val="18"/>
          <w:szCs w:val="18"/>
          <w:color w:val="auto"/>
        </w:rPr>
      </w:pPr>
    </w:p>
    <w:p>
      <w:pPr>
        <w:ind w:left="1980" w:hanging="360"/>
        <w:spacing w:after="0"/>
        <w:tabs>
          <w:tab w:leader="none" w:pos="1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reviews and concurs the appointment, replacement, and dismissal of the Chief Audit Executive;</w:t>
      </w:r>
    </w:p>
    <w:p>
      <w:pPr>
        <w:spacing w:after="0" w:line="155" w:lineRule="exact"/>
        <w:rPr>
          <w:rFonts w:ascii="Arial" w:cs="Arial" w:eastAsia="Arial" w:hAnsi="Arial"/>
          <w:sz w:val="17"/>
          <w:szCs w:val="17"/>
          <w:color w:val="auto"/>
        </w:rPr>
      </w:pPr>
    </w:p>
    <w:p>
      <w:pPr>
        <w:ind w:left="1980" w:hanging="360"/>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ensures rotation of the lead or coordinating audit partner;</w:t>
      </w:r>
    </w:p>
    <w:p>
      <w:pPr>
        <w:spacing w:after="0" w:line="157" w:lineRule="exact"/>
        <w:rPr>
          <w:rFonts w:ascii="Arial" w:cs="Arial" w:eastAsia="Arial" w:hAnsi="Arial"/>
          <w:sz w:val="18"/>
          <w:szCs w:val="18"/>
          <w:color w:val="auto"/>
        </w:rPr>
      </w:pPr>
    </w:p>
    <w:p>
      <w:pPr>
        <w:ind w:left="1980" w:right="539" w:hanging="360"/>
        <w:spacing w:after="0" w:line="259"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discusses policies with respect to risk assessment and risk management, including the Company’s major financial risk exposures and the effectiveness of the Company’s system for monitoring compliance with laws and regulations, and reviews the Company’s tax policies and findings of regulatory agencies and independent auditors;</w:t>
      </w:r>
    </w:p>
    <w:p>
      <w:pPr>
        <w:spacing w:after="0" w:line="105" w:lineRule="exact"/>
        <w:rPr>
          <w:rFonts w:ascii="Arial" w:cs="Arial" w:eastAsia="Arial" w:hAnsi="Arial"/>
          <w:sz w:val="18"/>
          <w:szCs w:val="18"/>
          <w:color w:val="auto"/>
        </w:rPr>
      </w:pPr>
    </w:p>
    <w:p>
      <w:pPr>
        <w:ind w:left="1980" w:right="619" w:hanging="360"/>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reports regularly to the Board regarding its activities and prepares and publishes required annual Committee reports;</w:t>
      </w:r>
    </w:p>
    <w:p>
      <w:pPr>
        <w:spacing w:after="0" w:line="89" w:lineRule="exact"/>
        <w:rPr>
          <w:rFonts w:ascii="Arial" w:cs="Arial" w:eastAsia="Arial" w:hAnsi="Arial"/>
          <w:sz w:val="18"/>
          <w:szCs w:val="18"/>
          <w:color w:val="auto"/>
        </w:rPr>
      </w:pPr>
    </w:p>
    <w:p>
      <w:pPr>
        <w:ind w:left="1980" w:right="519" w:hanging="360"/>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updates from management and Company legal counsel regarding compliance matters that may be material to financial performance or reporting obligations;</w:t>
      </w:r>
    </w:p>
    <w:p>
      <w:pPr>
        <w:spacing w:after="0" w:line="89" w:lineRule="exact"/>
        <w:rPr>
          <w:rFonts w:ascii="Arial" w:cs="Arial" w:eastAsia="Arial" w:hAnsi="Arial"/>
          <w:sz w:val="18"/>
          <w:szCs w:val="18"/>
          <w:color w:val="auto"/>
        </w:rPr>
      </w:pPr>
    </w:p>
    <w:p>
      <w:pPr>
        <w:ind w:left="1980" w:right="639" w:hanging="360"/>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discusses with management and the internal audit executive compliance by the Company and its subsidiaries with material applicable laws and regulations and the Code of Conduct;</w:t>
      </w:r>
    </w:p>
    <w:p>
      <w:pPr>
        <w:spacing w:after="0" w:line="102" w:lineRule="exact"/>
        <w:rPr>
          <w:rFonts w:ascii="Arial" w:cs="Arial" w:eastAsia="Arial" w:hAnsi="Arial"/>
          <w:sz w:val="18"/>
          <w:szCs w:val="18"/>
          <w:color w:val="auto"/>
        </w:rPr>
      </w:pPr>
    </w:p>
    <w:p>
      <w:pPr>
        <w:ind w:left="1980" w:right="619" w:hanging="360"/>
        <w:spacing w:after="0" w:line="308" w:lineRule="auto"/>
        <w:tabs>
          <w:tab w:leader="none" w:pos="1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establishes confidential and anonymous procedures for the receipt, retention, and treatment of complaints and concerns regarding accounting, internal accounting controls, or auditing matters;</w:t>
      </w:r>
    </w:p>
    <w:p>
      <w:pPr>
        <w:spacing w:after="0" w:line="65" w:lineRule="exact"/>
        <w:rPr>
          <w:rFonts w:ascii="Arial" w:cs="Arial" w:eastAsia="Arial" w:hAnsi="Arial"/>
          <w:sz w:val="17"/>
          <w:szCs w:val="17"/>
          <w:color w:val="auto"/>
        </w:rPr>
      </w:pPr>
    </w:p>
    <w:p>
      <w:pPr>
        <w:ind w:left="1980" w:hanging="360"/>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oversees the internal audit and corporate compliance functions;</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prepares the report required to be included in the Company’s proxy statement; and</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annually evaluates the performance of the Audit Committee and the adequacy of its charter.</w:t>
      </w:r>
    </w:p>
    <w:p>
      <w:pPr>
        <w:spacing w:after="0" w:line="144"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8"/>
          <w:szCs w:val="18"/>
          <w:color w:val="auto"/>
        </w:rPr>
        <w:t>The Board has determined that all of the current Audit Committee members are independent according to the rules and regulations of the SEC and the listing standards of the NYSE with respect to audit committee membership.</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w:t>
      </w:r>
    </w:p>
    <w:p>
      <w:pPr>
        <w:spacing w:after="0" w:line="117" w:lineRule="exact"/>
        <w:rPr>
          <w:sz w:val="20"/>
          <w:szCs w:val="20"/>
          <w:color w:val="auto"/>
        </w:rPr>
      </w:pPr>
    </w:p>
    <w:p>
      <w:pPr>
        <w:ind w:left="1800" w:right="919" w:hanging="180"/>
        <w:spacing w:after="0" w:line="282"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Current Members: </w:t>
      </w:r>
      <w:r>
        <w:rPr>
          <w:rFonts w:ascii="Arial" w:cs="Arial" w:eastAsia="Arial" w:hAnsi="Arial"/>
          <w:sz w:val="18"/>
          <w:szCs w:val="18"/>
          <w:color w:val="auto"/>
        </w:rPr>
        <w:t>E. Stanley O’Neal (Chair), Jonathan Bram, Brian R. Ford, Jennifer Lowry,</w:t>
      </w:r>
      <w:r>
        <w:rPr>
          <w:rFonts w:ascii="Arial" w:cs="Arial" w:eastAsia="Arial" w:hAnsi="Arial"/>
          <w:sz w:val="18"/>
          <w:szCs w:val="18"/>
          <w:b w:val="1"/>
          <w:bCs w:val="1"/>
          <w:color w:val="auto"/>
        </w:rPr>
        <w:t xml:space="preserve"> </w:t>
      </w:r>
      <w:r>
        <w:rPr>
          <w:rFonts w:ascii="Arial" w:cs="Arial" w:eastAsia="Arial" w:hAnsi="Arial"/>
          <w:sz w:val="18"/>
          <w:szCs w:val="18"/>
          <w:color w:val="auto"/>
        </w:rPr>
        <w:t>Daniel B. More</w:t>
      </w:r>
    </w:p>
    <w:p>
      <w:pPr>
        <w:spacing w:after="0" w:line="40"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Number of meetings in 2022:  </w:t>
      </w:r>
      <w:r>
        <w:rPr>
          <w:rFonts w:ascii="Arial" w:cs="Arial" w:eastAsia="Arial" w:hAnsi="Arial"/>
          <w:sz w:val="18"/>
          <w:szCs w:val="18"/>
          <w:color w:val="auto"/>
        </w:rPr>
        <w:t>5</w:t>
      </w:r>
    </w:p>
    <w:p>
      <w:pPr>
        <w:spacing w:after="0" w:line="117" w:lineRule="exact"/>
        <w:rPr>
          <w:rFonts w:ascii="Arial" w:cs="Arial" w:eastAsia="Arial" w:hAnsi="Arial"/>
          <w:sz w:val="18"/>
          <w:szCs w:val="18"/>
          <w:color w:val="auto"/>
        </w:rPr>
      </w:pPr>
    </w:p>
    <w:p>
      <w:pPr>
        <w:ind w:left="1800" w:right="599" w:hanging="180"/>
        <w:spacing w:after="0" w:line="261"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Primary Responsibilities: </w:t>
      </w:r>
      <w:r>
        <w:rPr>
          <w:rFonts w:ascii="Arial" w:cs="Arial" w:eastAsia="Arial" w:hAnsi="Arial"/>
          <w:sz w:val="18"/>
          <w:szCs w:val="18"/>
          <w:color w:val="auto"/>
        </w:rPr>
        <w:t>oversees the Company’s overall compensation structure, policies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evaluates the performance of the CEO and other senior executives against goals and objectives relevant to their compensation; and reviews the compensation of directors for service on the Board and its Committees.</w:t>
      </w:r>
    </w:p>
    <w:p>
      <w:pPr>
        <w:spacing w:after="0" w:line="71"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Independence:  </w:t>
      </w:r>
      <w:r>
        <w:rPr>
          <w:rFonts w:ascii="Arial" w:cs="Arial" w:eastAsia="Arial" w:hAnsi="Arial"/>
          <w:sz w:val="18"/>
          <w:szCs w:val="18"/>
          <w:color w:val="auto"/>
        </w:rPr>
        <w:t>4 members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The Compensation Committee provides leadership and guidance to the Board regarding the Company’s overall compensation strategy, structure, policies and programs.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Among other things, the Compensation Committee:</w:t>
      </w:r>
    </w:p>
    <w:p>
      <w:pPr>
        <w:spacing w:after="0" w:line="144" w:lineRule="exact"/>
        <w:rPr>
          <w:sz w:val="20"/>
          <w:szCs w:val="20"/>
          <w:color w:val="auto"/>
        </w:rPr>
      </w:pPr>
    </w:p>
    <w:p>
      <w:pPr>
        <w:ind w:left="1980" w:right="599" w:hanging="360"/>
        <w:spacing w:after="0" w:line="259"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and recommends to the Board for approval annual and long-term goals and objectives relevant to the compensation of the CEO, evaluates the performance of the CEO in light of those goals and objectives, and determines, approves and recommends to the Board for approval, the CEO’s compensation level based on such evaluation;</w:t>
      </w:r>
    </w:p>
    <w:p>
      <w:pPr>
        <w:spacing w:after="0" w:line="119" w:lineRule="exact"/>
        <w:rPr>
          <w:rFonts w:ascii="Arial" w:cs="Arial" w:eastAsia="Arial" w:hAnsi="Arial"/>
          <w:sz w:val="18"/>
          <w:szCs w:val="18"/>
          <w:color w:val="auto"/>
        </w:rPr>
      </w:pPr>
    </w:p>
    <w:p>
      <w:pPr>
        <w:ind w:left="1980" w:hanging="360"/>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reports to the Board with respect to the Chief Financial Officer (the “CFO”), any executive or</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79"/>
        <w:spacing w:after="0" w:line="272" w:lineRule="auto"/>
        <w:rPr>
          <w:sz w:val="20"/>
          <w:szCs w:val="20"/>
          <w:color w:val="auto"/>
        </w:rPr>
      </w:pPr>
      <w:r>
        <w:rPr>
          <w:rFonts w:ascii="Arial" w:cs="Arial" w:eastAsia="Arial" w:hAnsi="Arial"/>
          <w:sz w:val="17"/>
          <w:szCs w:val="17"/>
          <w:color w:val="auto"/>
        </w:rPr>
        <w:t>senior vice presidents and any other officer designated by the Board and compensated by the Company (other than the CEO) on (i) the review of annual and long-term goals and objectives relevant to their compensation, (ii) the evaluations of their performance in light of those goals and objectives, (iii) the determination and approval of compensation levels based on such evaluations, and (iv) the review and approval of any incentive awards and opportunities, employment arrangements, severance arrangements, change-in-control provisions affecting any elements of compensation and benefits and any special or supplemental compensation and benefits;</w:t>
      </w:r>
    </w:p>
    <w:p>
      <w:pPr>
        <w:spacing w:after="0" w:line="110" w:lineRule="exact"/>
        <w:rPr>
          <w:sz w:val="20"/>
          <w:szCs w:val="20"/>
          <w:color w:val="auto"/>
        </w:rPr>
      </w:pPr>
    </w:p>
    <w:p>
      <w:pPr>
        <w:ind w:left="1980" w:right="439" w:hanging="360"/>
        <w:spacing w:after="0" w:line="277"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and recommends to the Board the compensation, incentive compensation and equity-based plans that are subject to Board approval;</w:t>
      </w:r>
    </w:p>
    <w:p>
      <w:pPr>
        <w:spacing w:after="0" w:line="102" w:lineRule="exact"/>
        <w:rPr>
          <w:rFonts w:ascii="Arial" w:cs="Arial" w:eastAsia="Arial" w:hAnsi="Arial"/>
          <w:sz w:val="18"/>
          <w:szCs w:val="18"/>
          <w:color w:val="auto"/>
        </w:rPr>
      </w:pPr>
    </w:p>
    <w:p>
      <w:pPr>
        <w:ind w:left="1980" w:right="419" w:hanging="360"/>
        <w:spacing w:after="0" w:line="286" w:lineRule="auto"/>
        <w:tabs>
          <w:tab w:leader="none" w:pos="1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recommends to the Board stock option and other stock incentive awards for the CEO and approves stock option and other stock incentive awards for officers other than the CEO (the CEO and other officers may not be present during voting or deliberations with respect to his or her compensation);</w:t>
      </w:r>
    </w:p>
    <w:p>
      <w:pPr>
        <w:spacing w:after="0" w:line="97" w:lineRule="exact"/>
        <w:rPr>
          <w:rFonts w:ascii="Arial" w:cs="Arial" w:eastAsia="Arial" w:hAnsi="Arial"/>
          <w:sz w:val="17"/>
          <w:szCs w:val="17"/>
          <w:color w:val="auto"/>
        </w:rPr>
      </w:pPr>
    </w:p>
    <w:p>
      <w:pPr>
        <w:ind w:left="1980" w:right="499" w:hanging="360"/>
        <w:spacing w:after="0" w:line="259"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and discusses with management the CD&amp;A to be included in the Company’s proxy statement or annual report on Form 10-K, and based on such review and discussions, recommends to the Board that the CD&amp;A be included in the Company’s proxy statement or annual report on Form 10-K;</w:t>
      </w:r>
    </w:p>
    <w:p>
      <w:pPr>
        <w:spacing w:after="0" w:line="132" w:lineRule="exact"/>
        <w:rPr>
          <w:rFonts w:ascii="Arial" w:cs="Arial" w:eastAsia="Arial" w:hAnsi="Arial"/>
          <w:sz w:val="18"/>
          <w:szCs w:val="18"/>
          <w:color w:val="auto"/>
        </w:rPr>
      </w:pPr>
    </w:p>
    <w:p>
      <w:pPr>
        <w:ind w:left="1980" w:right="519" w:hanging="360"/>
        <w:spacing w:after="0" w:line="259"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and oversees the Company’s overall compensation strategy, structure, policies, programs, risk profile and any stockholder advisory votes on the Company’s compensation practices and assesses whether the compensation structure establishes appropriate incentives for management and employees;</w:t>
      </w:r>
    </w:p>
    <w:p>
      <w:pPr>
        <w:spacing w:after="0" w:line="119" w:lineRule="exact"/>
        <w:rPr>
          <w:rFonts w:ascii="Arial" w:cs="Arial" w:eastAsia="Arial" w:hAnsi="Arial"/>
          <w:sz w:val="18"/>
          <w:szCs w:val="18"/>
          <w:color w:val="auto"/>
        </w:rPr>
      </w:pPr>
    </w:p>
    <w:p>
      <w:pPr>
        <w:ind w:left="1980" w:right="659" w:hanging="360"/>
        <w:spacing w:after="0" w:line="263"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establishes, reviews and approves any changes to the Company’s policy on recoupment of incentive compensation in the event of a financial restatement or other events that could require the recoupment or forfeiture of incentive compensation;</w:t>
      </w:r>
    </w:p>
    <w:p>
      <w:pPr>
        <w:spacing w:after="0" w:line="116" w:lineRule="exact"/>
        <w:rPr>
          <w:rFonts w:ascii="Arial" w:cs="Arial" w:eastAsia="Arial" w:hAnsi="Arial"/>
          <w:sz w:val="18"/>
          <w:szCs w:val="18"/>
          <w:color w:val="auto"/>
        </w:rPr>
      </w:pPr>
    </w:p>
    <w:p>
      <w:pPr>
        <w:ind w:left="1980" w:right="859" w:hanging="360"/>
        <w:spacing w:after="0" w:line="277"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recommends and monitors officers’ and directors’ compliance regarding any stock ownership guidelines;</w:t>
      </w:r>
    </w:p>
    <w:p>
      <w:pPr>
        <w:spacing w:after="0" w:line="102" w:lineRule="exact"/>
        <w:rPr>
          <w:rFonts w:ascii="Arial" w:cs="Arial" w:eastAsia="Arial" w:hAnsi="Arial"/>
          <w:sz w:val="18"/>
          <w:szCs w:val="18"/>
          <w:color w:val="auto"/>
        </w:rPr>
      </w:pPr>
    </w:p>
    <w:p>
      <w:pPr>
        <w:ind w:left="1980" w:right="1339" w:hanging="360"/>
        <w:spacing w:after="0" w:line="277"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the compensation of directors for service on the Board and its Committees and recommends changes in compensation to the Board;</w:t>
      </w:r>
    </w:p>
    <w:p>
      <w:pPr>
        <w:spacing w:after="0" w:line="102" w:lineRule="exact"/>
        <w:rPr>
          <w:rFonts w:ascii="Arial" w:cs="Arial" w:eastAsia="Arial" w:hAnsi="Arial"/>
          <w:sz w:val="18"/>
          <w:szCs w:val="18"/>
          <w:color w:val="auto"/>
        </w:rPr>
      </w:pPr>
    </w:p>
    <w:p>
      <w:pPr>
        <w:ind w:left="1980" w:right="479" w:hanging="360"/>
        <w:spacing w:after="0" w:line="263"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retains and terminates any adviser to assist the Compensation Committee in the performance of its duties, but only after taking into consideration all factors relevant to the adviser’s independence from management; and</w:t>
      </w:r>
    </w:p>
    <w:p>
      <w:pPr>
        <w:spacing w:after="0" w:line="116" w:lineRule="exact"/>
        <w:rPr>
          <w:rFonts w:ascii="Arial" w:cs="Arial" w:eastAsia="Arial" w:hAnsi="Arial"/>
          <w:sz w:val="18"/>
          <w:szCs w:val="18"/>
          <w:color w:val="auto"/>
        </w:rPr>
      </w:pPr>
    </w:p>
    <w:p>
      <w:pPr>
        <w:ind w:left="1980" w:right="939" w:hanging="360"/>
        <w:spacing w:after="0" w:line="277"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annually evaluates the performance of the Compensation Committee and the adequacy of its charter.</w:t>
      </w:r>
    </w:p>
    <w:p>
      <w:pPr>
        <w:spacing w:after="0" w:line="103"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Compensation Committee may delegate to one or more subcommittees such power and authority as the Compensation Committee deems appropriate. No subcommittee can consist of fewer than two members, and the Compensation Committee may not delegate to a subcommittee any power or authority that is required by any law, regulation or listing standard to be exercised by the Compensation Committee as a whole.</w:t>
      </w:r>
    </w:p>
    <w:p>
      <w:pPr>
        <w:spacing w:after="0" w:line="107"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The Compensation Committee has the authority to retain at the expense of the Company such outside counsel, experts, and other advisors as it determines appropriate to assist it in the full performance of its functions, including sole authority to retain and terminate any compensation consultant used to assist the Compensation Committee in the evaluation of directors, or, if applicable, CEO or senior executive compensation, and to approve the consultant’s fees and other retention terms. Pay Governance LLC (“Pay Governance”) served as the Compensation Committee’s independent compensation consultant for fiscal year 2022. The Compensation Committee’s independent compensation consultants, Pay Governance, worked with the Compensation Committee in connection with the director compensation, executive compensation programs, and the CEO evaluation process.</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firstLine="360"/>
        <w:spacing w:after="0" w:line="256" w:lineRule="auto"/>
        <w:rPr>
          <w:sz w:val="20"/>
          <w:szCs w:val="20"/>
          <w:color w:val="auto"/>
        </w:rPr>
      </w:pPr>
      <w:r>
        <w:rPr>
          <w:rFonts w:ascii="Arial" w:cs="Arial" w:eastAsia="Arial" w:hAnsi="Arial"/>
          <w:sz w:val="18"/>
          <w:szCs w:val="18"/>
          <w:color w:val="auto"/>
        </w:rPr>
        <w:t>The Board has determined that Mr. Ford, Ms. Lowry, Mr. More and Mr. O’Neal are independent under the listing standards of the NYSE and that they are “nonemployee directors” for purposes of Rule 16b-3 under the Securities Exchange Act of 1934, as amended (the “Exchange Act”).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Governance, Conflicts and Nominating Committee</w:t>
      </w:r>
    </w:p>
    <w:p>
      <w:pPr>
        <w:spacing w:after="0" w:line="117" w:lineRule="exact"/>
        <w:rPr>
          <w:sz w:val="20"/>
          <w:szCs w:val="20"/>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Current Members:  </w:t>
      </w:r>
      <w:r>
        <w:rPr>
          <w:rFonts w:ascii="Arial" w:cs="Arial" w:eastAsia="Arial" w:hAnsi="Arial"/>
          <w:sz w:val="18"/>
          <w:szCs w:val="18"/>
          <w:color w:val="auto"/>
        </w:rPr>
        <w:t>Daniel B. More (Chair), Brian R. Ford, Jennifer Lowry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Number of meetings in 2022:  </w:t>
      </w:r>
      <w:r>
        <w:rPr>
          <w:rFonts w:ascii="Arial" w:cs="Arial" w:eastAsia="Arial" w:hAnsi="Arial"/>
          <w:sz w:val="18"/>
          <w:szCs w:val="18"/>
          <w:color w:val="auto"/>
        </w:rPr>
        <w:t>13</w:t>
      </w:r>
    </w:p>
    <w:p>
      <w:pPr>
        <w:spacing w:after="0" w:line="117"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Primary Responsibilities: </w:t>
      </w:r>
      <w:r>
        <w:rPr>
          <w:rFonts w:ascii="Arial" w:cs="Arial" w:eastAsia="Arial" w:hAnsi="Arial"/>
          <w:sz w:val="17"/>
          <w:szCs w:val="17"/>
          <w:color w:val="auto"/>
        </w:rPr>
        <w:t>recommends director candidates to the Board; makes recommendations on</w:t>
      </w:r>
      <w:r>
        <w:rPr>
          <w:rFonts w:ascii="Arial" w:cs="Arial" w:eastAsia="Arial" w:hAnsi="Arial"/>
          <w:sz w:val="17"/>
          <w:szCs w:val="17"/>
          <w:b w:val="1"/>
          <w:bCs w:val="1"/>
          <w:color w:val="auto"/>
        </w:rPr>
        <w:t xml:space="preserve"> </w:t>
      </w:r>
      <w:r>
        <w:rPr>
          <w:rFonts w:ascii="Arial" w:cs="Arial" w:eastAsia="Arial" w:hAnsi="Arial"/>
          <w:sz w:val="17"/>
          <w:szCs w:val="17"/>
          <w:color w:val="auto"/>
        </w:rPr>
        <w:t>Board and Committee structure and function and governance related matters; oversees the evaluation of the Board and Committees; reviews potential conflict transactions between the Company and any affiliated parties, including CEG, and any change of control of the Company; and reviews and makes recommendations to the Board regarding ESG matters.</w:t>
      </w:r>
    </w:p>
    <w:p>
      <w:pPr>
        <w:spacing w:after="0" w:line="59" w:lineRule="exact"/>
        <w:rPr>
          <w:rFonts w:ascii="Arial" w:cs="Arial" w:eastAsia="Arial" w:hAnsi="Arial"/>
          <w:sz w:val="17"/>
          <w:szCs w:val="17"/>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Independence:  </w:t>
      </w:r>
      <w:r>
        <w:rPr>
          <w:rFonts w:ascii="Arial" w:cs="Arial" w:eastAsia="Arial" w:hAnsi="Arial"/>
          <w:sz w:val="18"/>
          <w:szCs w:val="18"/>
          <w:color w:val="auto"/>
        </w:rPr>
        <w:t>all members</w:t>
      </w:r>
    </w:p>
    <w:p>
      <w:pPr>
        <w:spacing w:after="0" w:line="148" w:lineRule="exact"/>
        <w:rPr>
          <w:sz w:val="20"/>
          <w:szCs w:val="20"/>
          <w:color w:val="auto"/>
        </w:rPr>
      </w:pPr>
    </w:p>
    <w:p>
      <w:pPr>
        <w:ind w:left="1260" w:right="479" w:firstLine="360"/>
        <w:spacing w:after="0" w:line="249" w:lineRule="auto"/>
        <w:rPr>
          <w:sz w:val="20"/>
          <w:szCs w:val="20"/>
          <w:color w:val="auto"/>
        </w:rPr>
      </w:pPr>
      <w:r>
        <w:rPr>
          <w:rFonts w:ascii="Arial" w:cs="Arial" w:eastAsia="Arial" w:hAnsi="Arial"/>
          <w:sz w:val="18"/>
          <w:szCs w:val="18"/>
          <w:color w:val="auto"/>
        </w:rPr>
        <w:t>The Corporate Governance, Conflicts, and Nominating Committee provides leadership and guidance to the Board and to the Company regarding matters of corporate governance, transactions involving potential conflicts of interest or changes of control, the selection and evaluation of members of the Board, the Board and committees annual performance review and ESG matters.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Among other things, the Corporate Governance, Conflicts and Nominating Committee:</w:t>
      </w:r>
    </w:p>
    <w:p>
      <w:pPr>
        <w:spacing w:after="0" w:line="158" w:lineRule="exact"/>
        <w:rPr>
          <w:sz w:val="20"/>
          <w:szCs w:val="20"/>
          <w:color w:val="auto"/>
        </w:rPr>
      </w:pPr>
    </w:p>
    <w:p>
      <w:pPr>
        <w:ind w:left="1980" w:right="439" w:hanging="360"/>
        <w:spacing w:after="0" w:line="263"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identifies and reviews the qualifications of potential nominees to the Board consistent with criteria approved by the Board, including the relative experience, strength and conviction of independent directors;</w:t>
      </w:r>
    </w:p>
    <w:p>
      <w:pPr>
        <w:spacing w:after="0" w:line="102" w:lineRule="exact"/>
        <w:rPr>
          <w:rFonts w:ascii="Arial" w:cs="Arial" w:eastAsia="Arial" w:hAnsi="Arial"/>
          <w:sz w:val="18"/>
          <w:szCs w:val="18"/>
          <w:color w:val="auto"/>
        </w:rPr>
      </w:pPr>
    </w:p>
    <w:p>
      <w:pPr>
        <w:ind w:left="1980" w:right="799" w:hanging="360"/>
        <w:spacing w:after="0" w:line="277"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assesses the contributions and independence of incumbent directors in determining whether to recommend them for re-election;</w:t>
      </w:r>
    </w:p>
    <w:p>
      <w:pPr>
        <w:spacing w:after="0" w:line="102" w:lineRule="exact"/>
        <w:rPr>
          <w:rFonts w:ascii="Arial" w:cs="Arial" w:eastAsia="Arial" w:hAnsi="Arial"/>
          <w:sz w:val="18"/>
          <w:szCs w:val="18"/>
          <w:color w:val="auto"/>
        </w:rPr>
      </w:pPr>
    </w:p>
    <w:p>
      <w:pPr>
        <w:ind w:left="1980" w:right="659" w:hanging="360"/>
        <w:spacing w:after="0" w:line="277"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develops, periodically evaluates, and oversees compliance with the Guidelines and recommends any changes to the Guidelines to the Board;</w:t>
      </w:r>
    </w:p>
    <w:p>
      <w:pPr>
        <w:spacing w:after="0" w:line="89" w:lineRule="exact"/>
        <w:rPr>
          <w:rFonts w:ascii="Arial" w:cs="Arial" w:eastAsia="Arial" w:hAnsi="Arial"/>
          <w:sz w:val="18"/>
          <w:szCs w:val="18"/>
          <w:color w:val="auto"/>
        </w:rPr>
      </w:pPr>
    </w:p>
    <w:p>
      <w:pPr>
        <w:ind w:left="1980" w:right="459" w:hanging="360"/>
        <w:spacing w:after="0" w:line="277"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establishes and reviews procedures for the consideration of Board candidates recommended by the Company’s stockholders;</w:t>
      </w:r>
    </w:p>
    <w:p>
      <w:pPr>
        <w:spacing w:after="0" w:line="102" w:lineRule="exact"/>
        <w:rPr>
          <w:rFonts w:ascii="Arial" w:cs="Arial" w:eastAsia="Arial" w:hAnsi="Arial"/>
          <w:sz w:val="18"/>
          <w:szCs w:val="18"/>
          <w:color w:val="auto"/>
        </w:rPr>
      </w:pPr>
    </w:p>
    <w:p>
      <w:pPr>
        <w:ind w:left="1980" w:right="459" w:hanging="360"/>
        <w:spacing w:after="0" w:line="275" w:lineRule="auto"/>
        <w:tabs>
          <w:tab w:leader="none" w:pos="1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reviews and approves potential conflict transactions between the Company and any affiliated parties, including CEG, with respect to acquisitions of assets and other transactions, including, but not limited to, the evaluation of acquisition opportunities presented to the Company pursuant to the Right of First Offer Agreement by and between the Company and CEG, as described in “Certain Relationships and Related Person Transactions — Right of First Offer Agreements”;</w:t>
      </w:r>
    </w:p>
    <w:p>
      <w:pPr>
        <w:spacing w:after="0" w:line="108" w:lineRule="exact"/>
        <w:rPr>
          <w:rFonts w:ascii="Arial" w:cs="Arial" w:eastAsia="Arial" w:hAnsi="Arial"/>
          <w:sz w:val="17"/>
          <w:szCs w:val="17"/>
          <w:color w:val="auto"/>
        </w:rPr>
      </w:pPr>
    </w:p>
    <w:p>
      <w:pPr>
        <w:ind w:left="1980" w:right="699" w:hanging="360"/>
        <w:spacing w:after="0" w:line="277"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reviews and approves strategic transactions involving the transfer of 50% or more of the voting power in the Company;</w:t>
      </w:r>
    </w:p>
    <w:p>
      <w:pPr>
        <w:spacing w:after="0" w:line="89" w:lineRule="exact"/>
        <w:rPr>
          <w:rFonts w:ascii="Arial" w:cs="Arial" w:eastAsia="Arial" w:hAnsi="Arial"/>
          <w:sz w:val="18"/>
          <w:szCs w:val="18"/>
          <w:color w:val="auto"/>
        </w:rPr>
      </w:pPr>
    </w:p>
    <w:p>
      <w:pPr>
        <w:ind w:left="1980" w:right="559" w:hanging="360"/>
        <w:spacing w:after="0" w:line="263"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periodically reviews relationships between the Company and each director and reports the results of its review to the Board for purposes of determining whether directors satisfy independence requirements;</w:t>
      </w:r>
    </w:p>
    <w:p>
      <w:pPr>
        <w:spacing w:after="0" w:line="116" w:lineRule="exact"/>
        <w:rPr>
          <w:rFonts w:ascii="Arial" w:cs="Arial" w:eastAsia="Arial" w:hAnsi="Arial"/>
          <w:sz w:val="18"/>
          <w:szCs w:val="18"/>
          <w:color w:val="auto"/>
        </w:rPr>
      </w:pPr>
    </w:p>
    <w:p>
      <w:pPr>
        <w:ind w:left="1980" w:right="679" w:hanging="360"/>
        <w:spacing w:after="0" w:line="279" w:lineRule="auto"/>
        <w:tabs>
          <w:tab w:leader="none" w:pos="1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makes recommendations to the Board concerning the structure, composition, and functioning of the Board and its committees, and periodically reviews the succession planning for directors (particularly the independent directors), including a review of the Board’s “next-generational” skills and experience in areas such as technology, cybersecurity and social communication;</w:t>
      </w:r>
    </w:p>
    <w:p>
      <w:pPr>
        <w:spacing w:after="0" w:line="103" w:lineRule="exact"/>
        <w:rPr>
          <w:rFonts w:ascii="Arial" w:cs="Arial" w:eastAsia="Arial" w:hAnsi="Arial"/>
          <w:sz w:val="17"/>
          <w:szCs w:val="17"/>
          <w:color w:val="auto"/>
        </w:rPr>
      </w:pPr>
    </w:p>
    <w:p>
      <w:pPr>
        <w:ind w:left="1980" w:hanging="360"/>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recommends to the Board candidates for appointment to Board committees;</w:t>
      </w:r>
    </w:p>
    <w:p>
      <w:pPr>
        <w:spacing w:after="0" w:line="144" w:lineRule="exact"/>
        <w:rPr>
          <w:rFonts w:ascii="Arial" w:cs="Arial" w:eastAsia="Arial" w:hAnsi="Arial"/>
          <w:sz w:val="18"/>
          <w:szCs w:val="18"/>
          <w:color w:val="auto"/>
        </w:rPr>
      </w:pPr>
    </w:p>
    <w:p>
      <w:pPr>
        <w:ind w:left="1980" w:right="599" w:hanging="360"/>
        <w:spacing w:after="0" w:line="277"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reviews and assesses the channels through which the Board receives information, and the quality and timeliness of information received;</w:t>
      </w:r>
    </w:p>
    <w:p>
      <w:pPr>
        <w:spacing w:after="0" w:line="102" w:lineRule="exact"/>
        <w:rPr>
          <w:rFonts w:ascii="Arial" w:cs="Arial" w:eastAsia="Arial" w:hAnsi="Arial"/>
          <w:sz w:val="18"/>
          <w:szCs w:val="18"/>
          <w:color w:val="auto"/>
        </w:rPr>
      </w:pPr>
    </w:p>
    <w:p>
      <w:pPr>
        <w:ind w:left="1980" w:hanging="360"/>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reviews and recommends to the Board retirement and other tenure policies for directors;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99" w:hanging="360"/>
        <w:spacing w:after="0" w:line="27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reviews and approves Company policies applicable to the Board, the directors and officers subject to Section 16 of the Exchange Act;</w:t>
      </w:r>
    </w:p>
    <w:p>
      <w:pPr>
        <w:spacing w:after="0" w:line="89" w:lineRule="exact"/>
        <w:rPr>
          <w:rFonts w:ascii="Arial" w:cs="Arial" w:eastAsia="Arial" w:hAnsi="Arial"/>
          <w:sz w:val="18"/>
          <w:szCs w:val="18"/>
          <w:color w:val="auto"/>
        </w:rPr>
      </w:pPr>
    </w:p>
    <w:p>
      <w:pPr>
        <w:ind w:left="1980" w:hanging="360"/>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reviews and reports to the Board regarding potential conflicts of interests of directors;</w:t>
      </w:r>
    </w:p>
    <w:p>
      <w:pPr>
        <w:spacing w:after="0" w:line="144" w:lineRule="exact"/>
        <w:rPr>
          <w:rFonts w:ascii="Arial" w:cs="Arial" w:eastAsia="Arial" w:hAnsi="Arial"/>
          <w:sz w:val="18"/>
          <w:szCs w:val="18"/>
          <w:color w:val="auto"/>
        </w:rPr>
      </w:pPr>
    </w:p>
    <w:p>
      <w:pPr>
        <w:ind w:left="1980" w:right="1159" w:hanging="360"/>
        <w:spacing w:after="0" w:line="263"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recommends to the Board director candidates for the annual meeting of stockholders, and candidates to be elected by the Board as necessary to fill vacancies and newly created directorships;</w:t>
      </w:r>
    </w:p>
    <w:p>
      <w:pPr>
        <w:spacing w:after="0" w:line="102" w:lineRule="exact"/>
        <w:rPr>
          <w:rFonts w:ascii="Arial" w:cs="Arial" w:eastAsia="Arial" w:hAnsi="Arial"/>
          <w:sz w:val="18"/>
          <w:szCs w:val="18"/>
          <w:color w:val="auto"/>
        </w:rPr>
      </w:pPr>
    </w:p>
    <w:p>
      <w:pPr>
        <w:ind w:left="1980" w:right="859" w:hanging="360"/>
        <w:spacing w:after="0" w:line="342" w:lineRule="auto"/>
        <w:tabs>
          <w:tab w:leader="none" w:pos="1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oversees the evaluation of the Board, its committees and management, and develops and recommends to the Board an annual self-evaluation process of the Board and its Committees;</w:t>
      </w:r>
    </w:p>
    <w:p>
      <w:pPr>
        <w:spacing w:after="0" w:line="29" w:lineRule="exact"/>
        <w:rPr>
          <w:rFonts w:ascii="Arial" w:cs="Arial" w:eastAsia="Arial" w:hAnsi="Arial"/>
          <w:sz w:val="16"/>
          <w:szCs w:val="16"/>
          <w:color w:val="auto"/>
        </w:rPr>
      </w:pPr>
    </w:p>
    <w:p>
      <w:pPr>
        <w:ind w:left="1980" w:right="959" w:hanging="360"/>
        <w:spacing w:after="0" w:line="27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monitors directorships in other public companies held by directors and senior officers of the Company;</w:t>
      </w:r>
    </w:p>
    <w:p>
      <w:pPr>
        <w:spacing w:after="0" w:line="89" w:lineRule="exact"/>
        <w:rPr>
          <w:rFonts w:ascii="Arial" w:cs="Arial" w:eastAsia="Arial" w:hAnsi="Arial"/>
          <w:sz w:val="18"/>
          <w:szCs w:val="18"/>
          <w:color w:val="auto"/>
        </w:rPr>
      </w:pPr>
    </w:p>
    <w:p>
      <w:pPr>
        <w:ind w:left="1980" w:right="759" w:hanging="360"/>
        <w:spacing w:after="0" w:line="27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oversees the orientation process for new director and programs for the continuing education of directors;</w:t>
      </w:r>
    </w:p>
    <w:p>
      <w:pPr>
        <w:spacing w:after="0" w:line="89" w:lineRule="exact"/>
        <w:rPr>
          <w:rFonts w:ascii="Arial" w:cs="Arial" w:eastAsia="Arial" w:hAnsi="Arial"/>
          <w:sz w:val="18"/>
          <w:szCs w:val="18"/>
          <w:color w:val="auto"/>
        </w:rPr>
      </w:pPr>
    </w:p>
    <w:p>
      <w:pPr>
        <w:ind w:left="1980" w:right="499" w:hanging="360"/>
        <w:spacing w:after="0" w:line="263"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reviews developing trends and emerging ESG matters, as well as the Company’s strategies, activities polices and communications regarding ESG matters, and makes recommendations to the Board regarding potential actions by the Company; and</w:t>
      </w:r>
    </w:p>
    <w:p>
      <w:pPr>
        <w:spacing w:after="0" w:line="102" w:lineRule="exact"/>
        <w:rPr>
          <w:rFonts w:ascii="Arial" w:cs="Arial" w:eastAsia="Arial" w:hAnsi="Arial"/>
          <w:sz w:val="18"/>
          <w:szCs w:val="18"/>
          <w:color w:val="auto"/>
        </w:rPr>
      </w:pPr>
    </w:p>
    <w:p>
      <w:pPr>
        <w:ind w:left="1980" w:right="419" w:hanging="360"/>
        <w:spacing w:after="0" w:line="27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performs such other duties and responsibilities as are consistent with the purpose of the Committee and as the Board deems appropriate.</w:t>
      </w:r>
    </w:p>
    <w:p>
      <w:pPr>
        <w:spacing w:after="0" w:line="89" w:lineRule="exact"/>
        <w:rPr>
          <w:sz w:val="20"/>
          <w:szCs w:val="20"/>
          <w:color w:val="auto"/>
        </w:rPr>
      </w:pPr>
    </w:p>
    <w:p>
      <w:pPr>
        <w:ind w:left="1260" w:right="419" w:firstLine="360"/>
        <w:spacing w:after="0" w:line="278" w:lineRule="auto"/>
        <w:rPr>
          <w:sz w:val="20"/>
          <w:szCs w:val="20"/>
          <w:color w:val="auto"/>
        </w:rPr>
      </w:pPr>
      <w:r>
        <w:rPr>
          <w:rFonts w:ascii="Arial" w:cs="Arial" w:eastAsia="Arial" w:hAnsi="Arial"/>
          <w:sz w:val="17"/>
          <w:szCs w:val="17"/>
          <w:color w:val="auto"/>
        </w:rPr>
        <w:t>The Board and each of the Committees conduct annual self-evaluations to assess their effectiveness and review their charters. Individual directors are also evaluated by the Board. The Corporate Governance, Conflicts and Nominating Committee coordinates each of these annual evaluations.</w:t>
      </w:r>
    </w:p>
    <w:p>
      <w:pPr>
        <w:spacing w:after="0" w:line="90"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The Board has determined that all of the Corporate Governance, Conflicts, and Nominating Committee members are independent under the listing standards of the NYSE.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Energy Risk Management Committee</w:t>
      </w:r>
    </w:p>
    <w:p>
      <w:pPr>
        <w:spacing w:after="0" w:line="117" w:lineRule="exact"/>
        <w:rPr>
          <w:sz w:val="20"/>
          <w:szCs w:val="20"/>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Current Members:  </w:t>
      </w:r>
      <w:r>
        <w:rPr>
          <w:rFonts w:ascii="Arial" w:cs="Arial" w:eastAsia="Arial" w:hAnsi="Arial"/>
          <w:sz w:val="18"/>
          <w:szCs w:val="18"/>
          <w:color w:val="auto"/>
        </w:rPr>
        <w:t>Jennifer Lowry (Chair), Emmanuel Barrois, Nathaniel Anschuetz</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Number of meetings in 2022:  </w:t>
      </w:r>
      <w:r>
        <w:rPr>
          <w:rFonts w:ascii="Arial" w:cs="Arial" w:eastAsia="Arial" w:hAnsi="Arial"/>
          <w:sz w:val="18"/>
          <w:szCs w:val="18"/>
          <w:color w:val="auto"/>
        </w:rPr>
        <w:t>1</w:t>
      </w:r>
    </w:p>
    <w:p>
      <w:pPr>
        <w:spacing w:after="0" w:line="103" w:lineRule="exact"/>
        <w:rPr>
          <w:rFonts w:ascii="Arial" w:cs="Arial" w:eastAsia="Arial" w:hAnsi="Arial"/>
          <w:sz w:val="18"/>
          <w:szCs w:val="18"/>
          <w:color w:val="auto"/>
        </w:rPr>
      </w:pPr>
    </w:p>
    <w:p>
      <w:pPr>
        <w:ind w:left="1800" w:right="579" w:hanging="180"/>
        <w:spacing w:after="0" w:line="282"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Primary Responsibilities: </w:t>
      </w:r>
      <w:r>
        <w:rPr>
          <w:rFonts w:ascii="Arial" w:cs="Arial" w:eastAsia="Arial" w:hAnsi="Arial"/>
          <w:sz w:val="18"/>
          <w:szCs w:val="18"/>
          <w:color w:val="auto"/>
        </w:rPr>
        <w:t>oversee risks related to our marketing and trading of fuel, transportation,</w:t>
      </w:r>
      <w:r>
        <w:rPr>
          <w:rFonts w:ascii="Arial" w:cs="Arial" w:eastAsia="Arial" w:hAnsi="Arial"/>
          <w:sz w:val="18"/>
          <w:szCs w:val="18"/>
          <w:b w:val="1"/>
          <w:bCs w:val="1"/>
          <w:color w:val="auto"/>
        </w:rPr>
        <w:t xml:space="preserve"> </w:t>
      </w:r>
      <w:r>
        <w:rPr>
          <w:rFonts w:ascii="Arial" w:cs="Arial" w:eastAsia="Arial" w:hAnsi="Arial"/>
          <w:sz w:val="18"/>
          <w:szCs w:val="18"/>
          <w:color w:val="auto"/>
        </w:rPr>
        <w:t>energy and related products and services.</w:t>
      </w:r>
    </w:p>
    <w:p>
      <w:pPr>
        <w:spacing w:after="0" w:line="40"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Independence:  </w:t>
      </w:r>
      <w:r>
        <w:rPr>
          <w:rFonts w:ascii="Arial" w:cs="Arial" w:eastAsia="Arial" w:hAnsi="Arial"/>
          <w:sz w:val="18"/>
          <w:szCs w:val="18"/>
          <w:color w:val="auto"/>
        </w:rPr>
        <w:t>1 member</w:t>
      </w:r>
    </w:p>
    <w:p>
      <w:pPr>
        <w:spacing w:after="0" w:line="148" w:lineRule="exact"/>
        <w:rPr>
          <w:sz w:val="20"/>
          <w:szCs w:val="20"/>
          <w:color w:val="auto"/>
        </w:rPr>
      </w:pPr>
    </w:p>
    <w:p>
      <w:pPr>
        <w:ind w:left="1260" w:right="539" w:firstLine="360"/>
        <w:spacing w:after="0" w:line="249" w:lineRule="auto"/>
        <w:rPr>
          <w:sz w:val="20"/>
          <w:szCs w:val="20"/>
          <w:color w:val="auto"/>
        </w:rPr>
      </w:pPr>
      <w:r>
        <w:rPr>
          <w:rFonts w:ascii="Arial" w:cs="Arial" w:eastAsia="Arial" w:hAnsi="Arial"/>
          <w:sz w:val="18"/>
          <w:szCs w:val="18"/>
          <w:color w:val="auto"/>
        </w:rPr>
        <w:t>The Energy Risk Management Committee provides advice and assistance to the Board and to the Company to oversee risks related to management’s process for the identification, evaluation and mitigation of risks related to our marketing and trading of fuel, transportation, energy and related products and services.</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Among other things, the Energy Risk Management Committee:</w:t>
      </w:r>
    </w:p>
    <w:p>
      <w:pPr>
        <w:spacing w:after="0" w:line="144" w:lineRule="exact"/>
        <w:rPr>
          <w:sz w:val="20"/>
          <w:szCs w:val="20"/>
          <w:color w:val="auto"/>
        </w:rPr>
      </w:pPr>
    </w:p>
    <w:p>
      <w:pPr>
        <w:ind w:left="1980" w:right="519" w:hanging="360"/>
        <w:spacing w:after="0" w:line="279" w:lineRule="auto"/>
        <w:tabs>
          <w:tab w:leader="none" w:pos="1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oversees the Company’s policies and procedures established by management to assess, monitor, manage and control the Company’s material energy risk exposures, including commodity market (including marketing and trading of fuel, transportation, energy and related products and services, and hedging of generation portfolio obligations), strategic, credit, and liquidity;</w:t>
      </w:r>
    </w:p>
    <w:p>
      <w:pPr>
        <w:spacing w:after="0" w:line="90" w:lineRule="exact"/>
        <w:rPr>
          <w:rFonts w:ascii="Arial" w:cs="Arial" w:eastAsia="Arial" w:hAnsi="Arial"/>
          <w:sz w:val="17"/>
          <w:szCs w:val="17"/>
          <w:color w:val="auto"/>
        </w:rPr>
      </w:pPr>
    </w:p>
    <w:p>
      <w:pPr>
        <w:ind w:left="1980" w:right="419" w:hanging="360"/>
        <w:spacing w:after="0" w:line="263"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advises and assists the Board in its review of the processes by which management and the combined Energy Risk Management Committee of the Company and Clearway Energy Group LLC assess the Company’s exposure to risk;</w:t>
      </w:r>
    </w:p>
    <w:p>
      <w:pPr>
        <w:spacing w:after="0" w:line="102" w:lineRule="exact"/>
        <w:rPr>
          <w:rFonts w:ascii="Arial" w:cs="Arial" w:eastAsia="Arial" w:hAnsi="Arial"/>
          <w:sz w:val="18"/>
          <w:szCs w:val="18"/>
          <w:color w:val="auto"/>
        </w:rPr>
      </w:pPr>
    </w:p>
    <w:p>
      <w:pPr>
        <w:ind w:left="1980" w:right="679" w:hanging="360"/>
        <w:spacing w:after="0" w:line="274" w:lineRule="auto"/>
        <w:tabs>
          <w:tab w:leader="none" w:pos="1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reviews and approves all revisions to the Company’s Energy Risk Management Policy effecting changes to (a) approved list of commodities, products and instruments, (b) the project limits,</w:t>
      </w:r>
    </w:p>
    <w:p>
      <w:pPr>
        <w:ind w:left="1980" w:right="559"/>
        <w:spacing w:after="0" w:line="260" w:lineRule="auto"/>
        <w:rPr>
          <w:rFonts w:ascii="Arial" w:cs="Arial" w:eastAsia="Arial" w:hAnsi="Arial"/>
          <w:sz w:val="17"/>
          <w:szCs w:val="17"/>
          <w:color w:val="auto"/>
        </w:rPr>
      </w:pPr>
      <w:r>
        <w:rPr>
          <w:rFonts w:ascii="Arial" w:cs="Arial" w:eastAsia="Arial" w:hAnsi="Arial"/>
          <w:sz w:val="18"/>
          <w:szCs w:val="18"/>
          <w:color w:val="auto"/>
        </w:rPr>
        <w:t>(c) the Company’s Credit Risk Management Policy, and (d) provisions explicitly stated to require Board or Committee approval to be revised;</w:t>
      </w:r>
    </w:p>
    <w:p>
      <w:pPr>
        <w:spacing w:after="0" w:line="90" w:lineRule="exact"/>
        <w:rPr>
          <w:rFonts w:ascii="Arial" w:cs="Arial" w:eastAsia="Arial" w:hAnsi="Arial"/>
          <w:sz w:val="17"/>
          <w:szCs w:val="17"/>
          <w:color w:val="auto"/>
        </w:rPr>
      </w:pPr>
    </w:p>
    <w:p>
      <w:pPr>
        <w:ind w:left="1980" w:right="439" w:hanging="360"/>
        <w:spacing w:after="0" w:line="277"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reviews and approves any amendments to the Energy Risk Management Committee Charter, which is reviewed annually;</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939" w:hanging="360"/>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reviews and approves transactions exceeding the Approval Authorities as outlined under the Company’s Energy Risk Management Policy;</w:t>
      </w:r>
    </w:p>
    <w:p>
      <w:pPr>
        <w:spacing w:after="0" w:line="102" w:lineRule="exact"/>
        <w:rPr>
          <w:rFonts w:ascii="Arial" w:cs="Arial" w:eastAsia="Arial" w:hAnsi="Arial"/>
          <w:sz w:val="18"/>
          <w:szCs w:val="18"/>
          <w:color w:val="auto"/>
        </w:rPr>
      </w:pPr>
    </w:p>
    <w:p>
      <w:pPr>
        <w:ind w:left="1980" w:right="899" w:hanging="360"/>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assists the Audit Committee as necessary in matters related to the risks related to energy risk management of the Company;</w:t>
      </w:r>
    </w:p>
    <w:p>
      <w:pPr>
        <w:spacing w:after="0" w:line="89" w:lineRule="exact"/>
        <w:rPr>
          <w:rFonts w:ascii="Arial" w:cs="Arial" w:eastAsia="Arial" w:hAnsi="Arial"/>
          <w:sz w:val="18"/>
          <w:szCs w:val="18"/>
          <w:color w:val="auto"/>
        </w:rPr>
      </w:pPr>
    </w:p>
    <w:p>
      <w:pPr>
        <w:ind w:left="1980" w:right="599" w:hanging="360"/>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reviews and approves other matters that may be delegated by the Board or expressly noted in the Company’s Energy Risk Management Policy;</w:t>
      </w:r>
    </w:p>
    <w:p>
      <w:pPr>
        <w:spacing w:after="0" w:line="89" w:lineRule="exact"/>
        <w:rPr>
          <w:rFonts w:ascii="Arial" w:cs="Arial" w:eastAsia="Arial" w:hAnsi="Arial"/>
          <w:sz w:val="18"/>
          <w:szCs w:val="18"/>
          <w:color w:val="auto"/>
        </w:rPr>
      </w:pPr>
    </w:p>
    <w:p>
      <w:pPr>
        <w:ind w:left="1980" w:right="1259" w:hanging="360"/>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annually evaluates the performance of the Energy Risk Management Committee and the appropriateness of its charter; and</w:t>
      </w:r>
    </w:p>
    <w:p>
      <w:pPr>
        <w:spacing w:after="0" w:line="102" w:lineRule="exact"/>
        <w:rPr>
          <w:rFonts w:ascii="Arial" w:cs="Arial" w:eastAsia="Arial" w:hAnsi="Arial"/>
          <w:sz w:val="18"/>
          <w:szCs w:val="18"/>
          <w:color w:val="auto"/>
        </w:rPr>
      </w:pPr>
    </w:p>
    <w:p>
      <w:pPr>
        <w:ind w:left="1980" w:right="719" w:hanging="360"/>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performs such other duties and responsibilities as are consistent with the purpose of the Energy Risk Management Committee and as the Board deems appropriate.</w:t>
      </w:r>
    </w:p>
    <w:p>
      <w:pPr>
        <w:spacing w:after="0" w:line="103"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7"/>
          <w:szCs w:val="17"/>
          <w:color w:val="auto"/>
        </w:rPr>
        <w:t>The Energy Risk Management Committee may delegate to one or more subcommittees such power and authority as the Energy Risk Management Committee deems appropriate. No subcommittee can consist of fewer than two members, and the Energy Risk Management Committee may not delegate to a subcommittee any power or authority that is required by any law, regulation or listing standard to be exercised by the Energy Risk Management Committee as a whole. The Energy Risk Management Committee has the authority to retain at the expense of the Company such outside counsel, experts, and other advisors as it determines appropriate to assist it in the full performance of its functions.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CONDUCT</w:t>
      </w:r>
    </w:p>
    <w:p>
      <w:pPr>
        <w:spacing w:after="0" w:line="148" w:lineRule="exact"/>
        <w:rPr>
          <w:sz w:val="20"/>
          <w:szCs w:val="20"/>
          <w:color w:val="auto"/>
        </w:rPr>
      </w:pPr>
    </w:p>
    <w:p>
      <w:pPr>
        <w:ind w:left="1260" w:right="439" w:firstLine="360"/>
        <w:spacing w:after="0" w:line="246" w:lineRule="auto"/>
        <w:rPr>
          <w:sz w:val="20"/>
          <w:szCs w:val="20"/>
          <w:color w:val="auto"/>
        </w:rPr>
      </w:pPr>
      <w:r>
        <w:rPr>
          <w:rFonts w:ascii="Arial" w:cs="Arial" w:eastAsia="Arial" w:hAnsi="Arial"/>
          <w:sz w:val="18"/>
          <w:szCs w:val="18"/>
          <w:color w:val="auto"/>
        </w:rPr>
        <w:t>Our Board has adopted a Code of Conduct that applies to all of our directors and employees, including our officers. Our Code of Conduct is available on our website. If we amend or grant a waiver of one or more of the provisions of our Code of Conduct, we intend to satisfy the requirements under Item 5.05 of Form 8-K regarding the disclosure of amendments to or waivers from provisions of our Code of Conduct that apply to our principal executive, financial and accounting officers by posting the required information on our website. Our website is not part of this Proxy Statement.</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ANTI-HEDGING AND ANTI-PLEDGING POLICIES</w:t>
      </w:r>
    </w:p>
    <w:p>
      <w:pPr>
        <w:spacing w:after="0" w:line="162" w:lineRule="exact"/>
        <w:rPr>
          <w:sz w:val="20"/>
          <w:szCs w:val="20"/>
          <w:color w:val="auto"/>
        </w:rPr>
      </w:pPr>
    </w:p>
    <w:p>
      <w:pPr>
        <w:ind w:left="1260" w:right="679" w:firstLine="360"/>
        <w:spacing w:after="0" w:line="246" w:lineRule="auto"/>
        <w:rPr>
          <w:sz w:val="20"/>
          <w:szCs w:val="20"/>
          <w:color w:val="auto"/>
        </w:rPr>
      </w:pPr>
      <w:r>
        <w:rPr>
          <w:rFonts w:ascii="Arial" w:cs="Arial" w:eastAsia="Arial" w:hAnsi="Arial"/>
          <w:sz w:val="18"/>
          <w:szCs w:val="18"/>
          <w:color w:val="auto"/>
        </w:rPr>
        <w:t>The Company prohibits executive officers, directors and employees from directly or indirectly engaging in any kind of hedging transaction that could reduce or limit their economic risk with respect to their holdings, ownership or interest in the Company’s securities including prepaid variable forward contracts, equity swaps, collars, puts, calls and options. The Company also prohibits executive officers, directors and employees from directly or indirectly engaging in any transaction in which the Company’s securities are being pledged.</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COMMUNICATION WITH DIRECTORS</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Stockholders and other interested parties may communicate with the Board by writing to the Corporate Secretary, Clearway Energy, Inc., 300 Carnegie Center, Suite 300, Princeton, New Jersey 08540. Communications intended for a specific director or directors should be addressed to their attention to the Corporate Secretary at the address provided above. Communications received from stockholders are forwarded directly to Board members as part of the materials mailed in advance of the next scheduled Board meeting following receipt of the communications. The Board has authorized the Corporate Secretary, in his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ESG and Sustainability</w:t>
      </w:r>
    </w:p>
    <w:p>
      <w:pPr>
        <w:spacing w:after="0" w:line="162" w:lineRule="exact"/>
        <w:rPr>
          <w:sz w:val="20"/>
          <w:szCs w:val="20"/>
          <w:color w:val="auto"/>
        </w:rPr>
      </w:pPr>
    </w:p>
    <w:p>
      <w:pPr>
        <w:ind w:left="1260" w:right="519" w:firstLine="360"/>
        <w:spacing w:after="0" w:line="270" w:lineRule="auto"/>
        <w:rPr>
          <w:sz w:val="20"/>
          <w:szCs w:val="20"/>
          <w:color w:val="auto"/>
        </w:rPr>
      </w:pPr>
      <w:r>
        <w:rPr>
          <w:rFonts w:ascii="Arial" w:cs="Arial" w:eastAsia="Arial" w:hAnsi="Arial"/>
          <w:sz w:val="17"/>
          <w:szCs w:val="17"/>
          <w:color w:val="auto"/>
        </w:rPr>
        <w:t>We are committed to engaging with our stakeholders on environmental, social and governance (ESG) matters in a proactive, holistic and integrated manner. We strive to provide recent, credible and comparable data to ESG agencies while engaging institutional investors and investor advocacy organizations around</w:t>
      </w:r>
    </w:p>
    <w:p>
      <w:pPr>
        <w:sectPr>
          <w:pgSz w:w="11900" w:h="16838" w:orient="portrait"/>
          <w:cols w:equalWidth="0" w:num="1">
            <w:col w:w="9879"/>
          </w:cols>
          <w:pgMar w:left="580" w:top="132"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73" w:lineRule="auto"/>
        <w:rPr>
          <w:sz w:val="20"/>
          <w:szCs w:val="20"/>
          <w:color w:val="auto"/>
        </w:rPr>
      </w:pPr>
      <w:r>
        <w:rPr>
          <w:rFonts w:ascii="Arial" w:cs="Arial" w:eastAsia="Arial" w:hAnsi="Arial"/>
          <w:sz w:val="17"/>
          <w:szCs w:val="17"/>
          <w:color w:val="auto"/>
        </w:rPr>
        <w:t xml:space="preserve">ESG issues. As described above, the Corporate Governance, Conflicts and Nominating Committee reviews developing trends and emerging ESG matters, as well as the Company’s strategies, activities, policies and communications regarding ESG matters, and makes recommendations to the Board regarding potential actions by the Company. Our Board is committed to active oversight of our ESG-related matters, including reviewing the status and performance of our ESG initiatives at least semi-annually. To learn more about our ESG practices, visit our website at </w:t>
      </w:r>
      <w:r>
        <w:rPr>
          <w:rFonts w:ascii="Arial" w:cs="Arial" w:eastAsia="Arial" w:hAnsi="Arial"/>
          <w:sz w:val="17"/>
          <w:szCs w:val="17"/>
          <w:i w:val="1"/>
          <w:iCs w:val="1"/>
          <w:color w:val="auto"/>
        </w:rPr>
        <w:t>www.investor.clearwwayenergy.com/green-bonds</w:t>
      </w:r>
      <w:r>
        <w:rPr>
          <w:rFonts w:ascii="Arial" w:cs="Arial" w:eastAsia="Arial" w:hAnsi="Arial"/>
          <w:sz w:val="17"/>
          <w:szCs w:val="17"/>
          <w:color w:val="auto"/>
        </w:rPr>
        <w:t>.</w:t>
      </w:r>
    </w:p>
    <w:p>
      <w:pPr>
        <w:spacing w:after="0" w:line="110"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Since December 2019, we have issued approximately $2.1 billion of corporate green bonds under a green bond framework that applies the net proceeds to finance or refinance, in part or in full, new and existing projects and assets meeting certain criteria focused on the supply of energy from renewable resources, including solar energy and wind energy. Our green bond framework received a second party opinion from Sustainalytics, an outside consultant with recognized expertise in ESG research and analysis, with respect to the credibility of the green bond framework and its alignment with the four core components of our Green Bond Principles (2018).</w:t>
      </w:r>
    </w:p>
    <w:p>
      <w:pPr>
        <w:spacing w:after="0" w:line="127"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Workplace safety impacts annual incentive payments to management and we had zero OSHA recordable injuries in 2022. On January 30, 2023, the Biden Administration announced that it will end the COVID-19 public health emergency declarations on May 11, 2023. In response we are modifying our corporate and regional response plans to continue to protect the health and safety of our employees, customers and other business counterparties, while supporting our suppliers and customers’ operations to the best of our ability. We are also reevaluating and modifying, where applicable, business practices and procedures that were implemented or modified during the various stages of the COVID-19 pandemic (including business travel and remote work policy) to ensure continued support of our operations while maintaining appropriate safety considerations for our employees. We will continue to monitor this issue and re-evaluate response plans and business practices should conditions in this area change.</w:t>
      </w:r>
    </w:p>
    <w:p>
      <w:pPr>
        <w:spacing w:after="0" w:line="104"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As discussed in greater detail below, we have focused our diversity, equity and inclusion efforts in three areas: Our People, Our Product &amp; Customers and Our Purchasing — through our Equity, Partnership &amp; Inclusion Council, or EPIC. With the involvement of our employees, EPIC is advancing efforts in each of these areas to identify and implement opportunities for us to address equity, partnership and inclusion issues in its business activities.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Human Capital</w:t>
      </w:r>
    </w:p>
    <w:p>
      <w:pPr>
        <w:spacing w:after="0" w:line="162"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We focus on attracting, developing and retaining a team of highly talented and motivated employees. We also depend upon personnel of CEG for the provision of asset management, administration and O&amp;M services. For more detail regarding our relationship with CEG, see “Certain Relationships and Related Person Transactions.” We regularly conduct assessments of our compensation and benefit practices and pay levels to help ensure that staff members are compensated equitably and competitively. We devote extensive resources to staff development and training, including tuition assistance for career-enhancing academic and professional programs. Employee performance is measured in part based on goals set in alignment with our annual objectives. We recognize that our success is based on the talents and dedication of those we employ, and we are highly invested in their success.</w:t>
      </w:r>
    </w:p>
    <w:p>
      <w:pPr>
        <w:spacing w:after="0" w:line="113"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color w:val="auto"/>
        </w:rPr>
        <w:t>We are committed to maintaining a workplace that acknowledges, encourages, and values diversity and inclusion and provides its employees with unconscious bias training. We believe that individual differences, experiences, and strengths enrich the culture and fabric of our organization. Having employees with backgrounds and orientations that reflect a variety of viewpoints and experiences also helps us to better understand the needs of our customers and the communities in which we operate.</w:t>
      </w:r>
    </w:p>
    <w:p>
      <w:pPr>
        <w:spacing w:after="0" w:line="95" w:lineRule="exact"/>
        <w:rPr>
          <w:sz w:val="20"/>
          <w:szCs w:val="20"/>
          <w:color w:val="auto"/>
        </w:rPr>
      </w:pPr>
    </w:p>
    <w:p>
      <w:pPr>
        <w:ind w:left="1260" w:right="499" w:firstLine="360"/>
        <w:spacing w:after="0" w:line="286" w:lineRule="auto"/>
        <w:rPr>
          <w:sz w:val="20"/>
          <w:szCs w:val="20"/>
          <w:color w:val="auto"/>
        </w:rPr>
      </w:pPr>
      <w:r>
        <w:rPr>
          <w:rFonts w:ascii="Arial" w:cs="Arial" w:eastAsia="Arial" w:hAnsi="Arial"/>
          <w:sz w:val="17"/>
          <w:szCs w:val="17"/>
          <w:color w:val="auto"/>
        </w:rPr>
        <w:t>By leveraging the multitude of backgrounds and perspectives of our team and developing ongoing relationships with diverse vendors, we achieve a collective strength that enhances the workplace and makes the Company a better business partner for our customers and others with a stake in our success.</w:t>
      </w:r>
    </w:p>
    <w:p>
      <w:pPr>
        <w:spacing w:after="0" w:line="98"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We also have an Equity, Partnership &amp; Inclusion Council. As part of our commitment, the Company provides education on topics related to diversity, inclusion, and equity. We also identified three areas of focus — Our People, Our Product &amp; Customers and Our Purchasing. With the involvement of our employees,</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77" w:lineRule="auto"/>
        <w:rPr>
          <w:sz w:val="20"/>
          <w:szCs w:val="20"/>
          <w:color w:val="auto"/>
        </w:rPr>
      </w:pPr>
      <w:r>
        <w:rPr>
          <w:rFonts w:ascii="Arial" w:cs="Arial" w:eastAsia="Arial" w:hAnsi="Arial"/>
          <w:sz w:val="18"/>
          <w:szCs w:val="18"/>
          <w:color w:val="auto"/>
        </w:rPr>
        <w:t>EPIC is advancing efforts in each of these areas to identify and implement opportunities for us to address equity, partnership and inclusion issues in our business activities.</w:t>
      </w:r>
    </w:p>
    <w:p>
      <w:pPr>
        <w:spacing w:after="0" w:line="103" w:lineRule="exact"/>
        <w:rPr>
          <w:sz w:val="20"/>
          <w:szCs w:val="20"/>
          <w:color w:val="auto"/>
        </w:rPr>
      </w:pPr>
    </w:p>
    <w:p>
      <w:pPr>
        <w:ind w:left="1620" w:right="1119" w:firstLine="360"/>
        <w:spacing w:after="0" w:line="263" w:lineRule="auto"/>
        <w:rPr>
          <w:sz w:val="20"/>
          <w:szCs w:val="20"/>
          <w:color w:val="auto"/>
        </w:rPr>
      </w:pPr>
      <w:r>
        <w:rPr>
          <w:rFonts w:ascii="Arial" w:cs="Arial" w:eastAsia="Arial" w:hAnsi="Arial"/>
          <w:sz w:val="18"/>
          <w:szCs w:val="18"/>
          <w:i w:val="1"/>
          <w:iCs w:val="1"/>
          <w:color w:val="auto"/>
        </w:rPr>
        <w:t xml:space="preserve">Our People </w:t>
      </w:r>
      <w:r>
        <w:rPr>
          <w:rFonts w:ascii="Arial" w:cs="Arial" w:eastAsia="Arial" w:hAnsi="Arial"/>
          <w:sz w:val="18"/>
          <w:szCs w:val="18"/>
          <w:color w:val="auto"/>
        </w:rPr>
        <w:t>focuses on education and training; diversity, equity and inclusion policies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recruitment strategies; community and industry partnerships; and maintaining high employee engagement and retention.</w:t>
      </w:r>
    </w:p>
    <w:p>
      <w:pPr>
        <w:spacing w:after="0" w:line="116" w:lineRule="exact"/>
        <w:rPr>
          <w:sz w:val="20"/>
          <w:szCs w:val="20"/>
          <w:color w:val="auto"/>
        </w:rPr>
      </w:pPr>
    </w:p>
    <w:p>
      <w:pPr>
        <w:jc w:val="both"/>
        <w:ind w:left="1620" w:right="439" w:firstLine="360"/>
        <w:spacing w:after="0" w:line="286" w:lineRule="auto"/>
        <w:rPr>
          <w:sz w:val="20"/>
          <w:szCs w:val="20"/>
          <w:color w:val="auto"/>
        </w:rPr>
      </w:pPr>
      <w:r>
        <w:rPr>
          <w:rFonts w:ascii="Arial" w:cs="Arial" w:eastAsia="Arial" w:hAnsi="Arial"/>
          <w:sz w:val="17"/>
          <w:szCs w:val="17"/>
          <w:i w:val="1"/>
          <w:iCs w:val="1"/>
          <w:color w:val="auto"/>
        </w:rPr>
        <w:t xml:space="preserve">Our Product &amp; Customers </w:t>
      </w:r>
      <w:r>
        <w:rPr>
          <w:rFonts w:ascii="Arial" w:cs="Arial" w:eastAsia="Arial" w:hAnsi="Arial"/>
          <w:sz w:val="17"/>
          <w:szCs w:val="17"/>
          <w:color w:val="auto"/>
        </w:rPr>
        <w:t>focuses on pursuing opportunities that provide more equitable access to</w:t>
      </w:r>
      <w:r>
        <w:rPr>
          <w:rFonts w:ascii="Arial" w:cs="Arial" w:eastAsia="Arial" w:hAnsi="Arial"/>
          <w:sz w:val="17"/>
          <w:szCs w:val="17"/>
          <w:i w:val="1"/>
          <w:iCs w:val="1"/>
          <w:color w:val="auto"/>
        </w:rPr>
        <w:t xml:space="preserve"> </w:t>
      </w:r>
      <w:r>
        <w:rPr>
          <w:rFonts w:ascii="Arial" w:cs="Arial" w:eastAsia="Arial" w:hAnsi="Arial"/>
          <w:sz w:val="17"/>
          <w:szCs w:val="17"/>
          <w:color w:val="auto"/>
        </w:rPr>
        <w:t>renewable energy for low-to-moderate income customers; supporting the diversity, equity and inclusion goals of the Company’s offtakers; and meaningfully representing that work in the external market.</w:t>
      </w:r>
    </w:p>
    <w:p>
      <w:pPr>
        <w:spacing w:after="0" w:line="84" w:lineRule="exact"/>
        <w:rPr>
          <w:sz w:val="20"/>
          <w:szCs w:val="20"/>
          <w:color w:val="auto"/>
        </w:rPr>
      </w:pPr>
    </w:p>
    <w:p>
      <w:pPr>
        <w:ind w:left="1620" w:right="1319" w:firstLine="360"/>
        <w:spacing w:after="0" w:line="277" w:lineRule="auto"/>
        <w:rPr>
          <w:sz w:val="20"/>
          <w:szCs w:val="20"/>
          <w:color w:val="auto"/>
        </w:rPr>
      </w:pPr>
      <w:r>
        <w:rPr>
          <w:rFonts w:ascii="Arial" w:cs="Arial" w:eastAsia="Arial" w:hAnsi="Arial"/>
          <w:sz w:val="18"/>
          <w:szCs w:val="18"/>
          <w:i w:val="1"/>
          <w:iCs w:val="1"/>
          <w:color w:val="auto"/>
        </w:rPr>
        <w:t xml:space="preserve">Our Purchasing </w:t>
      </w:r>
      <w:r>
        <w:rPr>
          <w:rFonts w:ascii="Arial" w:cs="Arial" w:eastAsia="Arial" w:hAnsi="Arial"/>
          <w:sz w:val="18"/>
          <w:szCs w:val="18"/>
          <w:color w:val="auto"/>
        </w:rPr>
        <w:t>focuses on establishing a non-discriminatory practices standard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suppliers, diverse vendor sourcing and benchmarking.</w:t>
      </w:r>
    </w:p>
    <w:p>
      <w:pPr>
        <w:spacing w:after="0" w:line="103"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7"/>
          <w:szCs w:val="17"/>
          <w:color w:val="auto"/>
        </w:rPr>
        <w:t>We believe that our EPIC activities have resulted in consistent progress towards meeting our equity, partnership and inclusion initiatives. In addition to the personnel of CEG, we rely on other third-party service providers in the daily operations of our conventional facilities and certain renewable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PROPOSALS TO BE VOTED ON</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NO. 1</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ELECTION OF DIRECTORS</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Each of the eleven nominees for director named in this Proxy Statement has been nominated by the Board upon recommendation of the Corporate Governance, Conflicts and Nominating Committee. The persons named as proxies on the proxy card intend to vote the proxies for the election of the nominees listed below to the Board. Proxies cannot be voted for a greater number of persons than the number of nominees named. Each nominee listed below has consented to being named in this Proxy Statement and to serve as a director if elected. The biography for each nominee includes the specific experience, qualifications, attributes and skills that led the Board to conclude that the nominee should serve as a director. The Board believes that each of the directors has valuable individual skills and experiences that, taken together, provide the Company with the variety and depth of knowledge, judgment and vision necessary to provide effective oversight of the Company.</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Nominees for Director</w:t>
      </w:r>
    </w:p>
    <w:p>
      <w:pPr>
        <w:spacing w:after="0" w:line="148"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The following eleven directors are being nominated for a one-year term, and will be elected annually. Each director will hold office until his or her successor has been duly elected and qualified or until the director’s earlier death, resignation or removal.</w:t>
      </w:r>
    </w:p>
    <w:p>
      <w:pPr>
        <w:spacing w:after="0" w:line="155"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-121920</wp:posOffset>
            </wp:positionV>
            <wp:extent cx="1028700" cy="1440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Age: 57</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Compensation Committee</w:t>
      </w:r>
    </w:p>
    <w:p>
      <w:pPr>
        <w:spacing w:after="0" w:line="103" w:lineRule="exact"/>
        <w:rPr>
          <w:sz w:val="20"/>
          <w:szCs w:val="20"/>
          <w:color w:val="auto"/>
        </w:rPr>
      </w:pPr>
    </w:p>
    <w:p>
      <w:pPr>
        <w:ind w:left="3200" w:right="439"/>
        <w:spacing w:after="0" w:line="267" w:lineRule="auto"/>
        <w:rPr>
          <w:sz w:val="20"/>
          <w:szCs w:val="20"/>
          <w:color w:val="auto"/>
        </w:rPr>
      </w:pPr>
      <w:r>
        <w:rPr>
          <w:rFonts w:ascii="Arial" w:cs="Arial" w:eastAsia="Arial" w:hAnsi="Arial"/>
          <w:sz w:val="17"/>
          <w:szCs w:val="17"/>
          <w:color w:val="auto"/>
        </w:rPr>
        <w:t>Mr. Bram has served as a director and Chairman of the board of directors of the Company since August 2018. Mr. Bram is a founding partner of GIP and serves on its Investment and Operating Committees and chairs the Investment Committee of its credit funds. Prior to the formation of GIP in 2006, Mr. Bram spent 15 years at Credit Suisse as a managing director in the Investment Banking Division, where he served in a variety of positions including co-head of the Global Industrial and Services Group, chief operating officer of the Investment Banking Division, and co-head of corporate finance for the 150-person U.S. Energy Group. He has experience financing and investing in renewables companies and projects that utilize wind, solar, geothermal and hydroelectric technologies. Mr. Bram is a member of the board of directors of Clearway Energy Group LLC, SunPower Corporation and Chile Renovables, SpA. He previously served on the boards of Terra-Gen Power, Guacolda Energy and Channelview Cogeneration. Mr. Bram holds a B.A. in economics from Columbia College. Mr. Bram’s significant experience in investment banking for, and investments in, energy and power companies, as well as his leadership role at GIP, provide strong financial and transactional experience to the Company’s board of directors.</w:t>
      </w:r>
    </w:p>
    <w:p>
      <w:pPr>
        <w:spacing w:after="0" w:line="205"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Nathaniel Anschuetz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-121920</wp:posOffset>
            </wp:positionV>
            <wp:extent cx="1028700" cy="1440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Age: 35</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Energy Risk Management Committee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Mr. Anschuetz has served as a director since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August 2018. Mr. Anschuetz is a Principal at GIP. Prior to joining GIP in 2012,</w:t>
      </w:r>
    </w:p>
    <w:p>
      <w:pPr>
        <w:spacing w:after="0" w:line="103" w:lineRule="exact"/>
        <w:rPr>
          <w:sz w:val="20"/>
          <w:szCs w:val="20"/>
          <w:color w:val="auto"/>
        </w:rPr>
      </w:pPr>
    </w:p>
    <w:p>
      <w:pPr>
        <w:ind w:left="3200" w:right="459"/>
        <w:spacing w:after="0" w:line="272" w:lineRule="auto"/>
        <w:rPr>
          <w:sz w:val="20"/>
          <w:szCs w:val="20"/>
          <w:color w:val="auto"/>
        </w:rPr>
      </w:pPr>
      <w:r>
        <w:rPr>
          <w:rFonts w:ascii="Arial" w:cs="Arial" w:eastAsia="Arial" w:hAnsi="Arial"/>
          <w:sz w:val="17"/>
          <w:szCs w:val="17"/>
          <w:color w:val="auto"/>
        </w:rPr>
        <w:t>Mr. Anschuetz was an Analyst in the Power &amp; Utilities Coverage Group at Citigroup from June 2010 through June 2012. Mr. Anschuetz is also a member of the board of directors of Clearway Energy Group LLC, Eolian, L.P. and SunPower Corporation. Mr. Anschuetz graduated with cum laude honors from Columbia College in 2010 with an A.B. in Economics and Operations Research, and a concentration in Sustainable Development. Mr. Anschuetz’s financial expertise provides significant value to the Company’s board of directors.</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240"/>
        <w:spacing w:after="0"/>
        <w:rPr>
          <w:sz w:val="20"/>
          <w:szCs w:val="20"/>
          <w:color w:val="auto"/>
        </w:rPr>
      </w:pPr>
      <w:r>
        <w:rPr>
          <w:rFonts w:ascii="Arial" w:cs="Arial" w:eastAsia="Arial" w:hAnsi="Arial"/>
          <w:sz w:val="18"/>
          <w:szCs w:val="18"/>
          <w:b w:val="1"/>
          <w:bCs w:val="1"/>
          <w:i w:val="1"/>
          <w:iCs w:val="1"/>
          <w:color w:val="auto"/>
        </w:rPr>
        <w:t>Emmanuel Barrois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-121920</wp:posOffset>
            </wp:positionV>
            <wp:extent cx="1191260" cy="13290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91260" cy="1329055"/>
                    </a:xfrm>
                    <a:prstGeom prst="rect">
                      <a:avLst/>
                    </a:prstGeom>
                    <a:noFill/>
                  </pic:spPr>
                </pic:pic>
              </a:graphicData>
            </a:graphic>
          </wp:anchor>
        </w:drawing>
      </w:r>
    </w:p>
    <w:p>
      <w:pPr>
        <w:spacing w:after="0" w:line="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Age: 40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Energy Risk Management Committee</w:t>
      </w:r>
    </w:p>
    <w:p>
      <w:pPr>
        <w:spacing w:after="0" w:line="103" w:lineRule="exact"/>
        <w:rPr>
          <w:sz w:val="20"/>
          <w:szCs w:val="20"/>
          <w:color w:val="auto"/>
        </w:rPr>
      </w:pPr>
    </w:p>
    <w:p>
      <w:pPr>
        <w:ind w:left="3240" w:right="459"/>
        <w:spacing w:after="0" w:line="253" w:lineRule="auto"/>
        <w:rPr>
          <w:sz w:val="20"/>
          <w:szCs w:val="20"/>
          <w:color w:val="auto"/>
        </w:rPr>
      </w:pPr>
      <w:r>
        <w:rPr>
          <w:rFonts w:ascii="Arial" w:cs="Arial" w:eastAsia="Arial" w:hAnsi="Arial"/>
          <w:sz w:val="18"/>
          <w:szCs w:val="18"/>
          <w:color w:val="auto"/>
        </w:rPr>
        <w:t>Mr. Barrois has served as a director since October 2022. Mr. Barrois has 15 years of experience in the energy industry. Starting as a petroleum engineer in France and in Nigeria, he moved on to management positions in the Republic of Congo and the UAE. In 2019, he joined the strategy team in the Exploration &amp; Production branch of TotalEnergies, where he led the Long Term Business Plan team. Since 2022, he has been in charge of TotalEnergies’ Renewables portfolio management team. He holds Masters of Engineering from Ecole Nationale des Ponts et Chaussées and Ecole Nationale Supérieure des Pétroles et Moteurs, and a Master of Science from Colorado School of Mines. Mr. Barrois’ engineering, energy and leadership experience provides significant value to the Company’s board of directors.</w:t>
      </w:r>
    </w:p>
    <w:p>
      <w:pPr>
        <w:spacing w:after="0" w:line="219"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Brian R.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-121920</wp:posOffset>
            </wp:positionV>
            <wp:extent cx="1028700" cy="1440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Age: 74</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Lead Independent Director</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Audit Committee (Chair)</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Compensation Committee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Corporate Governance, Conflicts and Nominating Committee</w:t>
      </w:r>
    </w:p>
    <w:p>
      <w:pPr>
        <w:spacing w:after="0" w:line="103" w:lineRule="exact"/>
        <w:rPr>
          <w:sz w:val="20"/>
          <w:szCs w:val="20"/>
          <w:color w:val="auto"/>
        </w:rPr>
      </w:pPr>
    </w:p>
    <w:p>
      <w:pPr>
        <w:ind w:left="3200" w:right="499"/>
        <w:spacing w:after="0" w:line="268" w:lineRule="auto"/>
        <w:rPr>
          <w:sz w:val="20"/>
          <w:szCs w:val="20"/>
          <w:color w:val="auto"/>
        </w:rPr>
      </w:pPr>
      <w:r>
        <w:rPr>
          <w:rFonts w:ascii="Arial" w:cs="Arial" w:eastAsia="Arial" w:hAnsi="Arial"/>
          <w:sz w:val="17"/>
          <w:szCs w:val="17"/>
          <w:color w:val="auto"/>
        </w:rPr>
        <w:t>Mr. Ford has served as a director since July 2013 and Lead Independent Director since January 2019. Mr. Ford was the Chief Executive Officer of Washington Philadelphia Partners, LP, a real estate investment company, from 2008 through 2010. He retired as a partner from Ernst &amp; Young LLP in June 2008 where he had been employed since 1971. Mr. Ford currently serves on the board of various companies, including FS Investment Corporation portfolios, a specialty finance company that invests primarily in the debt securities of private U.S. middle-market companies, since 2013, where he also serves as the chairman of the audit committee. He also serves on the boards of Drexel University and BAYADA Home Health. From 2013 to 2020, Mr. Ford served on the board of AmeriGas Propane, Inc., where he also served as a member of its audit and corporate governance committees. Mr. Ford received his B.S. in Economics from Rutgers University. Mr. Ford’s extensive experience in accounting and public company matters provides strong financial, audit and accounting skills to the Company’s board of directors.</w:t>
      </w:r>
    </w:p>
    <w:p>
      <w:pPr>
        <w:spacing w:after="0" w:line="200" w:lineRule="exact"/>
        <w:rPr>
          <w:sz w:val="20"/>
          <w:szCs w:val="20"/>
          <w:color w:val="auto"/>
        </w:rPr>
      </w:pPr>
    </w:p>
    <w:p>
      <w:pPr>
        <w:spacing w:after="0" w:line="214"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Guillaume Hédiard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-121920</wp:posOffset>
            </wp:positionV>
            <wp:extent cx="1165860" cy="1165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65860" cy="116586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Age: 41</w:t>
      </w:r>
    </w:p>
    <w:p>
      <w:pPr>
        <w:spacing w:after="0" w:line="103" w:lineRule="exact"/>
        <w:rPr>
          <w:sz w:val="20"/>
          <w:szCs w:val="20"/>
          <w:color w:val="auto"/>
        </w:rPr>
      </w:pPr>
    </w:p>
    <w:p>
      <w:pPr>
        <w:ind w:left="3200" w:right="479"/>
        <w:spacing w:after="0" w:line="269" w:lineRule="auto"/>
        <w:rPr>
          <w:sz w:val="20"/>
          <w:szCs w:val="20"/>
          <w:color w:val="auto"/>
        </w:rPr>
      </w:pPr>
      <w:r>
        <w:rPr>
          <w:rFonts w:ascii="Arial" w:cs="Arial" w:eastAsia="Arial" w:hAnsi="Arial"/>
          <w:sz w:val="17"/>
          <w:szCs w:val="17"/>
          <w:color w:val="auto"/>
        </w:rPr>
        <w:t>Mr. Hédiard has served as a director since October 2022. Mr. Hédiard is Vice President Transactions and is in charge of M&amp;A, Structured Finance, and Legal activities for TotalEnergies Renewables. Prior to joining TotalEnergies in 2018, Mr. Hédiard spent 12 years at Crédit Agricole Corporate and Investment Bank in Paris and London, where he served as Executive Director in CA-CIB’s Power &amp; Utilities EMEA team in charge of debt arranging and structured finance advisory mandates in the power sector for the EMEA region. Mr. Hédiard holds a BA Corporate Finance and Financial Engineering from the Paris Dauphine University. Mr. Hédiard’s extensive financial and power industry experience provides significant value to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Jennifer Lowry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-121920</wp:posOffset>
            </wp:positionV>
            <wp:extent cx="1165860" cy="1491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65860" cy="1491615"/>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Age: 54</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Audit Committee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Compensation Committee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Corporate Governance, Conflicts and Nominating Committee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Energy Risk Management Committee (Chair)</w:t>
      </w:r>
    </w:p>
    <w:p>
      <w:pPr>
        <w:spacing w:after="0" w:line="103" w:lineRule="exact"/>
        <w:rPr>
          <w:sz w:val="20"/>
          <w:szCs w:val="20"/>
          <w:color w:val="auto"/>
        </w:rPr>
      </w:pPr>
    </w:p>
    <w:p>
      <w:pPr>
        <w:ind w:left="3200" w:right="479"/>
        <w:spacing w:after="0" w:line="268" w:lineRule="auto"/>
        <w:rPr>
          <w:sz w:val="20"/>
          <w:szCs w:val="20"/>
          <w:color w:val="auto"/>
        </w:rPr>
      </w:pPr>
      <w:r>
        <w:rPr>
          <w:rFonts w:ascii="Arial" w:cs="Arial" w:eastAsia="Arial" w:hAnsi="Arial"/>
          <w:sz w:val="17"/>
          <w:szCs w:val="17"/>
          <w:color w:val="auto"/>
        </w:rPr>
        <w:t>Ms. Lowry has served as a director since February 2022. Ms. Lowry served as Vice President of Risk, Treasury and Corporate Finance for McCormick &amp; Company, Inc. from October 2019 through July 2021, and as Vice President of Corporate Finance from November 2016 through October 2019. From 2012 to 2016, Ms. Lowry held management positions with Exelon Corporation as Senior Vice President, Generation Company Strategy and Constellation Energy Group, Inc as Vice President and Treasurer. Prior to that, she held executive positions at companies within the electric power industry including AES Corporation and Cogentrix Energy Group, Inc. Ms. Lowry served on numerous governing committees within Constellation and Exelon and was recently Chair of the Maryland Zoo Board of Trustees. Ms. Lowry has also been a member of the board of directors of MYR Group, Inc. since 2018, and is currently chair of its Audit Committee. Ms. Lowry’s financial and energy industry experience provides significant value to the Company’s board of directors.</w:t>
      </w: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Bruce MacLennan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-121920</wp:posOffset>
            </wp:positionV>
            <wp:extent cx="1028700" cy="1440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Age: 56</w:t>
      </w:r>
    </w:p>
    <w:p>
      <w:pPr>
        <w:spacing w:after="0" w:line="103" w:lineRule="exact"/>
        <w:rPr>
          <w:sz w:val="20"/>
          <w:szCs w:val="20"/>
          <w:color w:val="auto"/>
        </w:rPr>
      </w:pPr>
    </w:p>
    <w:p>
      <w:pPr>
        <w:ind w:left="3200" w:right="459"/>
        <w:spacing w:after="0" w:line="252" w:lineRule="auto"/>
        <w:rPr>
          <w:sz w:val="20"/>
          <w:szCs w:val="20"/>
          <w:color w:val="auto"/>
        </w:rPr>
      </w:pPr>
      <w:r>
        <w:rPr>
          <w:rFonts w:ascii="Arial" w:cs="Arial" w:eastAsia="Arial" w:hAnsi="Arial"/>
          <w:sz w:val="18"/>
          <w:szCs w:val="18"/>
          <w:color w:val="auto"/>
        </w:rPr>
        <w:t>Mr. MacLennan has served as a director since August 2018. Mr. MacLennan is a Partner of GIP and focuses on the energy and power sectors. Prior to joining GIP at its formation in 2006, Mr. MacLennan was a Director in the Investment Banking Division of Credit Suisse. During his time at Credit Suisse, he worked in the Global Energy Group, the Global Project Finance Group and the Global Industrial and Services Group. Mr. MacLennan holds an A.B. from Harvard University and an M.B.A. from the Wharton School of the University of Pennsylvania. He is currently a member of the board of directors of Eolian, L.P. and previously served on the boards of Competitive Power Ventures and Clearway Energy Group LLC. Mr. MacLennan’s significant experience in investment banking for, and investments in, energy and power companies, as well as his leadership role at GIP, provide strong financial and transactional experience to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-121920</wp:posOffset>
            </wp:positionV>
            <wp:extent cx="1028700" cy="1440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Age: 66</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Audit Committee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Compensation Committee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Corporate Governance, Conflicts and Nominating Committee (Chair)</w:t>
      </w:r>
    </w:p>
    <w:p>
      <w:pPr>
        <w:spacing w:after="0" w:line="103" w:lineRule="exact"/>
        <w:rPr>
          <w:sz w:val="20"/>
          <w:szCs w:val="20"/>
          <w:color w:val="auto"/>
        </w:rPr>
      </w:pPr>
    </w:p>
    <w:p>
      <w:pPr>
        <w:ind w:left="3200" w:right="459"/>
        <w:spacing w:after="0" w:line="269" w:lineRule="auto"/>
        <w:rPr>
          <w:sz w:val="20"/>
          <w:szCs w:val="20"/>
          <w:color w:val="auto"/>
        </w:rPr>
      </w:pPr>
      <w:r>
        <w:rPr>
          <w:rFonts w:ascii="Arial" w:cs="Arial" w:eastAsia="Arial" w:hAnsi="Arial"/>
          <w:sz w:val="17"/>
          <w:szCs w:val="17"/>
          <w:color w:val="auto"/>
        </w:rPr>
        <w:t>Mr. More has served as a director since February 2019. Mr. More has been a Senior Advisor with Guggenheim Securities since October 2015. Mr. More retired as a Managing Director and Global Head of Utility Mergers &amp; Acquisitions of the Investment Banking Division of Morgan Stanley in 2014. He held such position since 1996. Mr. More has been an investment banker since 1978 and has specialized in the utility sector since 1986. Mr. More has served as a director of SJW Group since April 2015. He served as a director of Saeta Yield from February 2015 to June 2018 and served as a director of the New York Independent System Operator from April 2014 until February 2016. Mr. More’s extensive experience in investment banking, including capital raising and strategic initiatives, combined with experience as a director of energy industry companies, provides significant value to the Company’s board of directors.</w:t>
      </w:r>
    </w:p>
    <w:p>
      <w:pPr>
        <w:spacing w:after="0" w:line="206"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E. Stanley O’Neal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-121920</wp:posOffset>
            </wp:positionV>
            <wp:extent cx="1028700" cy="1440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Age: 71</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Audit Committee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Compensation Committee (Chair)</w:t>
      </w:r>
    </w:p>
    <w:p>
      <w:pPr>
        <w:spacing w:after="0" w:line="103" w:lineRule="exact"/>
        <w:rPr>
          <w:sz w:val="20"/>
          <w:szCs w:val="20"/>
          <w:color w:val="auto"/>
        </w:rPr>
      </w:pPr>
    </w:p>
    <w:p>
      <w:pPr>
        <w:ind w:left="3200" w:right="459"/>
        <w:spacing w:after="0" w:line="267" w:lineRule="auto"/>
        <w:rPr>
          <w:sz w:val="20"/>
          <w:szCs w:val="20"/>
          <w:color w:val="auto"/>
        </w:rPr>
      </w:pPr>
      <w:r>
        <w:rPr>
          <w:rFonts w:ascii="Arial" w:cs="Arial" w:eastAsia="Arial" w:hAnsi="Arial"/>
          <w:sz w:val="17"/>
          <w:szCs w:val="17"/>
          <w:color w:val="auto"/>
        </w:rPr>
        <w:t>Mr. O’Neal has served as a director since August 2018. Mr. O’Neal served as Chairman of the Board and Chief Executive Officer of Merrill Lynch &amp; Co., Inc. until October 2007. He 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 Mr. O’Neal was employed at General Motors Corporation where he held a number of financial positions of increasing responsibility. Currently, Mr. O’Neal is chairman of the nominating and governance committee and a member of the committee of Arconic Corp., an aluminum manufacturing company and the former parent company of Alcoa Inc. Mr. O’Neal is also a director and member of the nominating and governance committee of Element Solutions Inc. (formerly Platform Specialty Products Corporation), a global, diversified producer of high technology specialty chemical products and provider of technical services. Mr. O’Neal was a director of General Motors Corporation from 2001 to 2006, chairman of the board of Merrill Lynch &amp; Co., Inc. from 2003 to 2007, and a director of American Beacon Advisors, Inc. (investment advisor registered with the Securities and Exchange Commission) from 2009 to September 2012. Mr. O’Neal’s extensive executive experience, financial expertise and leadership skills enable him to provide unique guidance to the Company’s board of directors and management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-121920</wp:posOffset>
            </wp:positionV>
            <wp:extent cx="1028700" cy="1440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Age: 51</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President, CEO and Director</w:t>
      </w:r>
    </w:p>
    <w:p>
      <w:pPr>
        <w:spacing w:after="0" w:line="103" w:lineRule="exact"/>
        <w:rPr>
          <w:sz w:val="20"/>
          <w:szCs w:val="20"/>
          <w:color w:val="auto"/>
        </w:rPr>
      </w:pPr>
    </w:p>
    <w:p>
      <w:pPr>
        <w:ind w:left="3200" w:right="419"/>
        <w:spacing w:after="0" w:line="268" w:lineRule="auto"/>
        <w:rPr>
          <w:sz w:val="20"/>
          <w:szCs w:val="20"/>
          <w:color w:val="auto"/>
        </w:rPr>
      </w:pPr>
      <w:r>
        <w:rPr>
          <w:rFonts w:ascii="Arial" w:cs="Arial" w:eastAsia="Arial" w:hAnsi="Arial"/>
          <w:sz w:val="17"/>
          <w:szCs w:val="17"/>
          <w:color w:val="auto"/>
        </w:rPr>
        <w:t>Mr. Sotos has served as President and Chief Executive Officer of the Company since May 2016, and as a director since May 2013. Mr. Sotos had also served in various positions at NRG Energy, Inc. (“NRG”), including most recently as Executive Vice President — Strategy and Mergers and Acquisitions from February 2016 through May 2016 and Senior Vice President — Strategy and Mergers and Acquisitions from November 2012 through February 2016. In this role, he led NRG’s corporate strategy, mergers and acquisitions, strategic alliances and other special projects for NRG. Previously, he served as NRG’s Senior Vice President and Treasurer from March 2008 to September 2012, where he was responsible for all treasury functions, including raising capital, valuation, debt administration and cash management. Mr. Sotos also previously served as a director of FuelCell Energy, Inc. from September 2014 to April 2019. As President and Chief Executive Officer of the Company, Mr. Sotos provides the Company’s board of directors with management’s perspective regarding the Company’s day to day operations and overall strategic plan. Mr. Sotos also brings strong financial and accounting skills to the Company’s board of directors.</w:t>
      </w:r>
    </w:p>
    <w:p>
      <w:pPr>
        <w:spacing w:after="0" w:line="207"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Vincent Stoquart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-121920</wp:posOffset>
            </wp:positionV>
            <wp:extent cx="1165860" cy="1551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65860" cy="155194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Age: 48</w:t>
      </w:r>
    </w:p>
    <w:p>
      <w:pPr>
        <w:spacing w:after="0" w:line="103" w:lineRule="exact"/>
        <w:rPr>
          <w:sz w:val="20"/>
          <w:szCs w:val="20"/>
          <w:color w:val="auto"/>
        </w:rPr>
      </w:pPr>
    </w:p>
    <w:p>
      <w:pPr>
        <w:ind w:left="3200" w:right="419"/>
        <w:spacing w:after="0" w:line="267" w:lineRule="auto"/>
        <w:rPr>
          <w:sz w:val="20"/>
          <w:szCs w:val="20"/>
          <w:color w:val="auto"/>
        </w:rPr>
      </w:pPr>
      <w:r>
        <w:rPr>
          <w:rFonts w:ascii="Arial" w:cs="Arial" w:eastAsia="Arial" w:hAnsi="Arial"/>
          <w:sz w:val="17"/>
          <w:szCs w:val="17"/>
          <w:color w:val="auto"/>
        </w:rPr>
        <w:t>Mr. Stoquart has served as a director since October 2022. Mr. Stoquart has served as senior vice president of the Renewables division of TotalEnergies S.E. since December 6, 2021. From October 2019 to December 2021, he served as Senior Vice President, Refining and Petrochemicals Americas, and President and Chief Executive Officer of Total Petrochemicals &amp; Refining USA, Inc. He was, during this period, also the country chair for TotalEnergies in the United States, based in Houston, Texas. Prior to that, Mr. Stoquart served as Senior Vice President, Polymers, of TotalEnergies Refining &amp; Chemicals in Brussels, Belgium. From 2012 to 2017, Mr. Stoquart managed TotalEnergies’s Flanders Refinery in Dunkirk, France, before joining TotalEnergies Global Services where he became President, TotalEnergies Learning Solutions. Mr. Stoquart began his career with TotalEnergies in 1998 as an engineering project manager at the Feluy Polymers Plant in Belgium, working as a production manager in various positions from 2002 to 2009 before being appointed as human resources and communications manager of the Feluy Plant in 2010. Mr. Stoquart graduated as a mechanical engineer from the Catholic University of Louvain, Belgium. He also has a diploma in aeronautics and aerospace from the von Karman Institute for Fluid Dynamics. Mr. Stoquart’s engineering, energy and leadership experience provides significant value to the Company’s board of directors.</w:t>
      </w:r>
    </w:p>
    <w:p>
      <w:pPr>
        <w:spacing w:after="0" w:line="184"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The Board recommends a vote “FOR” the election to the Board of each of the foregoing nominees. Proxies</w:t>
      </w:r>
    </w:p>
    <w:p>
      <w:pPr>
        <w:spacing w:after="0" w:line="50"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received by the Board will be voted “FOR” each of the nominees unless a contrary vote is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7"/>
          <w:szCs w:val="17"/>
          <w:color w:val="auto"/>
        </w:rPr>
        <w:t>The chart below describes the compensation program established for our directors for their service as Board members, chairs of the Committees and Lead Independent Director, as applicable, in 2022. Only our independent, non-employee directors receive compensation for their services as directors, which is set by our Board based on recommendations by the Compensation Committee. Our President and CEO, Mr. Sotos, does not receive compensation for his service as a director, and none of the directors who are officers or employees of GIP or TotalEnergies receive compensation for their services as directors.</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Compensation</w:t>
            </w:r>
          </w:p>
        </w:tc>
        <w:tc>
          <w:tcPr>
            <w:tcW w:w="40" w:type="dxa"/>
            <w:vAlign w:val="bottom"/>
          </w:tcPr>
          <w:p>
            <w:pPr>
              <w:spacing w:after="0"/>
              <w:rPr>
                <w:sz w:val="14"/>
                <w:szCs w:val="14"/>
                <w:color w:val="auto"/>
              </w:rPr>
            </w:pPr>
          </w:p>
        </w:tc>
      </w:tr>
      <w:tr>
        <w:trPr>
          <w:trHeight w:val="186"/>
        </w:trPr>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Compensation Element</w:t>
            </w:r>
          </w:p>
        </w:tc>
        <w:tc>
          <w:tcPr>
            <w:tcW w:w="440" w:type="dxa"/>
            <w:vAlign w:val="bottom"/>
          </w:tcPr>
          <w:p>
            <w:pPr>
              <w:spacing w:after="0"/>
              <w:rPr>
                <w:sz w:val="16"/>
                <w:szCs w:val="16"/>
                <w:color w:val="auto"/>
              </w:rPr>
            </w:pPr>
          </w:p>
        </w:tc>
        <w:tc>
          <w:tcPr>
            <w:tcW w:w="940" w:type="dxa"/>
            <w:vAlign w:val="bottom"/>
          </w:tcPr>
          <w:p>
            <w:pPr>
              <w:jc w:val="center"/>
              <w:ind w:right="353"/>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6"/>
                <w:szCs w:val="16"/>
                <w:color w:val="auto"/>
              </w:rPr>
            </w:pPr>
          </w:p>
        </w:tc>
      </w:tr>
      <w:tr>
        <w:trPr>
          <w:trHeight w:val="26"/>
        </w:trPr>
        <w:tc>
          <w:tcPr>
            <w:tcW w:w="6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Cash Retainer</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80,000</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6820" w:type="dxa"/>
            <w:vAlign w:val="bottom"/>
            <w:gridSpan w:val="2"/>
          </w:tcPr>
          <w:p>
            <w:pPr>
              <w:spacing w:after="0"/>
              <w:rPr>
                <w:sz w:val="20"/>
                <w:szCs w:val="20"/>
                <w:color w:val="auto"/>
              </w:rPr>
            </w:pPr>
            <w:r>
              <w:rPr>
                <w:rFonts w:ascii="Arial" w:cs="Arial" w:eastAsia="Arial" w:hAnsi="Arial"/>
                <w:sz w:val="18"/>
                <w:szCs w:val="18"/>
                <w:color w:val="auto"/>
              </w:rPr>
              <w:t>Annual Deferred Stock Unit Award</w:t>
            </w:r>
          </w:p>
        </w:tc>
        <w:tc>
          <w:tcPr>
            <w:tcW w:w="1380" w:type="dxa"/>
            <w:vAlign w:val="bottom"/>
            <w:gridSpan w:val="2"/>
          </w:tcPr>
          <w:p>
            <w:pPr>
              <w:jc w:val="right"/>
              <w:ind w:right="253"/>
              <w:spacing w:after="0"/>
              <w:rPr>
                <w:sz w:val="20"/>
                <w:szCs w:val="20"/>
                <w:color w:val="auto"/>
              </w:rPr>
            </w:pPr>
            <w:r>
              <w:rPr>
                <w:rFonts w:ascii="Arial" w:cs="Arial" w:eastAsia="Arial" w:hAnsi="Arial"/>
                <w:sz w:val="18"/>
                <w:szCs w:val="18"/>
                <w:color w:val="auto"/>
              </w:rPr>
              <w:t>​$125,000</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Lead Independent Director Retainer</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6820" w:type="dxa"/>
            <w:vAlign w:val="bottom"/>
            <w:gridSpan w:val="2"/>
          </w:tcPr>
          <w:p>
            <w:pPr>
              <w:spacing w:after="0"/>
              <w:rPr>
                <w:sz w:val="20"/>
                <w:szCs w:val="20"/>
                <w:color w:val="auto"/>
              </w:rPr>
            </w:pPr>
            <w:r>
              <w:rPr>
                <w:rFonts w:ascii="Arial" w:cs="Arial" w:eastAsia="Arial" w:hAnsi="Arial"/>
                <w:sz w:val="18"/>
                <w:szCs w:val="18"/>
                <w:color w:val="auto"/>
              </w:rPr>
              <w:t>Audit Committee Chair Retainer</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Chair Retainer</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20,000</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6820" w:type="dxa"/>
            <w:vAlign w:val="bottom"/>
            <w:gridSpan w:val="2"/>
          </w:tcPr>
          <w:p>
            <w:pPr>
              <w:spacing w:after="0"/>
              <w:rPr>
                <w:sz w:val="20"/>
                <w:szCs w:val="20"/>
                <w:color w:val="auto"/>
              </w:rPr>
            </w:pPr>
            <w:r>
              <w:rPr>
                <w:rFonts w:ascii="Arial" w:cs="Arial" w:eastAsia="Arial" w:hAnsi="Arial"/>
                <w:sz w:val="18"/>
                <w:szCs w:val="18"/>
                <w:color w:val="auto"/>
              </w:rPr>
              <w:t>Corporate Governance, Conflicts and Nominating Committee Chair Retainer</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20,000</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Risk Management Committee Chair Retainer</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20,000</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6820" w:type="dxa"/>
            <w:vAlign w:val="bottom"/>
            <w:gridSpan w:val="2"/>
          </w:tcPr>
          <w:p>
            <w:pPr>
              <w:spacing w:after="0"/>
              <w:rPr>
                <w:sz w:val="20"/>
                <w:szCs w:val="20"/>
                <w:color w:val="auto"/>
              </w:rPr>
            </w:pPr>
            <w:r>
              <w:rPr>
                <w:rFonts w:ascii="Arial" w:cs="Arial" w:eastAsia="Arial" w:hAnsi="Arial"/>
                <w:sz w:val="18"/>
                <w:szCs w:val="18"/>
                <w:color w:val="auto"/>
              </w:rPr>
              <w:t>Employee or Directors Affiliated with GIP or TotalEnergies</w:t>
            </w: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2"/>
              </w:rPr>
              <w:t>No compensation</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4991735</wp:posOffset>
            </wp:positionH>
            <wp:positionV relativeFrom="paragraph">
              <wp:posOffset>-1344930</wp:posOffset>
            </wp:positionV>
            <wp:extent cx="137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Our independent directors receive an annual retainer of cash and equity for their services as directors. The independent directors received $80,000 in the form of cash and $125,000 in the form of stock awards issued under our Amended and Restated 2013 Equity Incentive Plan (the “Equity Incentive Plan”). Each stock award may, pursuant to an independent director’s deferral election, be awarded as deferred stock units (“DSUs”). In addition, directors may defer the cash component of their annual retainers into additional DSUs.</w:t>
      </w:r>
    </w:p>
    <w:p>
      <w:pPr>
        <w:spacing w:after="0" w:line="120"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color w:val="auto"/>
        </w:rPr>
        <w:t>Each DSU issued in 2022 was equivalent in value to one share of Class C common stock and represents the right to receive one such share of Class C common stock payable at the time elected by the director, or in the event the director does not make an election with respect to payment in a particular year, in accordance with his or her prior deferral election. In the event that a director’s service with the Company is terminated for any reason, other than cause, DSU awards are payable in accordance with such director’s deferral election. If a director’s service with the Company is terminated for cause, the award is forfeited. In connection with the grants of the DSUs, each independent director also received dividend equivalent rights (“DERs”) which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 Typically, accrued DERs are credited as additional shares that will be subject to the vesting and payment terms of the corresponding award of DSUs. Accordingly, DERs are intended to represent the economic value that our independent directors would otherwise receive if, as applicable, they did not elect to receive DSUs and they, instead, held the shares relating to the DSUs outright.</w:t>
      </w:r>
    </w:p>
    <w:p>
      <w:pPr>
        <w:spacing w:after="0" w:line="96" w:lineRule="exact"/>
        <w:rPr>
          <w:sz w:val="20"/>
          <w:szCs w:val="20"/>
          <w:color w:val="auto"/>
        </w:rPr>
      </w:pPr>
    </w:p>
    <w:p>
      <w:pPr>
        <w:ind w:left="1260" w:right="639" w:firstLine="360"/>
        <w:spacing w:after="0" w:line="249" w:lineRule="auto"/>
        <w:rPr>
          <w:sz w:val="20"/>
          <w:szCs w:val="20"/>
          <w:color w:val="auto"/>
        </w:rPr>
      </w:pPr>
      <w:r>
        <w:rPr>
          <w:rFonts w:ascii="Arial" w:cs="Arial" w:eastAsia="Arial" w:hAnsi="Arial"/>
          <w:sz w:val="18"/>
          <w:szCs w:val="18"/>
          <w:color w:val="auto"/>
        </w:rPr>
        <w:t>Similar to its competitive assessment of NEO compensation, Pay Governance, the Compensation Committee’s compensation consultant, performed a review of director compensation and stock ownership guidelines in 2022. Results of the review were shared with the Compensation Committee, which made a recommendation to the full Board for final approval.</w:t>
      </w:r>
    </w:p>
    <w:p>
      <w:pPr>
        <w:spacing w:after="0" w:line="113"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The Compensation Committee previously implemented a stock ownership guideline for directors requiring stock ownership equal to five times the annual cash retainer fee and, as part of its competitive assessment (described above), Pay Governance confirmed this guideline is consistent with the market (i.e., with respect to similarly situated businesses). Although directors are not required to make purchases of our common stock to meet their target ownership multiple, they are restricted from divesting any securities until such ownership multiple is attained, except to make a required tax payment, and must maintain their ownership multiple after any such transactions.</w:t>
      </w:r>
    </w:p>
    <w:p>
      <w:pPr>
        <w:spacing w:after="0" w:line="120" w:lineRule="exact"/>
        <w:rPr>
          <w:sz w:val="20"/>
          <w:szCs w:val="20"/>
          <w:color w:val="auto"/>
        </w:rPr>
      </w:pPr>
    </w:p>
    <w:p>
      <w:pPr>
        <w:ind w:left="1260" w:right="719" w:firstLine="360"/>
        <w:spacing w:after="0" w:line="308" w:lineRule="auto"/>
        <w:rPr>
          <w:sz w:val="20"/>
          <w:szCs w:val="20"/>
          <w:color w:val="auto"/>
        </w:rPr>
      </w:pPr>
      <w:r>
        <w:rPr>
          <w:rFonts w:ascii="Arial" w:cs="Arial" w:eastAsia="Arial" w:hAnsi="Arial"/>
          <w:sz w:val="17"/>
          <w:szCs w:val="17"/>
          <w:color w:val="auto"/>
        </w:rPr>
        <w:t>In addition, our independent directors are reimbursed for out-of-pocket expenses in connection with attending meetings of the Board or its Committees. As a general matter, we expect that in the future, any</w:t>
      </w:r>
    </w:p>
    <w:p>
      <w:pPr>
        <w:spacing w:after="0" w:line="30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77" w:lineRule="auto"/>
        <w:rPr>
          <w:sz w:val="20"/>
          <w:szCs w:val="20"/>
          <w:color w:val="auto"/>
        </w:rPr>
      </w:pPr>
      <w:r>
        <w:rPr>
          <w:rFonts w:ascii="Arial" w:cs="Arial" w:eastAsia="Arial" w:hAnsi="Arial"/>
          <w:sz w:val="18"/>
          <w:szCs w:val="18"/>
          <w:color w:val="auto"/>
        </w:rPr>
        <w:t>independent director will receive grants of equity-based awards upon appointment to our Board and from time to time thereafter for so long as he or she serves as a director.</w:t>
      </w:r>
    </w:p>
    <w:p>
      <w:pPr>
        <w:spacing w:after="0" w:line="103"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Each member of our Board is indemnified for his or her actions associated with being a director to the fullest extent permitted under Delaware law. In addition, we have entered into indemnification agreements with each of our directors as well as our executive officers. The indemnification agreements provide the directors and executive officers with contractual rights to indemnification, expense advancement and reimbursement, to the fullest extent permitted under Delaware law.</w:t>
      </w:r>
    </w:p>
    <w:p>
      <w:pPr>
        <w:spacing w:after="0" w:line="172"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Director Compensation</w:t>
      </w:r>
    </w:p>
    <w:p>
      <w:pPr>
        <w:jc w:val="center"/>
        <w:ind w:right="-860"/>
        <w:spacing w:after="0"/>
        <w:rPr>
          <w:sz w:val="20"/>
          <w:szCs w:val="20"/>
          <w:color w:val="auto"/>
        </w:rPr>
      </w:pPr>
      <w:r>
        <w:rPr>
          <w:rFonts w:ascii="Arial" w:cs="Arial" w:eastAsia="Arial" w:hAnsi="Arial"/>
          <w:sz w:val="18"/>
          <w:szCs w:val="18"/>
          <w:b w:val="1"/>
          <w:bCs w:val="1"/>
          <w:color w:val="auto"/>
        </w:rPr>
        <w:t>Fiscal Year Ended December 31, 2022</w:t>
      </w:r>
      <w:r>
        <w:rPr>
          <w:rFonts w:ascii="Arial" w:cs="Arial" w:eastAsia="Arial" w:hAnsi="Arial"/>
          <w:sz w:val="26"/>
          <w:szCs w:val="26"/>
          <w:b w:val="1"/>
          <w:bCs w:val="1"/>
          <w:color w:val="auto"/>
          <w:vertAlign w:val="superscript"/>
        </w:rPr>
        <w:t>(1)</w:t>
      </w:r>
    </w:p>
    <w:p>
      <w:pPr>
        <w:spacing w:after="0" w:line="12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Fees Earned</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or Paid in</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700" w:type="dxa"/>
            <w:vAlign w:val="bottom"/>
          </w:tcPr>
          <w:p>
            <w:pPr>
              <w:spacing w:after="0"/>
              <w:rPr>
                <w:sz w:val="14"/>
                <w:szCs w:val="14"/>
                <w:color w:val="auto"/>
              </w:rPr>
            </w:pPr>
          </w:p>
        </w:tc>
      </w:tr>
      <w:tr>
        <w:trPr>
          <w:trHeight w:val="212"/>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3"/>
              </w:rPr>
              <w:t>Cash</w:t>
            </w:r>
            <w:r>
              <w:rPr>
                <w:rFonts w:ascii="Arial" w:cs="Arial" w:eastAsia="Arial" w:hAnsi="Arial"/>
                <w:sz w:val="17"/>
                <w:szCs w:val="17"/>
                <w:b w:val="1"/>
                <w:bCs w:val="1"/>
                <w:color w:val="auto"/>
                <w:w w:val="83"/>
                <w:vertAlign w:val="superscript"/>
              </w:rPr>
              <w:t>(2)</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w:t>
            </w:r>
            <w:r>
              <w:rPr>
                <w:rFonts w:ascii="Arial" w:cs="Arial" w:eastAsia="Arial" w:hAnsi="Arial"/>
                <w:sz w:val="17"/>
                <w:szCs w:val="17"/>
                <w:b w:val="1"/>
                <w:bCs w:val="1"/>
                <w:color w:val="auto"/>
                <w:w w:val="86"/>
                <w:vertAlign w:val="superscript"/>
              </w:rPr>
              <w:t>(3)</w:t>
            </w:r>
          </w:p>
        </w:tc>
        <w:tc>
          <w:tcPr>
            <w:tcW w:w="2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250"/>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R. Ford</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1"/>
              </w:rPr>
              <w:t>​$ 105,000 ​</w:t>
            </w: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​$150,008</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​$255,008</w:t>
            </w:r>
          </w:p>
        </w:tc>
      </w:tr>
      <w:tr>
        <w:trPr>
          <w:trHeight w:val="283"/>
        </w:trPr>
        <w:tc>
          <w:tcPr>
            <w:tcW w:w="5600" w:type="dxa"/>
            <w:vAlign w:val="bottom"/>
            <w:gridSpan w:val="2"/>
          </w:tcPr>
          <w:p>
            <w:pPr>
              <w:spacing w:after="0"/>
              <w:rPr>
                <w:sz w:val="20"/>
                <w:szCs w:val="20"/>
                <w:color w:val="auto"/>
              </w:rPr>
            </w:pPr>
            <w:r>
              <w:rPr>
                <w:rFonts w:ascii="Arial" w:cs="Arial" w:eastAsia="Arial" w:hAnsi="Arial"/>
                <w:sz w:val="18"/>
                <w:szCs w:val="18"/>
                <w:color w:val="auto"/>
              </w:rPr>
              <w:t>Jennifer E. Lowry</w:t>
            </w:r>
            <w:r>
              <w:rPr>
                <w:rFonts w:ascii="Arial" w:cs="Arial" w:eastAsia="Arial" w:hAnsi="Arial"/>
                <w:sz w:val="23"/>
                <w:szCs w:val="23"/>
                <w:color w:val="auto"/>
                <w:vertAlign w:val="superscript"/>
              </w:rPr>
              <w:t>(4)</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​$ 113,572 ​</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​$154,847</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​$268,419</w:t>
            </w:r>
          </w:p>
        </w:tc>
      </w:tr>
      <w:tr>
        <w:trPr>
          <w:trHeight w:val="283"/>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Ferrell P. McClean</w:t>
            </w:r>
            <w:r>
              <w:rPr>
                <w:rFonts w:ascii="Arial" w:cs="Arial" w:eastAsia="Arial" w:hAnsi="Arial"/>
                <w:sz w:val="23"/>
                <w:szCs w:val="23"/>
                <w:color w:val="auto"/>
                <w:vertAlign w:val="superscript"/>
              </w:rPr>
              <w:t>(5)</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​$245,012</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​$245,012</w:t>
            </w:r>
          </w:p>
        </w:tc>
      </w:tr>
      <w:tr>
        <w:trPr>
          <w:trHeight w:val="283"/>
        </w:trPr>
        <w:tc>
          <w:tcPr>
            <w:tcW w:w="5600" w:type="dxa"/>
            <w:vAlign w:val="bottom"/>
            <w:gridSpan w:val="2"/>
          </w:tcPr>
          <w:p>
            <w:pPr>
              <w:spacing w:after="0"/>
              <w:rPr>
                <w:sz w:val="20"/>
                <w:szCs w:val="20"/>
                <w:color w:val="auto"/>
              </w:rPr>
            </w:pPr>
            <w:r>
              <w:rPr>
                <w:rFonts w:ascii="Arial" w:cs="Arial" w:eastAsia="Arial" w:hAnsi="Arial"/>
                <w:sz w:val="18"/>
                <w:szCs w:val="18"/>
                <w:color w:val="auto"/>
              </w:rPr>
              <w:t>Daniel B. More</w:t>
            </w:r>
            <w:r>
              <w:rPr>
                <w:rFonts w:ascii="Arial" w:cs="Arial" w:eastAsia="Arial" w:hAnsi="Arial"/>
                <w:sz w:val="23"/>
                <w:szCs w:val="23"/>
                <w:color w:val="auto"/>
                <w:vertAlign w:val="superscript"/>
              </w:rPr>
              <w:t>(6)</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11,905 ​</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​$205,014</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​$216,919</w:t>
            </w:r>
          </w:p>
        </w:tc>
      </w:tr>
      <w:tr>
        <w:trPr>
          <w:trHeight w:val="283"/>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 Stanley O’Neal</w:t>
            </w:r>
            <w:r>
              <w:rPr>
                <w:rFonts w:ascii="Arial" w:cs="Arial" w:eastAsia="Arial" w:hAnsi="Arial"/>
                <w:sz w:val="23"/>
                <w:szCs w:val="23"/>
                <w:color w:val="auto"/>
                <w:vertAlign w:val="superscript"/>
              </w:rPr>
              <w:t>(7)</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11,905 ​</w:t>
            </w: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​$205,014</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​$216,919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-890905</wp:posOffset>
            </wp:positionV>
            <wp:extent cx="137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-890905</wp:posOffset>
            </wp:positionV>
            <wp:extent cx="13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-890905</wp:posOffset>
            </wp:positionV>
            <wp:extent cx="137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4" w:lineRule="exact"/>
        <w:rPr>
          <w:sz w:val="20"/>
          <w:szCs w:val="20"/>
          <w:color w:val="auto"/>
        </w:rPr>
      </w:pPr>
    </w:p>
    <w:p>
      <w:pPr>
        <w:ind w:left="1620" w:right="439" w:hanging="360"/>
        <w:spacing w:after="0" w:line="25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Ms. McClean retired as a director on October 27, 2022, at which time she received payment in respect of her outstanding DSU awards and related DERs. On October 27, 2022, Mr. More became the Chair of the Corporate Governance, Conflicts and Nominating Committee, Mr. O’Neal became the Chair of the Compensation Committee on October 27, 2022, and Ms. Lowry became Chair of the Energy Risk Management Committee.</w:t>
      </w:r>
    </w:p>
    <w:p>
      <w:pPr>
        <w:spacing w:after="0" w:line="66" w:lineRule="exact"/>
        <w:rPr>
          <w:rFonts w:ascii="Arial" w:cs="Arial" w:eastAsia="Arial" w:hAnsi="Arial"/>
          <w:sz w:val="18"/>
          <w:szCs w:val="18"/>
          <w:color w:val="auto"/>
        </w:rPr>
      </w:pPr>
    </w:p>
    <w:p>
      <w:pPr>
        <w:ind w:left="1620" w:right="539" w:hanging="360"/>
        <w:spacing w:after="0" w:line="25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prorated committee chair retainer cash payments for the period of service beginning on October 27, 2022 through May 31, 2023 to (i) Ms. Lowry for her period of service as Chair of the Energy Risk Committee, (ii) Mr. More for his period of service as Chair of the Corporate Governance, Conflicts and Nominating Committee, and (iii) Mr. O’Neal for his period of service as Chair of the Compensation Committee.</w:t>
      </w:r>
    </w:p>
    <w:p>
      <w:pPr>
        <w:spacing w:after="0" w:line="66" w:lineRule="exact"/>
        <w:rPr>
          <w:rFonts w:ascii="Arial" w:cs="Arial" w:eastAsia="Arial" w:hAnsi="Arial"/>
          <w:sz w:val="18"/>
          <w:szCs w:val="18"/>
          <w:color w:val="auto"/>
        </w:rPr>
      </w:pPr>
    </w:p>
    <w:p>
      <w:pPr>
        <w:ind w:left="1620" w:right="479" w:hanging="360"/>
        <w:spacing w:after="0" w:line="269" w:lineRule="auto"/>
        <w:tabs>
          <w:tab w:leader="none" w:pos="1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Reflects the grant date fair value of DSUs awarded in 2022 determined in accordance with Financial Accounting Standards Board Accounting Standards Codification Topic 718, Compensation Stock Compensation, the full amount of which is recorded as a compensation expense in the income statement for the 2022 fiscal year. The grant date fair value of prorated DSUs awarded on March 15, 2022 to Ms. Lowry for her period of service beginning February 22, 2022 was based on the March 15, 2022 Class C closing stock price of $37.10. For all directors, the grant date fair value of the DSUs that are payable in Class C common stock was based on the closing price of our Class C common stock on the date of grant. For all directors, the grant date fair value of the DSUs granted on June 1, 2022 for their period of service beginning on June 1, 2022 through May 31, 2023 was based on the June 1, 2022 Class C common stock closing price of $34.66.</w:t>
      </w:r>
    </w:p>
    <w:p>
      <w:pPr>
        <w:spacing w:after="0" w:line="50" w:lineRule="exact"/>
        <w:rPr>
          <w:rFonts w:ascii="Arial" w:cs="Arial" w:eastAsia="Arial" w:hAnsi="Arial"/>
          <w:sz w:val="17"/>
          <w:szCs w:val="17"/>
          <w:color w:val="auto"/>
        </w:rPr>
      </w:pPr>
    </w:p>
    <w:p>
      <w:pPr>
        <w:ind w:left="1620" w:right="499" w:hanging="360"/>
        <w:spacing w:after="0" w:line="263"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February 22, 2022, Ms. Jennifer Lowry joined the Board as an independent director and member of the Audit, Compensation and Corporate Governance, Conflicts and Nominating Committees of the Board.</w:t>
      </w:r>
    </w:p>
    <w:p>
      <w:pPr>
        <w:spacing w:after="0" w:line="62" w:lineRule="exact"/>
        <w:rPr>
          <w:rFonts w:ascii="Arial" w:cs="Arial" w:eastAsia="Arial" w:hAnsi="Arial"/>
          <w:sz w:val="18"/>
          <w:szCs w:val="18"/>
          <w:color w:val="auto"/>
        </w:rPr>
      </w:pPr>
    </w:p>
    <w:p>
      <w:pPr>
        <w:ind w:left="1620" w:right="539" w:hanging="360"/>
        <w:spacing w:after="0" w:line="25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Ms. McClean elected to receive the cash portion of her director compensation, her $20,000 compensation for serving as the Corporate Governance, Conflicts and Nominating Committee Chair, and her $20,000 compensation for serving as the Compensation Committee Chair in the 2022 fiscal year in the form of DSUs that were payable in Class C common stock upon termination of service as a Board member.</w:t>
      </w:r>
    </w:p>
    <w:p>
      <w:pPr>
        <w:spacing w:after="0" w:line="66" w:lineRule="exact"/>
        <w:rPr>
          <w:rFonts w:ascii="Arial" w:cs="Arial" w:eastAsia="Arial" w:hAnsi="Arial"/>
          <w:sz w:val="18"/>
          <w:szCs w:val="18"/>
          <w:color w:val="auto"/>
        </w:rPr>
      </w:pPr>
    </w:p>
    <w:p>
      <w:pPr>
        <w:ind w:left="1620" w:right="499" w:hanging="360"/>
        <w:spacing w:after="0" w:line="263"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More elected to receive the cash portion of his director compensation in the 2022 fiscal year in the form of DSUs that are payable in Class C common stock upon termination of service as a Board member.</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39" w:hanging="360"/>
        <w:spacing w:after="0" w:line="263"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O’Neal elected to receive the cash portion of his director compensation in the 2022 fiscal year in the form of DSUs that are payable in Class C common stock upon termination of service as a Board member.</w:t>
      </w:r>
    </w:p>
    <w:p>
      <w:pPr>
        <w:spacing w:after="0" w:line="116"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The following table sets forth the aggregate number of stock awards (DSUs and any DERs thereon) held by each of the independent directors as of December 31, 2022. All DSUs held by the independent directors are payable upon termination of service as a Board member.</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Class A Stock</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Class C Stock</w:t>
            </w:r>
          </w:p>
        </w:tc>
        <w:tc>
          <w:tcPr>
            <w:tcW w:w="40" w:type="dxa"/>
            <w:vAlign w:val="bottom"/>
          </w:tcPr>
          <w:p>
            <w:pPr>
              <w:spacing w:after="0"/>
              <w:rPr>
                <w:sz w:val="14"/>
                <w:szCs w:val="14"/>
                <w:color w:val="auto"/>
              </w:rPr>
            </w:pPr>
          </w:p>
        </w:tc>
      </w:tr>
      <w:tr>
        <w:trPr>
          <w:trHeight w:val="212"/>
        </w:trPr>
        <w:tc>
          <w:tcPr>
            <w:tcW w:w="53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840" w:type="dxa"/>
            <w:vAlign w:val="bottom"/>
            <w:gridSpan w:val="2"/>
          </w:tcPr>
          <w:p>
            <w:pPr>
              <w:ind w:left="200"/>
              <w:spacing w:after="0"/>
              <w:rPr>
                <w:sz w:val="20"/>
                <w:szCs w:val="20"/>
                <w:color w:val="auto"/>
              </w:rPr>
            </w:pPr>
            <w:r>
              <w:rPr>
                <w:rFonts w:ascii="Arial" w:cs="Arial" w:eastAsia="Arial" w:hAnsi="Arial"/>
                <w:sz w:val="14"/>
                <w:szCs w:val="14"/>
                <w:b w:val="1"/>
                <w:bCs w:val="1"/>
                <w:color w:val="auto"/>
              </w:rPr>
              <w:t>Awards</w:t>
            </w:r>
          </w:p>
        </w:tc>
        <w:tc>
          <w:tcPr>
            <w:tcW w:w="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50"/>
        </w:trPr>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Brian R. Ford</w:t>
            </w:r>
          </w:p>
        </w:tc>
        <w:tc>
          <w:tcPr>
            <w:tcW w:w="2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​7,185</w:t>
            </w:r>
          </w:p>
        </w:tc>
        <w:tc>
          <w:tcPr>
            <w:tcW w:w="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8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​59,101</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Jennifer E. Lowry</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80" w:type="dxa"/>
            <w:vAlign w:val="bottom"/>
          </w:tcPr>
          <w:p>
            <w:pPr>
              <w:jc w:val="center"/>
              <w:spacing w:after="0"/>
              <w:rPr>
                <w:sz w:val="20"/>
                <w:szCs w:val="20"/>
                <w:color w:val="auto"/>
              </w:rPr>
            </w:pPr>
            <w:r>
              <w:rPr>
                <w:rFonts w:ascii="Arial" w:cs="Arial" w:eastAsia="Arial" w:hAnsi="Arial"/>
                <w:sz w:val="18"/>
                <w:szCs w:val="18"/>
                <w:color w:val="auto"/>
              </w:rPr>
              <w:t>​ 3,717</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Ferrell P. McClean</w:t>
            </w:r>
            <w:r>
              <w:rPr>
                <w:rFonts w:ascii="Arial" w:cs="Arial" w:eastAsia="Arial" w:hAnsi="Arial"/>
                <w:sz w:val="23"/>
                <w:szCs w:val="23"/>
                <w:color w:val="auto"/>
                <w:vertAlign w:val="superscript"/>
              </w:rPr>
              <w:t>(1)</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Daniel B. More</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​40,900</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 Stanley O’Neal</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​37,119</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5086350</wp:posOffset>
            </wp:positionH>
            <wp:positionV relativeFrom="paragraph">
              <wp:posOffset>-839470</wp:posOffset>
            </wp:positionV>
            <wp:extent cx="137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-839470</wp:posOffset>
            </wp:positionV>
            <wp:extent cx="137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7" w:lineRule="exact"/>
        <w:rPr>
          <w:sz w:val="20"/>
          <w:szCs w:val="20"/>
          <w:color w:val="auto"/>
        </w:rPr>
      </w:pPr>
    </w:p>
    <w:p>
      <w:pPr>
        <w:ind w:left="1620" w:right="539" w:hanging="360"/>
        <w:spacing w:after="0" w:line="277"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October 27, 2022, Ms. McClean retired as a director and all outstanding stock awards converted to Class A and Class C common stock, as applicable, upon her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NO. 2</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APPROVAL, ON AN ADVISORY BASIS, OF THE COMPANY’S EXECUTIVE COMPENSATION</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Under Section 14A of the Exchange Act, the stockholders of the Company are entitled to vote at this year’s Annual Meeting to approve the compensation of the NEOs, as disclosed in this Proxy Statement pursuant to Item 402 of Regulation S-K (“Regulation S-K”) of the rules and regulations under the Securities Act of 1933, as amended (the “Securities Act”).</w:t>
      </w:r>
    </w:p>
    <w:p>
      <w:pPr>
        <w:spacing w:after="0" w:line="119"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 xml:space="preserve">As described more fully in the CD&amp;A beginning on page </w:t>
      </w:r>
      <w:r>
        <w:rPr>
          <w:rFonts w:ascii="Arial" w:cs="Arial" w:eastAsia="Arial" w:hAnsi="Arial"/>
          <w:sz w:val="18"/>
          <w:szCs w:val="18"/>
          <w:u w:val="single" w:color="auto"/>
          <w:color w:val="0000EE"/>
        </w:rPr>
        <w:t>44</w:t>
      </w:r>
      <w:r>
        <w:rPr>
          <w:rFonts w:ascii="Arial" w:cs="Arial" w:eastAsia="Arial" w:hAnsi="Arial"/>
          <w:sz w:val="18"/>
          <w:szCs w:val="18"/>
          <w:color w:val="auto"/>
        </w:rPr>
        <w:t>, the Company’s executive compensation program is designed to attract, retain and reward top executive talent. The intent of the Company’s compensation program is to reward the achievement of the Company’s annual goals and objectives while supporting the Company’s long-term business strategy.</w:t>
      </w:r>
    </w:p>
    <w:p>
      <w:pPr>
        <w:spacing w:after="0" w:line="106"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This proposal, commonly known as a “say on pay” proposal, gives stockholders the opportunity to express their views on the NEOs’ compensation. This vote is not intended to address any specific item of compensation, but rather the overall compensation of the NEOs as described in this Proxy Statement. Accordingly, the Board recommends that stockholders vote in favor of the following resolution:</w:t>
      </w:r>
    </w:p>
    <w:p>
      <w:pPr>
        <w:spacing w:after="0" w:line="104" w:lineRule="exact"/>
        <w:rPr>
          <w:sz w:val="20"/>
          <w:szCs w:val="20"/>
          <w:color w:val="auto"/>
        </w:rPr>
      </w:pPr>
    </w:p>
    <w:p>
      <w:pPr>
        <w:ind w:left="1620" w:right="1119"/>
        <w:spacing w:after="0" w:line="263" w:lineRule="auto"/>
        <w:rPr>
          <w:sz w:val="20"/>
          <w:szCs w:val="20"/>
          <w:color w:val="auto"/>
        </w:rPr>
      </w:pPr>
      <w:r>
        <w:rPr>
          <w:rFonts w:ascii="Arial" w:cs="Arial" w:eastAsia="Arial" w:hAnsi="Arial"/>
          <w:sz w:val="18"/>
          <w:szCs w:val="18"/>
          <w:color w:val="auto"/>
        </w:rPr>
        <w:t>“RESOLVED, that the compensation paid to the NEOs, as disclosed pursuant to Item 402 of Regulation S-K, including the CD&amp;A, compensation tables and narrative discussion, is hereby APPROVED.”</w:t>
      </w:r>
    </w:p>
    <w:p>
      <w:pPr>
        <w:spacing w:after="0" w:line="116"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color w:val="auto"/>
        </w:rPr>
        <w:t>The say on pay vote is advisory and therefore not binding on the Company, the Board or the Compensation Committee. However, the Board and the Compensation Committee value the opinions of the stockholders and to the extent there is a significant number of votes against the NEO compensation as disclosed in this Proxy Statement, stockholders’ concerns will be considered and the Board and the Compensation Committee will evaluate actions necessary to address those concerns.</w:t>
      </w:r>
    </w:p>
    <w:p>
      <w:pPr>
        <w:spacing w:after="0" w:line="172" w:lineRule="exact"/>
        <w:rPr>
          <w:sz w:val="20"/>
          <w:szCs w:val="20"/>
          <w:color w:val="auto"/>
        </w:rPr>
      </w:pPr>
    </w:p>
    <w:p>
      <w:pPr>
        <w:jc w:val="center"/>
        <w:ind w:left="1880" w:right="60"/>
        <w:spacing w:after="0" w:line="289" w:lineRule="auto"/>
        <w:rPr>
          <w:sz w:val="20"/>
          <w:szCs w:val="20"/>
          <w:color w:val="auto"/>
        </w:rPr>
      </w:pPr>
      <w:r>
        <w:rPr>
          <w:rFonts w:ascii="Arial" w:cs="Arial" w:eastAsia="Arial" w:hAnsi="Arial"/>
          <w:sz w:val="17"/>
          <w:szCs w:val="17"/>
          <w:b w:val="1"/>
          <w:bCs w:val="1"/>
          <w:color w:val="auto"/>
        </w:rPr>
        <w:t>The Board recommends a vote “FOR” the approval of the Company’s executive compensation as disclosed in this Proxy Statement. Proxies received by the Board will be voted “FOR” the approval of the Company’s executive compensation unless a contrary vote is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PROPOSAL NO. 3</w:t>
      </w:r>
    </w:p>
    <w:p>
      <w:pPr>
        <w:spacing w:after="0" w:line="117"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APPROVAL, ON A NON-BINDING ADVISORY BASIS, THE FREQUENCY OF THE VOTE TO</w:t>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APPROVE CLEARWAY ENERGY, INC.’S EXECUTIVE COMPENSATION</w:t>
      </w:r>
    </w:p>
    <w:p>
      <w:pPr>
        <w:spacing w:after="0" w:line="14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As described in Proposal No. 3, the Company’s stockholders are being provided the opportunity to cast an advisory vote to approve the compensation of the Company’s named executive officers, that is, the “say on pay” vote. Section 14A of the Exchange Act also affords stockholders the opportunity to cast an advisory vote on how often the Company should include the say on pay vote in its proxy materials for future annual stockholder meetings (or other meetings of stockholders at which directors will be elected). Under this Proposal No. 3, stockholders may elect to have the say on pay vote every one year, two years, or three years, or abstain from the vote.</w:t>
      </w:r>
    </w:p>
    <w:p>
      <w:pPr>
        <w:spacing w:after="0" w:line="127"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Although the vote is non-binding, the Board and the Compensation Committee value the opinions of the stockholders and will consider the outcome of the vote when determining the frequency of the say on pay vote.</w:t>
      </w:r>
    </w:p>
    <w:p>
      <w:pPr>
        <w:spacing w:after="0" w:line="10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Board has determined that an annual say on pay vote is the best approach for the Company and its stockholders because the Board believes that a one-year frequency provides the highest level of accountability and communication by and between the Board and the stockholders. An annual say on pay vote enables stockholders to approve the compensation of the named executive officers with the most recent executive compensation information presented in the proxy statement for the annual meeting of stockholders. In addition, the Board recognizes the importance of receiving regular, direct input from stockholders on important issues such as the Company’s compensation philosophy, policies and practices as disclosed in the proxy statement every year. An annual vote is consistent with Company policies of annually seeking input from, and engaging in discussions with, the stockholders on corporate governance matters and executive compensation philosophy, policies and practices.</w:t>
      </w:r>
    </w:p>
    <w:p>
      <w:pPr>
        <w:spacing w:after="0" w:line="127"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For the reasons stated above, the Board recommends a vote for a “one year” frequency for the say on pay vote. Please note that stockholders are not voting to approve or disapprove the best approach determined by the Board with respect to this proposal. Rather, stockholders may cast their vote on their preferred voting frequency by choosing the option of one year, two years, or three years, or abstain from the vote.</w:t>
      </w:r>
    </w:p>
    <w:p>
      <w:pPr>
        <w:spacing w:after="0" w:line="120"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Because this is only an advisory vote, the Board may decide that it is in the best interests of the stockholders and the Company to hold the say on pay vote more or less frequently than the option selected by the stockholders.</w:t>
      </w:r>
    </w:p>
    <w:p>
      <w:pPr>
        <w:spacing w:after="0" w:line="180" w:lineRule="exact"/>
        <w:rPr>
          <w:sz w:val="20"/>
          <w:szCs w:val="20"/>
          <w:color w:val="auto"/>
        </w:rPr>
      </w:pPr>
    </w:p>
    <w:p>
      <w:pPr>
        <w:jc w:val="center"/>
        <w:ind w:left="1860"/>
        <w:spacing w:after="0" w:line="266" w:lineRule="auto"/>
        <w:rPr>
          <w:sz w:val="20"/>
          <w:szCs w:val="20"/>
          <w:color w:val="auto"/>
        </w:rPr>
      </w:pPr>
      <w:r>
        <w:rPr>
          <w:rFonts w:ascii="Arial" w:cs="Arial" w:eastAsia="Arial" w:hAnsi="Arial"/>
          <w:sz w:val="18"/>
          <w:szCs w:val="18"/>
          <w:b w:val="1"/>
          <w:bCs w:val="1"/>
          <w:color w:val="auto"/>
        </w:rPr>
        <w:t>The Board recommends a vote for the frequency of “ONE YEAR” for the advisory vote on executive compensation. Proxies received by the Board will be voted for the frequency of “ONE YEAR” unless a contrary vote is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PROPOSAL NO. 4</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FOR THE 2023 FISCAL YEAR</w:t>
      </w:r>
    </w:p>
    <w:p>
      <w:pPr>
        <w:spacing w:after="0" w:line="162"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The Audit Committee is directly responsible for the appointment, compensation, retention and oversight of the independent registered public accounting firm retained to audit the Company’s consolidated financial statements. To execute this responsibility, the Audit Committee engages in a thorough annual evaluation of (i) the independent registered public accounting firm’s qualifications, performance and independence, (ii) whether the independent registered public accounting firm should be rotated, and (iii) the advisability and potential impact of selecting a different independent registered public accounting firm.</w:t>
      </w:r>
    </w:p>
    <w:p>
      <w:pPr>
        <w:spacing w:after="0" w:line="110" w:lineRule="exact"/>
        <w:rPr>
          <w:sz w:val="20"/>
          <w:szCs w:val="20"/>
          <w:color w:val="auto"/>
        </w:rPr>
      </w:pPr>
    </w:p>
    <w:p>
      <w:pPr>
        <w:jc w:val="both"/>
        <w:ind w:left="1260" w:right="439" w:firstLine="360"/>
        <w:spacing w:after="0" w:line="263" w:lineRule="auto"/>
        <w:rPr>
          <w:sz w:val="20"/>
          <w:szCs w:val="20"/>
          <w:color w:val="auto"/>
        </w:rPr>
      </w:pPr>
      <w:r>
        <w:rPr>
          <w:rFonts w:ascii="Arial" w:cs="Arial" w:eastAsia="Arial" w:hAnsi="Arial"/>
          <w:sz w:val="18"/>
          <w:szCs w:val="18"/>
          <w:color w:val="auto"/>
        </w:rPr>
        <w:t>The Audit Committee appointed Ernst &amp; Young LLP, an independent registered public accounting firm, to audit the consolidated financial statements of the Company and its subsidiaries for the fiscal year ending December 31, 2023.</w:t>
      </w:r>
    </w:p>
    <w:p>
      <w:pPr>
        <w:spacing w:after="0" w:line="103"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Each of Ernst &amp; Young LLP’s audit report on the consolidated financial statements of the Company and its subsidiaries as of and for the fiscal years ended December 31, 2021 and December 31, 2022 did not contain an adverse opinion or disclaimer of opinion, nor were they qualified or modified as to uncertainty, audit scope or accounting principles.</w:t>
      </w:r>
    </w:p>
    <w:p>
      <w:pPr>
        <w:spacing w:after="0" w:line="119" w:lineRule="exact"/>
        <w:rPr>
          <w:sz w:val="20"/>
          <w:szCs w:val="20"/>
          <w:color w:val="auto"/>
        </w:rPr>
      </w:pPr>
    </w:p>
    <w:p>
      <w:pPr>
        <w:ind w:left="1260" w:right="519" w:firstLine="360"/>
        <w:spacing w:after="0" w:line="273" w:lineRule="auto"/>
        <w:rPr>
          <w:sz w:val="20"/>
          <w:szCs w:val="20"/>
          <w:color w:val="auto"/>
        </w:rPr>
      </w:pPr>
      <w:r>
        <w:rPr>
          <w:rFonts w:ascii="Arial" w:cs="Arial" w:eastAsia="Arial" w:hAnsi="Arial"/>
          <w:sz w:val="17"/>
          <w:szCs w:val="17"/>
          <w:color w:val="auto"/>
        </w:rPr>
        <w:t>During the period from January 1, 2021 through March 9, 2021, there were no (i) disagreements (as defined in Item 304(a)(1)(iv) of Regulation S-K) between the Company and KPMG LLP or Ernst &amp; Young LLP on any matter of accounting principle or practice, financial statement disclosure, or auditing scope or procedure which, if not resolved to KPMG LLP’s or Ernst &amp; Young LLP’s satisfaction, would have caused it to make reference to the matter in conjunction with its report on the Company’s consolidated financial statements for the relevant year, or (ii) reportable events as defined in Item 304(a)(1)(v) of Regulation S-K.</w:t>
      </w:r>
    </w:p>
    <w:p>
      <w:pPr>
        <w:spacing w:after="0" w:line="110"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During the period from January 1, 2021 through March 9, 2021, neither the Company, nor anyone on behalf of the Company, consulted with Ernst &amp; Young LLP with respect to either (i) the application of accounting principles to a specified transaction, either completed or proposed, or the type of audit opinion that might be rendered on the consolidated financial statements of the Company and its subsidiaries, and no written report or oral advice was provided by Ernst &amp; Young LLP to the Company that Ernst &amp; Young LLP concluded was an important factor considered by the Company in reaching a decision as to the accounting, auditing or financial reporting issue or (ii) any matter that was the subject of either a disagreement (as defined in Item 304(a)(1)(iv) of Regulation S-K) or a reportable event (as described in Item 304(a)(1)(v) of Regulation S-K).</w:t>
      </w:r>
    </w:p>
    <w:p>
      <w:pPr>
        <w:spacing w:after="0" w:line="115"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In accordance with SEC rules and Ernst &amp; Young LLP policies, audit partners are subject to rotation requirements to limit the number of consecutive years an individual partner may provide audit services to the Company. For lead and concurring review audit partners, the maximum number of consecutive years of service in that capacity is five years. The Audit Committee is involved in the selection of Ernst &amp; Young LLP’s lead audit partner.</w:t>
      </w:r>
    </w:p>
    <w:p>
      <w:pPr>
        <w:spacing w:after="0" w:line="120"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Audit Committee and the Board believe that the appointment of Ernst &amp; Young LLP to serve as the Company’s independent registered public accounting firm for the 2023 fiscal year is in the best interests of the Company and its stockholders. If the stockholders do not ratify the appointment of Ernst &amp; Young LLP, the Audit Committee will reconsider its selection. Representatives of Ernst &amp; Young LLP are expected to attend the Annual Meeting where they will be available to respond to questions and, if they desire, to make a statement.</w:t>
      </w:r>
    </w:p>
    <w:p>
      <w:pPr>
        <w:spacing w:after="0" w:line="188" w:lineRule="exact"/>
        <w:rPr>
          <w:sz w:val="20"/>
          <w:szCs w:val="20"/>
          <w:color w:val="auto"/>
        </w:rPr>
      </w:pPr>
    </w:p>
    <w:p>
      <w:pPr>
        <w:jc w:val="center"/>
        <w:ind w:left="1840" w:right="60"/>
        <w:spacing w:after="0" w:line="289" w:lineRule="auto"/>
        <w:rPr>
          <w:sz w:val="20"/>
          <w:szCs w:val="20"/>
          <w:color w:val="auto"/>
        </w:rPr>
      </w:pPr>
      <w:r>
        <w:rPr>
          <w:rFonts w:ascii="Arial" w:cs="Arial" w:eastAsia="Arial" w:hAnsi="Arial"/>
          <w:sz w:val="17"/>
          <w:szCs w:val="17"/>
          <w:b w:val="1"/>
          <w:bCs w:val="1"/>
          <w:color w:val="auto"/>
        </w:rPr>
        <w:t>The Board recommends a vote “FOR” the ratification of the appointment of Ernst &amp; Young LLP as the Company’s lead independent registered public accounting firm for the 2023 fiscal year. Proxies received by the Board will be voted “FOR” ratification unless a contrary vote is specified.</w:t>
      </w:r>
    </w:p>
    <w:p>
      <w:pPr>
        <w:spacing w:after="0" w:line="39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EXECUTIVE OFFICERS</w:t>
      </w:r>
    </w:p>
    <w:p>
      <w:pPr>
        <w:spacing w:after="0" w:line="162"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Our executive officers are elected by the Board annually to hold office until their successors are elected and qualified. The biographical information for each of the executive officers is provided below.</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Christopher S. Sotos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Age 51</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For biographical information for Christopher S. Sotos, see “Proposal No. 1 — Nominees for Director.”</w:t>
      </w: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Kevin P. Malcarney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Age 56</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Executive Vice President, General Counsel and Corporate Secretary</w:t>
      </w:r>
    </w:p>
    <w:p>
      <w:pPr>
        <w:spacing w:after="0" w:line="130"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Mr. Malcarney has served as General Counsel and Corporate Secretary since May 11, 2018 and was promoted from Senior Vice President to Executive Vice President in January 2022. He served as Interim General Counsel of the Company from March 16, 2018 to May 11, 2018. Mr. Malcarney was previously Vice President and Deputy General Counsel and served in various other roles at NRG since</w:t>
      </w:r>
    </w:p>
    <w:p>
      <w:pPr>
        <w:spacing w:after="0" w:line="2"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September 2008. Prior to NRG, Mr. Malcarney worked at two major law firms in Princeton, New Jersey and Philadelphia, Pennsylvania, and handled mergers and acquisitions, project financing and general corporate matters.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Sarah Rubenstein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Age 45</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Senior Vice President and Chief Accounting Officer</w:t>
      </w:r>
    </w:p>
    <w:p>
      <w:pPr>
        <w:spacing w:after="0" w:line="143" w:lineRule="exact"/>
        <w:rPr>
          <w:sz w:val="20"/>
          <w:szCs w:val="20"/>
          <w:color w:val="auto"/>
        </w:rPr>
      </w:pPr>
    </w:p>
    <w:p>
      <w:pPr>
        <w:ind w:left="1260" w:right="519" w:firstLine="360"/>
        <w:spacing w:after="0" w:line="271" w:lineRule="auto"/>
        <w:rPr>
          <w:sz w:val="20"/>
          <w:szCs w:val="20"/>
          <w:color w:val="auto"/>
        </w:rPr>
      </w:pPr>
      <w:r>
        <w:rPr>
          <w:rFonts w:ascii="Arial" w:cs="Arial" w:eastAsia="Arial" w:hAnsi="Arial"/>
          <w:sz w:val="17"/>
          <w:szCs w:val="17"/>
          <w:color w:val="auto"/>
        </w:rPr>
        <w:t>Sarah Rubenstein has served as Senior Vice President and Chief Accounting Officer of the Company since January 2022 and previously served as Vice President and Controller from November 2020 through December 2021. Ms. Rubenstein previously served as Assistant Controller of the Company since August 2018, where she was responsible for managing corporate accounting and financial reporting activities, and immediately prior to that, as Director of Accounting Research and Financial Reporting at NRG Energy, Inc. from August 2012 through August 2018. Ms Rubenstein’s prior roles include Director of Finance at EPV Solar, Inc. and Senior Director of Financial Reporting at Warner Music Group. Ms. Rubenstein began her career as an auditor with PricewaterhouseCoopers.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STOCK OWNERSHIP OF DIRECTORS, NAMED EXECUTIVE OFFICERS AND</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CERTAIN BENEFICIAL OWNERS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OWNERSHIP OF DIRECTORS AND EXECUTIVE OFFICERS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following table sets forth information concerning beneficial ownership of the Company’s Class A and Class C common stock and combined voting power of Class A, Class B, Class C and Class D common stock for: (a) each director and the nominees for director; (b) each NEO; and (c) the directors and all executive officers as a group. The percentage of beneficial ownership is based on 34,613,853 shares of Class A common stock outstanding as of March 3, 2023 and 82,283,460 shares of Class C common stock outstanding as of March 3, 2023, and percentage of combined voting power is based on 78,598,806 votes represented by our outstanding Class A, Class B, Class C and Class D common stock in the aggregate as of March 3, 2023. The percentage of beneficial ownership and the percentage of combined voting power also include any shares that such person has the right to acquire within 60 days of March 3, 2023. Unless otherwise indicated, each person has sole voting and dispositive power with respect to the shares set forth in the following table.</w:t>
      </w:r>
    </w:p>
    <w:p>
      <w:pPr>
        <w:spacing w:after="0" w:line="111" w:lineRule="exact"/>
        <w:rPr>
          <w:sz w:val="20"/>
          <w:szCs w:val="20"/>
          <w:color w:val="auto"/>
        </w:rPr>
      </w:pPr>
    </w:p>
    <w:p>
      <w:pPr>
        <w:ind w:left="1260" w:right="1079" w:firstLine="360"/>
        <w:spacing w:after="0" w:line="259" w:lineRule="auto"/>
        <w:rPr>
          <w:sz w:val="20"/>
          <w:szCs w:val="20"/>
          <w:color w:val="auto"/>
        </w:rPr>
      </w:pPr>
      <w:r>
        <w:rPr>
          <w:rFonts w:ascii="Arial" w:cs="Arial" w:eastAsia="Arial" w:hAnsi="Arial"/>
          <w:sz w:val="18"/>
          <w:szCs w:val="18"/>
          <w:color w:val="auto"/>
        </w:rPr>
        <w:t>The address of the beneficial owners is Clearway Energy, Inc., 300 Carnegie Center, Suite 300, Princeton, New Jersey 08540.</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377"/>
        </w:trPr>
        <w:tc>
          <w:tcPr>
            <w:tcW w:w="3100" w:type="dxa"/>
            <w:vAlign w:val="bottom"/>
          </w:tcPr>
          <w:p>
            <w:pPr>
              <w:spacing w:after="0"/>
              <w:rPr>
                <w:sz w:val="24"/>
                <w:szCs w:val="24"/>
                <w:color w:val="auto"/>
              </w:rPr>
            </w:pPr>
          </w:p>
        </w:tc>
        <w:tc>
          <w:tcPr>
            <w:tcW w:w="1960" w:type="dxa"/>
            <w:vAlign w:val="bottom"/>
            <w:gridSpan w:val="4"/>
          </w:tcPr>
          <w:p>
            <w:pPr>
              <w:ind w:left="6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Class A Common Stock</w:t>
            </w:r>
          </w:p>
        </w:tc>
        <w:tc>
          <w:tcPr>
            <w:tcW w:w="2180" w:type="dxa"/>
            <w:vAlign w:val="bottom"/>
            <w:gridSpan w:val="5"/>
          </w:tcPr>
          <w:p>
            <w:pPr>
              <w:ind w:left="4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Class C Common Stock</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Common Stock</w:t>
            </w:r>
          </w:p>
        </w:tc>
      </w:tr>
      <w:tr>
        <w:trPr>
          <w:trHeight w:val="160"/>
        </w:trPr>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ind w:left="80"/>
              <w:spacing w:after="0" w:line="160" w:lineRule="exact"/>
              <w:rPr>
                <w:sz w:val="20"/>
                <w:szCs w:val="20"/>
                <w:color w:val="auto"/>
              </w:rPr>
            </w:pPr>
            <w:r>
              <w:rPr>
                <w:rFonts w:ascii="Arial" w:cs="Arial" w:eastAsia="Arial" w:hAnsi="Arial"/>
                <w:sz w:val="14"/>
                <w:szCs w:val="14"/>
                <w:b w:val="1"/>
                <w:bCs w:val="1"/>
                <w:color w:val="auto"/>
                <w:w w:val="99"/>
              </w:rPr>
              <w:t>% of Class A</w:t>
            </w:r>
          </w:p>
        </w:tc>
        <w:tc>
          <w:tcPr>
            <w:tcW w:w="2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ind w:left="60"/>
              <w:spacing w:after="0" w:line="160" w:lineRule="exact"/>
              <w:rPr>
                <w:sz w:val="20"/>
                <w:szCs w:val="20"/>
                <w:color w:val="auto"/>
              </w:rPr>
            </w:pPr>
            <w:r>
              <w:rPr>
                <w:rFonts w:ascii="Arial" w:cs="Arial" w:eastAsia="Arial" w:hAnsi="Arial"/>
                <w:sz w:val="14"/>
                <w:szCs w:val="14"/>
                <w:b w:val="1"/>
                <w:bCs w:val="1"/>
                <w:color w:val="auto"/>
              </w:rPr>
              <w:t>% of Class C</w:t>
            </w:r>
          </w:p>
        </w:tc>
        <w:tc>
          <w:tcPr>
            <w:tcW w:w="220" w:type="dxa"/>
            <w:vAlign w:val="bottom"/>
          </w:tcPr>
          <w:p>
            <w:pPr>
              <w:spacing w:after="0"/>
              <w:rPr>
                <w:sz w:val="13"/>
                <w:szCs w:val="13"/>
                <w:color w:val="auto"/>
              </w:rPr>
            </w:pPr>
          </w:p>
        </w:tc>
        <w:tc>
          <w:tcPr>
            <w:tcW w:w="96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2"/>
              </w:rPr>
              <w:t>% of Combined</w:t>
            </w:r>
          </w:p>
        </w:tc>
      </w:tr>
      <w:tr>
        <w:trPr>
          <w:trHeight w:val="225"/>
        </w:trPr>
        <w:tc>
          <w:tcPr>
            <w:tcW w:w="3100" w:type="dxa"/>
            <w:vAlign w:val="bottom"/>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4140" w:type="dxa"/>
            <w:vAlign w:val="bottom"/>
            <w:gridSpan w:val="9"/>
          </w:tcPr>
          <w:p>
            <w:pPr>
              <w:ind w:left="60"/>
              <w:spacing w:after="0" w:line="225" w:lineRule="exact"/>
              <w:rPr>
                <w:sz w:val="20"/>
                <w:szCs w:val="20"/>
                <w:color w:val="auto"/>
              </w:rPr>
            </w:pP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Number</w:t>
            </w:r>
            <w:r>
              <w:rPr>
                <w:rFonts w:ascii="Arial" w:cs="Arial" w:eastAsia="Arial" w:hAnsi="Arial"/>
                <w:sz w:val="16"/>
                <w:szCs w:val="16"/>
                <w:b w:val="1"/>
                <w:bCs w:val="1"/>
                <w:color w:val="auto"/>
                <w:vertAlign w:val="superscript"/>
              </w:rPr>
              <w:t>(1)</w:t>
            </w:r>
            <w:r>
              <w:rPr>
                <w:rFonts w:ascii="Arial" w:cs="Arial" w:eastAsia="Arial" w:hAnsi="Arial"/>
                <w:sz w:val="14"/>
                <w:szCs w:val="14"/>
                <w:b w:val="1"/>
                <w:bCs w:val="1"/>
                <w:color w:val="auto"/>
              </w:rPr>
              <w:t xml:space="preserve">  </w:t>
            </w: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Common Stock </w:t>
            </w: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Number</w:t>
            </w:r>
            <w:r>
              <w:rPr>
                <w:rFonts w:ascii="Arial" w:cs="Arial" w:eastAsia="Arial" w:hAnsi="Arial"/>
                <w:sz w:val="16"/>
                <w:szCs w:val="16"/>
                <w:b w:val="1"/>
                <w:bCs w:val="1"/>
                <w:color w:val="auto"/>
                <w:vertAlign w:val="superscript"/>
              </w:rPr>
              <w:t>(1)</w:t>
            </w:r>
            <w:r>
              <w:rPr>
                <w:rFonts w:ascii="Arial" w:cs="Arial" w:eastAsia="Arial" w:hAnsi="Arial"/>
                <w:sz w:val="14"/>
                <w:szCs w:val="14"/>
                <w:b w:val="1"/>
                <w:bCs w:val="1"/>
                <w:color w:val="auto"/>
              </w:rPr>
              <w:t xml:space="preserve">  </w:t>
            </w: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Common Stock</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Voting Power</w:t>
            </w:r>
            <w:r>
              <w:rPr>
                <w:rFonts w:ascii="Arial" w:cs="Arial" w:eastAsia="Arial" w:hAnsi="Arial"/>
                <w:sz w:val="17"/>
                <w:szCs w:val="17"/>
                <w:b w:val="1"/>
                <w:bCs w:val="1"/>
                <w:color w:val="auto"/>
                <w:w w:val="87"/>
                <w:vertAlign w:val="superscript"/>
              </w:rPr>
              <w:t>(2)</w:t>
            </w:r>
          </w:p>
        </w:tc>
      </w:tr>
      <w:tr>
        <w:trPr>
          <w:trHeight w:val="20"/>
        </w:trPr>
        <w:tc>
          <w:tcPr>
            <w:tcW w:w="3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6" w:lineRule="exact"/>
        <w:rPr>
          <w:sz w:val="20"/>
          <w:szCs w:val="20"/>
          <w:color w:val="auto"/>
        </w:rPr>
      </w:pPr>
    </w:p>
    <w:tbl>
      <w:tblPr>
        <w:tblLayout w:type="fixed"/>
        <w:tblInd w:w="1260" w:type="dxa"/>
        <w:tblCellMar>
          <w:top w:w="0" w:type="dxa"/>
          <w:left w:w="0" w:type="dxa"/>
          <w:bottom w:w="0" w:type="dxa"/>
          <w:right w:w="0" w:type="dxa"/>
        </w:tblCellMar>
      </w:tblPr>
      <w:tr>
        <w:trPr>
          <w:trHeight w:val="224"/>
        </w:trPr>
        <w:tc>
          <w:tcPr>
            <w:tcW w:w="3080" w:type="dxa"/>
            <w:vAlign w:val="bottom"/>
          </w:tcPr>
          <w:p>
            <w:pPr>
              <w:spacing w:after="0"/>
              <w:rPr>
                <w:sz w:val="20"/>
                <w:szCs w:val="20"/>
                <w:color w:val="auto"/>
              </w:rPr>
            </w:pPr>
            <w:r>
              <w:rPr>
                <w:rFonts w:ascii="Arial" w:cs="Arial" w:eastAsia="Arial" w:hAnsi="Arial"/>
                <w:sz w:val="18"/>
                <w:szCs w:val="18"/>
                <w:color w:val="auto"/>
              </w:rPr>
              <w:t>Jonathan Bram</w:t>
            </w:r>
          </w:p>
        </w:tc>
        <w:tc>
          <w:tcPr>
            <w:tcW w:w="420" w:type="dxa"/>
            <w:vAlign w:val="bottom"/>
          </w:tcPr>
          <w:p>
            <w:pPr>
              <w:ind w:left="8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106"/>
              <w:spacing w:after="0"/>
              <w:rPr>
                <w:sz w:val="20"/>
                <w:szCs w:val="20"/>
                <w:color w:val="auto"/>
              </w:rPr>
            </w:pPr>
            <w:r>
              <w:rPr>
                <w:rFonts w:ascii="Arial" w:cs="Arial" w:eastAsia="Arial" w:hAnsi="Arial"/>
                <w:sz w:val="18"/>
                <w:szCs w:val="18"/>
                <w:color w:val="auto"/>
              </w:rPr>
              <w:t>— ​​ ​</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right"/>
              <w:ind w:right="243"/>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080" w:type="dxa"/>
            <w:vAlign w:val="bottom"/>
          </w:tcPr>
          <w:p>
            <w:pPr>
              <w:spacing w:after="0"/>
              <w:rPr>
                <w:sz w:val="20"/>
                <w:szCs w:val="20"/>
                <w:color w:val="auto"/>
              </w:rPr>
            </w:pPr>
            <w:r>
              <w:rPr>
                <w:rFonts w:ascii="Arial" w:cs="Arial" w:eastAsia="Arial" w:hAnsi="Arial"/>
                <w:sz w:val="18"/>
                <w:szCs w:val="18"/>
                <w:color w:val="auto"/>
              </w:rPr>
              <w:t>Christopher S. Sotos</w:t>
            </w:r>
          </w:p>
        </w:tc>
        <w:tc>
          <w:tcPr>
            <w:tcW w:w="1220" w:type="dxa"/>
            <w:vAlign w:val="bottom"/>
            <w:gridSpan w:val="3"/>
          </w:tcPr>
          <w:p>
            <w:pPr>
              <w:jc w:val="right"/>
              <w:ind w:right="226"/>
              <w:spacing w:after="0" w:line="209" w:lineRule="exact"/>
              <w:rPr>
                <w:sz w:val="20"/>
                <w:szCs w:val="20"/>
                <w:color w:val="auto"/>
              </w:rPr>
            </w:pPr>
            <w:r>
              <w:rPr>
                <w:rFonts w:ascii="Arial" w:cs="Arial" w:eastAsia="Arial" w:hAnsi="Arial"/>
                <w:sz w:val="18"/>
                <w:szCs w:val="18"/>
                <w:color w:val="auto"/>
              </w:rPr>
              <w:t>27,100</w:t>
            </w:r>
            <w:r>
              <w:rPr>
                <w:rFonts w:ascii="Arial" w:cs="Arial" w:eastAsia="Arial" w:hAnsi="Arial"/>
                <w:sz w:val="23"/>
                <w:szCs w:val="23"/>
                <w:color w:val="auto"/>
                <w:vertAlign w:val="superscript"/>
              </w:rPr>
              <w:t>(3)</w:t>
            </w:r>
          </w:p>
        </w:tc>
        <w:tc>
          <w:tcPr>
            <w:tcW w:w="26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3"/>
              <w:spacing w:after="0" w:line="209" w:lineRule="exact"/>
              <w:rPr>
                <w:sz w:val="20"/>
                <w:szCs w:val="20"/>
                <w:color w:val="auto"/>
              </w:rPr>
            </w:pPr>
            <w:r>
              <w:rPr>
                <w:rFonts w:ascii="Arial" w:cs="Arial" w:eastAsia="Arial" w:hAnsi="Arial"/>
                <w:sz w:val="18"/>
                <w:szCs w:val="18"/>
                <w:color w:val="auto"/>
              </w:rPr>
              <w:t>333,404</w:t>
            </w:r>
            <w:r>
              <w:rPr>
                <w:rFonts w:ascii="Arial" w:cs="Arial" w:eastAsia="Arial" w:hAnsi="Arial"/>
                <w:sz w:val="23"/>
                <w:szCs w:val="23"/>
                <w:color w:val="auto"/>
                <w:vertAlign w:val="superscript"/>
              </w:rPr>
              <w:t>(3)</w:t>
            </w:r>
          </w:p>
        </w:tc>
        <w:tc>
          <w:tcPr>
            <w:tcW w:w="26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080" w:type="dxa"/>
            <w:vAlign w:val="bottom"/>
          </w:tcPr>
          <w:p>
            <w:pPr>
              <w:spacing w:after="0"/>
              <w:rPr>
                <w:sz w:val="4"/>
                <w:szCs w:val="4"/>
                <w:color w:val="auto"/>
              </w:rPr>
            </w:pPr>
          </w:p>
        </w:tc>
        <w:tc>
          <w:tcPr>
            <w:tcW w:w="420" w:type="dxa"/>
            <w:vAlign w:val="bottom"/>
          </w:tcPr>
          <w:p>
            <w:pPr>
              <w:ind w:left="80"/>
              <w:spacing w:after="0" w:line="54" w:lineRule="exact"/>
              <w:rPr>
                <w:sz w:val="20"/>
                <w:szCs w:val="20"/>
                <w:color w:val="auto"/>
              </w:rPr>
            </w:pPr>
            <w:r>
              <w:rPr>
                <w:rFonts w:ascii="Arial" w:cs="Arial" w:eastAsia="Arial" w:hAnsi="Arial"/>
                <w:sz w:val="6"/>
                <w:szCs w:val="6"/>
                <w:color w:val="auto"/>
              </w:rPr>
              <w:t>​ ​ ​</w:t>
            </w:r>
          </w:p>
        </w:tc>
        <w:tc>
          <w:tcPr>
            <w:tcW w:w="360" w:type="dxa"/>
            <w:vAlign w:val="bottom"/>
          </w:tcPr>
          <w:p>
            <w:pPr>
              <w:spacing w:after="0"/>
              <w:rPr>
                <w:sz w:val="4"/>
                <w:szCs w:val="4"/>
                <w:color w:val="auto"/>
              </w:rPr>
            </w:pPr>
          </w:p>
        </w:tc>
        <w:tc>
          <w:tcPr>
            <w:tcW w:w="440" w:type="dxa"/>
            <w:vAlign w:val="bottom"/>
          </w:tcPr>
          <w:p>
            <w:pPr>
              <w:jc w:val="right"/>
              <w:ind w:right="106"/>
              <w:spacing w:after="0" w:line="54" w:lineRule="exact"/>
              <w:rPr>
                <w:sz w:val="20"/>
                <w:szCs w:val="20"/>
                <w:color w:val="auto"/>
              </w:rPr>
            </w:pPr>
            <w:r>
              <w:rPr>
                <w:rFonts w:ascii="Arial" w:cs="Arial" w:eastAsia="Arial" w:hAnsi="Arial"/>
                <w:sz w:val="6"/>
                <w:szCs w:val="6"/>
                <w:color w:val="auto"/>
              </w:rPr>
              <w:t>​​ ​</w:t>
            </w:r>
          </w:p>
        </w:tc>
        <w:tc>
          <w:tcPr>
            <w:tcW w:w="26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ind w:left="180"/>
              <w:spacing w:after="0" w:line="54" w:lineRule="exact"/>
              <w:rPr>
                <w:sz w:val="20"/>
                <w:szCs w:val="20"/>
                <w:color w:val="auto"/>
              </w:rPr>
            </w:pPr>
            <w:r>
              <w:rPr>
                <w:rFonts w:ascii="Arial" w:cs="Arial" w:eastAsia="Arial" w:hAnsi="Arial"/>
                <w:sz w:val="6"/>
                <w:szCs w:val="6"/>
                <w:color w:val="auto"/>
              </w:rPr>
              <w:t>​​ ​​</w:t>
            </w:r>
          </w:p>
        </w:tc>
        <w:tc>
          <w:tcPr>
            <w:tcW w:w="520" w:type="dxa"/>
            <w:vAlign w:val="bottom"/>
          </w:tcPr>
          <w:p>
            <w:pPr>
              <w:spacing w:after="0"/>
              <w:rPr>
                <w:sz w:val="4"/>
                <w:szCs w:val="4"/>
                <w:color w:val="auto"/>
              </w:rPr>
            </w:pPr>
          </w:p>
        </w:tc>
        <w:tc>
          <w:tcPr>
            <w:tcW w:w="400" w:type="dxa"/>
            <w:vAlign w:val="bottom"/>
          </w:tcPr>
          <w:p>
            <w:pPr>
              <w:jc w:val="right"/>
              <w:ind w:right="243"/>
              <w:spacing w:after="0" w:line="54"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080" w:type="dxa"/>
            <w:vAlign w:val="bottom"/>
            <w:vMerge w:val="restart"/>
          </w:tcPr>
          <w:p>
            <w:pPr>
              <w:spacing w:after="0"/>
              <w:rPr>
                <w:sz w:val="20"/>
                <w:szCs w:val="20"/>
                <w:color w:val="auto"/>
              </w:rPr>
            </w:pPr>
            <w:r>
              <w:rPr>
                <w:rFonts w:ascii="Arial" w:cs="Arial" w:eastAsia="Arial" w:hAnsi="Arial"/>
                <w:sz w:val="18"/>
                <w:szCs w:val="18"/>
                <w:color w:val="auto"/>
              </w:rPr>
              <w:t>Kevin P. Malcarney</w:t>
            </w:r>
          </w:p>
        </w:tc>
        <w:tc>
          <w:tcPr>
            <w:tcW w:w="420" w:type="dxa"/>
            <w:vAlign w:val="bottom"/>
            <w:vMerge w:val="restart"/>
          </w:tcPr>
          <w:p>
            <w:pPr>
              <w:ind w:left="80"/>
              <w:spacing w:after="0"/>
              <w:rPr>
                <w:sz w:val="20"/>
                <w:szCs w:val="20"/>
                <w:color w:val="auto"/>
              </w:rPr>
            </w:pPr>
            <w:r>
              <w:rPr>
                <w:rFonts w:ascii="Arial" w:cs="Arial" w:eastAsia="Arial" w:hAnsi="Arial"/>
                <w:sz w:val="18"/>
                <w:szCs w:val="18"/>
                <w:color w:val="auto"/>
              </w:rPr>
              <w:t>​ ​ ​</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600</w:t>
            </w:r>
          </w:p>
        </w:tc>
        <w:tc>
          <w:tcPr>
            <w:tcW w:w="440" w:type="dxa"/>
            <w:vAlign w:val="bottom"/>
          </w:tcPr>
          <w:p>
            <w:pPr>
              <w:jc w:val="right"/>
              <w:ind w:right="226"/>
              <w:spacing w:after="0" w:line="108" w:lineRule="exact"/>
              <w:rPr>
                <w:sz w:val="20"/>
                <w:szCs w:val="20"/>
                <w:color w:val="auto"/>
              </w:rPr>
            </w:pPr>
            <w:r>
              <w:rPr>
                <w:rFonts w:ascii="Arial" w:cs="Arial" w:eastAsia="Arial" w:hAnsi="Arial"/>
                <w:sz w:val="12"/>
                <w:szCs w:val="12"/>
                <w:color w:val="auto"/>
                <w:w w:val="81"/>
              </w:rPr>
              <w:t>(4)</w:t>
            </w:r>
          </w:p>
        </w:tc>
        <w:tc>
          <w:tcPr>
            <w:tcW w:w="58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 *</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auto"/>
              </w:rPr>
              <w:t>​​ ​​ 68,166</w:t>
            </w:r>
          </w:p>
        </w:tc>
        <w:tc>
          <w:tcPr>
            <w:tcW w:w="400" w:type="dxa"/>
            <w:vAlign w:val="bottom"/>
          </w:tcPr>
          <w:p>
            <w:pPr>
              <w:jc w:val="right"/>
              <w:ind w:right="203"/>
              <w:spacing w:after="0" w:line="108" w:lineRule="exact"/>
              <w:rPr>
                <w:sz w:val="20"/>
                <w:szCs w:val="20"/>
                <w:color w:val="auto"/>
              </w:rPr>
            </w:pPr>
            <w:r>
              <w:rPr>
                <w:rFonts w:ascii="Arial" w:cs="Arial" w:eastAsia="Arial" w:hAnsi="Arial"/>
                <w:sz w:val="12"/>
                <w:szCs w:val="12"/>
                <w:color w:val="auto"/>
                <w:w w:val="81"/>
              </w:rPr>
              <w:t>(4)</w:t>
            </w:r>
          </w:p>
        </w:tc>
        <w:tc>
          <w:tcPr>
            <w:tcW w:w="56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 *</w:t>
            </w:r>
          </w:p>
        </w:tc>
        <w:tc>
          <w:tcPr>
            <w:tcW w:w="5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 *</w:t>
            </w:r>
          </w:p>
        </w:tc>
        <w:tc>
          <w:tcPr>
            <w:tcW w:w="24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30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440" w:type="dxa"/>
            <w:vAlign w:val="bottom"/>
          </w:tcPr>
          <w:p>
            <w:pPr>
              <w:jc w:val="right"/>
              <w:ind w:right="106"/>
              <w:spacing w:after="0" w:line="149" w:lineRule="exact"/>
              <w:rPr>
                <w:sz w:val="20"/>
                <w:szCs w:val="20"/>
                <w:color w:val="auto"/>
              </w:rPr>
            </w:pPr>
            <w:r>
              <w:rPr>
                <w:rFonts w:ascii="Arial" w:cs="Arial" w:eastAsia="Arial" w:hAnsi="Arial"/>
                <w:sz w:val="17"/>
                <w:szCs w:val="17"/>
                <w:color w:val="auto"/>
              </w:rPr>
              <w:t>​​ ​</w:t>
            </w:r>
          </w:p>
        </w:tc>
        <w:tc>
          <w:tcPr>
            <w:tcW w:w="5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00" w:type="dxa"/>
            <w:vAlign w:val="bottom"/>
          </w:tcPr>
          <w:p>
            <w:pPr>
              <w:jc w:val="right"/>
              <w:ind w:right="243"/>
              <w:spacing w:after="0" w:line="149" w:lineRule="exact"/>
              <w:rPr>
                <w:sz w:val="20"/>
                <w:szCs w:val="20"/>
                <w:color w:val="auto"/>
              </w:rPr>
            </w:pPr>
            <w:r>
              <w:rPr>
                <w:rFonts w:ascii="Arial" w:cs="Arial" w:eastAsia="Arial" w:hAnsi="Arial"/>
                <w:sz w:val="17"/>
                <w:szCs w:val="17"/>
                <w:color w:val="auto"/>
              </w:rPr>
              <w:t>​​</w:t>
            </w:r>
          </w:p>
        </w:tc>
        <w:tc>
          <w:tcPr>
            <w:tcW w:w="56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80" w:type="dxa"/>
            <w:vAlign w:val="bottom"/>
            <w:vMerge w:val="restart"/>
          </w:tcPr>
          <w:p>
            <w:pPr>
              <w:spacing w:after="0"/>
              <w:rPr>
                <w:sz w:val="20"/>
                <w:szCs w:val="20"/>
                <w:color w:val="auto"/>
              </w:rPr>
            </w:pPr>
            <w:r>
              <w:rPr>
                <w:rFonts w:ascii="Arial" w:cs="Arial" w:eastAsia="Arial" w:hAnsi="Arial"/>
                <w:sz w:val="18"/>
                <w:szCs w:val="18"/>
                <w:color w:val="auto"/>
              </w:rPr>
              <w:t>Sarah Rubenstein</w:t>
            </w:r>
          </w:p>
        </w:tc>
        <w:tc>
          <w:tcPr>
            <w:tcW w:w="420" w:type="dxa"/>
            <w:vAlign w:val="bottom"/>
            <w:vMerge w:val="restart"/>
          </w:tcPr>
          <w:p>
            <w:pPr>
              <w:ind w:left="80"/>
              <w:spacing w:after="0"/>
              <w:rPr>
                <w:sz w:val="20"/>
                <w:szCs w:val="20"/>
                <w:color w:val="auto"/>
              </w:rPr>
            </w:pPr>
            <w:r>
              <w:rPr>
                <w:rFonts w:ascii="Arial" w:cs="Arial" w:eastAsia="Arial" w:hAnsi="Arial"/>
                <w:sz w:val="18"/>
                <w:szCs w:val="18"/>
                <w:color w:val="auto"/>
              </w:rPr>
              <w:t>​ ​ ​</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380</w:t>
            </w:r>
          </w:p>
        </w:tc>
        <w:tc>
          <w:tcPr>
            <w:tcW w:w="440" w:type="dxa"/>
            <w:vAlign w:val="bottom"/>
          </w:tcPr>
          <w:p>
            <w:pPr>
              <w:jc w:val="right"/>
              <w:ind w:right="226"/>
              <w:spacing w:after="0" w:line="108" w:lineRule="exact"/>
              <w:rPr>
                <w:sz w:val="20"/>
                <w:szCs w:val="20"/>
                <w:color w:val="auto"/>
              </w:rPr>
            </w:pPr>
            <w:r>
              <w:rPr>
                <w:rFonts w:ascii="Arial" w:cs="Arial" w:eastAsia="Arial" w:hAnsi="Arial"/>
                <w:sz w:val="12"/>
                <w:szCs w:val="12"/>
                <w:color w:val="auto"/>
                <w:w w:val="81"/>
              </w:rPr>
              <w:t>(5)</w:t>
            </w:r>
          </w:p>
        </w:tc>
        <w:tc>
          <w:tcPr>
            <w:tcW w:w="58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 *</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auto"/>
              </w:rPr>
              <w:t>​​ ​​ 18,599</w:t>
            </w:r>
          </w:p>
        </w:tc>
        <w:tc>
          <w:tcPr>
            <w:tcW w:w="400" w:type="dxa"/>
            <w:vAlign w:val="bottom"/>
          </w:tcPr>
          <w:p>
            <w:pPr>
              <w:jc w:val="right"/>
              <w:ind w:right="203"/>
              <w:spacing w:after="0" w:line="108" w:lineRule="exact"/>
              <w:rPr>
                <w:sz w:val="20"/>
                <w:szCs w:val="20"/>
                <w:color w:val="auto"/>
              </w:rPr>
            </w:pPr>
            <w:r>
              <w:rPr>
                <w:rFonts w:ascii="Arial" w:cs="Arial" w:eastAsia="Arial" w:hAnsi="Arial"/>
                <w:sz w:val="12"/>
                <w:szCs w:val="12"/>
                <w:color w:val="auto"/>
                <w:w w:val="81"/>
              </w:rPr>
              <w:t>(5)</w:t>
            </w:r>
          </w:p>
        </w:tc>
        <w:tc>
          <w:tcPr>
            <w:tcW w:w="56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 *</w:t>
            </w:r>
          </w:p>
        </w:tc>
        <w:tc>
          <w:tcPr>
            <w:tcW w:w="5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 *</w:t>
            </w:r>
          </w:p>
        </w:tc>
        <w:tc>
          <w:tcPr>
            <w:tcW w:w="24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30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440" w:type="dxa"/>
            <w:vAlign w:val="bottom"/>
          </w:tcPr>
          <w:p>
            <w:pPr>
              <w:jc w:val="right"/>
              <w:ind w:right="106"/>
              <w:spacing w:after="0" w:line="149" w:lineRule="exact"/>
              <w:rPr>
                <w:sz w:val="20"/>
                <w:szCs w:val="20"/>
                <w:color w:val="auto"/>
              </w:rPr>
            </w:pPr>
            <w:r>
              <w:rPr>
                <w:rFonts w:ascii="Arial" w:cs="Arial" w:eastAsia="Arial" w:hAnsi="Arial"/>
                <w:sz w:val="17"/>
                <w:szCs w:val="17"/>
                <w:color w:val="auto"/>
              </w:rPr>
              <w:t>​​ ​</w:t>
            </w:r>
          </w:p>
        </w:tc>
        <w:tc>
          <w:tcPr>
            <w:tcW w:w="5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00" w:type="dxa"/>
            <w:vAlign w:val="bottom"/>
          </w:tcPr>
          <w:p>
            <w:pPr>
              <w:jc w:val="right"/>
              <w:ind w:right="243"/>
              <w:spacing w:after="0" w:line="149" w:lineRule="exact"/>
              <w:rPr>
                <w:sz w:val="20"/>
                <w:szCs w:val="20"/>
                <w:color w:val="auto"/>
              </w:rPr>
            </w:pPr>
            <w:r>
              <w:rPr>
                <w:rFonts w:ascii="Arial" w:cs="Arial" w:eastAsia="Arial" w:hAnsi="Arial"/>
                <w:sz w:val="17"/>
                <w:szCs w:val="17"/>
                <w:color w:val="auto"/>
              </w:rPr>
              <w:t>​​</w:t>
            </w:r>
          </w:p>
        </w:tc>
        <w:tc>
          <w:tcPr>
            <w:tcW w:w="56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080" w:type="dxa"/>
            <w:vAlign w:val="bottom"/>
          </w:tcPr>
          <w:p>
            <w:pPr>
              <w:spacing w:after="0"/>
              <w:rPr>
                <w:sz w:val="20"/>
                <w:szCs w:val="20"/>
                <w:color w:val="auto"/>
              </w:rPr>
            </w:pPr>
            <w:r>
              <w:rPr>
                <w:rFonts w:ascii="Arial" w:cs="Arial" w:eastAsia="Arial" w:hAnsi="Arial"/>
                <w:sz w:val="18"/>
                <w:szCs w:val="18"/>
                <w:color w:val="auto"/>
              </w:rPr>
              <w:t>Nathaniel Anschuetz</w:t>
            </w:r>
          </w:p>
        </w:tc>
        <w:tc>
          <w:tcPr>
            <w:tcW w:w="420" w:type="dxa"/>
            <w:vAlign w:val="bottom"/>
          </w:tcPr>
          <w:p>
            <w:pPr>
              <w:ind w:left="8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106"/>
              <w:spacing w:after="0"/>
              <w:rPr>
                <w:sz w:val="20"/>
                <w:szCs w:val="20"/>
                <w:color w:val="auto"/>
              </w:rPr>
            </w:pPr>
            <w:r>
              <w:rPr>
                <w:rFonts w:ascii="Arial" w:cs="Arial" w:eastAsia="Arial" w:hAnsi="Arial"/>
                <w:sz w:val="18"/>
                <w:szCs w:val="18"/>
                <w:color w:val="auto"/>
              </w:rPr>
              <w:t>— ​​ ​</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right"/>
              <w:ind w:right="243"/>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Emmanuel Barrois</w:t>
            </w:r>
          </w:p>
        </w:tc>
        <w:tc>
          <w:tcPr>
            <w:tcW w:w="420" w:type="dxa"/>
            <w:vAlign w:val="bottom"/>
          </w:tcPr>
          <w:p>
            <w:pPr>
              <w:ind w:left="8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106"/>
              <w:spacing w:after="0"/>
              <w:rPr>
                <w:sz w:val="20"/>
                <w:szCs w:val="20"/>
                <w:color w:val="auto"/>
              </w:rPr>
            </w:pPr>
            <w:r>
              <w:rPr>
                <w:rFonts w:ascii="Arial" w:cs="Arial" w:eastAsia="Arial" w:hAnsi="Arial"/>
                <w:sz w:val="18"/>
                <w:szCs w:val="18"/>
                <w:color w:val="auto"/>
              </w:rPr>
              <w:t>— ​​ ​</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right"/>
              <w:ind w:right="243"/>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3080" w:type="dxa"/>
            <w:vAlign w:val="bottom"/>
            <w:vMerge w:val="restart"/>
          </w:tcPr>
          <w:p>
            <w:pPr>
              <w:spacing w:after="0"/>
              <w:rPr>
                <w:sz w:val="20"/>
                <w:szCs w:val="20"/>
                <w:color w:val="auto"/>
              </w:rPr>
            </w:pPr>
            <w:r>
              <w:rPr>
                <w:rFonts w:ascii="Arial" w:cs="Arial" w:eastAsia="Arial" w:hAnsi="Arial"/>
                <w:sz w:val="18"/>
                <w:szCs w:val="18"/>
                <w:color w:val="auto"/>
              </w:rPr>
              <w:t>Brian R. Ford</w:t>
            </w:r>
          </w:p>
        </w:tc>
        <w:tc>
          <w:tcPr>
            <w:tcW w:w="780" w:type="dxa"/>
            <w:vAlign w:val="bottom"/>
            <w:gridSpan w:val="2"/>
            <w:vMerge w:val="restart"/>
          </w:tcPr>
          <w:p>
            <w:pPr>
              <w:ind w:left="80"/>
              <w:spacing w:after="0"/>
              <w:rPr>
                <w:sz w:val="20"/>
                <w:szCs w:val="20"/>
                <w:color w:val="auto"/>
              </w:rPr>
            </w:pPr>
            <w:r>
              <w:rPr>
                <w:rFonts w:ascii="Arial" w:cs="Arial" w:eastAsia="Arial" w:hAnsi="Arial"/>
                <w:sz w:val="18"/>
                <w:szCs w:val="18"/>
                <w:color w:val="auto"/>
              </w:rPr>
              <w:t>​ ​ ​ 8,277</w:t>
            </w:r>
          </w:p>
        </w:tc>
        <w:tc>
          <w:tcPr>
            <w:tcW w:w="440" w:type="dxa"/>
            <w:vAlign w:val="bottom"/>
          </w:tcPr>
          <w:p>
            <w:pPr>
              <w:jc w:val="right"/>
              <w:ind w:right="226"/>
              <w:spacing w:after="0" w:line="122" w:lineRule="exact"/>
              <w:rPr>
                <w:sz w:val="20"/>
                <w:szCs w:val="20"/>
                <w:color w:val="auto"/>
              </w:rPr>
            </w:pPr>
            <w:r>
              <w:rPr>
                <w:rFonts w:ascii="Arial" w:cs="Arial" w:eastAsia="Arial" w:hAnsi="Arial"/>
                <w:sz w:val="12"/>
                <w:szCs w:val="12"/>
                <w:color w:val="auto"/>
                <w:w w:val="81"/>
              </w:rPr>
              <w:t>(6)</w:t>
            </w:r>
          </w:p>
        </w:tc>
        <w:tc>
          <w:tcPr>
            <w:tcW w:w="58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 *</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auto"/>
              </w:rPr>
              <w:t>​​ ​​ 60,819</w:t>
            </w:r>
          </w:p>
        </w:tc>
        <w:tc>
          <w:tcPr>
            <w:tcW w:w="400" w:type="dxa"/>
            <w:vAlign w:val="bottom"/>
          </w:tcPr>
          <w:p>
            <w:pPr>
              <w:jc w:val="right"/>
              <w:ind w:right="203"/>
              <w:spacing w:after="0" w:line="122" w:lineRule="exact"/>
              <w:rPr>
                <w:sz w:val="20"/>
                <w:szCs w:val="20"/>
                <w:color w:val="auto"/>
              </w:rPr>
            </w:pPr>
            <w:r>
              <w:rPr>
                <w:rFonts w:ascii="Arial" w:cs="Arial" w:eastAsia="Arial" w:hAnsi="Arial"/>
                <w:sz w:val="12"/>
                <w:szCs w:val="12"/>
                <w:color w:val="auto"/>
                <w:w w:val="81"/>
              </w:rPr>
              <w:t>(6)</w:t>
            </w:r>
          </w:p>
        </w:tc>
        <w:tc>
          <w:tcPr>
            <w:tcW w:w="56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 *</w:t>
            </w:r>
          </w:p>
        </w:tc>
        <w:tc>
          <w:tcPr>
            <w:tcW w:w="5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 *</w:t>
            </w:r>
          </w:p>
        </w:tc>
        <w:tc>
          <w:tcPr>
            <w:tcW w:w="24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30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40" w:type="dxa"/>
            <w:vAlign w:val="bottom"/>
          </w:tcPr>
          <w:p>
            <w:pPr>
              <w:jc w:val="right"/>
              <w:ind w:right="106"/>
              <w:spacing w:after="0" w:line="149" w:lineRule="exact"/>
              <w:rPr>
                <w:sz w:val="20"/>
                <w:szCs w:val="20"/>
                <w:color w:val="auto"/>
              </w:rPr>
            </w:pPr>
            <w:r>
              <w:rPr>
                <w:rFonts w:ascii="Arial" w:cs="Arial" w:eastAsia="Arial" w:hAnsi="Arial"/>
                <w:sz w:val="17"/>
                <w:szCs w:val="17"/>
                <w:color w:val="auto"/>
              </w:rPr>
              <w:t>​​ ​</w:t>
            </w:r>
          </w:p>
        </w:tc>
        <w:tc>
          <w:tcPr>
            <w:tcW w:w="5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00" w:type="dxa"/>
            <w:vAlign w:val="bottom"/>
          </w:tcPr>
          <w:p>
            <w:pPr>
              <w:jc w:val="right"/>
              <w:ind w:right="243"/>
              <w:spacing w:after="0" w:line="149" w:lineRule="exact"/>
              <w:rPr>
                <w:sz w:val="20"/>
                <w:szCs w:val="20"/>
                <w:color w:val="auto"/>
              </w:rPr>
            </w:pPr>
            <w:r>
              <w:rPr>
                <w:rFonts w:ascii="Arial" w:cs="Arial" w:eastAsia="Arial" w:hAnsi="Arial"/>
                <w:sz w:val="17"/>
                <w:szCs w:val="17"/>
                <w:color w:val="auto"/>
              </w:rPr>
              <w:t>​​</w:t>
            </w:r>
          </w:p>
        </w:tc>
        <w:tc>
          <w:tcPr>
            <w:tcW w:w="56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Guillaume Hédiard</w:t>
            </w:r>
          </w:p>
        </w:tc>
        <w:tc>
          <w:tcPr>
            <w:tcW w:w="420" w:type="dxa"/>
            <w:vAlign w:val="bottom"/>
          </w:tcPr>
          <w:p>
            <w:pPr>
              <w:ind w:left="8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106"/>
              <w:spacing w:after="0"/>
              <w:rPr>
                <w:sz w:val="20"/>
                <w:szCs w:val="20"/>
                <w:color w:val="auto"/>
              </w:rPr>
            </w:pPr>
            <w:r>
              <w:rPr>
                <w:rFonts w:ascii="Arial" w:cs="Arial" w:eastAsia="Arial" w:hAnsi="Arial"/>
                <w:sz w:val="18"/>
                <w:szCs w:val="18"/>
                <w:color w:val="auto"/>
              </w:rPr>
              <w:t>— ​​ ​</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right"/>
              <w:ind w:right="243"/>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Jennifer Lowry</w:t>
            </w:r>
          </w:p>
        </w:tc>
        <w:tc>
          <w:tcPr>
            <w:tcW w:w="420" w:type="dxa"/>
            <w:vAlign w:val="bottom"/>
            <w:vMerge w:val="restart"/>
          </w:tcPr>
          <w:p>
            <w:pPr>
              <w:ind w:left="80"/>
              <w:spacing w:after="0"/>
              <w:rPr>
                <w:sz w:val="20"/>
                <w:szCs w:val="20"/>
                <w:color w:val="auto"/>
              </w:rPr>
            </w:pPr>
            <w:r>
              <w:rPr>
                <w:rFonts w:ascii="Arial" w:cs="Arial" w:eastAsia="Arial" w:hAnsi="Arial"/>
                <w:sz w:val="18"/>
                <w:szCs w:val="18"/>
                <w:color w:val="auto"/>
              </w:rPr>
              <w:t>​ ​ ​</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ind w:right="106"/>
              <w:spacing w:after="0"/>
              <w:rPr>
                <w:sz w:val="20"/>
                <w:szCs w:val="20"/>
                <w:color w:val="auto"/>
              </w:rPr>
            </w:pPr>
            <w:r>
              <w:rPr>
                <w:rFonts w:ascii="Arial" w:cs="Arial" w:eastAsia="Arial" w:hAnsi="Arial"/>
                <w:sz w:val="18"/>
                <w:szCs w:val="18"/>
                <w:color w:val="auto"/>
              </w:rPr>
              <w:t>​​ ​</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18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right"/>
              <w:ind w:right="203"/>
              <w:spacing w:after="0" w:line="216" w:lineRule="exact"/>
              <w:rPr>
                <w:sz w:val="20"/>
                <w:szCs w:val="20"/>
                <w:color w:val="auto"/>
              </w:rPr>
            </w:pPr>
            <w:r>
              <w:rPr>
                <w:rFonts w:ascii="Arial" w:cs="Arial" w:eastAsia="Arial" w:hAnsi="Arial"/>
                <w:sz w:val="18"/>
                <w:szCs w:val="18"/>
                <w:color w:val="auto"/>
              </w:rPr>
              <w:t>4,566</w:t>
            </w:r>
            <w:r>
              <w:rPr>
                <w:rFonts w:ascii="Arial" w:cs="Arial" w:eastAsia="Arial" w:hAnsi="Arial"/>
                <w:sz w:val="23"/>
                <w:szCs w:val="23"/>
                <w:color w:val="auto"/>
                <w:vertAlign w:val="superscript"/>
              </w:rPr>
              <w:t>(7)</w:t>
            </w:r>
          </w:p>
        </w:tc>
        <w:tc>
          <w:tcPr>
            <w:tcW w:w="26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08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260" w:type="dxa"/>
            <w:vAlign w:val="bottom"/>
          </w:tcPr>
          <w:p>
            <w:pPr>
              <w:ind w:left="200"/>
              <w:spacing w:after="0" w:line="54" w:lineRule="exact"/>
              <w:rPr>
                <w:sz w:val="20"/>
                <w:szCs w:val="20"/>
                <w:color w:val="auto"/>
              </w:rPr>
            </w:pPr>
            <w:r>
              <w:rPr>
                <w:rFonts w:ascii="Arial" w:cs="Arial" w:eastAsia="Arial" w:hAnsi="Arial"/>
                <w:sz w:val="6"/>
                <w:szCs w:val="6"/>
                <w:color w:val="auto"/>
              </w:rPr>
              <w:t>​</w:t>
            </w:r>
          </w:p>
        </w:tc>
        <w:tc>
          <w:tcPr>
            <w:tcW w:w="32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jc w:val="right"/>
              <w:ind w:right="243"/>
              <w:spacing w:after="0" w:line="54"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Bruce MacLennan</w:t>
            </w:r>
          </w:p>
        </w:tc>
        <w:tc>
          <w:tcPr>
            <w:tcW w:w="420" w:type="dxa"/>
            <w:vAlign w:val="bottom"/>
          </w:tcPr>
          <w:p>
            <w:pPr>
              <w:ind w:left="8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106"/>
              <w:spacing w:after="0"/>
              <w:rPr>
                <w:sz w:val="20"/>
                <w:szCs w:val="20"/>
                <w:color w:val="auto"/>
              </w:rPr>
            </w:pPr>
            <w:r>
              <w:rPr>
                <w:rFonts w:ascii="Arial" w:cs="Arial" w:eastAsia="Arial" w:hAnsi="Arial"/>
                <w:sz w:val="18"/>
                <w:szCs w:val="18"/>
                <w:color w:val="auto"/>
              </w:rPr>
              <w:t>— ​​ ​</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right"/>
              <w:ind w:right="243"/>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Daniel B. More</w:t>
            </w:r>
          </w:p>
        </w:tc>
        <w:tc>
          <w:tcPr>
            <w:tcW w:w="420" w:type="dxa"/>
            <w:vAlign w:val="bottom"/>
            <w:vMerge w:val="restart"/>
          </w:tcPr>
          <w:p>
            <w:pPr>
              <w:ind w:left="80"/>
              <w:spacing w:after="0"/>
              <w:rPr>
                <w:sz w:val="20"/>
                <w:szCs w:val="20"/>
                <w:color w:val="auto"/>
              </w:rPr>
            </w:pPr>
            <w:r>
              <w:rPr>
                <w:rFonts w:ascii="Arial" w:cs="Arial" w:eastAsia="Arial" w:hAnsi="Arial"/>
                <w:sz w:val="18"/>
                <w:szCs w:val="18"/>
                <w:color w:val="auto"/>
              </w:rPr>
              <w:t>​ ​ ​</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ind w:right="106"/>
              <w:spacing w:after="0"/>
              <w:rPr>
                <w:sz w:val="20"/>
                <w:szCs w:val="20"/>
                <w:color w:val="auto"/>
              </w:rPr>
            </w:pPr>
            <w:r>
              <w:rPr>
                <w:rFonts w:ascii="Arial" w:cs="Arial" w:eastAsia="Arial" w:hAnsi="Arial"/>
                <w:sz w:val="18"/>
                <w:szCs w:val="18"/>
                <w:color w:val="auto"/>
              </w:rPr>
              <w:t>​​ ​</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18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right"/>
              <w:ind w:right="203"/>
              <w:spacing w:after="0" w:line="216" w:lineRule="exact"/>
              <w:rPr>
                <w:sz w:val="20"/>
                <w:szCs w:val="20"/>
                <w:color w:val="auto"/>
              </w:rPr>
            </w:pPr>
            <w:r>
              <w:rPr>
                <w:rFonts w:ascii="Arial" w:cs="Arial" w:eastAsia="Arial" w:hAnsi="Arial"/>
                <w:sz w:val="18"/>
                <w:szCs w:val="18"/>
                <w:color w:val="auto"/>
                <w:w w:val="86"/>
              </w:rPr>
              <w:t>41,397</w:t>
            </w:r>
            <w:r>
              <w:rPr>
                <w:rFonts w:ascii="Arial" w:cs="Arial" w:eastAsia="Arial" w:hAnsi="Arial"/>
                <w:sz w:val="23"/>
                <w:szCs w:val="23"/>
                <w:color w:val="auto"/>
                <w:w w:val="86"/>
                <w:vertAlign w:val="superscript"/>
              </w:rPr>
              <w:t>(8)</w:t>
            </w:r>
          </w:p>
        </w:tc>
        <w:tc>
          <w:tcPr>
            <w:tcW w:w="26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08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260" w:type="dxa"/>
            <w:vAlign w:val="bottom"/>
          </w:tcPr>
          <w:p>
            <w:pPr>
              <w:ind w:left="200"/>
              <w:spacing w:after="0" w:line="54" w:lineRule="exact"/>
              <w:rPr>
                <w:sz w:val="20"/>
                <w:szCs w:val="20"/>
                <w:color w:val="auto"/>
              </w:rPr>
            </w:pPr>
            <w:r>
              <w:rPr>
                <w:rFonts w:ascii="Arial" w:cs="Arial" w:eastAsia="Arial" w:hAnsi="Arial"/>
                <w:sz w:val="6"/>
                <w:szCs w:val="6"/>
                <w:color w:val="auto"/>
              </w:rPr>
              <w:t>​</w:t>
            </w:r>
          </w:p>
        </w:tc>
        <w:tc>
          <w:tcPr>
            <w:tcW w:w="32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jc w:val="right"/>
              <w:ind w:right="243"/>
              <w:spacing w:after="0" w:line="54"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 Stanley O’Neal</w:t>
            </w:r>
          </w:p>
        </w:tc>
        <w:tc>
          <w:tcPr>
            <w:tcW w:w="420" w:type="dxa"/>
            <w:vAlign w:val="bottom"/>
            <w:vMerge w:val="restart"/>
          </w:tcPr>
          <w:p>
            <w:pPr>
              <w:ind w:left="80"/>
              <w:spacing w:after="0"/>
              <w:rPr>
                <w:sz w:val="20"/>
                <w:szCs w:val="20"/>
                <w:color w:val="auto"/>
              </w:rPr>
            </w:pPr>
            <w:r>
              <w:rPr>
                <w:rFonts w:ascii="Arial" w:cs="Arial" w:eastAsia="Arial" w:hAnsi="Arial"/>
                <w:sz w:val="18"/>
                <w:szCs w:val="18"/>
                <w:color w:val="auto"/>
              </w:rPr>
              <w:t>​ ​ ​</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ind w:right="106"/>
              <w:spacing w:after="0"/>
              <w:rPr>
                <w:sz w:val="20"/>
                <w:szCs w:val="20"/>
                <w:color w:val="auto"/>
              </w:rPr>
            </w:pPr>
            <w:r>
              <w:rPr>
                <w:rFonts w:ascii="Arial" w:cs="Arial" w:eastAsia="Arial" w:hAnsi="Arial"/>
                <w:sz w:val="18"/>
                <w:szCs w:val="18"/>
                <w:color w:val="auto"/>
              </w:rPr>
              <w:t>​​ ​</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18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right"/>
              <w:ind w:right="203"/>
              <w:spacing w:after="0" w:line="216" w:lineRule="exact"/>
              <w:rPr>
                <w:sz w:val="20"/>
                <w:szCs w:val="20"/>
                <w:color w:val="auto"/>
              </w:rPr>
            </w:pPr>
            <w:r>
              <w:rPr>
                <w:rFonts w:ascii="Arial" w:cs="Arial" w:eastAsia="Arial" w:hAnsi="Arial"/>
                <w:sz w:val="18"/>
                <w:szCs w:val="18"/>
                <w:color w:val="auto"/>
                <w:w w:val="86"/>
              </w:rPr>
              <w:t>44,570</w:t>
            </w:r>
            <w:r>
              <w:rPr>
                <w:rFonts w:ascii="Arial" w:cs="Arial" w:eastAsia="Arial" w:hAnsi="Arial"/>
                <w:sz w:val="23"/>
                <w:szCs w:val="23"/>
                <w:color w:val="auto"/>
                <w:w w:val="86"/>
                <w:vertAlign w:val="superscript"/>
              </w:rPr>
              <w:t>(9)</w:t>
            </w:r>
          </w:p>
        </w:tc>
        <w:tc>
          <w:tcPr>
            <w:tcW w:w="26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08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260" w:type="dxa"/>
            <w:vAlign w:val="bottom"/>
          </w:tcPr>
          <w:p>
            <w:pPr>
              <w:ind w:left="200"/>
              <w:spacing w:after="0" w:line="54" w:lineRule="exact"/>
              <w:rPr>
                <w:sz w:val="20"/>
                <w:szCs w:val="20"/>
                <w:color w:val="auto"/>
              </w:rPr>
            </w:pPr>
            <w:r>
              <w:rPr>
                <w:rFonts w:ascii="Arial" w:cs="Arial" w:eastAsia="Arial" w:hAnsi="Arial"/>
                <w:sz w:val="6"/>
                <w:szCs w:val="6"/>
                <w:color w:val="auto"/>
              </w:rPr>
              <w:t>​</w:t>
            </w:r>
          </w:p>
        </w:tc>
        <w:tc>
          <w:tcPr>
            <w:tcW w:w="32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jc w:val="right"/>
              <w:ind w:right="243"/>
              <w:spacing w:after="0" w:line="54"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Vincent Stoquart</w:t>
            </w:r>
          </w:p>
        </w:tc>
        <w:tc>
          <w:tcPr>
            <w:tcW w:w="420" w:type="dxa"/>
            <w:vAlign w:val="bottom"/>
          </w:tcPr>
          <w:p>
            <w:pPr>
              <w:ind w:left="8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106"/>
              <w:spacing w:after="0"/>
              <w:rPr>
                <w:sz w:val="20"/>
                <w:szCs w:val="20"/>
                <w:color w:val="auto"/>
              </w:rPr>
            </w:pPr>
            <w:r>
              <w:rPr>
                <w:rFonts w:ascii="Arial" w:cs="Arial" w:eastAsia="Arial" w:hAnsi="Arial"/>
                <w:sz w:val="18"/>
                <w:szCs w:val="18"/>
                <w:color w:val="auto"/>
              </w:rPr>
              <w:t>— ​​ ​</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right"/>
              <w:ind w:right="243"/>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3080" w:type="dxa"/>
            <w:vAlign w:val="bottom"/>
          </w:tcPr>
          <w:p>
            <w:pPr>
              <w:spacing w:after="0"/>
              <w:rPr>
                <w:sz w:val="20"/>
                <w:szCs w:val="20"/>
                <w:color w:val="auto"/>
              </w:rPr>
            </w:pPr>
            <w:r>
              <w:rPr>
                <w:rFonts w:ascii="Arial" w:cs="Arial" w:eastAsia="Arial" w:hAnsi="Arial"/>
                <w:sz w:val="18"/>
                <w:szCs w:val="18"/>
                <w:color w:val="auto"/>
                <w:w w:val="98"/>
              </w:rPr>
              <w:t>All directors and executive officers as a</w:t>
            </w:r>
          </w:p>
        </w:tc>
        <w:tc>
          <w:tcPr>
            <w:tcW w:w="1220" w:type="dxa"/>
            <w:vAlign w:val="bottom"/>
            <w:gridSpan w:val="3"/>
            <w:vMerge w:val="restart"/>
          </w:tcPr>
          <w:p>
            <w:pPr>
              <w:jc w:val="right"/>
              <w:ind w:right="166"/>
              <w:spacing w:after="0"/>
              <w:rPr>
                <w:sz w:val="20"/>
                <w:szCs w:val="20"/>
                <w:color w:val="auto"/>
              </w:rPr>
            </w:pPr>
            <w:r>
              <w:rPr>
                <w:rFonts w:ascii="Arial" w:cs="Arial" w:eastAsia="Arial" w:hAnsi="Arial"/>
                <w:sz w:val="18"/>
                <w:szCs w:val="18"/>
                <w:color w:val="auto"/>
              </w:rPr>
              <w:t>36,357</w:t>
            </w:r>
            <w:r>
              <w:rPr>
                <w:rFonts w:ascii="Arial" w:cs="Arial" w:eastAsia="Arial" w:hAnsi="Arial"/>
                <w:sz w:val="23"/>
                <w:szCs w:val="23"/>
                <w:color w:val="auto"/>
                <w:vertAlign w:val="superscript"/>
              </w:rPr>
              <w:t>(10)</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3"/>
            <w:vMerge w:val="restart"/>
          </w:tcPr>
          <w:p>
            <w:pPr>
              <w:jc w:val="right"/>
              <w:ind w:right="143"/>
              <w:spacing w:after="0"/>
              <w:rPr>
                <w:sz w:val="20"/>
                <w:szCs w:val="20"/>
                <w:color w:val="auto"/>
              </w:rPr>
            </w:pPr>
            <w:r>
              <w:rPr>
                <w:rFonts w:ascii="Arial" w:cs="Arial" w:eastAsia="Arial" w:hAnsi="Arial"/>
                <w:sz w:val="18"/>
                <w:szCs w:val="18"/>
                <w:color w:val="auto"/>
              </w:rPr>
              <w:t>571,521</w:t>
            </w:r>
            <w:r>
              <w:rPr>
                <w:rFonts w:ascii="Arial" w:cs="Arial" w:eastAsia="Arial" w:hAnsi="Arial"/>
                <w:sz w:val="23"/>
                <w:szCs w:val="23"/>
                <w:color w:val="auto"/>
                <w:vertAlign w:val="superscript"/>
              </w:rPr>
              <w:t>(10)</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180"/>
              <w:spacing w:after="0" w:line="176" w:lineRule="exact"/>
              <w:rPr>
                <w:sz w:val="20"/>
                <w:szCs w:val="20"/>
                <w:color w:val="auto"/>
              </w:rPr>
            </w:pPr>
            <w:r>
              <w:rPr>
                <w:rFonts w:ascii="Arial" w:cs="Arial" w:eastAsia="Arial" w:hAnsi="Arial"/>
                <w:sz w:val="18"/>
                <w:szCs w:val="18"/>
                <w:color w:val="auto"/>
              </w:rPr>
              <w:t>group (13 people)</w:t>
            </w:r>
          </w:p>
        </w:tc>
        <w:tc>
          <w:tcPr>
            <w:tcW w:w="1220" w:type="dxa"/>
            <w:vAlign w:val="bottom"/>
            <w:gridSpan w:val="3"/>
            <w:vMerge w:val="continue"/>
          </w:tcPr>
          <w:p>
            <w:pPr>
              <w:spacing w:after="0"/>
              <w:rPr>
                <w:sz w:val="15"/>
                <w:szCs w:val="15"/>
                <w:color w:val="auto"/>
              </w:rPr>
            </w:pPr>
          </w:p>
        </w:tc>
        <w:tc>
          <w:tcPr>
            <w:tcW w:w="26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1380" w:type="dxa"/>
            <w:vAlign w:val="bottom"/>
            <w:gridSpan w:val="3"/>
            <w:vMerge w:val="continue"/>
          </w:tcPr>
          <w:p>
            <w:pPr>
              <w:spacing w:after="0"/>
              <w:rPr>
                <w:sz w:val="15"/>
                <w:szCs w:val="15"/>
                <w:color w:val="auto"/>
              </w:rPr>
            </w:pPr>
          </w:p>
        </w:tc>
        <w:tc>
          <w:tcPr>
            <w:tcW w:w="26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line="176" w:lineRule="exact"/>
              <w:rPr>
                <w:sz w:val="20"/>
                <w:szCs w:val="20"/>
                <w:color w:val="auto"/>
              </w:rPr>
            </w:pPr>
            <w:r>
              <w:rPr>
                <w:rFonts w:ascii="Arial" w:cs="Arial" w:eastAsia="Arial" w:hAnsi="Arial"/>
                <w:sz w:val="18"/>
                <w:szCs w:val="18"/>
                <w:color w:val="auto"/>
              </w:rPr>
              <w:t>*</w:t>
            </w:r>
          </w:p>
        </w:tc>
        <w:tc>
          <w:tcPr>
            <w:tcW w:w="5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24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 ​ ​</w:t>
            </w:r>
          </w:p>
        </w:tc>
        <w:tc>
          <w:tcPr>
            <w:tcW w:w="360" w:type="dxa"/>
            <w:vAlign w:val="bottom"/>
          </w:tcPr>
          <w:p>
            <w:pPr>
              <w:spacing w:after="0"/>
              <w:rPr>
                <w:sz w:val="20"/>
                <w:szCs w:val="20"/>
                <w:color w:val="auto"/>
              </w:rPr>
            </w:pPr>
          </w:p>
        </w:tc>
        <w:tc>
          <w:tcPr>
            <w:tcW w:w="440" w:type="dxa"/>
            <w:vAlign w:val="bottom"/>
          </w:tcPr>
          <w:p>
            <w:pPr>
              <w:jc w:val="right"/>
              <w:ind w:right="106"/>
              <w:spacing w:after="0"/>
              <w:rPr>
                <w:sz w:val="20"/>
                <w:szCs w:val="20"/>
                <w:color w:val="auto"/>
              </w:rPr>
            </w:pPr>
            <w:r>
              <w:rPr>
                <w:rFonts w:ascii="Arial" w:cs="Arial" w:eastAsia="Arial" w:hAnsi="Arial"/>
                <w:sz w:val="18"/>
                <w:szCs w:val="18"/>
                <w:color w:val="auto"/>
              </w:rPr>
              <w:t>​​ ​</w:t>
            </w:r>
          </w:p>
        </w:tc>
        <w:tc>
          <w:tcPr>
            <w:tcW w:w="2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 ​​</w:t>
            </w:r>
          </w:p>
        </w:tc>
        <w:tc>
          <w:tcPr>
            <w:tcW w:w="520" w:type="dxa"/>
            <w:vAlign w:val="bottom"/>
          </w:tcPr>
          <w:p>
            <w:pPr>
              <w:spacing w:after="0"/>
              <w:rPr>
                <w:sz w:val="20"/>
                <w:szCs w:val="20"/>
                <w:color w:val="auto"/>
              </w:rPr>
            </w:pPr>
          </w:p>
        </w:tc>
        <w:tc>
          <w:tcPr>
            <w:tcW w:w="400" w:type="dxa"/>
            <w:vAlign w:val="bottom"/>
          </w:tcPr>
          <w:p>
            <w:pPr>
              <w:jc w:val="right"/>
              <w:ind w:right="243"/>
              <w:spacing w:after="0"/>
              <w:rPr>
                <w:sz w:val="20"/>
                <w:szCs w:val="20"/>
                <w:color w:val="auto"/>
              </w:rPr>
            </w:pPr>
            <w:r>
              <w:rPr>
                <w:rFonts w:ascii="Arial" w:cs="Arial" w:eastAsia="Arial" w:hAnsi="Arial"/>
                <w:sz w:val="18"/>
                <w:szCs w:val="18"/>
                <w:color w:val="auto"/>
              </w:rPr>
              <w:t>​​</w:t>
            </w:r>
          </w:p>
        </w:tc>
        <w:tc>
          <w:tcPr>
            <w:tcW w:w="2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-2271395</wp:posOffset>
            </wp:positionV>
            <wp:extent cx="5212080"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-1945640</wp:posOffset>
            </wp:positionV>
            <wp:extent cx="521208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-1611630</wp:posOffset>
            </wp:positionV>
            <wp:extent cx="521208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-1268730</wp:posOffset>
            </wp:positionV>
            <wp:extent cx="52120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-925830</wp:posOffset>
            </wp:positionV>
            <wp:extent cx="521208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-582930</wp:posOffset>
            </wp:positionV>
            <wp:extent cx="521208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50800</wp:posOffset>
            </wp:positionV>
            <wp:extent cx="12344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94" w:lineRule="exact"/>
        <w:rPr>
          <w:sz w:val="20"/>
          <w:szCs w:val="20"/>
          <w:color w:val="auto"/>
        </w:rPr>
      </w:pPr>
    </w:p>
    <w:p>
      <w:pPr>
        <w:ind w:left="1620" w:right="899" w:hanging="360"/>
        <w:spacing w:after="0" w:line="27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Less than one percent of outstanding Class A common stock, Class C common stock or combined voting power, as applicable.</w:t>
      </w:r>
    </w:p>
    <w:p>
      <w:pPr>
        <w:spacing w:after="0" w:line="35" w:lineRule="exact"/>
        <w:rPr>
          <w:sz w:val="20"/>
          <w:szCs w:val="20"/>
          <w:color w:val="auto"/>
        </w:rPr>
      </w:pPr>
    </w:p>
    <w:p>
      <w:pPr>
        <w:ind w:left="1620" w:right="559" w:hanging="360"/>
        <w:spacing w:after="0" w:line="25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39" w:lineRule="exact"/>
        <w:rPr>
          <w:rFonts w:ascii="Arial" w:cs="Arial" w:eastAsia="Arial" w:hAnsi="Arial"/>
          <w:sz w:val="18"/>
          <w:szCs w:val="18"/>
          <w:color w:val="auto"/>
        </w:rPr>
      </w:pPr>
    </w:p>
    <w:p>
      <w:pPr>
        <w:ind w:left="1620" w:right="439" w:hanging="360"/>
        <w:spacing w:after="0" w:line="238"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voting power of all of the classes of our common stock together as a single class. Each holder of Class A or Class B common stock is entitled to one vote for each share held. Each holder of Class C or Class D common stock is entitled to 1/100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one vote for each share held. Holders of shares of our Class A, Class B, Class C and Class D common stock vote together as a single class on all matters presented to our stockholders for their vote or approval, except as otherwise provided by applicable law.</w:t>
      </w:r>
    </w:p>
    <w:p>
      <w:pPr>
        <w:sectPr>
          <w:pgSz w:w="11900" w:h="16838" w:orient="portrait"/>
          <w:cols w:equalWidth="0" w:num="1">
            <w:col w:w="9879"/>
          </w:cols>
          <w:pgMar w:left="580" w:top="131"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79" w:hanging="360"/>
        <w:spacing w:after="0" w:line="271" w:lineRule="auto"/>
        <w:tabs>
          <w:tab w:leader="none" w:pos="1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Includes 13,855 dividend equivalent rights (DERs) to be paid in Class C common stock. Excludes 20,227 restricted stock units (RSUs), 6,548 DERs and 80,926 relative performance stock units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43" w:lineRule="exact"/>
        <w:rPr>
          <w:rFonts w:ascii="Arial" w:cs="Arial" w:eastAsia="Arial" w:hAnsi="Arial"/>
          <w:sz w:val="17"/>
          <w:szCs w:val="17"/>
          <w:color w:val="auto"/>
        </w:rPr>
      </w:pPr>
    </w:p>
    <w:p>
      <w:pPr>
        <w:ind w:left="1620" w:right="419" w:hanging="360"/>
        <w:spacing w:after="0" w:line="272" w:lineRule="auto"/>
        <w:tabs>
          <w:tab w:leader="none" w:pos="1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Includes 2,665 DERs to be paid in Class C common stock. Excludes 4,751 RSUs, 1,514 DERs and 18,840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28" w:lineRule="exact"/>
        <w:rPr>
          <w:rFonts w:ascii="Arial" w:cs="Arial" w:eastAsia="Arial" w:hAnsi="Arial"/>
          <w:sz w:val="17"/>
          <w:szCs w:val="17"/>
          <w:color w:val="auto"/>
        </w:rPr>
      </w:pPr>
    </w:p>
    <w:p>
      <w:pPr>
        <w:ind w:left="1620" w:right="479" w:hanging="360"/>
        <w:spacing w:after="0" w:line="272" w:lineRule="auto"/>
        <w:tabs>
          <w:tab w:leader="none" w:pos="1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Includes 459 DERs to be paid in Class C common stock. Excludes 6,794 RSUs, 856 DERs and 7,681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42" w:lineRule="exact"/>
        <w:rPr>
          <w:rFonts w:ascii="Arial" w:cs="Arial" w:eastAsia="Arial" w:hAnsi="Arial"/>
          <w:sz w:val="17"/>
          <w:szCs w:val="17"/>
          <w:color w:val="auto"/>
        </w:rPr>
      </w:pPr>
    </w:p>
    <w:p>
      <w:pPr>
        <w:ind w:left="1620" w:right="419" w:hanging="360"/>
        <w:spacing w:after="0" w:line="270" w:lineRule="auto"/>
        <w:tabs>
          <w:tab w:leader="none" w:pos="1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Includes 4,547 DSUs and 2,730 outstanding DERs to be paid in Class A common stock and 46,990 DSUs and 12,829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32" w:lineRule="exact"/>
        <w:rPr>
          <w:rFonts w:ascii="Arial" w:cs="Arial" w:eastAsia="Arial" w:hAnsi="Arial"/>
          <w:sz w:val="17"/>
          <w:szCs w:val="17"/>
          <w:color w:val="auto"/>
        </w:rPr>
      </w:pPr>
    </w:p>
    <w:p>
      <w:pPr>
        <w:ind w:left="1620" w:right="499" w:hanging="360"/>
        <w:spacing w:after="0" w:line="271" w:lineRule="auto"/>
        <w:tabs>
          <w:tab w:leader="none" w:pos="1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Includes 3,607 DSUs and 155 DERs to be paid in Class C common stock, payable in the event the director ceases to be a member of the Board. Each DSU represents the right of a participant to be paid one share of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43" w:lineRule="exact"/>
        <w:rPr>
          <w:rFonts w:ascii="Arial" w:cs="Arial" w:eastAsia="Arial" w:hAnsi="Arial"/>
          <w:sz w:val="17"/>
          <w:szCs w:val="17"/>
          <w:color w:val="auto"/>
        </w:rPr>
      </w:pPr>
    </w:p>
    <w:p>
      <w:pPr>
        <w:ind w:left="1620" w:right="499" w:hanging="360"/>
        <w:spacing w:after="0" w:line="271" w:lineRule="auto"/>
        <w:tabs>
          <w:tab w:leader="none" w:pos="1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Includes 36,526 DSUs and 4,871 DERs to be paid in Class C common stock, payable in the event the director ceases to be a member of the Board. Each DSU represents the right of a participant to be paid one share of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29" w:lineRule="exact"/>
        <w:rPr>
          <w:rFonts w:ascii="Arial" w:cs="Arial" w:eastAsia="Arial" w:hAnsi="Arial"/>
          <w:sz w:val="17"/>
          <w:szCs w:val="17"/>
          <w:color w:val="auto"/>
        </w:rPr>
      </w:pPr>
    </w:p>
    <w:p>
      <w:pPr>
        <w:ind w:left="1620" w:right="499" w:hanging="360"/>
        <w:spacing w:after="0" w:line="273" w:lineRule="auto"/>
        <w:tabs>
          <w:tab w:leader="none" w:pos="1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Includes 33,306 DSUs and 4,264 DERs to be paid in Class C common stock, payable in the event the director ceases to be a member of the Board. Each DSU represents the right of a participant to be paid one share of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59"/>
        <w:spacing w:after="0" w:line="298" w:lineRule="auto"/>
        <w:rPr>
          <w:sz w:val="20"/>
          <w:szCs w:val="20"/>
          <w:color w:val="auto"/>
        </w:rPr>
      </w:pPr>
      <w:r>
        <w:rPr>
          <w:rFonts w:ascii="Arial" w:cs="Arial" w:eastAsia="Arial" w:hAnsi="Arial"/>
          <w:sz w:val="17"/>
          <w:szCs w:val="17"/>
          <w:color w:val="auto"/>
        </w:rPr>
        <w:t>dividends and distributions that would have otherwise been paid with respect to a share subject to a DSU award (if such share were outstanding rather than being subject to the DSU award).</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 Consists of the total holdings of directors and all executive officers as a group.</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OWNERSHIP OF PRINCIPAL STOCKHOLDERS</w:t>
      </w:r>
    </w:p>
    <w:p>
      <w:pPr>
        <w:spacing w:after="0" w:line="148" w:lineRule="exact"/>
        <w:rPr>
          <w:sz w:val="20"/>
          <w:szCs w:val="20"/>
          <w:color w:val="auto"/>
        </w:rPr>
      </w:pPr>
    </w:p>
    <w:p>
      <w:pPr>
        <w:ind w:left="1260" w:right="559" w:firstLine="360"/>
        <w:spacing w:after="0" w:line="256" w:lineRule="auto"/>
        <w:rPr>
          <w:sz w:val="20"/>
          <w:szCs w:val="20"/>
          <w:color w:val="auto"/>
        </w:rPr>
      </w:pPr>
      <w:r>
        <w:rPr>
          <w:rFonts w:ascii="Arial" w:cs="Arial" w:eastAsia="Arial" w:hAnsi="Arial"/>
          <w:sz w:val="17"/>
          <w:szCs w:val="17"/>
          <w:color w:val="auto"/>
        </w:rPr>
        <w:t>The following table sets forth information for each person known to the Company to own more than five percent of any class of the Company’s common stock. The information provided is as of the date of their most recent Schedule 13G or Schedule 13D filing with the SEC. For our stockholders other than the GIP Entities (as defined below) and the TotalEnergies Entities (as defined below), percentage of beneficial ownership is based on 34,613,853 shares of Class A common stock outstanding as of March 3, 2023 and 82,283,460 shares of Class C common stock outstanding as of March 3, 2023, and percentage of combined voting power is based on 78,598,806 votes represented by our outstanding Class A, Class B, Class C and Class D common stock in the aggregate as of March 3, 2023. For the GIP Entities and the TotalEnergies Entities, who are the shared beneficial owners of our Class B and Class D common stock, percentage of beneficial ownership is based on 34,613,853 shares of Class A common stock outstanding as of March 3, 2023 and 82,283,460 shares of Class C common stock outstanding as of March 3, 2023, plus any shares exchangeable into Class A or Class C common stock within 60 days of March 3, 2023, and percentage of combined voting power is based on 78,598,806 votes represented by our outstanding Class A, Class B, Class C and Class D common stock in the aggregate as of March 3, 2023. Unless otherwise indicated, each person has sole voting and dispositive power with respect the shares set forth in the following table. For further information regarding material transactions between us and other related persons, see “Certain Relationships and Related Person Transactions.”</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2680" w:type="dxa"/>
            <w:vAlign w:val="bottom"/>
          </w:tcPr>
          <w:p>
            <w:pPr>
              <w:spacing w:after="0"/>
              <w:rPr>
                <w:sz w:val="19"/>
                <w:szCs w:val="19"/>
                <w:color w:val="auto"/>
              </w:rPr>
            </w:pPr>
          </w:p>
        </w:tc>
        <w:tc>
          <w:tcPr>
            <w:tcW w:w="18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19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Class A Common Stock</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Class C Common Stock</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Common Stock</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Arial" w:cs="Arial" w:eastAsia="Arial" w:hAnsi="Arial"/>
                <w:sz w:val="14"/>
                <w:szCs w:val="14"/>
                <w:b w:val="1"/>
                <w:bCs w:val="1"/>
                <w:color w:val="auto"/>
                <w:w w:val="99"/>
              </w:rPr>
              <w:t>% of Class A</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 of Class C</w:t>
            </w:r>
          </w:p>
        </w:tc>
        <w:tc>
          <w:tcPr>
            <w:tcW w:w="2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 of Combined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68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18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820" w:type="dxa"/>
            <w:vAlign w:val="bottom"/>
          </w:tcPr>
          <w:p>
            <w:pPr>
              <w:ind w:left="120"/>
              <w:spacing w:after="0"/>
              <w:rPr>
                <w:sz w:val="20"/>
                <w:szCs w:val="20"/>
                <w:color w:val="auto"/>
              </w:rPr>
            </w:pPr>
            <w:r>
              <w:rPr>
                <w:rFonts w:ascii="Arial" w:cs="Arial" w:eastAsia="Arial" w:hAnsi="Arial"/>
                <w:sz w:val="14"/>
                <w:szCs w:val="14"/>
                <w:b w:val="1"/>
                <w:bCs w:val="1"/>
                <w:color w:val="auto"/>
              </w:rPr>
              <w:t>Number</w:t>
            </w:r>
            <w:r>
              <w:rPr>
                <w:rFonts w:ascii="Arial" w:cs="Arial" w:eastAsia="Arial" w:hAnsi="Arial"/>
                <w:sz w:val="17"/>
                <w:szCs w:val="17"/>
                <w:b w:val="1"/>
                <w:bCs w:val="1"/>
                <w:color w:val="auto"/>
                <w:vertAlign w:val="superscript"/>
              </w:rPr>
              <w:t>(1)</w:t>
            </w:r>
          </w:p>
        </w:tc>
        <w:tc>
          <w:tcPr>
            <w:tcW w:w="1140" w:type="dxa"/>
            <w:vAlign w:val="bottom"/>
            <w:gridSpan w:val="2"/>
          </w:tcPr>
          <w:p>
            <w:pPr>
              <w:ind w:left="60"/>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4"/>
                <w:szCs w:val="14"/>
                <w:b w:val="1"/>
                <w:bCs w:val="1"/>
                <w:color w:val="auto"/>
                <w:w w:val="89"/>
              </w:rPr>
              <w:t>Number</w:t>
            </w:r>
            <w:r>
              <w:rPr>
                <w:rFonts w:ascii="Arial" w:cs="Arial" w:eastAsia="Arial" w:hAnsi="Arial"/>
                <w:sz w:val="17"/>
                <w:szCs w:val="17"/>
                <w:b w:val="1"/>
                <w:bCs w:val="1"/>
                <w:color w:val="auto"/>
                <w:w w:val="89"/>
                <w:vertAlign w:val="superscript"/>
              </w:rPr>
              <w:t>(1)</w:t>
            </w:r>
          </w:p>
        </w:tc>
        <w:tc>
          <w:tcPr>
            <w:tcW w:w="22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Common Stock</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Voting Power</w:t>
            </w:r>
            <w:r>
              <w:rPr>
                <w:rFonts w:ascii="Arial" w:cs="Arial" w:eastAsia="Arial" w:hAnsi="Arial"/>
                <w:sz w:val="17"/>
                <w:szCs w:val="17"/>
                <w:b w:val="1"/>
                <w:bCs w:val="1"/>
                <w:color w:val="auto"/>
                <w:w w:val="87"/>
                <w:vertAlign w:val="superscript"/>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GIP Entities</w:t>
            </w:r>
          </w:p>
        </w:tc>
        <w:tc>
          <w:tcPr>
            <w:tcW w:w="100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w w:val="98"/>
              </w:rPr>
              <w:t>​ ​​42,760,591</w:t>
            </w:r>
          </w:p>
        </w:tc>
        <w:tc>
          <w:tcPr>
            <w:tcW w:w="240" w:type="dxa"/>
            <w:vAlign w:val="bottom"/>
            <w:tcBorders>
              <w:right w:val="single" w:sz="8" w:color="CCEEFF"/>
            </w:tcBorders>
            <w:shd w:val="clear" w:color="auto" w:fill="CCEEFF"/>
          </w:tcPr>
          <w:p>
            <w:pPr>
              <w:spacing w:after="0" w:line="129" w:lineRule="exact"/>
              <w:rPr>
                <w:sz w:val="20"/>
                <w:szCs w:val="20"/>
                <w:color w:val="auto"/>
              </w:rPr>
            </w:pPr>
            <w:r>
              <w:rPr>
                <w:rFonts w:ascii="Arial" w:cs="Arial" w:eastAsia="Arial" w:hAnsi="Arial"/>
                <w:sz w:val="12"/>
                <w:szCs w:val="12"/>
                <w:color w:val="auto"/>
              </w:rPr>
              <w:t>(3)</w:t>
            </w:r>
          </w:p>
        </w:tc>
        <w:tc>
          <w:tcPr>
            <w:tcW w:w="90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​55.26%</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​42,402,537</w:t>
            </w:r>
          </w:p>
        </w:tc>
        <w:tc>
          <w:tcPr>
            <w:tcW w:w="22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w w:val="81"/>
              </w:rPr>
              <w:t>(3)</w:t>
            </w:r>
          </w:p>
        </w:tc>
        <w:tc>
          <w:tcPr>
            <w:tcW w:w="94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color w:val="auto"/>
              </w:rPr>
              <w:t>​34.30%</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ind w:left="840"/>
              <w:spacing w:after="0"/>
              <w:rPr>
                <w:sz w:val="20"/>
                <w:szCs w:val="20"/>
                <w:color w:val="auto"/>
              </w:rPr>
            </w:pPr>
            <w:r>
              <w:rPr>
                <w:rFonts w:ascii="Arial" w:cs="Arial" w:eastAsia="Arial" w:hAnsi="Arial"/>
                <w:sz w:val="9"/>
                <w:szCs w:val="9"/>
                <w:color w:val="auto"/>
                <w:w w:val="72"/>
              </w:rPr>
              <w:t>(4)</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680" w:type="dxa"/>
            <w:vAlign w:val="bottom"/>
            <w:vMerge w:val="continue"/>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ind w:left="60"/>
              <w:spacing w:after="0" w:line="94" w:lineRule="exact"/>
              <w:rPr>
                <w:sz w:val="20"/>
                <w:szCs w:val="20"/>
                <w:color w:val="auto"/>
              </w:rPr>
            </w:pPr>
            <w:r>
              <w:rPr>
                <w:rFonts w:ascii="Arial" w:cs="Arial" w:eastAsia="Arial" w:hAnsi="Arial"/>
                <w:sz w:val="10"/>
                <w:szCs w:val="10"/>
                <w:color w:val="auto"/>
              </w:rPr>
              <w:t>​ ​</w:t>
            </w:r>
          </w:p>
        </w:tc>
        <w:tc>
          <w:tcPr>
            <w:tcW w:w="900" w:type="dxa"/>
            <w:vAlign w:val="bottom"/>
            <w:vMerge w:val="continue"/>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960" w:type="dxa"/>
            <w:vAlign w:val="bottom"/>
            <w:tcBorders>
              <w:right w:val="single" w:sz="8" w:color="CCEEFF"/>
            </w:tcBorders>
            <w:shd w:val="clear" w:color="auto" w:fill="CCEEFF"/>
          </w:tcPr>
          <w:p>
            <w:pPr>
              <w:ind w:left="260"/>
              <w:spacing w:after="0" w:line="94" w:lineRule="exact"/>
              <w:rPr>
                <w:sz w:val="20"/>
                <w:szCs w:val="20"/>
                <w:color w:val="auto"/>
              </w:rPr>
            </w:pPr>
            <w:r>
              <w:rPr>
                <w:rFonts w:ascii="Arial" w:cs="Arial" w:eastAsia="Arial" w:hAnsi="Arial"/>
                <w:sz w:val="10"/>
                <w:szCs w:val="10"/>
                <w:color w:val="auto"/>
              </w:rPr>
              <w:t>​54.94%</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1345 Avenue of the Americas,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30th Floor</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 York, New York 10105</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680" w:type="dxa"/>
            <w:vAlign w:val="bottom"/>
            <w:vMerge w:val="restart"/>
          </w:tcPr>
          <w:p>
            <w:pPr>
              <w:spacing w:after="0"/>
              <w:rPr>
                <w:sz w:val="20"/>
                <w:szCs w:val="20"/>
                <w:color w:val="auto"/>
              </w:rPr>
            </w:pPr>
            <w:r>
              <w:rPr>
                <w:rFonts w:ascii="Arial" w:cs="Arial" w:eastAsia="Arial" w:hAnsi="Arial"/>
                <w:sz w:val="18"/>
                <w:szCs w:val="18"/>
                <w:color w:val="auto"/>
              </w:rPr>
              <w:t>TotalEnergies Entities</w:t>
            </w: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color w:val="auto"/>
                <w:w w:val="98"/>
              </w:rPr>
              <w:t>​ ​​42,760,591</w:t>
            </w:r>
          </w:p>
        </w:tc>
        <w:tc>
          <w:tcPr>
            <w:tcW w:w="240" w:type="dxa"/>
            <w:vAlign w:val="bottom"/>
          </w:tcPr>
          <w:p>
            <w:pPr>
              <w:spacing w:after="0" w:line="135" w:lineRule="exact"/>
              <w:rPr>
                <w:sz w:val="20"/>
                <w:szCs w:val="20"/>
                <w:color w:val="auto"/>
              </w:rPr>
            </w:pPr>
            <w:r>
              <w:rPr>
                <w:rFonts w:ascii="Arial" w:cs="Arial" w:eastAsia="Arial" w:hAnsi="Arial"/>
                <w:sz w:val="12"/>
                <w:szCs w:val="12"/>
                <w:color w:val="auto"/>
              </w:rPr>
              <w:t>(5)</w:t>
            </w:r>
          </w:p>
        </w:tc>
        <w:tc>
          <w:tcPr>
            <w:tcW w:w="900" w:type="dxa"/>
            <w:vAlign w:val="bottom"/>
            <w:vMerge w:val="restart"/>
          </w:tcPr>
          <w:p>
            <w:pPr>
              <w:ind w:left="220"/>
              <w:spacing w:after="0"/>
              <w:rPr>
                <w:sz w:val="20"/>
                <w:szCs w:val="20"/>
                <w:color w:val="auto"/>
              </w:rPr>
            </w:pPr>
            <w:r>
              <w:rPr>
                <w:rFonts w:ascii="Arial" w:cs="Arial" w:eastAsia="Arial" w:hAnsi="Arial"/>
                <w:sz w:val="18"/>
                <w:szCs w:val="18"/>
                <w:color w:val="auto"/>
              </w:rPr>
              <w:t>​55.26%</w:t>
            </w: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w w:val="88"/>
              </w:rPr>
              <w:t>​42,402,537</w:t>
            </w:r>
          </w:p>
        </w:tc>
        <w:tc>
          <w:tcPr>
            <w:tcW w:w="220" w:type="dxa"/>
            <w:vAlign w:val="bottom"/>
          </w:tcPr>
          <w:p>
            <w:pPr>
              <w:jc w:val="right"/>
              <w:ind w:right="22"/>
              <w:spacing w:after="0" w:line="135" w:lineRule="exact"/>
              <w:rPr>
                <w:sz w:val="20"/>
                <w:szCs w:val="20"/>
                <w:color w:val="auto"/>
              </w:rPr>
            </w:pPr>
            <w:r>
              <w:rPr>
                <w:rFonts w:ascii="Arial" w:cs="Arial" w:eastAsia="Arial" w:hAnsi="Arial"/>
                <w:sz w:val="12"/>
                <w:szCs w:val="12"/>
                <w:color w:val="auto"/>
                <w:w w:val="81"/>
              </w:rPr>
              <w:t>(5)</w:t>
            </w:r>
          </w:p>
        </w:tc>
        <w:tc>
          <w:tcPr>
            <w:tcW w:w="940" w:type="dxa"/>
            <w:vAlign w:val="bottom"/>
            <w:gridSpan w:val="2"/>
            <w:vMerge w:val="restart"/>
          </w:tcPr>
          <w:p>
            <w:pPr>
              <w:ind w:left="260"/>
              <w:spacing w:after="0"/>
              <w:rPr>
                <w:sz w:val="20"/>
                <w:szCs w:val="20"/>
                <w:color w:val="auto"/>
              </w:rPr>
            </w:pPr>
            <w:r>
              <w:rPr>
                <w:rFonts w:ascii="Arial" w:cs="Arial" w:eastAsia="Arial" w:hAnsi="Arial"/>
                <w:sz w:val="18"/>
                <w:szCs w:val="18"/>
                <w:color w:val="auto"/>
              </w:rPr>
              <w:t>​34.30%</w:t>
            </w: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40"/>
              <w:spacing w:after="0" w:line="135" w:lineRule="exact"/>
              <w:rPr>
                <w:sz w:val="20"/>
                <w:szCs w:val="20"/>
                <w:color w:val="auto"/>
              </w:rPr>
            </w:pPr>
            <w:r>
              <w:rPr>
                <w:rFonts w:ascii="Arial" w:cs="Arial" w:eastAsia="Arial" w:hAnsi="Arial"/>
                <w:sz w:val="12"/>
                <w:szCs w:val="12"/>
                <w:color w:val="auto"/>
                <w:w w:val="95"/>
              </w:rPr>
              <w:t>(6)</w:t>
            </w:r>
          </w:p>
        </w:tc>
        <w:tc>
          <w:tcPr>
            <w:tcW w:w="0" w:type="dxa"/>
            <w:vAlign w:val="bottom"/>
          </w:tcPr>
          <w:p>
            <w:pPr>
              <w:spacing w:after="0"/>
              <w:rPr>
                <w:sz w:val="1"/>
                <w:szCs w:val="1"/>
                <w:color w:val="auto"/>
              </w:rPr>
            </w:pPr>
          </w:p>
        </w:tc>
      </w:tr>
      <w:tr>
        <w:trPr>
          <w:trHeight w:val="94"/>
        </w:trPr>
        <w:tc>
          <w:tcPr>
            <w:tcW w:w="268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240" w:type="dxa"/>
            <w:vAlign w:val="bottom"/>
          </w:tcPr>
          <w:p>
            <w:pPr>
              <w:ind w:left="60"/>
              <w:spacing w:after="0" w:line="94" w:lineRule="exact"/>
              <w:rPr>
                <w:sz w:val="20"/>
                <w:szCs w:val="20"/>
                <w:color w:val="auto"/>
              </w:rPr>
            </w:pPr>
            <w:r>
              <w:rPr>
                <w:rFonts w:ascii="Arial" w:cs="Arial" w:eastAsia="Arial" w:hAnsi="Arial"/>
                <w:sz w:val="10"/>
                <w:szCs w:val="10"/>
                <w:color w:val="auto"/>
              </w:rPr>
              <w:t>​ ​</w:t>
            </w:r>
          </w:p>
        </w:tc>
        <w:tc>
          <w:tcPr>
            <w:tcW w:w="90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960" w:type="dxa"/>
            <w:vAlign w:val="bottom"/>
          </w:tcPr>
          <w:p>
            <w:pPr>
              <w:ind w:left="260"/>
              <w:spacing w:after="0" w:line="94" w:lineRule="exact"/>
              <w:rPr>
                <w:sz w:val="20"/>
                <w:szCs w:val="20"/>
                <w:color w:val="auto"/>
              </w:rPr>
            </w:pPr>
            <w:r>
              <w:rPr>
                <w:rFonts w:ascii="Arial" w:cs="Arial" w:eastAsia="Arial" w:hAnsi="Arial"/>
                <w:sz w:val="10"/>
                <w:szCs w:val="10"/>
                <w:color w:val="auto"/>
              </w:rPr>
              <w:t>​54.94%</w:t>
            </w:r>
          </w:p>
        </w:tc>
        <w:tc>
          <w:tcPr>
            <w:tcW w:w="40" w:type="dxa"/>
            <w:vAlign w:val="bottom"/>
          </w:tcPr>
          <w:p>
            <w:pPr>
              <w:spacing w:after="0" w:line="9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16"/>
        </w:trPr>
        <w:tc>
          <w:tcPr>
            <w:tcW w:w="2680" w:type="dxa"/>
            <w:vAlign w:val="bottom"/>
          </w:tcPr>
          <w:p>
            <w:pPr>
              <w:ind w:left="180"/>
              <w:spacing w:after="0"/>
              <w:rPr>
                <w:sz w:val="20"/>
                <w:szCs w:val="20"/>
                <w:color w:val="auto"/>
              </w:rPr>
            </w:pPr>
            <w:r>
              <w:rPr>
                <w:rFonts w:ascii="Arial" w:cs="Arial" w:eastAsia="Arial" w:hAnsi="Arial"/>
                <w:sz w:val="18"/>
                <w:szCs w:val="18"/>
                <w:color w:val="auto"/>
              </w:rPr>
              <w:t>2, place Jean Millier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180"/>
              <w:spacing w:after="0"/>
              <w:rPr>
                <w:sz w:val="20"/>
                <w:szCs w:val="20"/>
                <w:color w:val="auto"/>
              </w:rPr>
            </w:pPr>
            <w:r>
              <w:rPr>
                <w:rFonts w:ascii="Arial" w:cs="Arial" w:eastAsia="Arial" w:hAnsi="Arial"/>
                <w:sz w:val="18"/>
                <w:szCs w:val="18"/>
                <w:color w:val="auto"/>
              </w:rPr>
              <w:t>La Défense 6, 92400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80" w:type="dxa"/>
            <w:vAlign w:val="bottom"/>
          </w:tcPr>
          <w:p>
            <w:pPr>
              <w:ind w:left="180"/>
              <w:spacing w:after="0"/>
              <w:rPr>
                <w:sz w:val="20"/>
                <w:szCs w:val="20"/>
                <w:color w:val="auto"/>
              </w:rPr>
            </w:pPr>
            <w:r>
              <w:rPr>
                <w:rFonts w:ascii="Arial" w:cs="Arial" w:eastAsia="Arial" w:hAnsi="Arial"/>
                <w:sz w:val="18"/>
                <w:szCs w:val="18"/>
                <w:color w:val="auto"/>
              </w:rPr>
              <w:t>Courbevoie, France</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2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BlackRock, Inc.</w:t>
            </w:r>
          </w:p>
        </w:tc>
        <w:tc>
          <w:tcPr>
            <w:tcW w:w="100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 ​​ 4,053,170</w:t>
            </w:r>
          </w:p>
        </w:tc>
        <w:tc>
          <w:tcPr>
            <w:tcW w:w="240" w:type="dxa"/>
            <w:vAlign w:val="bottom"/>
            <w:tcBorders>
              <w:right w:val="single" w:sz="8" w:color="CCEEFF"/>
            </w:tcBorders>
            <w:shd w:val="clear" w:color="auto" w:fill="CCEEFF"/>
          </w:tcPr>
          <w:p>
            <w:pPr>
              <w:spacing w:after="0" w:line="129" w:lineRule="exact"/>
              <w:rPr>
                <w:sz w:val="20"/>
                <w:szCs w:val="20"/>
                <w:color w:val="auto"/>
              </w:rPr>
            </w:pPr>
            <w:r>
              <w:rPr>
                <w:rFonts w:ascii="Arial" w:cs="Arial" w:eastAsia="Arial" w:hAnsi="Arial"/>
                <w:sz w:val="12"/>
                <w:szCs w:val="12"/>
                <w:color w:val="auto"/>
              </w:rPr>
              <w:t>(7)</w:t>
            </w:r>
          </w:p>
        </w:tc>
        <w:tc>
          <w:tcPr>
            <w:tcW w:w="90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​11.71%</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​11,270,408</w:t>
            </w:r>
          </w:p>
        </w:tc>
        <w:tc>
          <w:tcPr>
            <w:tcW w:w="22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w w:val="81"/>
              </w:rPr>
              <w:t>(7)</w:t>
            </w:r>
          </w:p>
        </w:tc>
        <w:tc>
          <w:tcPr>
            <w:tcW w:w="94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color w:val="auto"/>
              </w:rPr>
              <w:t>​ 13.7%</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vMerge w:val="restart"/>
            <w:shd w:val="clear" w:color="auto" w:fill="CCEEFF"/>
          </w:tcPr>
          <w:p>
            <w:pPr>
              <w:ind w:left="260"/>
              <w:spacing w:after="0"/>
              <w:rPr>
                <w:sz w:val="20"/>
                <w:szCs w:val="20"/>
                <w:color w:val="auto"/>
              </w:rPr>
            </w:pPr>
            <w:r>
              <w:rPr>
                <w:rFonts w:ascii="Arial" w:cs="Arial" w:eastAsia="Arial" w:hAnsi="Arial"/>
                <w:sz w:val="18"/>
                <w:szCs w:val="18"/>
                <w:color w:val="auto"/>
              </w:rPr>
              <w:t>​ 5.30%</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680" w:type="dxa"/>
            <w:vAlign w:val="bottom"/>
            <w:vMerge w:val="continue"/>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ind w:left="60"/>
              <w:spacing w:after="0" w:line="107" w:lineRule="exact"/>
              <w:rPr>
                <w:sz w:val="20"/>
                <w:szCs w:val="20"/>
                <w:color w:val="auto"/>
              </w:rPr>
            </w:pPr>
            <w:r>
              <w:rPr>
                <w:rFonts w:ascii="Arial" w:cs="Arial" w:eastAsia="Arial" w:hAnsi="Arial"/>
                <w:sz w:val="12"/>
                <w:szCs w:val="12"/>
                <w:color w:val="auto"/>
              </w:rPr>
              <w:t>​ ​</w:t>
            </w:r>
          </w:p>
        </w:tc>
        <w:tc>
          <w:tcPr>
            <w:tcW w:w="900" w:type="dxa"/>
            <w:vAlign w:val="bottom"/>
            <w:vMerge w:val="continue"/>
            <w:shd w:val="clear" w:color="auto" w:fill="CCEEFF"/>
          </w:tcPr>
          <w:p>
            <w:pPr>
              <w:spacing w:after="0"/>
              <w:rPr>
                <w:sz w:val="9"/>
                <w:szCs w:val="9"/>
                <w:color w:val="auto"/>
              </w:rPr>
            </w:pPr>
          </w:p>
        </w:tc>
        <w:tc>
          <w:tcPr>
            <w:tcW w:w="220" w:type="dxa"/>
            <w:vAlign w:val="bottom"/>
            <w:vMerge w:val="continue"/>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40" w:type="dxa"/>
            <w:vAlign w:val="bottom"/>
            <w:gridSpan w:val="2"/>
            <w:vMerge w:val="continue"/>
            <w:shd w:val="clear" w:color="auto" w:fill="CCEEFF"/>
          </w:tcPr>
          <w:p>
            <w:pPr>
              <w:spacing w:after="0"/>
              <w:rPr>
                <w:sz w:val="9"/>
                <w:szCs w:val="9"/>
                <w:color w:val="auto"/>
              </w:rPr>
            </w:pPr>
          </w:p>
        </w:tc>
        <w:tc>
          <w:tcPr>
            <w:tcW w:w="220" w:type="dxa"/>
            <w:vAlign w:val="bottom"/>
            <w:vMerge w:val="continue"/>
            <w:shd w:val="clear" w:color="auto" w:fill="CCEEFF"/>
          </w:tcPr>
          <w:p>
            <w:pPr>
              <w:spacing w:after="0"/>
              <w:rPr>
                <w:sz w:val="9"/>
                <w:szCs w:val="9"/>
                <w:color w:val="auto"/>
              </w:rPr>
            </w:pPr>
          </w:p>
        </w:tc>
        <w:tc>
          <w:tcPr>
            <w:tcW w:w="960" w:type="dxa"/>
            <w:vAlign w:val="bottom"/>
            <w:tcBorders>
              <w:right w:val="single" w:sz="8" w:color="CCEEFF"/>
            </w:tcBorders>
            <w:vMerge w:val="continue"/>
            <w:shd w:val="clear" w:color="auto" w:fill="CCEEFF"/>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 East 52nd Street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 York, New York 10055</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680" w:type="dxa"/>
            <w:vAlign w:val="bottom"/>
            <w:vMerge w:val="restart"/>
          </w:tcPr>
          <w:p>
            <w:pPr>
              <w:spacing w:after="0"/>
              <w:rPr>
                <w:sz w:val="20"/>
                <w:szCs w:val="20"/>
                <w:color w:val="auto"/>
              </w:rPr>
            </w:pPr>
            <w:r>
              <w:rPr>
                <w:rFonts w:ascii="Arial" w:cs="Arial" w:eastAsia="Arial" w:hAnsi="Arial"/>
                <w:sz w:val="18"/>
                <w:szCs w:val="18"/>
                <w:color w:val="auto"/>
              </w:rPr>
              <w:t>The Vanguard Group</w:t>
            </w: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color w:val="auto"/>
              </w:rPr>
              <w:t>​ ​​ 3,630,807</w:t>
            </w:r>
          </w:p>
        </w:tc>
        <w:tc>
          <w:tcPr>
            <w:tcW w:w="240" w:type="dxa"/>
            <w:vAlign w:val="bottom"/>
          </w:tcPr>
          <w:p>
            <w:pPr>
              <w:spacing w:after="0" w:line="122" w:lineRule="exact"/>
              <w:rPr>
                <w:sz w:val="20"/>
                <w:szCs w:val="20"/>
                <w:color w:val="auto"/>
              </w:rPr>
            </w:pPr>
            <w:r>
              <w:rPr>
                <w:rFonts w:ascii="Arial" w:cs="Arial" w:eastAsia="Arial" w:hAnsi="Arial"/>
                <w:sz w:val="12"/>
                <w:szCs w:val="12"/>
                <w:color w:val="auto"/>
              </w:rPr>
              <w:t>(8)</w:t>
            </w:r>
          </w:p>
        </w:tc>
        <w:tc>
          <w:tcPr>
            <w:tcW w:w="900" w:type="dxa"/>
            <w:vAlign w:val="bottom"/>
            <w:vMerge w:val="restart"/>
          </w:tcPr>
          <w:p>
            <w:pPr>
              <w:ind w:left="220"/>
              <w:spacing w:after="0"/>
              <w:rPr>
                <w:sz w:val="20"/>
                <w:szCs w:val="20"/>
                <w:color w:val="auto"/>
              </w:rPr>
            </w:pPr>
            <w:r>
              <w:rPr>
                <w:rFonts w:ascii="Arial" w:cs="Arial" w:eastAsia="Arial" w:hAnsi="Arial"/>
                <w:sz w:val="18"/>
                <w:szCs w:val="18"/>
                <w:color w:val="auto"/>
              </w:rPr>
              <w:t>​10.49%</w:t>
            </w: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w w:val="93"/>
              </w:rPr>
              <w:t>​ 8,598,712</w:t>
            </w:r>
          </w:p>
        </w:tc>
        <w:tc>
          <w:tcPr>
            <w:tcW w:w="220" w:type="dxa"/>
            <w:vAlign w:val="bottom"/>
          </w:tcPr>
          <w:p>
            <w:pPr>
              <w:jc w:val="right"/>
              <w:ind w:right="22"/>
              <w:spacing w:after="0" w:line="122" w:lineRule="exact"/>
              <w:rPr>
                <w:sz w:val="20"/>
                <w:szCs w:val="20"/>
                <w:color w:val="auto"/>
              </w:rPr>
            </w:pPr>
            <w:r>
              <w:rPr>
                <w:rFonts w:ascii="Arial" w:cs="Arial" w:eastAsia="Arial" w:hAnsi="Arial"/>
                <w:sz w:val="12"/>
                <w:szCs w:val="12"/>
                <w:color w:val="auto"/>
                <w:w w:val="81"/>
              </w:rPr>
              <w:t>(8)</w:t>
            </w:r>
          </w:p>
        </w:tc>
        <w:tc>
          <w:tcPr>
            <w:tcW w:w="940" w:type="dxa"/>
            <w:vAlign w:val="bottom"/>
            <w:gridSpan w:val="2"/>
            <w:vMerge w:val="restart"/>
          </w:tcPr>
          <w:p>
            <w:pPr>
              <w:ind w:left="260"/>
              <w:spacing w:after="0"/>
              <w:rPr>
                <w:sz w:val="20"/>
                <w:szCs w:val="20"/>
                <w:color w:val="auto"/>
              </w:rPr>
            </w:pPr>
            <w:r>
              <w:rPr>
                <w:rFonts w:ascii="Arial" w:cs="Arial" w:eastAsia="Arial" w:hAnsi="Arial"/>
                <w:sz w:val="18"/>
                <w:szCs w:val="18"/>
                <w:color w:val="auto"/>
              </w:rPr>
              <w:t>​10.45%</w:t>
            </w: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ind w:left="260"/>
              <w:spacing w:after="0"/>
              <w:rPr>
                <w:sz w:val="20"/>
                <w:szCs w:val="20"/>
                <w:color w:val="auto"/>
              </w:rPr>
            </w:pPr>
            <w:r>
              <w:rPr>
                <w:rFonts w:ascii="Arial" w:cs="Arial" w:eastAsia="Arial" w:hAnsi="Arial"/>
                <w:sz w:val="18"/>
                <w:szCs w:val="18"/>
                <w:color w:val="auto"/>
              </w:rPr>
              <w:t>​ 4.73%</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68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40" w:type="dxa"/>
            <w:vAlign w:val="bottom"/>
          </w:tcPr>
          <w:p>
            <w:pPr>
              <w:ind w:left="60"/>
              <w:spacing w:after="0" w:line="107" w:lineRule="exact"/>
              <w:rPr>
                <w:sz w:val="20"/>
                <w:szCs w:val="20"/>
                <w:color w:val="auto"/>
              </w:rPr>
            </w:pPr>
            <w:r>
              <w:rPr>
                <w:rFonts w:ascii="Arial" w:cs="Arial" w:eastAsia="Arial" w:hAnsi="Arial"/>
                <w:sz w:val="12"/>
                <w:szCs w:val="12"/>
                <w:color w:val="auto"/>
              </w:rPr>
              <w:t>​ ​</w:t>
            </w:r>
          </w:p>
        </w:tc>
        <w:tc>
          <w:tcPr>
            <w:tcW w:w="90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180"/>
              <w:spacing w:after="0"/>
              <w:rPr>
                <w:sz w:val="20"/>
                <w:szCs w:val="20"/>
                <w:color w:val="auto"/>
              </w:rPr>
            </w:pPr>
            <w:r>
              <w:rPr>
                <w:rFonts w:ascii="Arial" w:cs="Arial" w:eastAsia="Arial" w:hAnsi="Arial"/>
                <w:sz w:val="18"/>
                <w:szCs w:val="18"/>
                <w:color w:val="auto"/>
              </w:rPr>
              <w:t>100 Vanguard Boulevard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80" w:type="dxa"/>
            <w:vAlign w:val="bottom"/>
          </w:tcPr>
          <w:p>
            <w:pPr>
              <w:ind w:left="180"/>
              <w:spacing w:after="0"/>
              <w:rPr>
                <w:sz w:val="20"/>
                <w:szCs w:val="20"/>
                <w:color w:val="auto"/>
              </w:rPr>
            </w:pPr>
            <w:r>
              <w:rPr>
                <w:rFonts w:ascii="Arial" w:cs="Arial" w:eastAsia="Arial" w:hAnsi="Arial"/>
                <w:sz w:val="18"/>
                <w:szCs w:val="18"/>
                <w:color w:val="auto"/>
              </w:rPr>
              <w:t>Malvern, Pennsylvania, 19355</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2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Apollo Entities</w:t>
            </w:r>
          </w:p>
        </w:tc>
        <w:tc>
          <w:tcPr>
            <w:tcW w:w="1000" w:type="dxa"/>
            <w:vAlign w:val="bottom"/>
            <w:gridSpan w:val="2"/>
            <w:vMerge w:val="restart"/>
            <w:shd w:val="clear" w:color="auto" w:fill="CCEEFF"/>
          </w:tcPr>
          <w:p>
            <w:pPr>
              <w:ind w:left="40"/>
              <w:spacing w:after="0" w:line="264"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6"/>
                <w:szCs w:val="16"/>
                <w:color w:val="auto"/>
              </w:rPr>
              <w:t xml:space="preserve"> 1,960,737</w:t>
            </w:r>
          </w:p>
        </w:tc>
        <w:tc>
          <w:tcPr>
            <w:tcW w:w="240" w:type="dxa"/>
            <w:vAlign w:val="bottom"/>
            <w:tcBorders>
              <w:right w:val="single" w:sz="8" w:color="CCEEFF"/>
            </w:tcBorders>
            <w:shd w:val="clear" w:color="auto" w:fill="CCEEFF"/>
          </w:tcPr>
          <w:p>
            <w:pPr>
              <w:spacing w:after="0" w:line="129" w:lineRule="exact"/>
              <w:rPr>
                <w:sz w:val="20"/>
                <w:szCs w:val="20"/>
                <w:color w:val="auto"/>
              </w:rPr>
            </w:pPr>
            <w:r>
              <w:rPr>
                <w:rFonts w:ascii="Arial" w:cs="Arial" w:eastAsia="Arial" w:hAnsi="Arial"/>
                <w:sz w:val="12"/>
                <w:szCs w:val="12"/>
                <w:color w:val="auto"/>
              </w:rPr>
              <w:t>(9)</w:t>
            </w:r>
          </w:p>
        </w:tc>
        <w:tc>
          <w:tcPr>
            <w:tcW w:w="900" w:type="dxa"/>
            <w:vAlign w:val="bottom"/>
            <w:vMerge w:val="restart"/>
            <w:shd w:val="clear" w:color="auto" w:fill="CCEEFF"/>
          </w:tcPr>
          <w:p>
            <w:pPr>
              <w:ind w:left="220"/>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5.66%</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vMerge w:val="restart"/>
            <w:shd w:val="clear" w:color="auto" w:fill="CCEEFF"/>
          </w:tcPr>
          <w:p>
            <w:pPr>
              <w:ind w:left="260"/>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2.49%</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680" w:type="dxa"/>
            <w:vAlign w:val="bottom"/>
            <w:vMerge w:val="continue"/>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ind w:left="60"/>
              <w:spacing w:after="0" w:line="135" w:lineRule="exact"/>
              <w:rPr>
                <w:sz w:val="20"/>
                <w:szCs w:val="20"/>
                <w:color w:val="auto"/>
              </w:rPr>
            </w:pPr>
            <w:r>
              <w:rPr>
                <w:rFonts w:ascii="Arial" w:cs="Arial" w:eastAsia="Arial" w:hAnsi="Arial"/>
                <w:sz w:val="15"/>
                <w:szCs w:val="15"/>
                <w:color w:val="auto"/>
              </w:rPr>
              <w:t>​ ​</w:t>
            </w:r>
          </w:p>
        </w:tc>
        <w:tc>
          <w:tcPr>
            <w:tcW w:w="900" w:type="dxa"/>
            <w:vAlign w:val="bottom"/>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96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680" w:type="dxa"/>
            <w:vAlign w:val="bottom"/>
            <w:vMerge w:val="restart"/>
          </w:tcPr>
          <w:p>
            <w:pPr>
              <w:spacing w:after="0"/>
              <w:rPr>
                <w:sz w:val="20"/>
                <w:szCs w:val="20"/>
                <w:color w:val="auto"/>
              </w:rPr>
            </w:pPr>
            <w:r>
              <w:rPr>
                <w:rFonts w:ascii="Arial" w:cs="Arial" w:eastAsia="Arial" w:hAnsi="Arial"/>
                <w:sz w:val="18"/>
                <w:szCs w:val="18"/>
                <w:color w:val="auto"/>
              </w:rPr>
              <w:t>Morgan Stanley</w:t>
            </w: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color w:val="auto"/>
              </w:rPr>
              <w:t>​ ​​ 1,828,361</w:t>
            </w:r>
          </w:p>
        </w:tc>
        <w:tc>
          <w:tcPr>
            <w:tcW w:w="240" w:type="dxa"/>
            <w:vAlign w:val="bottom"/>
          </w:tcPr>
          <w:p>
            <w:pPr>
              <w:spacing w:after="0" w:line="122" w:lineRule="exact"/>
              <w:rPr>
                <w:sz w:val="20"/>
                <w:szCs w:val="20"/>
                <w:color w:val="auto"/>
              </w:rPr>
            </w:pPr>
            <w:r>
              <w:rPr>
                <w:rFonts w:ascii="Arial" w:cs="Arial" w:eastAsia="Arial" w:hAnsi="Arial"/>
                <w:sz w:val="12"/>
                <w:szCs w:val="12"/>
                <w:color w:val="auto"/>
                <w:w w:val="93"/>
              </w:rPr>
              <w:t>(10)</w:t>
            </w:r>
          </w:p>
        </w:tc>
        <w:tc>
          <w:tcPr>
            <w:tcW w:w="900" w:type="dxa"/>
            <w:vAlign w:val="bottom"/>
            <w:vMerge w:val="restart"/>
          </w:tcPr>
          <w:p>
            <w:pPr>
              <w:ind w:left="220"/>
              <w:spacing w:after="0"/>
              <w:rPr>
                <w:sz w:val="20"/>
                <w:szCs w:val="20"/>
                <w:color w:val="auto"/>
              </w:rPr>
            </w:pPr>
            <w:r>
              <w:rPr>
                <w:rFonts w:ascii="Arial" w:cs="Arial" w:eastAsia="Arial" w:hAnsi="Arial"/>
                <w:sz w:val="18"/>
                <w:szCs w:val="18"/>
                <w:color w:val="auto"/>
              </w:rPr>
              <w:t>​ 5.28%</w:t>
            </w: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0"/>
                <w:szCs w:val="10"/>
                <w:color w:val="auto"/>
              </w:rPr>
            </w:pPr>
          </w:p>
        </w:tc>
        <w:tc>
          <w:tcPr>
            <w:tcW w:w="40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ind w:left="260"/>
              <w:spacing w:after="0"/>
              <w:rPr>
                <w:sz w:val="20"/>
                <w:szCs w:val="20"/>
                <w:color w:val="auto"/>
              </w:rPr>
            </w:pPr>
            <w:r>
              <w:rPr>
                <w:rFonts w:ascii="Arial" w:cs="Arial" w:eastAsia="Arial" w:hAnsi="Arial"/>
                <w:sz w:val="18"/>
                <w:szCs w:val="18"/>
                <w:color w:val="auto"/>
              </w:rPr>
              <w:t>​ 2.33%</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3"/>
        </w:trPr>
        <w:tc>
          <w:tcPr>
            <w:tcW w:w="2680" w:type="dxa"/>
            <w:vAlign w:val="bottom"/>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40" w:type="dxa"/>
            <w:vAlign w:val="bottom"/>
          </w:tcPr>
          <w:p>
            <w:pPr>
              <w:ind w:left="60"/>
              <w:spacing w:after="0" w:line="123" w:lineRule="exact"/>
              <w:rPr>
                <w:sz w:val="20"/>
                <w:szCs w:val="20"/>
                <w:color w:val="auto"/>
              </w:rPr>
            </w:pPr>
            <w:r>
              <w:rPr>
                <w:rFonts w:ascii="Arial" w:cs="Arial" w:eastAsia="Arial" w:hAnsi="Arial"/>
                <w:sz w:val="13"/>
                <w:szCs w:val="13"/>
                <w:color w:val="auto"/>
              </w:rPr>
              <w:t>​ ​</w:t>
            </w:r>
          </w:p>
        </w:tc>
        <w:tc>
          <w:tcPr>
            <w:tcW w:w="90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-2349500</wp:posOffset>
            </wp:positionV>
            <wp:extent cx="137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-2349500</wp:posOffset>
            </wp:positionV>
            <wp:extent cx="137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-2349500</wp:posOffset>
            </wp:positionV>
            <wp:extent cx="137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-2349500</wp:posOffset>
            </wp:positionV>
            <wp:extent cx="1200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-2349500</wp:posOffset>
            </wp:positionV>
            <wp:extent cx="1200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1585 Broadway</w:t>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New York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177165</wp:posOffset>
            </wp:positionV>
            <wp:extent cx="12344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3" w:lineRule="exact"/>
        <w:rPr>
          <w:sz w:val="20"/>
          <w:szCs w:val="20"/>
          <w:color w:val="auto"/>
        </w:rPr>
      </w:pPr>
    </w:p>
    <w:p>
      <w:pPr>
        <w:ind w:left="1620" w:right="899" w:hanging="360"/>
        <w:spacing w:after="0" w:line="277"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Less than one percent of outstanding Class A common stock, Class C common stock or combined voting power, as applicable.</w:t>
      </w:r>
    </w:p>
    <w:p>
      <w:pPr>
        <w:spacing w:after="0" w:line="8" w:lineRule="exact"/>
        <w:rPr>
          <w:sz w:val="20"/>
          <w:szCs w:val="20"/>
          <w:color w:val="auto"/>
        </w:rPr>
      </w:pPr>
    </w:p>
    <w:p>
      <w:pPr>
        <w:ind w:left="1620" w:right="559" w:hanging="360"/>
        <w:spacing w:after="0" w:line="257"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25" w:lineRule="exact"/>
        <w:rPr>
          <w:rFonts w:ascii="Arial" w:cs="Arial" w:eastAsia="Arial" w:hAnsi="Arial"/>
          <w:sz w:val="18"/>
          <w:szCs w:val="18"/>
          <w:color w:val="auto"/>
        </w:rPr>
      </w:pPr>
    </w:p>
    <w:p>
      <w:pPr>
        <w:ind w:left="1620" w:hanging="360"/>
        <w:spacing w:after="0"/>
        <w:tabs>
          <w:tab w:leader="none" w:pos="1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Represents the voting power of all of the classes of our common stock voting together as a single class.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79"/>
        <w:spacing w:after="0" w:line="249" w:lineRule="auto"/>
        <w:rPr>
          <w:sz w:val="20"/>
          <w:szCs w:val="20"/>
          <w:color w:val="auto"/>
        </w:rPr>
      </w:pPr>
      <w:r>
        <w:rPr>
          <w:rFonts w:ascii="Arial" w:cs="Arial" w:eastAsia="Arial" w:hAnsi="Arial"/>
          <w:sz w:val="18"/>
          <w:szCs w:val="18"/>
          <w:color w:val="auto"/>
        </w:rPr>
        <w:t>Each holder of Class A or Class B common stock is entitled to one vote for each share held. Each holder of Class C or Class D common stock is entitled to 1/100th of one vote for each share held. Holders of shares of our Class A, Class B, Class C and Class D common stock vote together as a single class on all matters presented to our stockholders for their vote or approval, except as otherwise provided by applicable law.</w:t>
      </w:r>
    </w:p>
    <w:p>
      <w:pPr>
        <w:spacing w:after="0" w:line="33" w:lineRule="exact"/>
        <w:rPr>
          <w:sz w:val="20"/>
          <w:szCs w:val="20"/>
          <w:color w:val="auto"/>
        </w:rPr>
      </w:pPr>
    </w:p>
    <w:p>
      <w:pPr>
        <w:ind w:left="1620" w:right="419" w:hanging="360"/>
        <w:spacing w:after="0" w:line="267" w:lineRule="auto"/>
        <w:tabs>
          <w:tab w:leader="none" w:pos="1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upon information set forth in the Schedule 13D/A filed on September 15, 2022 by Global Infrastructure Investors III, LLC, Global Infrastructure GP III, L.P., GIP III Zephyr Midco Holdings, L.P., Zephyr Holdings GP, LLC, GIP III Zephyr Acquisition Partners, L.P., and Clearway Energy Group LLC (collectively, the “GIP Entities”). The GIP Entities have shared voting power and shared dispositive power over 42,760,591 Class A shares and 42,402,537 Class C shares. Consists entirely of Class B units and Class D units of Clearway Energy LLC. The Class B units of Clearway Energy LLC are exchangeable for shares of our Class A common stock at any time and the Class D units are exchangeable for shares of our Class C common stock at any time. As a result, the GIP Entities may be deemed to beneficially own the shares of Class A common stock or Class C common stock for which such Class B units or Class D units of Clearway Energy LLC, as applicable, are exchangeable. GIP Entities may exchange Class B units of Clearway Energy LLC for shares of our Class A common stock and Class D units of Clearway Energy LLC for shares of our Class C common stock on a one-for-one basis, subject to equitable adjustments for stock splits, stock dividends and reclassifications in accordance with the terms of the Amended and Restated Exchange Agreement, dated May 14, 2015, between us and NRG, for which the rights and obligations thereunder were assigned to GIP on August 31, 2018 in connection with the closing of the GIP Transaction; provided, however, upon any exchange of Class B units of Clearway Energy LLC for shares of our Class A common stock or Class D units of Clearway Energy LLC for shares of our Class C common stock, a corresponding number of shares of Class B common stock or Class D common stock, as applicable, are extinguished. For additional information, see “Certain Relationships and Related Person Transactions — Fourth Amended and Restated Limited Liability Company Agreement of Clearway Energy LLC” and “Certain Relationships and Related Person Transactions — Exchange Agreement.” The GIP Entities may be deemed to be acting as a group with the TotalEnergies Entities for purposes of Rule 13d-3 under the Exchange Act.</w:t>
      </w:r>
    </w:p>
    <w:p>
      <w:pPr>
        <w:spacing w:after="0" w:line="249" w:lineRule="exact"/>
        <w:rPr>
          <w:rFonts w:ascii="Arial" w:cs="Arial" w:eastAsia="Arial" w:hAnsi="Arial"/>
          <w:sz w:val="17"/>
          <w:szCs w:val="17"/>
          <w:color w:val="auto"/>
        </w:rPr>
      </w:pPr>
    </w:p>
    <w:p>
      <w:pPr>
        <w:ind w:left="1620" w:right="679" w:hanging="360"/>
        <w:spacing w:after="0" w:line="232"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GIP Entities hold 42,738,750 shares of our Class B common stock and 42,336,750 shares of our Class D common stock. Each holder of Class B common stock is entitled to one vote per share of Class B common stock. Each holder of our Class D common stock is entitled 1/100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one vote per share of Class D common stock.</w:t>
      </w:r>
    </w:p>
    <w:p>
      <w:pPr>
        <w:spacing w:after="0" w:line="55" w:lineRule="exact"/>
        <w:rPr>
          <w:rFonts w:ascii="Arial" w:cs="Arial" w:eastAsia="Arial" w:hAnsi="Arial"/>
          <w:sz w:val="18"/>
          <w:szCs w:val="18"/>
          <w:color w:val="auto"/>
        </w:rPr>
      </w:pPr>
    </w:p>
    <w:p>
      <w:pPr>
        <w:ind w:left="1620" w:right="459" w:hanging="360"/>
        <w:spacing w:after="0" w:line="267" w:lineRule="auto"/>
        <w:tabs>
          <w:tab w:leader="none" w:pos="1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upon information set forth in the Schedule 13D filed on September 15, 2022 by TotalEnergies SE, TotalEnergies Gestion USA SARL, TotalEnergies Holdings USA, Inc., TotalEnergies Delaware, Inc., and TotalEnergies Renewables USA, LLC (collectively, the “TotalEnergies Entities”). The TotalEnergies Entities have shared voting power and shared dispositive power over 42,760,591 Class A shares and 42,402,537 Class C shares. Consists entirely of Class B units and Class D units of Clearway Energy LLC. The Class B units of Clearway Energy LLC are exchangeable for shares of our Class A common stock at any time and the Class D units are exchangeable for shares of our Class C common stock at any time. As a result, the TotalEnergies Entities may be deemed to beneficially own the shares of Class A common stock or Class C common stock for which such Class B units or Class D units of Clearway Energy LLC, as applicable, are exchangeable. TotalEnergies Entities may exchange Class B units of Clearway Energy LLC for shares of our Class A common stock and Class D units of Clearway Energy LLC for shares of our Class C common stock on a one-for-one basis, subject to equitable adjustments for stock splits, stock dividends and reclassifications in accordance with the terms of the Amended and Restated Exchange Agreement, dated May 14, 2015, between us and NRG, for which the rights and obligations thereunder were assigned to GIP on August 31, 2018 in connection with the closing of the GIP Transaction; provided, however, upon any exchange of Class B units of Clearway Energy LLC for shares of our Class A common stock or Class D units of Clearway Energy LLC for shares of our Class C common stock, a corresponding number of shares of Class B common stock or Class D common stock, as applicable, are extinguished. For additional information, see “Certain Relationships and Related Person Transactions — Fourth Amended and Restated Limited Liability Company Agreement of Clearway Energy LLC” and “Certain Relationships and Related Person Transactions — Exchange Agreement.” The TotalEnergies Entities may be deemed to be acting as a group with the GIP Entities for purposes of Rule 13d-3 under the Exchange Act.</w:t>
      </w:r>
    </w:p>
    <w:p>
      <w:pPr>
        <w:sectPr>
          <w:pgSz w:w="11900" w:h="16838" w:orient="portrait"/>
          <w:cols w:equalWidth="0" w:num="1">
            <w:col w:w="9879"/>
          </w:cols>
          <w:pgMar w:left="580" w:top="131"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620" w:right="579" w:hanging="360"/>
        <w:spacing w:after="0" w:line="232"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TotalEnergies Entities hold 42,738,750 shares of our Class B common stock and 42,336,750 shares of our Class D common stock. Each holder of Class B common stock is entitled to one vote per share of Class B common stock. Each holder of our Class D common stock is entitled 1/100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one vote per share of Class D common stock.</w:t>
      </w:r>
    </w:p>
    <w:p>
      <w:pPr>
        <w:spacing w:after="0" w:line="69" w:lineRule="exact"/>
        <w:rPr>
          <w:rFonts w:ascii="Arial" w:cs="Arial" w:eastAsia="Arial" w:hAnsi="Arial"/>
          <w:sz w:val="18"/>
          <w:szCs w:val="18"/>
          <w:color w:val="auto"/>
        </w:rPr>
      </w:pPr>
    </w:p>
    <w:p>
      <w:pPr>
        <w:ind w:left="1620" w:right="539" w:hanging="360"/>
        <w:spacing w:after="0" w:line="25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upon information set forth in the Schedules 13G/A filed on January 26 and February 7, 2023 by BlackRock, Inc. (“BlackRock”). With respect to the Class A shares, BlackRock has sole voting power over 3,756,679 Class A shares and sole dispositive power over 4,053,170 Class A shares. With respect to the Class C shares, BlackRock has sole voting power over 10,653,754 Class C shares and sole dispositive power over 11,270,408 Class C shares.</w:t>
      </w:r>
    </w:p>
    <w:p>
      <w:pPr>
        <w:spacing w:after="0" w:line="39" w:lineRule="exact"/>
        <w:rPr>
          <w:rFonts w:ascii="Arial" w:cs="Arial" w:eastAsia="Arial" w:hAnsi="Arial"/>
          <w:sz w:val="18"/>
          <w:szCs w:val="18"/>
          <w:color w:val="auto"/>
        </w:rPr>
      </w:pPr>
    </w:p>
    <w:p>
      <w:pPr>
        <w:ind w:left="1620" w:right="619" w:hanging="360"/>
        <w:spacing w:after="0" w:line="255"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upon information set forth in the Schedules 13G/A filed on February 9, 2023 by The Vanguard Group (“Vanguard”). With respect to the Class A shares, Vanguard has shared voting power over 62,436 Class A Shares, sole dispositive power over 3,538,175 Class A shares, and shared dispositive power over 92,632 Class A shares. With respect to the Class C shares, Vanguard has shared voting power over 136,985 Class C shares, sole dispositive power over 8,387,293 Class C shares and shared dispositive power over 211,419 Class C shares.</w:t>
      </w:r>
    </w:p>
    <w:p>
      <w:pPr>
        <w:spacing w:after="0" w:line="43" w:lineRule="exact"/>
        <w:rPr>
          <w:rFonts w:ascii="Arial" w:cs="Arial" w:eastAsia="Arial" w:hAnsi="Arial"/>
          <w:sz w:val="18"/>
          <w:szCs w:val="18"/>
          <w:color w:val="auto"/>
        </w:rPr>
      </w:pPr>
    </w:p>
    <w:p>
      <w:pPr>
        <w:ind w:left="1620" w:right="459" w:hanging="360"/>
        <w:spacing w:after="0" w:line="268" w:lineRule="auto"/>
        <w:tabs>
          <w:tab w:leader="none" w:pos="1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upon information set forth in the Schedule 13G/A filed on February 13, 2023 by (i) Apollo Atlas Master Fund, LLC (“Atlas”), (ii) Apollo Atlas Management, LLC (“Atlas Management”), (iii) Apollo PPF Credit Strategies, LLC (“PPF Credit Strategies”), (iv) Apollo Credit Strategies Master Fund Ltd. (“Credit Strategies”), (v) Apollo ST Fund Management LLC (“ST Management”), (vi) Apollo ST Operating LP (“ST Operating”), (vii) Apollo ST Capital LLC (“ST Capital”), (viii) ST Management Holdings, LLC (“ST Management Holdings”), (ix) AP Kent Credit Master Fund, L.P. (“Kent Credit”),</w:t>
      </w:r>
    </w:p>
    <w:p>
      <w:pPr>
        <w:ind w:left="1620" w:right="479"/>
        <w:spacing w:after="0" w:line="265" w:lineRule="auto"/>
        <w:tabs>
          <w:tab w:leader="none" w:pos="1879" w:val="left"/>
        </w:tabs>
        <w:numPr>
          <w:ilvl w:val="1"/>
          <w:numId w:val="34"/>
        </w:numPr>
        <w:rPr>
          <w:rFonts w:ascii="Arial" w:cs="Arial" w:eastAsia="Arial" w:hAnsi="Arial"/>
          <w:sz w:val="17"/>
          <w:szCs w:val="17"/>
          <w:color w:val="auto"/>
        </w:rPr>
      </w:pPr>
      <w:r>
        <w:rPr>
          <w:rFonts w:ascii="Arial" w:cs="Arial" w:eastAsia="Arial" w:hAnsi="Arial"/>
          <w:sz w:val="17"/>
          <w:szCs w:val="17"/>
          <w:color w:val="auto"/>
        </w:rPr>
        <w:t>AP Kent Management LLC (“Kent Management”), (xi) Apollo Credit Management, LLC (“ACM LLC”), (xii) Apollo Capital Credit Management, LLC (“ACCM LLC”), (xiii) Apollo SA Management, LLC (“SA Management”), (xiv) Apollo TR Opportunistic Ltd. (“TR Opportunistic”), (xv) Apollo Total Return Master Fund LP (“TR Master Fund”), (xvi) Apollo Total Return Management LLC (“TR Management”), (xvii) Apollo Total Return Master Fund Enhanced LP (“TR Enhanced”), (xviii) Apollo Total Return Enhanced Management LLC (“TR Enhanced Management”), (xix) Apollo Capital Management, L.P. (“Capital Management”), (xx) Apollo Capital Management GP, LLC (“Capital Management GP”), (xxi) Apollo Management Holdings, L.P. (“Management Holdings”), and</w:t>
      </w:r>
    </w:p>
    <w:p>
      <w:pPr>
        <w:spacing w:after="0" w:line="1" w:lineRule="exact"/>
        <w:rPr>
          <w:rFonts w:ascii="Arial" w:cs="Arial" w:eastAsia="Arial" w:hAnsi="Arial"/>
          <w:sz w:val="17"/>
          <w:szCs w:val="17"/>
          <w:color w:val="auto"/>
        </w:rPr>
      </w:pPr>
    </w:p>
    <w:p>
      <w:pPr>
        <w:ind w:left="1620" w:right="499"/>
        <w:spacing w:after="0" w:line="266" w:lineRule="auto"/>
        <w:tabs>
          <w:tab w:leader="none" w:pos="20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Apollo Management Holdings GP, LLC (“Management Holdings GP”) (collectively, the “Apollo Entities”). The address of the principal business office of each of Credit Strategies, TR Management, TR Opportunistic, TR Master Fund and TR Enhanced is c/o Walkers Corporate Limited, Cayman Corporate Centre, 27 Hospital Road, George Town, Grand Cayman, KY-9008, Cayman Islands. The address of the principal business office of each of PPF Credit Strategies, Kent Credit and Atlas is One Manhattanville Road, Suite 201, Purchase, New York 10577. The address of the principal business office of each of ST Management, ST Operating, ST Capital, ST Management Holdings, Kent Management, Atlas Management, TR Enhanced Management, ACM LLC, ACCM LLC, SA Management, Capital Management, Capital Management GP, Management Holdings and Management Holdings GP is 9 W. 57th Street, 43rd Floor, New York, New York 10019. The Apollo Entities have shared voting power over the following Class A shares:</w:t>
      </w:r>
    </w:p>
    <w:p>
      <w:pPr>
        <w:spacing w:after="0" w:line="7" w:lineRule="exact"/>
        <w:rPr>
          <w:sz w:val="20"/>
          <w:szCs w:val="20"/>
          <w:color w:val="auto"/>
        </w:rPr>
      </w:pPr>
    </w:p>
    <w:tbl>
      <w:tblPr>
        <w:tblLayout w:type="fixed"/>
        <w:tblInd w:w="1620" w:type="dxa"/>
        <w:tblCellMar>
          <w:top w:w="0" w:type="dxa"/>
          <w:left w:w="0" w:type="dxa"/>
          <w:bottom w:w="0" w:type="dxa"/>
          <w:right w:w="0" w:type="dxa"/>
        </w:tblCellMar>
      </w:tblPr>
      <w:tr>
        <w:trPr>
          <w:trHeight w:val="377"/>
        </w:trPr>
        <w:tc>
          <w:tcPr>
            <w:tcW w:w="4180" w:type="dxa"/>
            <w:vAlign w:val="bottom"/>
          </w:tcPr>
          <w:p>
            <w:pPr>
              <w:spacing w:after="0"/>
              <w:rPr>
                <w:sz w:val="20"/>
                <w:szCs w:val="20"/>
                <w:color w:val="auto"/>
              </w:rPr>
            </w:pPr>
            <w:r>
              <w:rPr>
                <w:rFonts w:ascii="Arial" w:cs="Arial" w:eastAsia="Arial" w:hAnsi="Arial"/>
                <w:sz w:val="14"/>
                <w:szCs w:val="14"/>
                <w:b w:val="1"/>
                <w:bCs w:val="1"/>
                <w:color w:val="auto"/>
              </w:rPr>
              <w:t>Apollo Entity</w:t>
            </w:r>
          </w:p>
        </w:tc>
        <w:tc>
          <w:tcPr>
            <w:tcW w:w="2420" w:type="dxa"/>
            <w:vAlign w:val="bottom"/>
            <w:gridSpan w:val="2"/>
          </w:tcPr>
          <w:p>
            <w:pPr>
              <w:ind w:left="2200"/>
              <w:spacing w:after="0"/>
              <w:rPr>
                <w:sz w:val="20"/>
                <w:szCs w:val="20"/>
                <w:color w:val="auto"/>
              </w:rPr>
            </w:pPr>
            <w:r>
              <w:rPr>
                <w:rFonts w:ascii="Arial" w:cs="Arial" w:eastAsia="Arial" w:hAnsi="Arial"/>
                <w:sz w:val="14"/>
                <w:szCs w:val="14"/>
                <w:b w:val="1"/>
                <w:bCs w:val="1"/>
                <w:color w:val="auto"/>
              </w:rPr>
              <w:t>​ ​</w:t>
            </w: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w w:val="86"/>
              </w:rPr>
              <w:t xml:space="preserve">Class A shares </w:t>
            </w:r>
            <w:r>
              <w:rPr>
                <w:rFonts w:ascii="Arial" w:cs="Arial" w:eastAsia="Arial" w:hAnsi="Arial"/>
                <w:sz w:val="28"/>
                <w:szCs w:val="28"/>
                <w:b w:val="1"/>
                <w:bCs w:val="1"/>
                <w:color w:val="auto"/>
                <w:w w:val="86"/>
                <w:vertAlign w:val="subscript"/>
              </w:rPr>
              <w:t>​</w:t>
            </w:r>
          </w:p>
        </w:tc>
      </w:tr>
      <w:tr>
        <w:trPr>
          <w:trHeight w:val="250"/>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Atlas</w:t>
            </w:r>
          </w:p>
        </w:tc>
        <w:tc>
          <w:tcPr>
            <w:tcW w:w="22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167,697</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Atlas Management</w:t>
            </w:r>
          </w:p>
        </w:tc>
        <w:tc>
          <w:tcPr>
            <w:tcW w:w="220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167,697</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PPF Credit Strategies</w:t>
            </w:r>
          </w:p>
        </w:tc>
        <w:tc>
          <w:tcPr>
            <w:tcW w:w="220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116,103</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Credit Strategies</w:t>
            </w:r>
          </w:p>
        </w:tc>
        <w:tc>
          <w:tcPr>
            <w:tcW w:w="2200" w:type="dxa"/>
            <w:vAlign w:val="bottom"/>
          </w:tcPr>
          <w:p>
            <w:pPr>
              <w:spacing w:after="0"/>
              <w:rPr>
                <w:sz w:val="22"/>
                <w:szCs w:val="22"/>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1,375,935 </w:t>
            </w:r>
            <w:r>
              <w:rPr>
                <w:rFonts w:ascii="Arial" w:cs="Arial" w:eastAsia="Arial" w:hAnsi="Arial"/>
                <w:sz w:val="18"/>
                <w:szCs w:val="18"/>
                <w:b w:val="1"/>
                <w:bCs w:val="1"/>
                <w:color w:val="auto"/>
              </w:rPr>
              <w:t>​</w:t>
            </w:r>
          </w:p>
        </w:tc>
      </w:tr>
      <w:tr>
        <w:trPr>
          <w:trHeight w:val="25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 Management</w:t>
            </w:r>
          </w:p>
        </w:tc>
        <w:tc>
          <w:tcPr>
            <w:tcW w:w="2200" w:type="dxa"/>
            <w:vAlign w:val="bottom"/>
            <w:shd w:val="clear" w:color="auto" w:fill="CCEEFF"/>
          </w:tcPr>
          <w:p>
            <w:pPr>
              <w:spacing w:after="0"/>
              <w:rPr>
                <w:sz w:val="22"/>
                <w:szCs w:val="22"/>
                <w:color w:val="auto"/>
              </w:rPr>
            </w:pPr>
          </w:p>
        </w:tc>
        <w:tc>
          <w:tcPr>
            <w:tcW w:w="11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1,375,935</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ST Operating</w:t>
            </w:r>
          </w:p>
        </w:tc>
        <w:tc>
          <w:tcPr>
            <w:tcW w:w="2200" w:type="dxa"/>
            <w:vAlign w:val="bottom"/>
          </w:tcPr>
          <w:p>
            <w:pPr>
              <w:spacing w:after="0"/>
              <w:rPr>
                <w:sz w:val="22"/>
                <w:szCs w:val="22"/>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1,375,935 </w:t>
            </w:r>
            <w:r>
              <w:rPr>
                <w:rFonts w:ascii="Arial" w:cs="Arial" w:eastAsia="Arial" w:hAnsi="Arial"/>
                <w:sz w:val="18"/>
                <w:szCs w:val="18"/>
                <w:b w:val="1"/>
                <w:bCs w:val="1"/>
                <w:color w:val="auto"/>
              </w:rPr>
              <w:t>​</w:t>
            </w:r>
          </w:p>
        </w:tc>
      </w:tr>
      <w:tr>
        <w:trPr>
          <w:trHeight w:val="27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 Capital</w:t>
            </w:r>
          </w:p>
        </w:tc>
        <w:tc>
          <w:tcPr>
            <w:tcW w:w="2200" w:type="dxa"/>
            <w:vAlign w:val="bottom"/>
            <w:shd w:val="clear" w:color="auto" w:fill="CCEEFF"/>
          </w:tcPr>
          <w:p>
            <w:pPr>
              <w:spacing w:after="0"/>
              <w:rPr>
                <w:sz w:val="23"/>
                <w:szCs w:val="23"/>
                <w:color w:val="auto"/>
              </w:rPr>
            </w:pPr>
          </w:p>
        </w:tc>
        <w:tc>
          <w:tcPr>
            <w:tcW w:w="11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1,375,935</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ST Management Holdings</w:t>
            </w:r>
          </w:p>
        </w:tc>
        <w:tc>
          <w:tcPr>
            <w:tcW w:w="2200" w:type="dxa"/>
            <w:vAlign w:val="bottom"/>
          </w:tcPr>
          <w:p>
            <w:pPr>
              <w:spacing w:after="0"/>
              <w:rPr>
                <w:sz w:val="23"/>
                <w:szCs w:val="23"/>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1,375,935 </w:t>
            </w:r>
            <w:r>
              <w:rPr>
                <w:rFonts w:ascii="Arial" w:cs="Arial" w:eastAsia="Arial" w:hAnsi="Arial"/>
                <w:sz w:val="18"/>
                <w:szCs w:val="18"/>
                <w:b w:val="1"/>
                <w:bCs w:val="1"/>
                <w:color w:val="auto"/>
              </w:rPr>
              <w:t>​</w:t>
            </w:r>
          </w:p>
        </w:tc>
      </w:tr>
      <w:tr>
        <w:trPr>
          <w:trHeight w:val="27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Kent Credit</w:t>
            </w:r>
          </w:p>
        </w:tc>
        <w:tc>
          <w:tcPr>
            <w:tcW w:w="220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10,275</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97"/>
        </w:trPr>
        <w:tc>
          <w:tcPr>
            <w:tcW w:w="4180" w:type="dxa"/>
            <w:vAlign w:val="bottom"/>
          </w:tcPr>
          <w:p>
            <w:pPr>
              <w:spacing w:after="0"/>
              <w:rPr>
                <w:sz w:val="20"/>
                <w:szCs w:val="20"/>
                <w:color w:val="auto"/>
              </w:rPr>
            </w:pPr>
            <w:r>
              <w:rPr>
                <w:rFonts w:ascii="Arial" w:cs="Arial" w:eastAsia="Arial" w:hAnsi="Arial"/>
                <w:sz w:val="18"/>
                <w:szCs w:val="18"/>
                <w:color w:val="auto"/>
              </w:rPr>
              <w:t>Kent Management</w:t>
            </w:r>
          </w:p>
        </w:tc>
        <w:tc>
          <w:tcPr>
            <w:tcW w:w="22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10,275</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-1687830</wp:posOffset>
            </wp:positionV>
            <wp:extent cx="137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620" w:type="dxa"/>
        <w:tblCellMar>
          <w:top w:w="0" w:type="dxa"/>
          <w:left w:w="0" w:type="dxa"/>
          <w:bottom w:w="0" w:type="dxa"/>
          <w:right w:w="0" w:type="dxa"/>
        </w:tblCellMar>
      </w:tblPr>
      <w:tr>
        <w:trPr>
          <w:trHeight w:val="377"/>
        </w:trPr>
        <w:tc>
          <w:tcPr>
            <w:tcW w:w="4200" w:type="dxa"/>
            <w:vAlign w:val="bottom"/>
          </w:tcPr>
          <w:p>
            <w:pPr>
              <w:spacing w:after="0"/>
              <w:rPr>
                <w:sz w:val="20"/>
                <w:szCs w:val="20"/>
                <w:color w:val="auto"/>
              </w:rPr>
            </w:pPr>
            <w:r>
              <w:rPr>
                <w:rFonts w:ascii="Arial" w:cs="Arial" w:eastAsia="Arial" w:hAnsi="Arial"/>
                <w:sz w:val="14"/>
                <w:szCs w:val="14"/>
                <w:b w:val="1"/>
                <w:bCs w:val="1"/>
                <w:color w:val="auto"/>
              </w:rPr>
              <w:t>Apollo Entity</w:t>
            </w:r>
          </w:p>
        </w:tc>
        <w:tc>
          <w:tcPr>
            <w:tcW w:w="3320" w:type="dxa"/>
            <w:vAlign w:val="bottom"/>
            <w:gridSpan w:val="5"/>
          </w:tcPr>
          <w:p>
            <w:pPr>
              <w:jc w:val="right"/>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Class A shares </w:t>
            </w:r>
            <w:r>
              <w:rPr>
                <w:rFonts w:ascii="Arial" w:cs="Arial" w:eastAsia="Arial" w:hAnsi="Arial"/>
                <w:sz w:val="28"/>
                <w:szCs w:val="28"/>
                <w:b w:val="1"/>
                <w:bCs w:val="1"/>
                <w:color w:val="auto"/>
                <w:vertAlign w:val="subscript"/>
              </w:rPr>
              <w:t>​</w:t>
            </w:r>
          </w:p>
        </w:tc>
      </w:tr>
      <w:tr>
        <w:trPr>
          <w:trHeight w:val="20"/>
        </w:trPr>
        <w:tc>
          <w:tcPr>
            <w:tcW w:w="420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TR Opportunistic</w:t>
            </w:r>
          </w:p>
        </w:tc>
        <w:tc>
          <w:tcPr>
            <w:tcW w:w="21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 ​</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120,222</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4200" w:type="dxa"/>
            <w:vAlign w:val="bottom"/>
          </w:tcPr>
          <w:p>
            <w:pPr>
              <w:spacing w:after="0"/>
              <w:rPr>
                <w:sz w:val="20"/>
                <w:szCs w:val="20"/>
                <w:color w:val="auto"/>
              </w:rPr>
            </w:pPr>
            <w:r>
              <w:rPr>
                <w:rFonts w:ascii="Arial" w:cs="Arial" w:eastAsia="Arial" w:hAnsi="Arial"/>
                <w:sz w:val="18"/>
                <w:szCs w:val="18"/>
                <w:color w:val="auto"/>
              </w:rPr>
              <w:t>TR Master Fund</w:t>
            </w:r>
          </w:p>
        </w:tc>
        <w:tc>
          <w:tcPr>
            <w:tcW w:w="218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 ​ ​</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120,222</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TR Management</w:t>
            </w:r>
          </w:p>
        </w:tc>
        <w:tc>
          <w:tcPr>
            <w:tcW w:w="218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 ​</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120,222</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4200" w:type="dxa"/>
            <w:vAlign w:val="bottom"/>
          </w:tcPr>
          <w:p>
            <w:pPr>
              <w:spacing w:after="0"/>
              <w:rPr>
                <w:sz w:val="20"/>
                <w:szCs w:val="20"/>
                <w:color w:val="auto"/>
              </w:rPr>
            </w:pPr>
            <w:r>
              <w:rPr>
                <w:rFonts w:ascii="Arial" w:cs="Arial" w:eastAsia="Arial" w:hAnsi="Arial"/>
                <w:sz w:val="18"/>
                <w:szCs w:val="18"/>
                <w:color w:val="auto"/>
              </w:rPr>
              <w:t>TR Enhanced</w:t>
            </w:r>
          </w:p>
        </w:tc>
        <w:tc>
          <w:tcPr>
            <w:tcW w:w="218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 ​ ​</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120,222</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TR Enhanced Management</w:t>
            </w:r>
          </w:p>
        </w:tc>
        <w:tc>
          <w:tcPr>
            <w:tcW w:w="2180" w:type="dxa"/>
            <w:vAlign w:val="bottom"/>
            <w:shd w:val="clear" w:color="auto" w:fill="CCEEFF"/>
          </w:tcPr>
          <w:p>
            <w:pPr>
              <w:spacing w:after="0"/>
              <w:rPr>
                <w:sz w:val="23"/>
                <w:szCs w:val="23"/>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 ​</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120,222</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ACM LLC</w:t>
            </w:r>
          </w:p>
        </w:tc>
        <w:tc>
          <w:tcPr>
            <w:tcW w:w="2180" w:type="dxa"/>
            <w:vAlign w:val="bottom"/>
          </w:tcPr>
          <w:p>
            <w:pPr>
              <w:spacing w:after="0"/>
              <w:rPr>
                <w:sz w:val="23"/>
                <w:szCs w:val="23"/>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 ​ ​</w:t>
            </w:r>
          </w:p>
        </w:tc>
        <w:tc>
          <w:tcPr>
            <w:tcW w:w="720" w:type="dxa"/>
            <w:vAlign w:val="bottom"/>
          </w:tcPr>
          <w:p>
            <w:pPr>
              <w:jc w:val="right"/>
              <w:spacing w:after="0"/>
              <w:rPr>
                <w:sz w:val="20"/>
                <w:szCs w:val="20"/>
                <w:color w:val="auto"/>
              </w:rPr>
            </w:pPr>
            <w:r>
              <w:rPr>
                <w:rFonts w:ascii="Arial" w:cs="Arial" w:eastAsia="Arial" w:hAnsi="Arial"/>
                <w:sz w:val="18"/>
                <w:szCs w:val="18"/>
                <w:color w:val="auto"/>
              </w:rPr>
              <w:t>7,013</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ACCM LLC</w:t>
            </w:r>
          </w:p>
        </w:tc>
        <w:tc>
          <w:tcPr>
            <w:tcW w:w="2180" w:type="dxa"/>
            <w:vAlign w:val="bottom"/>
            <w:shd w:val="clear" w:color="auto" w:fill="CCEEFF"/>
          </w:tcPr>
          <w:p>
            <w:pPr>
              <w:spacing w:after="0"/>
              <w:rPr>
                <w:sz w:val="23"/>
                <w:szCs w:val="23"/>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 ​</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7,013</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SA Management</w:t>
            </w:r>
          </w:p>
        </w:tc>
        <w:tc>
          <w:tcPr>
            <w:tcW w:w="2180" w:type="dxa"/>
            <w:vAlign w:val="bottom"/>
          </w:tcPr>
          <w:p>
            <w:pPr>
              <w:spacing w:after="0"/>
              <w:rPr>
                <w:sz w:val="23"/>
                <w:szCs w:val="23"/>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 ​ ​</w:t>
            </w:r>
          </w:p>
        </w:tc>
        <w:tc>
          <w:tcPr>
            <w:tcW w:w="720" w:type="dxa"/>
            <w:vAlign w:val="bottom"/>
          </w:tcPr>
          <w:p>
            <w:pPr>
              <w:jc w:val="right"/>
              <w:spacing w:after="0"/>
              <w:rPr>
                <w:sz w:val="20"/>
                <w:szCs w:val="20"/>
                <w:color w:val="auto"/>
              </w:rPr>
            </w:pPr>
            <w:r>
              <w:rPr>
                <w:rFonts w:ascii="Arial" w:cs="Arial" w:eastAsia="Arial" w:hAnsi="Arial"/>
                <w:sz w:val="18"/>
                <w:szCs w:val="18"/>
                <w:color w:val="auto"/>
              </w:rPr>
              <w:t>19,210</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Capital Management</w:t>
            </w:r>
          </w:p>
        </w:tc>
        <w:tc>
          <w:tcPr>
            <w:tcW w:w="2180" w:type="dxa"/>
            <w:vAlign w:val="bottom"/>
            <w:shd w:val="clear" w:color="auto" w:fill="CCEEFF"/>
          </w:tcPr>
          <w:p>
            <w:pPr>
              <w:spacing w:after="0"/>
              <w:rPr>
                <w:sz w:val="23"/>
                <w:szCs w:val="23"/>
                <w:color w:val="auto"/>
              </w:rPr>
            </w:pPr>
          </w:p>
        </w:tc>
        <w:tc>
          <w:tcPr>
            <w:tcW w:w="11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 ​1,960,737</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Capital Management GP</w:t>
            </w:r>
          </w:p>
        </w:tc>
        <w:tc>
          <w:tcPr>
            <w:tcW w:w="2180" w:type="dxa"/>
            <w:vAlign w:val="bottom"/>
          </w:tcPr>
          <w:p>
            <w:pPr>
              <w:spacing w:after="0"/>
              <w:rPr>
                <w:sz w:val="23"/>
                <w:szCs w:val="23"/>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 xml:space="preserve">​ ​ ​1,960,737 </w:t>
            </w:r>
            <w:r>
              <w:rPr>
                <w:rFonts w:ascii="Arial" w:cs="Arial" w:eastAsia="Arial" w:hAnsi="Arial"/>
                <w:sz w:val="18"/>
                <w:szCs w:val="18"/>
                <w:b w:val="1"/>
                <w:bCs w:val="1"/>
                <w:color w:val="auto"/>
              </w:rPr>
              <w:t>​</w:t>
            </w:r>
          </w:p>
        </w:tc>
      </w:tr>
      <w:tr>
        <w:trPr>
          <w:trHeight w:val="27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Management Holdings</w:t>
            </w:r>
          </w:p>
        </w:tc>
        <w:tc>
          <w:tcPr>
            <w:tcW w:w="2180" w:type="dxa"/>
            <w:vAlign w:val="bottom"/>
            <w:shd w:val="clear" w:color="auto" w:fill="CCEEFF"/>
          </w:tcPr>
          <w:p>
            <w:pPr>
              <w:spacing w:after="0"/>
              <w:rPr>
                <w:sz w:val="23"/>
                <w:szCs w:val="23"/>
                <w:color w:val="auto"/>
              </w:rPr>
            </w:pPr>
          </w:p>
        </w:tc>
        <w:tc>
          <w:tcPr>
            <w:tcW w:w="11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 ​1,960,737</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97"/>
        </w:trPr>
        <w:tc>
          <w:tcPr>
            <w:tcW w:w="4200" w:type="dxa"/>
            <w:vAlign w:val="bottom"/>
          </w:tcPr>
          <w:p>
            <w:pPr>
              <w:spacing w:after="0"/>
              <w:rPr>
                <w:sz w:val="20"/>
                <w:szCs w:val="20"/>
                <w:color w:val="auto"/>
              </w:rPr>
            </w:pPr>
            <w:r>
              <w:rPr>
                <w:rFonts w:ascii="Arial" w:cs="Arial" w:eastAsia="Arial" w:hAnsi="Arial"/>
                <w:sz w:val="18"/>
                <w:szCs w:val="18"/>
                <w:color w:val="auto"/>
              </w:rPr>
              <w:t>Management Holdings GP</w:t>
            </w:r>
          </w:p>
        </w:tc>
        <w:tc>
          <w:tcPr>
            <w:tcW w:w="218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 xml:space="preserve">​ ​ ​1,960,737 </w:t>
            </w: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-2047875</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3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Apollo Entities have shared dispositive power over the following Class A shares:</w:t>
      </w:r>
    </w:p>
    <w:p>
      <w:pPr>
        <w:spacing w:after="0" w:line="23" w:lineRule="exact"/>
        <w:rPr>
          <w:sz w:val="20"/>
          <w:szCs w:val="20"/>
          <w:color w:val="auto"/>
        </w:rPr>
      </w:pPr>
    </w:p>
    <w:p>
      <w:pPr>
        <w:ind w:left="1620"/>
        <w:spacing w:after="0"/>
        <w:tabs>
          <w:tab w:leader="none" w:pos="7980" w:val="left"/>
        </w:tabs>
        <w:rPr>
          <w:sz w:val="20"/>
          <w:szCs w:val="20"/>
          <w:color w:val="auto"/>
        </w:rPr>
      </w:pPr>
      <w:r>
        <w:rPr>
          <w:rFonts w:ascii="Arial" w:cs="Arial" w:eastAsia="Arial" w:hAnsi="Arial"/>
          <w:sz w:val="14"/>
          <w:szCs w:val="14"/>
          <w:b w:val="1"/>
          <w:bCs w:val="1"/>
          <w:color w:val="auto"/>
        </w:rPr>
        <w:t>Apollo Entity</w:t>
      </w:r>
      <w:r>
        <w:rPr>
          <w:sz w:val="20"/>
          <w:szCs w:val="20"/>
          <w:color w:val="auto"/>
        </w:rPr>
        <w:tab/>
      </w:r>
      <w:r>
        <w:rPr>
          <w:rFonts w:ascii="Arial" w:cs="Arial" w:eastAsia="Arial" w:hAnsi="Arial"/>
          <w:sz w:val="14"/>
          <w:szCs w:val="14"/>
          <w:b w:val="1"/>
          <w:bCs w:val="1"/>
          <w:color w:val="auto"/>
          <w:vertAlign w:val="subscript"/>
        </w:rPr>
        <w:t xml:space="preserve">​ ​  </w:t>
      </w:r>
      <w:r>
        <w:rPr>
          <w:rFonts w:ascii="Arial" w:cs="Arial" w:eastAsia="Arial" w:hAnsi="Arial"/>
          <w:sz w:val="14"/>
          <w:szCs w:val="14"/>
          <w:b w:val="1"/>
          <w:bCs w:val="1"/>
          <w:color w:val="auto"/>
        </w:rPr>
        <w:t xml:space="preserve">Class A shares </w:t>
      </w:r>
      <w:r>
        <w:rPr>
          <w:rFonts w:ascii="Arial" w:cs="Arial" w:eastAsia="Arial" w:hAnsi="Arial"/>
          <w:sz w:val="14"/>
          <w:szCs w:val="14"/>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129540</wp:posOffset>
            </wp:positionV>
            <wp:extent cx="474916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Atlas</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Atlas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PPF Credit Strategies</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Credit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ST Management</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ST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ST Capital</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ST Management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22225</wp:posOffset>
            </wp:positionV>
            <wp:extent cx="474916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5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Kent Credit</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Kent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TR Opportunistic</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TR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TR Management</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TR Enhanced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TR Enhanced Management</w:t>
      </w:r>
    </w:p>
    <w:p>
      <w:pPr>
        <w:spacing w:after="0" w:line="8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ACCM LLC</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SA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Capital Management</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Capital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Management Holdings</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Management Holdings GP</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167,697</w:t>
            </w:r>
          </w:p>
        </w:tc>
        <w:tc>
          <w:tcPr>
            <w:tcW w:w="80" w:type="dxa"/>
            <w:vAlign w:val="bottom"/>
          </w:tcPr>
          <w:p>
            <w:pPr>
              <w:ind w:left="40"/>
              <w:spacing w:after="0"/>
              <w:rPr>
                <w:sz w:val="20"/>
                <w:szCs w:val="20"/>
                <w:color w:val="auto"/>
              </w:rPr>
            </w:pPr>
            <w:r>
              <w:rPr>
                <w:rFonts w:ascii="Arial" w:cs="Arial" w:eastAsia="Arial" w:hAnsi="Arial"/>
                <w:sz w:val="18"/>
                <w:szCs w:val="18"/>
                <w:b w:val="1"/>
                <w:bCs w:val="1"/>
                <w:color w:val="auto"/>
              </w:rPr>
              <w:t>​</w:t>
            </w:r>
          </w:p>
        </w:tc>
      </w:tr>
      <w:tr>
        <w:trPr>
          <w:trHeight w:val="257"/>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167,697</w:t>
            </w:r>
          </w:p>
        </w:tc>
        <w:tc>
          <w:tcPr>
            <w:tcW w:w="80" w:type="dxa"/>
            <w:vAlign w:val="bottom"/>
          </w:tcPr>
          <w:p>
            <w:pPr>
              <w:ind w:left="40"/>
              <w:spacing w:after="0"/>
              <w:rPr>
                <w:sz w:val="20"/>
                <w:szCs w:val="20"/>
                <w:color w:val="auto"/>
              </w:rPr>
            </w:pPr>
            <w:r>
              <w:rPr>
                <w:rFonts w:ascii="Arial" w:cs="Arial" w:eastAsia="Arial" w:hAnsi="Arial"/>
                <w:sz w:val="18"/>
                <w:szCs w:val="18"/>
                <w:b w:val="1"/>
                <w:bCs w:val="1"/>
                <w:color w:val="auto"/>
              </w:rPr>
              <w:t>​</w:t>
            </w:r>
          </w:p>
        </w:tc>
      </w:tr>
      <w:tr>
        <w:trPr>
          <w:trHeight w:val="257"/>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116,103</w:t>
            </w:r>
          </w:p>
        </w:tc>
        <w:tc>
          <w:tcPr>
            <w:tcW w:w="80" w:type="dxa"/>
            <w:vAlign w:val="bottom"/>
          </w:tcPr>
          <w:p>
            <w:pPr>
              <w:ind w:left="40"/>
              <w:spacing w:after="0"/>
              <w:rPr>
                <w:sz w:val="20"/>
                <w:szCs w:val="20"/>
                <w:color w:val="auto"/>
              </w:rPr>
            </w:pPr>
            <w:r>
              <w:rPr>
                <w:rFonts w:ascii="Arial" w:cs="Arial" w:eastAsia="Arial" w:hAnsi="Arial"/>
                <w:sz w:val="18"/>
                <w:szCs w:val="18"/>
                <w:b w:val="1"/>
                <w:bCs w:val="1"/>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00" w:type="dxa"/>
            <w:vAlign w:val="bottom"/>
            <w:gridSpan w:val="3"/>
          </w:tcPr>
          <w:p>
            <w:pPr>
              <w:jc w:val="right"/>
              <w:spacing w:after="0"/>
              <w:rPr>
                <w:sz w:val="20"/>
                <w:szCs w:val="20"/>
                <w:color w:val="auto"/>
              </w:rPr>
            </w:pPr>
            <w:r>
              <w:rPr>
                <w:rFonts w:ascii="Arial" w:cs="Arial" w:eastAsia="Arial" w:hAnsi="Arial"/>
                <w:sz w:val="18"/>
                <w:szCs w:val="18"/>
                <w:color w:val="auto"/>
              </w:rPr>
              <w:t xml:space="preserve">​ ​ ​1,375,935 </w:t>
            </w:r>
            <w:r>
              <w:rPr>
                <w:rFonts w:ascii="Arial" w:cs="Arial" w:eastAsia="Arial" w:hAnsi="Arial"/>
                <w:sz w:val="18"/>
                <w:szCs w:val="18"/>
                <w:b w:val="1"/>
                <w:bCs w:val="1"/>
                <w:color w:val="auto"/>
              </w:rPr>
              <w:t>​</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820" w:type="dxa"/>
            <w:vAlign w:val="bottom"/>
          </w:tcPr>
          <w:p>
            <w:pPr>
              <w:ind w:left="40"/>
              <w:spacing w:after="0"/>
              <w:rPr>
                <w:sz w:val="20"/>
                <w:szCs w:val="20"/>
                <w:color w:val="auto"/>
              </w:rPr>
            </w:pPr>
            <w:r>
              <w:rPr>
                <w:rFonts w:ascii="Arial" w:cs="Arial" w:eastAsia="Arial" w:hAnsi="Arial"/>
                <w:sz w:val="18"/>
                <w:szCs w:val="18"/>
                <w:color w:val="auto"/>
                <w:w w:val="94"/>
              </w:rPr>
              <w:t>​1,375,935</w:t>
            </w: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820" w:type="dxa"/>
            <w:vAlign w:val="bottom"/>
          </w:tcPr>
          <w:p>
            <w:pPr>
              <w:ind w:left="40"/>
              <w:spacing w:after="0"/>
              <w:rPr>
                <w:sz w:val="20"/>
                <w:szCs w:val="20"/>
                <w:color w:val="auto"/>
              </w:rPr>
            </w:pPr>
            <w:r>
              <w:rPr>
                <w:rFonts w:ascii="Arial" w:cs="Arial" w:eastAsia="Arial" w:hAnsi="Arial"/>
                <w:sz w:val="18"/>
                <w:szCs w:val="18"/>
                <w:color w:val="auto"/>
                <w:w w:val="94"/>
              </w:rPr>
              <w:t>​1,375,935</w:t>
            </w: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820" w:type="dxa"/>
            <w:vAlign w:val="bottom"/>
          </w:tcPr>
          <w:p>
            <w:pPr>
              <w:ind w:left="40"/>
              <w:spacing w:after="0"/>
              <w:rPr>
                <w:sz w:val="20"/>
                <w:szCs w:val="20"/>
                <w:color w:val="auto"/>
              </w:rPr>
            </w:pPr>
            <w:r>
              <w:rPr>
                <w:rFonts w:ascii="Arial" w:cs="Arial" w:eastAsia="Arial" w:hAnsi="Arial"/>
                <w:sz w:val="18"/>
                <w:szCs w:val="18"/>
                <w:color w:val="auto"/>
                <w:w w:val="94"/>
              </w:rPr>
              <w:t>​1,375,935</w:t>
            </w: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820" w:type="dxa"/>
            <w:vAlign w:val="bottom"/>
          </w:tcPr>
          <w:p>
            <w:pPr>
              <w:ind w:left="40"/>
              <w:spacing w:after="0"/>
              <w:rPr>
                <w:sz w:val="20"/>
                <w:szCs w:val="20"/>
                <w:color w:val="auto"/>
              </w:rPr>
            </w:pPr>
            <w:r>
              <w:rPr>
                <w:rFonts w:ascii="Arial" w:cs="Arial" w:eastAsia="Arial" w:hAnsi="Arial"/>
                <w:sz w:val="18"/>
                <w:szCs w:val="18"/>
                <w:color w:val="auto"/>
                <w:w w:val="94"/>
              </w:rPr>
              <w:t>​1,375,935</w:t>
            </w: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10,275</w:t>
            </w:r>
          </w:p>
        </w:tc>
        <w:tc>
          <w:tcPr>
            <w:tcW w:w="80" w:type="dxa"/>
            <w:vAlign w:val="bottom"/>
          </w:tcPr>
          <w:p>
            <w:pPr>
              <w:ind w:left="40"/>
              <w:spacing w:after="0"/>
              <w:rPr>
                <w:sz w:val="20"/>
                <w:szCs w:val="20"/>
                <w:color w:val="auto"/>
              </w:rPr>
            </w:pPr>
            <w:r>
              <w:rPr>
                <w:rFonts w:ascii="Arial" w:cs="Arial" w:eastAsia="Arial" w:hAnsi="Arial"/>
                <w:sz w:val="18"/>
                <w:szCs w:val="18"/>
                <w:b w:val="1"/>
                <w:bCs w:val="1"/>
                <w:color w:val="auto"/>
              </w:rPr>
              <w:t>​</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10,275</w:t>
            </w:r>
          </w:p>
        </w:tc>
        <w:tc>
          <w:tcPr>
            <w:tcW w:w="80" w:type="dxa"/>
            <w:vAlign w:val="bottom"/>
          </w:tcPr>
          <w:p>
            <w:pPr>
              <w:ind w:left="40"/>
              <w:spacing w:after="0"/>
              <w:rPr>
                <w:sz w:val="20"/>
                <w:szCs w:val="20"/>
                <w:color w:val="auto"/>
              </w:rPr>
            </w:pPr>
            <w:r>
              <w:rPr>
                <w:rFonts w:ascii="Arial" w:cs="Arial" w:eastAsia="Arial" w:hAnsi="Arial"/>
                <w:sz w:val="18"/>
                <w:szCs w:val="18"/>
                <w:b w:val="1"/>
                <w:bCs w:val="1"/>
                <w:color w:val="auto"/>
              </w:rPr>
              <w:t>​</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120,222</w:t>
            </w:r>
          </w:p>
        </w:tc>
        <w:tc>
          <w:tcPr>
            <w:tcW w:w="80" w:type="dxa"/>
            <w:vAlign w:val="bottom"/>
          </w:tcPr>
          <w:p>
            <w:pPr>
              <w:ind w:left="40"/>
              <w:spacing w:after="0"/>
              <w:rPr>
                <w:sz w:val="20"/>
                <w:szCs w:val="20"/>
                <w:color w:val="auto"/>
              </w:rPr>
            </w:pPr>
            <w:r>
              <w:rPr>
                <w:rFonts w:ascii="Arial" w:cs="Arial" w:eastAsia="Arial" w:hAnsi="Arial"/>
                <w:sz w:val="18"/>
                <w:szCs w:val="18"/>
                <w:b w:val="1"/>
                <w:bCs w:val="1"/>
                <w:color w:val="auto"/>
              </w:rPr>
              <w:t>​</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120,222</w:t>
            </w:r>
          </w:p>
        </w:tc>
        <w:tc>
          <w:tcPr>
            <w:tcW w:w="80" w:type="dxa"/>
            <w:vAlign w:val="bottom"/>
          </w:tcPr>
          <w:p>
            <w:pPr>
              <w:ind w:left="40"/>
              <w:spacing w:after="0"/>
              <w:rPr>
                <w:sz w:val="20"/>
                <w:szCs w:val="20"/>
                <w:color w:val="auto"/>
              </w:rPr>
            </w:pPr>
            <w:r>
              <w:rPr>
                <w:rFonts w:ascii="Arial" w:cs="Arial" w:eastAsia="Arial" w:hAnsi="Arial"/>
                <w:sz w:val="18"/>
                <w:szCs w:val="18"/>
                <w:b w:val="1"/>
                <w:bCs w:val="1"/>
                <w:color w:val="auto"/>
              </w:rPr>
              <w:t>​</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120,222</w:t>
            </w:r>
          </w:p>
        </w:tc>
        <w:tc>
          <w:tcPr>
            <w:tcW w:w="80" w:type="dxa"/>
            <w:vAlign w:val="bottom"/>
          </w:tcPr>
          <w:p>
            <w:pPr>
              <w:ind w:left="40"/>
              <w:spacing w:after="0"/>
              <w:rPr>
                <w:sz w:val="20"/>
                <w:szCs w:val="20"/>
                <w:color w:val="auto"/>
              </w:rPr>
            </w:pPr>
            <w:r>
              <w:rPr>
                <w:rFonts w:ascii="Arial" w:cs="Arial" w:eastAsia="Arial" w:hAnsi="Arial"/>
                <w:sz w:val="18"/>
                <w:szCs w:val="18"/>
                <w:b w:val="1"/>
                <w:bCs w:val="1"/>
                <w:color w:val="auto"/>
              </w:rPr>
              <w:t>​</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120,222</w:t>
            </w:r>
          </w:p>
        </w:tc>
        <w:tc>
          <w:tcPr>
            <w:tcW w:w="80" w:type="dxa"/>
            <w:vAlign w:val="bottom"/>
          </w:tcPr>
          <w:p>
            <w:pPr>
              <w:ind w:left="40"/>
              <w:spacing w:after="0"/>
              <w:rPr>
                <w:sz w:val="20"/>
                <w:szCs w:val="20"/>
                <w:color w:val="auto"/>
              </w:rPr>
            </w:pPr>
            <w:r>
              <w:rPr>
                <w:rFonts w:ascii="Arial" w:cs="Arial" w:eastAsia="Arial" w:hAnsi="Arial"/>
                <w:sz w:val="18"/>
                <w:szCs w:val="18"/>
                <w:b w:val="1"/>
                <w:bCs w:val="1"/>
                <w:color w:val="auto"/>
              </w:rPr>
              <w:t>​</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120,222</w:t>
            </w:r>
          </w:p>
        </w:tc>
        <w:tc>
          <w:tcPr>
            <w:tcW w:w="80" w:type="dxa"/>
            <w:vAlign w:val="bottom"/>
          </w:tcPr>
          <w:p>
            <w:pPr>
              <w:ind w:left="40"/>
              <w:spacing w:after="0"/>
              <w:rPr>
                <w:sz w:val="20"/>
                <w:szCs w:val="20"/>
                <w:color w:val="auto"/>
              </w:rPr>
            </w:pPr>
            <w:r>
              <w:rPr>
                <w:rFonts w:ascii="Arial" w:cs="Arial" w:eastAsia="Arial" w:hAnsi="Arial"/>
                <w:sz w:val="18"/>
                <w:szCs w:val="18"/>
                <w:b w:val="1"/>
                <w:bCs w:val="1"/>
                <w:color w:val="auto"/>
              </w:rPr>
              <w:t>​</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7,013</w:t>
            </w:r>
          </w:p>
        </w:tc>
        <w:tc>
          <w:tcPr>
            <w:tcW w:w="80" w:type="dxa"/>
            <w:vAlign w:val="bottom"/>
          </w:tcPr>
          <w:p>
            <w:pPr>
              <w:ind w:left="40"/>
              <w:spacing w:after="0"/>
              <w:rPr>
                <w:sz w:val="20"/>
                <w:szCs w:val="20"/>
                <w:color w:val="auto"/>
              </w:rPr>
            </w:pPr>
            <w:r>
              <w:rPr>
                <w:rFonts w:ascii="Arial" w:cs="Arial" w:eastAsia="Arial" w:hAnsi="Arial"/>
                <w:sz w:val="18"/>
                <w:szCs w:val="18"/>
                <w:b w:val="1"/>
                <w:bCs w:val="1"/>
                <w:color w:val="auto"/>
              </w:rPr>
              <w:t>​</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7,013</w:t>
            </w:r>
          </w:p>
        </w:tc>
        <w:tc>
          <w:tcPr>
            <w:tcW w:w="80" w:type="dxa"/>
            <w:vAlign w:val="bottom"/>
          </w:tcPr>
          <w:p>
            <w:pPr>
              <w:ind w:left="40"/>
              <w:spacing w:after="0"/>
              <w:rPr>
                <w:sz w:val="20"/>
                <w:szCs w:val="20"/>
                <w:color w:val="auto"/>
              </w:rPr>
            </w:pPr>
            <w:r>
              <w:rPr>
                <w:rFonts w:ascii="Arial" w:cs="Arial" w:eastAsia="Arial" w:hAnsi="Arial"/>
                <w:sz w:val="18"/>
                <w:szCs w:val="18"/>
                <w:b w:val="1"/>
                <w:bCs w:val="1"/>
                <w:color w:val="auto"/>
              </w:rPr>
              <w:t>​</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19,210</w:t>
            </w:r>
          </w:p>
        </w:tc>
        <w:tc>
          <w:tcPr>
            <w:tcW w:w="80" w:type="dxa"/>
            <w:vAlign w:val="bottom"/>
          </w:tcPr>
          <w:p>
            <w:pPr>
              <w:ind w:left="40"/>
              <w:spacing w:after="0"/>
              <w:rPr>
                <w:sz w:val="20"/>
                <w:szCs w:val="20"/>
                <w:color w:val="auto"/>
              </w:rPr>
            </w:pPr>
            <w:r>
              <w:rPr>
                <w:rFonts w:ascii="Arial" w:cs="Arial" w:eastAsia="Arial" w:hAnsi="Arial"/>
                <w:sz w:val="18"/>
                <w:szCs w:val="18"/>
                <w:b w:val="1"/>
                <w:bCs w:val="1"/>
                <w:color w:val="auto"/>
              </w:rPr>
              <w:t>​</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820" w:type="dxa"/>
            <w:vAlign w:val="bottom"/>
          </w:tcPr>
          <w:p>
            <w:pPr>
              <w:ind w:left="40"/>
              <w:spacing w:after="0"/>
              <w:rPr>
                <w:sz w:val="20"/>
                <w:szCs w:val="20"/>
                <w:color w:val="auto"/>
              </w:rPr>
            </w:pPr>
            <w:r>
              <w:rPr>
                <w:rFonts w:ascii="Arial" w:cs="Arial" w:eastAsia="Arial" w:hAnsi="Arial"/>
                <w:sz w:val="18"/>
                <w:szCs w:val="18"/>
                <w:color w:val="auto"/>
                <w:w w:val="94"/>
              </w:rPr>
              <w:t>​1,960,737</w:t>
            </w:r>
          </w:p>
        </w:tc>
        <w:tc>
          <w:tcPr>
            <w:tcW w:w="80" w:type="dxa"/>
            <w:vAlign w:val="bottom"/>
          </w:tcPr>
          <w:p>
            <w:pPr>
              <w:ind w:left="40"/>
              <w:spacing w:after="0"/>
              <w:rPr>
                <w:sz w:val="20"/>
                <w:szCs w:val="20"/>
                <w:color w:val="auto"/>
              </w:rPr>
            </w:pPr>
            <w:r>
              <w:rPr>
                <w:rFonts w:ascii="Arial" w:cs="Arial" w:eastAsia="Arial" w:hAnsi="Arial"/>
                <w:sz w:val="18"/>
                <w:szCs w:val="18"/>
                <w:b w:val="1"/>
                <w:bCs w:val="1"/>
                <w:color w:val="auto"/>
              </w:rPr>
              <w:t>​</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820" w:type="dxa"/>
            <w:vAlign w:val="bottom"/>
          </w:tcPr>
          <w:p>
            <w:pPr>
              <w:ind w:left="40"/>
              <w:spacing w:after="0"/>
              <w:rPr>
                <w:sz w:val="20"/>
                <w:szCs w:val="20"/>
                <w:color w:val="auto"/>
              </w:rPr>
            </w:pPr>
            <w:r>
              <w:rPr>
                <w:rFonts w:ascii="Arial" w:cs="Arial" w:eastAsia="Arial" w:hAnsi="Arial"/>
                <w:sz w:val="18"/>
                <w:szCs w:val="18"/>
                <w:color w:val="auto"/>
                <w:w w:val="94"/>
              </w:rPr>
              <w:t>​1,960,737</w:t>
            </w:r>
          </w:p>
        </w:tc>
        <w:tc>
          <w:tcPr>
            <w:tcW w:w="80" w:type="dxa"/>
            <w:vAlign w:val="bottom"/>
          </w:tcPr>
          <w:p>
            <w:pPr>
              <w:ind w:left="40"/>
              <w:spacing w:after="0"/>
              <w:rPr>
                <w:sz w:val="20"/>
                <w:szCs w:val="20"/>
                <w:color w:val="auto"/>
              </w:rPr>
            </w:pPr>
            <w:r>
              <w:rPr>
                <w:rFonts w:ascii="Arial" w:cs="Arial" w:eastAsia="Arial" w:hAnsi="Arial"/>
                <w:sz w:val="18"/>
                <w:szCs w:val="18"/>
                <w:b w:val="1"/>
                <w:bCs w:val="1"/>
                <w:color w:val="auto"/>
              </w:rPr>
              <w:t>​</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820" w:type="dxa"/>
            <w:vAlign w:val="bottom"/>
          </w:tcPr>
          <w:p>
            <w:pPr>
              <w:ind w:left="40"/>
              <w:spacing w:after="0"/>
              <w:rPr>
                <w:sz w:val="20"/>
                <w:szCs w:val="20"/>
                <w:color w:val="auto"/>
              </w:rPr>
            </w:pPr>
            <w:r>
              <w:rPr>
                <w:rFonts w:ascii="Arial" w:cs="Arial" w:eastAsia="Arial" w:hAnsi="Arial"/>
                <w:sz w:val="18"/>
                <w:szCs w:val="18"/>
                <w:color w:val="auto"/>
                <w:w w:val="94"/>
              </w:rPr>
              <w:t>​1,960,737</w:t>
            </w:r>
          </w:p>
        </w:tc>
        <w:tc>
          <w:tcPr>
            <w:tcW w:w="80" w:type="dxa"/>
            <w:vAlign w:val="bottom"/>
          </w:tcPr>
          <w:p>
            <w:pPr>
              <w:ind w:left="40"/>
              <w:spacing w:after="0"/>
              <w:rPr>
                <w:sz w:val="20"/>
                <w:szCs w:val="20"/>
                <w:color w:val="auto"/>
              </w:rPr>
            </w:pPr>
            <w:r>
              <w:rPr>
                <w:rFonts w:ascii="Arial" w:cs="Arial" w:eastAsia="Arial" w:hAnsi="Arial"/>
                <w:sz w:val="18"/>
                <w:szCs w:val="18"/>
                <w:b w:val="1"/>
                <w:bCs w:val="1"/>
                <w:color w:val="auto"/>
              </w:rPr>
              <w:t>​</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820" w:type="dxa"/>
            <w:vAlign w:val="bottom"/>
          </w:tcPr>
          <w:p>
            <w:pPr>
              <w:ind w:left="40"/>
              <w:spacing w:after="0"/>
              <w:rPr>
                <w:sz w:val="20"/>
                <w:szCs w:val="20"/>
                <w:color w:val="auto"/>
              </w:rPr>
            </w:pPr>
            <w:r>
              <w:rPr>
                <w:rFonts w:ascii="Arial" w:cs="Arial" w:eastAsia="Arial" w:hAnsi="Arial"/>
                <w:sz w:val="18"/>
                <w:szCs w:val="18"/>
                <w:color w:val="auto"/>
                <w:w w:val="94"/>
              </w:rPr>
              <w:t>​1,960,737</w:t>
            </w:r>
          </w:p>
        </w:tc>
        <w:tc>
          <w:tcPr>
            <w:tcW w:w="80" w:type="dxa"/>
            <w:vAlign w:val="bottom"/>
          </w:tcPr>
          <w:p>
            <w:pPr>
              <w:ind w:left="40"/>
              <w:spacing w:after="0"/>
              <w:rPr>
                <w:sz w:val="20"/>
                <w:szCs w:val="20"/>
                <w:color w:val="auto"/>
              </w:rPr>
            </w:pPr>
            <w:r>
              <w:rPr>
                <w:rFonts w:ascii="Arial" w:cs="Arial" w:eastAsia="Arial" w:hAnsi="Arial"/>
                <w:sz w:val="18"/>
                <w:szCs w:val="18"/>
                <w:b w:val="1"/>
                <w:bCs w:val="1"/>
                <w:color w:val="auto"/>
              </w:rPr>
              <w:t>​</w:t>
            </w:r>
          </w:p>
        </w:tc>
      </w:tr>
    </w:tbl>
    <w:p>
      <w:pPr>
        <w:spacing w:after="0" w:line="1" w:lineRule="exact"/>
        <w:rPr>
          <w:sz w:val="20"/>
          <w:szCs w:val="20"/>
          <w:color w:val="auto"/>
        </w:rPr>
      </w:pPr>
    </w:p>
    <w:p>
      <w:pPr>
        <w:sectPr>
          <w:pgSz w:w="11900" w:h="16838" w:orient="portrait"/>
          <w:cols w:equalWidth="0" w:num="2">
            <w:col w:w="7320" w:space="720"/>
            <w:col w:w="1839"/>
          </w:cols>
          <w:pgMar w:left="580" w:top="131" w:right="1440" w:bottom="1440" w:gutter="0" w:footer="0" w:header="0"/>
          <w:type w:val="continuous"/>
        </w:sectPr>
      </w:pPr>
    </w:p>
    <w:p>
      <w:pPr>
        <w:ind w:left="1620" w:right="459" w:hanging="360"/>
        <w:spacing w:after="0" w:line="273" w:lineRule="auto"/>
        <w:tabs>
          <w:tab w:leader="none" w:pos="1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upon information set forth in the Schedule 13G filed on February 17, 2015 by Morgan Stanley. Morgan Stanley has sole voting power over 1,492,155 Class A shares. Morgan Stanley has shared voting power over 231,384 Class A shares and shared dispositive power over 1,596,978 Class A shares. The shares being reported on by Morgan Stanley as a parent holding company are owned, or may be deemed to be beneficially owned, by Morgan Stanley Smith Barney LLC, a wholly-owned subsidiary of Morgan Stanley and a broker dealer registered under Section 15 of the Exchange Act.</w:t>
      </w: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RELATIONSHIP WITH CEG</w:t>
      </w:r>
    </w:p>
    <w:p>
      <w:pPr>
        <w:spacing w:after="0" w:line="162"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7"/>
          <w:szCs w:val="17"/>
          <w:color w:val="auto"/>
        </w:rPr>
        <w:t>GIP and TotalEnergies, through their ownership of CEG, indirectly own all of our outstanding Class B common stock and our Class D common stock, which represents, in the aggregate, 54.91% of the voting interest in our stock and receive distributions from Clearway Energy LLC through its ownership of Class B and Class D units of Clearway Energy LLC. Holders of our Class A common stock and Class C common stock hold, in the aggregate, the remaining 45.09% of the voting interest in our stock. Each holder of Class A or Class B common stock is entitled to one vote for each share held. Each holder of Class C or Class D common stock is entitled to 1/100th of one vote for each share held. The holders of our outstanding shares of Class A and Class C common stock are entitled to dividends as declared.</w:t>
      </w:r>
    </w:p>
    <w:p>
      <w:pPr>
        <w:spacing w:after="0" w:line="108"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The diagram below depicts our organizational structure as of March 3, 2023. Clearway Energy LLC indirectly holds the equity interests in our project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125730</wp:posOffset>
            </wp:positionV>
            <wp:extent cx="5109210" cy="3634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09210"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GIP TotalEnergies each own 50% of CEG through intermediate holding companies.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STRATEGIC SPONSORSHIP WITH CEG</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CEG Master Services Agreements</w:t>
      </w:r>
    </w:p>
    <w:p>
      <w:pPr>
        <w:spacing w:after="0" w:line="15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The Company, along with Clearway Energy LLC and Clearway Energy Operating LLC, entered into Master Services Agreements with CEG (the “CEG Master Services Agreements”), pursuant to which CEG and certain of its affiliates or third- party service providers provide certain services, including operational and administrative services, which include human resources, information systems, external affairs, accounting, procurement, and risk management services, to the Company and certain of its subsidiaries, and the Company and certain of its subsidiaries provide certain services, including accounting, internal audit, tax and treasury services, to CEG, in exchange for the payment of fees in respect of such services. For the year</w:t>
      </w:r>
    </w:p>
    <w:p>
      <w:pPr>
        <w:sectPr>
          <w:pgSz w:w="11900" w:h="16838" w:orient="portrait"/>
          <w:cols w:equalWidth="0" w:num="1">
            <w:col w:w="9879"/>
          </w:cols>
          <w:pgMar w:left="580" w:top="132"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8" w:lineRule="auto"/>
        <w:rPr>
          <w:sz w:val="20"/>
          <w:szCs w:val="20"/>
          <w:color w:val="auto"/>
        </w:rPr>
      </w:pPr>
      <w:r>
        <w:rPr>
          <w:rFonts w:ascii="Arial" w:cs="Arial" w:eastAsia="Arial" w:hAnsi="Arial"/>
          <w:sz w:val="17"/>
          <w:szCs w:val="17"/>
          <w:color w:val="auto"/>
        </w:rPr>
        <w:t>ended December 31, 2022, the Company paid approximately $4,810,000 under the CEG Master Services Agreements. In addition, certain Thermal segment projects reimbursed CEG approximately $228,000 during the year ended December 31, 2022 for costs incurred by CEG on behalf of such entities.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RIGHT OF FIRST OFFER AGREEMENTS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CEG ROFO Agreement</w:t>
      </w:r>
    </w:p>
    <w:p>
      <w:pPr>
        <w:spacing w:after="0" w:line="158"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On August 31, 2018, we entered into a ROFO Agreement with CEG (the “CEG ROFO Agreement”) and, solely for certain purposes thereof, GIP, pursuant to which CEG granted us and our subsidiaries a right of first offer on any proposed sale or transfer of certain assets owned by CEG. On August 1, 2019, the CEG ROFO Agreement was amended to grant us and our affiliates a right of first offer on any proposed sale, transfer or other disposition of certain assets of CEG (the “CEG ROFO Assets”) until August 31, 2023, as listed in the table below. CEG is not obligated to sell the remaining CEG ROFO Assets to us and, if offered by CEG, we cannot be sure whether these assets will be offered on acceptable terms or that we will choose to consummate such acquisitions.</w:t>
      </w:r>
    </w:p>
    <w:p>
      <w:pPr>
        <w:spacing w:after="0" w:line="119" w:lineRule="exact"/>
        <w:rPr>
          <w:sz w:val="20"/>
          <w:szCs w:val="20"/>
          <w:color w:val="auto"/>
        </w:rPr>
      </w:pPr>
    </w:p>
    <w:p>
      <w:pPr>
        <w:ind w:left="1260" w:right="459" w:firstLine="360"/>
        <w:spacing w:after="0" w:line="308" w:lineRule="auto"/>
        <w:rPr>
          <w:sz w:val="20"/>
          <w:szCs w:val="20"/>
          <w:color w:val="auto"/>
        </w:rPr>
      </w:pPr>
      <w:r>
        <w:rPr>
          <w:rFonts w:ascii="Arial" w:cs="Arial" w:eastAsia="Arial" w:hAnsi="Arial"/>
          <w:sz w:val="17"/>
          <w:szCs w:val="17"/>
          <w:color w:val="auto"/>
        </w:rPr>
        <w:t>The assets listed below, all of which are included in co-investment partnerships, represent our currently committed investments in projects with CEG, and the assets subject to our ROFO Agreement with CEG:</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Committed Investments and CEG ROFO Assets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Asset</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Technology</w:t>
            </w: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Gross Capacity (MW)</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State</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Status</w:t>
            </w:r>
          </w:p>
        </w:tc>
      </w:tr>
      <w:tr>
        <w:trPr>
          <w:trHeight w:val="39"/>
        </w:trPr>
        <w:tc>
          <w:tcPr>
            <w:tcW w:w="31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50"/>
        </w:trPr>
        <w:tc>
          <w:tcPr>
            <w:tcW w:w="3340" w:type="dxa"/>
            <w:vAlign w:val="bottom"/>
            <w:gridSpan w:val="2"/>
          </w:tcPr>
          <w:p>
            <w:pPr>
              <w:spacing w:after="0"/>
              <w:rPr>
                <w:sz w:val="20"/>
                <w:szCs w:val="20"/>
                <w:color w:val="auto"/>
              </w:rPr>
            </w:pPr>
            <w:r>
              <w:rPr>
                <w:rFonts w:ascii="Arial" w:cs="Arial" w:eastAsia="Arial" w:hAnsi="Arial"/>
                <w:sz w:val="18"/>
                <w:szCs w:val="18"/>
                <w:color w:val="auto"/>
              </w:rPr>
              <w:t>Daggett Solar 3</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Solar/Storage</w:t>
            </w: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300</w:t>
            </w:r>
          </w:p>
        </w:tc>
        <w:tc>
          <w:tcPr>
            <w:tcW w:w="220" w:type="dxa"/>
            <w:vAlign w:val="bottom"/>
          </w:tcPr>
          <w:p>
            <w:pPr>
              <w:spacing w:after="0"/>
              <w:rPr>
                <w:sz w:val="21"/>
                <w:szCs w:val="21"/>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CA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1H23</w:t>
            </w: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Committed</w:t>
            </w:r>
          </w:p>
        </w:tc>
      </w:tr>
      <w:tr>
        <w:trPr>
          <w:trHeight w:val="257"/>
        </w:trPr>
        <w:tc>
          <w:tcPr>
            <w:tcW w:w="3340" w:type="dxa"/>
            <w:vAlign w:val="bottom"/>
            <w:gridSpan w:val="2"/>
          </w:tcPr>
          <w:p>
            <w:pPr>
              <w:spacing w:after="0"/>
              <w:rPr>
                <w:sz w:val="20"/>
                <w:szCs w:val="20"/>
                <w:color w:val="auto"/>
              </w:rPr>
            </w:pPr>
            <w:r>
              <w:rPr>
                <w:rFonts w:ascii="Arial" w:cs="Arial" w:eastAsia="Arial" w:hAnsi="Arial"/>
                <w:sz w:val="18"/>
                <w:szCs w:val="18"/>
                <w:color w:val="auto"/>
              </w:rPr>
              <w:t>Daggett Solar 2</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Solar/Storage</w:t>
            </w: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182</w:t>
            </w:r>
          </w:p>
        </w:tc>
        <w:tc>
          <w:tcPr>
            <w:tcW w:w="220" w:type="dxa"/>
            <w:vAlign w:val="bottom"/>
          </w:tcPr>
          <w:p>
            <w:pPr>
              <w:spacing w:after="0"/>
              <w:rPr>
                <w:sz w:val="22"/>
                <w:szCs w:val="22"/>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CA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2H23</w:t>
            </w: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Committed</w:t>
            </w:r>
          </w:p>
        </w:tc>
      </w:tr>
      <w:tr>
        <w:trPr>
          <w:trHeight w:val="257"/>
        </w:trPr>
        <w:tc>
          <w:tcPr>
            <w:tcW w:w="3340" w:type="dxa"/>
            <w:vAlign w:val="bottom"/>
            <w:gridSpan w:val="2"/>
          </w:tcPr>
          <w:p>
            <w:pPr>
              <w:spacing w:after="0"/>
              <w:rPr>
                <w:sz w:val="20"/>
                <w:szCs w:val="20"/>
                <w:color w:val="auto"/>
              </w:rPr>
            </w:pPr>
            <w:r>
              <w:rPr>
                <w:rFonts w:ascii="Arial" w:cs="Arial" w:eastAsia="Arial" w:hAnsi="Arial"/>
                <w:sz w:val="18"/>
                <w:szCs w:val="18"/>
                <w:color w:val="auto"/>
              </w:rPr>
              <w:t>Arica</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Solar/Storage</w:t>
            </w: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263</w:t>
            </w:r>
          </w:p>
        </w:tc>
        <w:tc>
          <w:tcPr>
            <w:tcW w:w="220" w:type="dxa"/>
            <w:vAlign w:val="bottom"/>
          </w:tcPr>
          <w:p>
            <w:pPr>
              <w:spacing w:after="0"/>
              <w:rPr>
                <w:sz w:val="22"/>
                <w:szCs w:val="22"/>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CA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2H23</w:t>
            </w: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Committed</w:t>
            </w:r>
          </w:p>
        </w:tc>
      </w:tr>
      <w:tr>
        <w:trPr>
          <w:trHeight w:val="256"/>
        </w:trPr>
        <w:tc>
          <w:tcPr>
            <w:tcW w:w="3340" w:type="dxa"/>
            <w:vAlign w:val="bottom"/>
            <w:gridSpan w:val="2"/>
          </w:tcPr>
          <w:p>
            <w:pPr>
              <w:spacing w:after="0"/>
              <w:rPr>
                <w:sz w:val="20"/>
                <w:szCs w:val="20"/>
                <w:color w:val="auto"/>
              </w:rPr>
            </w:pPr>
            <w:r>
              <w:rPr>
                <w:rFonts w:ascii="Arial" w:cs="Arial" w:eastAsia="Arial" w:hAnsi="Arial"/>
                <w:sz w:val="18"/>
                <w:szCs w:val="18"/>
                <w:color w:val="auto"/>
              </w:rPr>
              <w:t>Victory Pass</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Solar/Storage</w:t>
            </w: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200</w:t>
            </w:r>
          </w:p>
        </w:tc>
        <w:tc>
          <w:tcPr>
            <w:tcW w:w="220" w:type="dxa"/>
            <w:vAlign w:val="bottom"/>
          </w:tcPr>
          <w:p>
            <w:pPr>
              <w:spacing w:after="0"/>
              <w:rPr>
                <w:sz w:val="22"/>
                <w:szCs w:val="22"/>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CA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2H23</w:t>
            </w: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Committed</w:t>
            </w:r>
          </w:p>
        </w:tc>
      </w:tr>
    </w:tbl>
    <w:p>
      <w:pPr>
        <w:spacing w:after="0" w:line="134"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Prior to engaging in any negotiation regarding any disposition, sale or other transfer of any of the remaining CEG ROFO Assets, CEG will deliver a written notice to us setting forth the material terms and conditions of the proposed transaction. During the 30-day period after the delivery of such notice, we will negotiate with CEG in good faith to reach an agreement on the transaction. If the Company and CEG do not reach an agreement within such 30-day period, CEG will be able within the next 180 calendar days to sell, transfer, dispose or recontract such CEG ROFO Asset to a third party (or to agree in writing to undertake such transaction with a third party on terms generally no less favorable to CEG than those offered pursuant to the written notice).</w:t>
      </w:r>
    </w:p>
    <w:p>
      <w:pPr>
        <w:spacing w:after="0" w:line="119"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Under the CEG ROFO Agreement, CEG is not obligated to sell the remaining CEG ROFO Assets. In addition, any offer to sell under the CEG ROFO Agreement will be subject to an inherent conflict of interest because the same professionals within CEG’s organization that are involved in acquisitions that are suitable for us have responsibilities within CEG’s broader asset management business. Notwithstanding the significance of the services to be rendered by CEG or their designated affiliates on our behalf or of the assets which we may elect to acquire from CEG in accordance with the terms of the CEG ROFO Agreement or otherwise, CEG does not owe fiduciary duties to us or our stockholders. Any material transaction with CEG (including the proposed acquisition of any CEG ROFO Asset) will be subject to our related person transaction policy, which will require prior approval of such transaction by our Corporate Governance, Conflicts and Nominating Committee.</w:t>
      </w:r>
    </w:p>
    <w:p>
      <w:pPr>
        <w:spacing w:after="0" w:line="118"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The Company and CEG work collaboratively in considering new assets to be added under the CEG ROFO Agreement or to be acquired by the Company outside of the CEG ROFO Agreement.</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Drop Drown Transactions and Partnerships with CEG</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Daggett 3 Drop Down</w:t>
      </w:r>
    </w:p>
    <w:p>
      <w:pPr>
        <w:spacing w:after="0" w:line="144"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On February 17, 2023, Daggett Solar Investment LLC, a subsidiary of the Company, acquired the</w:t>
      </w:r>
    </w:p>
    <w:p>
      <w:pPr>
        <w:spacing w:after="0" w:line="23" w:lineRule="exact"/>
        <w:rPr>
          <w:sz w:val="20"/>
          <w:szCs w:val="20"/>
          <w:color w:val="auto"/>
        </w:rPr>
      </w:pPr>
    </w:p>
    <w:p>
      <w:pPr>
        <w:jc w:val="center"/>
        <w:ind w:right="-740"/>
        <w:spacing w:after="0"/>
        <w:rPr>
          <w:sz w:val="20"/>
          <w:szCs w:val="20"/>
          <w:color w:val="auto"/>
        </w:rPr>
      </w:pPr>
      <w:r>
        <w:rPr>
          <w:rFonts w:ascii="Arial" w:cs="Arial" w:eastAsia="Arial" w:hAnsi="Arial"/>
          <w:sz w:val="17"/>
          <w:szCs w:val="17"/>
          <w:color w:val="auto"/>
        </w:rPr>
        <w:t>Class A membership interests in Daggett Renewable Holdco LLC from Clearway Renew LLC, a subsidiary</w:t>
      </w: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0" w:lineRule="auto"/>
        <w:rPr>
          <w:sz w:val="20"/>
          <w:szCs w:val="20"/>
          <w:color w:val="auto"/>
        </w:rPr>
      </w:pPr>
      <w:r>
        <w:rPr>
          <w:rFonts w:ascii="Arial" w:cs="Arial" w:eastAsia="Arial" w:hAnsi="Arial"/>
          <w:sz w:val="17"/>
          <w:szCs w:val="17"/>
          <w:color w:val="auto"/>
        </w:rPr>
        <w:t>of CEG, for cash consideration of $21 million. Simultaneously, Daggett Renewable Holdco LLC acquired Daggett TargetCo LLC, the indirect owner of the Daggett 3 solar project, a 300 MW solar project with matching storage capacity that is currently under construction and located in San Bernardino, California. Daggett Renewable Holdco LLC is a partnership between the Company and a third-party investor. Daggett TargetCo LLC consolidates, as the direct owner of the primary beneficiary, a tax equity fund, Daggett TE Holdco LLC, which holds the Daggett 3 solar project. Daggett 3 has PPAs with investment-grade counterparties that have a 15-year weighted average contract duration that will commence when the project reaches commercial operations, which is expected to occur in the first half of 2023. The acquisition was funded with existing sources of liquidity.</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Waiawa Drop Down</w:t>
      </w:r>
    </w:p>
    <w:p>
      <w:pPr>
        <w:spacing w:after="0" w:line="158"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On October 3, 2022, the Company, through its indirect subsidiary, Lighthouse Renewable Holdco LLC, acquired Waiawa BL Borrower Holdco LLC, the indirect owner of the Waiawa solar project, a 36 MW solar project with matching storage capacity located in Honolulu, Hawaii, from Clearway Renew LLC for cash consideration of $20 million. Lighthouse Renewable Holdco LLC is a partnership between the Company and a third-party investor. Waiawa BL Borrower Holdco LLC consolidates, as the direct owner of the primary beneficiary, a tax equity fund, Waiawa TE Holdco LLC, which directly holds the Waiawa solar project. Waiawa has a 20-year PPA with an investment-grade utility that commenced in January 2023.</w:t>
      </w:r>
    </w:p>
    <w:p>
      <w:pPr>
        <w:spacing w:after="0" w:line="110"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In connection with the Waiawa Drop Down, the Company assumed non-recourse project-level debt, which included a construction loan, sponsor equity bridge loan and tax equity bridge loan. The $26 million sponsor equity bridge loan was repaid at acquisition date, along with $2 million in associated fees, utilizing $12 million from the cash equity investor, as well as $16 million of the Company’s purchase price, which was contributed back to the Company by CEG.</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Capistrano Wind Portfolio Acquisition</w:t>
      </w:r>
    </w:p>
    <w:p>
      <w:pPr>
        <w:spacing w:after="0" w:line="14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On August 22, 2022, the Company, through its wholly-owned indirect subsidiary, Capistrano Portfolio Holdco LLC, acquired the Capistrano Wind Portfolio from Capistrano Wind Partners LLC, an indirect subsidiary of CEG, for a base purchase price of approximately $255 million, less working capital adjustments in the net amount of approximately $16 million, representing total net consideration of approximately $239 million. Concurrent with the acquisition, the Company also entered into a development agreement with Clearway Renew LLC, whereby Clearway Renew LLC paid $10 million to the Company at acquisition date for an exclusive right to develop, construct and repower the projects in the Capistrano Wind Portfolio, which was utilized to partially fund the acquisition of the Capistrano Wind Portfolio. The Capistrano Wind Portfolio consists of five wind projects located in Texas, Nebraska and Wyoming with a combined capacity of 413 MW. The assets within the portfolio sell power under PPAs with investment-grade counterparties that have a weighted average remaining contract duration of approximately 9 years.</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Mililani I Drop Down</w:t>
      </w:r>
    </w:p>
    <w:p>
      <w:pPr>
        <w:spacing w:after="0" w:line="158"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On March 25, 2022, the Company, through its indirect subsidiary, Lighthouse Renewable Holdco LLC, acquired Mililani BL Borrower Holdco LLC, the indirect owner of the Mililani I solar project, a 39 MW solar project with matching storage capacity located in Honolulu, Hawaii, from Clearway Renew LLC for cash consideration of $22 million. Lighthouse Renewable Holdco LLC is a partnership between the Company and a third-party investor. Mililani BL Borrower Holdco LLC consolidates, as the direct owner of the primary beneficiary, a tax equity fund, Mililani TE Holdco LLC, which directly holds the Mililani I solar project. Mililani I has a 20-year PPA with an investment-grade utility that commenced in July 2022.</w:t>
      </w:r>
    </w:p>
    <w:p>
      <w:pPr>
        <w:spacing w:after="0" w:line="110"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In connection with the Mililani I Drop Down, the Company assumed non-recourse project-level debt, which included a construction loan, sponsor equity bridge loan and tax equity bridge loan. The $27 million sponsor equity bridge loan was repaid at acquisition date, along with $2 million in associated fees, utilizing $14 million from the cash equity investor, as well as $15 million of the Company’s purchase price, which was contributed back to the Company by CEG. On December 7, 2022, when the project reached substantial completion, the tax equity investor contributed an additional $42 million and CEG contributed an additional $11 million, which was utilized, along with the $18 million in escrow, to repay the $60 million tax equity</w:t>
      </w:r>
    </w:p>
    <w:p>
      <w:pPr>
        <w:sectPr>
          <w:pgSz w:w="11900" w:h="16838" w:orient="portrait"/>
          <w:cols w:equalWidth="0" w:num="1">
            <w:col w:w="9879"/>
          </w:cols>
          <w:pgMar w:left="580" w:top="132"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6" w:lineRule="auto"/>
        <w:rPr>
          <w:sz w:val="20"/>
          <w:szCs w:val="20"/>
          <w:color w:val="auto"/>
        </w:rPr>
      </w:pPr>
      <w:r>
        <w:rPr>
          <w:rFonts w:ascii="Arial" w:cs="Arial" w:eastAsia="Arial" w:hAnsi="Arial"/>
          <w:sz w:val="18"/>
          <w:szCs w:val="18"/>
          <w:color w:val="auto"/>
        </w:rPr>
        <w:t>bridge loan, to fund $7 million in construction completion reserves and to pay $4 million in associated fees. The Company also paid an additional $3 million to Clearway Renew LLC for construction management fees.</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Black Rock Drop Down</w:t>
      </w:r>
    </w:p>
    <w:p>
      <w:pPr>
        <w:spacing w:after="0" w:line="158" w:lineRule="exact"/>
        <w:rPr>
          <w:sz w:val="20"/>
          <w:szCs w:val="20"/>
          <w:color w:val="auto"/>
        </w:rPr>
      </w:pPr>
    </w:p>
    <w:p>
      <w:pPr>
        <w:ind w:left="1260" w:right="579" w:firstLine="360"/>
        <w:spacing w:after="0" w:line="249" w:lineRule="auto"/>
        <w:rPr>
          <w:sz w:val="20"/>
          <w:szCs w:val="20"/>
          <w:color w:val="auto"/>
        </w:rPr>
      </w:pPr>
      <w:r>
        <w:rPr>
          <w:rFonts w:ascii="Arial" w:cs="Arial" w:eastAsia="Arial" w:hAnsi="Arial"/>
          <w:sz w:val="18"/>
          <w:szCs w:val="18"/>
          <w:color w:val="auto"/>
        </w:rPr>
        <w:t>On December 29, 2021, the Company, through its indirect subsidiary, Lighthouse Renewable Holding Sub LLC, acquired the Class B membership interests in Black Rock Wind Holding LLC from Clearway Renew LLC. During the year ended December 31, 2022, the Company paid an additional $23 million to Clearway Renew LLC as final cash consideration.</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Mesquite Sky Drop Down</w:t>
      </w:r>
    </w:p>
    <w:p>
      <w:pPr>
        <w:spacing w:after="0" w:line="158" w:lineRule="exact"/>
        <w:rPr>
          <w:sz w:val="20"/>
          <w:szCs w:val="20"/>
          <w:color w:val="auto"/>
        </w:rPr>
      </w:pPr>
    </w:p>
    <w:p>
      <w:pPr>
        <w:ind w:left="1260" w:right="419" w:firstLine="360"/>
        <w:spacing w:after="0" w:line="249" w:lineRule="auto"/>
        <w:rPr>
          <w:sz w:val="20"/>
          <w:szCs w:val="20"/>
          <w:color w:val="auto"/>
        </w:rPr>
      </w:pPr>
      <w:r>
        <w:rPr>
          <w:rFonts w:ascii="Arial" w:cs="Arial" w:eastAsia="Arial" w:hAnsi="Arial"/>
          <w:sz w:val="18"/>
          <w:szCs w:val="18"/>
          <w:color w:val="auto"/>
        </w:rPr>
        <w:t>On December 17, 2021, the Company, through its indirect subsidiary Lighthouse Renewable Holdco 2 LLC, acquired the Class B membership interests in Mesquite Sky Holding LLC from Clearway Renew LLC. During the year ended December 31, 2022, the Company paid an additional $7 million to Clearway Renew LLC as final cash consideration.</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Pinnacle Repowering Partnership</w:t>
      </w:r>
    </w:p>
    <w:p>
      <w:pPr>
        <w:spacing w:after="0" w:line="15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On February 26, 2021, the Company entered into an amended agreement with CWSP Pinnacle Holding LLC, an indirect subsidiary of CEG, with respect to Pinnacle Repowering Partnership LLC in order to facilitate the repowering of the Pinnacle wind project, a wind facility located in Mineral County, West Virginia. On March 10, 2021, the Company contributed its interest in the Pinnacle wind project to Pinnacle Repowering Partnership LLC concurrent with entering into a financing agreement. The Company owns 100% of the Class A membership interests in Pinnacle Repowering Partnership LLC, which is a VIE, and the Company consolidates its interest as the primary beneficiary and managing member. CWSP Pinnacle Holding LLC owns 100% of the Class B membership interests in Pinnacle Repowering Partnership LLC. On April 15, 2022, the Company acquired the Class B membership interests of Pinnacle Repowering Partnership LLC from CWSP Pinnacle Holding LLC for cash consideration of $10 million and the Company now owns and consolidates 100% of the membership interests in Pinnacle Repowering Partnership LLC.</w:t>
      </w:r>
    </w:p>
    <w:p>
      <w:pPr>
        <w:spacing w:after="0" w:line="114" w:lineRule="exact"/>
        <w:rPr>
          <w:sz w:val="20"/>
          <w:szCs w:val="20"/>
          <w:color w:val="auto"/>
        </w:rPr>
      </w:pPr>
    </w:p>
    <w:p>
      <w:pPr>
        <w:ind w:left="1260" w:right="1099" w:firstLine="360"/>
        <w:spacing w:after="0" w:line="261" w:lineRule="auto"/>
        <w:rPr>
          <w:sz w:val="20"/>
          <w:szCs w:val="20"/>
          <w:color w:val="auto"/>
        </w:rPr>
      </w:pPr>
      <w:r>
        <w:rPr>
          <w:rFonts w:ascii="Arial" w:cs="Arial" w:eastAsia="Arial" w:hAnsi="Arial"/>
          <w:sz w:val="18"/>
          <w:szCs w:val="18"/>
          <w:color w:val="auto"/>
        </w:rPr>
        <w:t>Additionally during the year ended December 31, 2022, the Company paid $172,000 in project distributions.</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Kawailoa Solar Partnership</w:t>
      </w:r>
    </w:p>
    <w:p>
      <w:pPr>
        <w:spacing w:after="0" w:line="144" w:lineRule="exact"/>
        <w:rPr>
          <w:sz w:val="20"/>
          <w:szCs w:val="20"/>
          <w:color w:val="auto"/>
        </w:rPr>
      </w:pPr>
    </w:p>
    <w:p>
      <w:pPr>
        <w:ind w:left="1260" w:right="759" w:firstLine="360"/>
        <w:spacing w:after="0" w:line="266" w:lineRule="auto"/>
        <w:rPr>
          <w:sz w:val="20"/>
          <w:szCs w:val="20"/>
          <w:color w:val="auto"/>
        </w:rPr>
      </w:pPr>
      <w:r>
        <w:rPr>
          <w:rFonts w:ascii="Arial" w:cs="Arial" w:eastAsia="Arial" w:hAnsi="Arial"/>
          <w:sz w:val="17"/>
          <w:szCs w:val="17"/>
          <w:color w:val="auto"/>
        </w:rPr>
        <w:t>On August 1, 2022, the Company sold 100% of its Class A membership interests in Kawailoa Solar Partnership LLC, or the Kawailoa Partnership LLC, to Clearway Renew LLC for cash proceeds of</w:t>
      </w:r>
    </w:p>
    <w:p>
      <w:pPr>
        <w:spacing w:after="0" w:line="1" w:lineRule="exact"/>
        <w:rPr>
          <w:sz w:val="20"/>
          <w:szCs w:val="20"/>
          <w:color w:val="auto"/>
        </w:rPr>
      </w:pPr>
    </w:p>
    <w:p>
      <w:pPr>
        <w:ind w:left="1260" w:right="679"/>
        <w:spacing w:after="0" w:line="243" w:lineRule="auto"/>
        <w:rPr>
          <w:sz w:val="20"/>
          <w:szCs w:val="20"/>
          <w:color w:val="auto"/>
        </w:rPr>
      </w:pPr>
      <w:r>
        <w:rPr>
          <w:rFonts w:ascii="Arial" w:cs="Arial" w:eastAsia="Arial" w:hAnsi="Arial"/>
          <w:sz w:val="18"/>
          <w:szCs w:val="18"/>
          <w:color w:val="auto"/>
        </w:rPr>
        <w:t>$9 million. There were no project contributions from or distributions to Clearway Renew LLC during the year ended December 31, 2022.</w:t>
      </w:r>
    </w:p>
    <w:p>
      <w:pPr>
        <w:spacing w:after="0" w:line="19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Oahu Solar Partnership</w:t>
      </w:r>
    </w:p>
    <w:p>
      <w:pPr>
        <w:spacing w:after="0" w:line="144"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On August 1, 2022, the Company acquired the Class B membership interests of Zephyr Oahu Partnership LLC, or the Oahu Solar Partnership, from Clearway Renew LLC for cash consideration of $1 million and the Company now owns and consolidates 100% of the membership interests in the Oahu Solar Partnership. During the year ended December 31, 2022, Clearway Renew LLC contributed $1 million into the Oahu Partnership.</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OPERATIONS AND MAINTENANCE AGREEMENTS</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CEG provides operations and maintenance (“O&amp;M”) and day-to-day operational support to our utility scale solar and wind facilities in accordance with O&amp;M agreements with us. Each of the counterparties to the O&amp;M agreements is an affiliate of CEG. The O&amp;M agreements for which the amount paid to CEG exceeded $120,000 during the year ended December 31, 2022 are described in the table below. Under these O&amp;M agreements, we generally pay an annual or monthly fee, which may be subject to annual adjustment, plus any reimbursable expenses.</w:t>
      </w: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Approximate</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Paid to</w:t>
            </w:r>
          </w:p>
        </w:tc>
        <w:tc>
          <w:tcPr>
            <w:tcW w:w="126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Project</w:t>
            </w:r>
          </w:p>
        </w:tc>
        <w:tc>
          <w:tcPr>
            <w:tcW w:w="4380" w:type="dxa"/>
            <w:vAlign w:val="bottom"/>
            <w:gridSpan w:val="2"/>
          </w:tcPr>
          <w:p>
            <w:pPr>
              <w:ind w:left="1400"/>
              <w:spacing w:after="0"/>
              <w:rPr>
                <w:sz w:val="20"/>
                <w:szCs w:val="20"/>
                <w:color w:val="auto"/>
              </w:rPr>
            </w:pPr>
            <w:r>
              <w:rPr>
                <w:rFonts w:ascii="Arial" w:cs="Arial" w:eastAsia="Arial" w:hAnsi="Arial"/>
                <w:sz w:val="14"/>
                <w:szCs w:val="14"/>
                <w:b w:val="1"/>
                <w:bCs w:val="1"/>
                <w:color w:val="auto"/>
              </w:rPr>
              <w:t>Agreement Description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CEG</w:t>
            </w:r>
          </w:p>
        </w:tc>
        <w:tc>
          <w:tcPr>
            <w:tcW w:w="126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Solar</w:t>
            </w:r>
          </w:p>
        </w:tc>
        <w:tc>
          <w:tcPr>
            <w:tcW w:w="4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spacing w:after="0"/>
              <w:rPr>
                <w:sz w:val="21"/>
                <w:szCs w:val="21"/>
                <w:color w:val="auto"/>
              </w:rPr>
            </w:pPr>
          </w:p>
        </w:tc>
      </w:tr>
      <w:tr>
        <w:trPr>
          <w:trHeight w:val="257"/>
        </w:trPr>
        <w:tc>
          <w:tcPr>
            <w:tcW w:w="1260" w:type="dxa"/>
            <w:vAlign w:val="bottom"/>
          </w:tcPr>
          <w:p>
            <w:pPr>
              <w:spacing w:after="0"/>
              <w:rPr>
                <w:sz w:val="22"/>
                <w:szCs w:val="22"/>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Agua Caliente</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December 22, 2017</w:t>
            </w:r>
          </w:p>
        </w:tc>
        <w:tc>
          <w:tcPr>
            <w:tcW w:w="820" w:type="dxa"/>
            <w:vAlign w:val="bottom"/>
          </w:tcPr>
          <w:p>
            <w:pPr>
              <w:spacing w:after="0"/>
              <w:rPr>
                <w:sz w:val="20"/>
                <w:szCs w:val="20"/>
                <w:color w:val="auto"/>
              </w:rPr>
            </w:pPr>
            <w:r>
              <w:rPr>
                <w:rFonts w:ascii="Arial" w:cs="Arial" w:eastAsia="Arial" w:hAnsi="Arial"/>
                <w:sz w:val="18"/>
                <w:szCs w:val="18"/>
                <w:color w:val="auto"/>
                <w:w w:val="88"/>
              </w:rPr>
              <w:t>$4,439,000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Borrego</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August 1, 2012</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$ 473,000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Buckthorn Solar</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May 22, 2017</w:t>
            </w:r>
          </w:p>
        </w:tc>
        <w:tc>
          <w:tcPr>
            <w:tcW w:w="820" w:type="dxa"/>
            <w:vAlign w:val="bottom"/>
          </w:tcPr>
          <w:p>
            <w:pPr>
              <w:spacing w:after="0"/>
              <w:rPr>
                <w:sz w:val="20"/>
                <w:szCs w:val="20"/>
                <w:color w:val="auto"/>
              </w:rPr>
            </w:pPr>
            <w:r>
              <w:rPr>
                <w:rFonts w:ascii="Arial" w:cs="Arial" w:eastAsia="Arial" w:hAnsi="Arial"/>
                <w:sz w:val="18"/>
                <w:szCs w:val="18"/>
                <w:color w:val="auto"/>
                <w:w w:val="88"/>
              </w:rPr>
              <w:t>$2,350,000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Chestnut Fund LLC</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February 9, 2018</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$ 997,000</w:t>
            </w:r>
          </w:p>
        </w:tc>
        <w:tc>
          <w:tcPr>
            <w:tcW w:w="1260" w:type="dxa"/>
            <w:vAlign w:val="bottom"/>
          </w:tcPr>
          <w:p>
            <w:pPr>
              <w:spacing w:after="0"/>
              <w:rPr>
                <w:sz w:val="22"/>
                <w:szCs w:val="22"/>
                <w:color w:val="auto"/>
              </w:rPr>
            </w:pPr>
          </w:p>
        </w:tc>
      </w:tr>
      <w:tr>
        <w:trPr>
          <w:trHeight w:val="269"/>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Clearway &amp; EFS Distributed Solar</w:t>
            </w:r>
          </w:p>
        </w:tc>
        <w:tc>
          <w:tcPr>
            <w:tcW w:w="4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1260" w:type="dxa"/>
            <w:vAlign w:val="bottom"/>
          </w:tcPr>
          <w:p>
            <w:pPr>
              <w:spacing w:after="0"/>
              <w:rPr>
                <w:sz w:val="20"/>
                <w:szCs w:val="20"/>
                <w:color w:val="auto"/>
              </w:rPr>
            </w:pPr>
          </w:p>
        </w:tc>
        <w:tc>
          <w:tcPr>
            <w:tcW w:w="3000" w:type="dxa"/>
            <w:vAlign w:val="bottom"/>
            <w:gridSpan w:val="2"/>
          </w:tcPr>
          <w:p>
            <w:pPr>
              <w:ind w:left="180"/>
              <w:spacing w:after="0"/>
              <w:rPr>
                <w:sz w:val="20"/>
                <w:szCs w:val="20"/>
                <w:color w:val="auto"/>
              </w:rPr>
            </w:pPr>
            <w:r>
              <w:rPr>
                <w:rFonts w:ascii="Arial" w:cs="Arial" w:eastAsia="Arial" w:hAnsi="Arial"/>
                <w:sz w:val="18"/>
                <w:szCs w:val="18"/>
                <w:i w:val="1"/>
                <w:iCs w:val="1"/>
                <w:color w:val="auto"/>
              </w:rPr>
              <w:t>LLC</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October 28, 2016</w:t>
            </w:r>
          </w:p>
        </w:tc>
        <w:tc>
          <w:tcPr>
            <w:tcW w:w="820" w:type="dxa"/>
            <w:vAlign w:val="bottom"/>
          </w:tcPr>
          <w:p>
            <w:pPr>
              <w:spacing w:after="0"/>
              <w:rPr>
                <w:sz w:val="20"/>
                <w:szCs w:val="20"/>
                <w:color w:val="auto"/>
              </w:rPr>
            </w:pPr>
            <w:r>
              <w:rPr>
                <w:rFonts w:ascii="Arial" w:cs="Arial" w:eastAsia="Arial" w:hAnsi="Arial"/>
                <w:sz w:val="18"/>
                <w:szCs w:val="18"/>
                <w:color w:val="auto"/>
                <w:w w:val="99"/>
              </w:rPr>
              <w:t>$ 201,000</w:t>
            </w:r>
          </w:p>
        </w:tc>
        <w:tc>
          <w:tcPr>
            <w:tcW w:w="1260" w:type="dxa"/>
            <w:vAlign w:val="bottom"/>
          </w:tcPr>
          <w:p>
            <w:pPr>
              <w:spacing w:after="0"/>
              <w:rPr>
                <w:sz w:val="20"/>
                <w:szCs w:val="20"/>
                <w:color w:val="auto"/>
              </w:rPr>
            </w:pPr>
          </w:p>
        </w:tc>
      </w:tr>
      <w:tr>
        <w:trPr>
          <w:trHeight w:val="256"/>
        </w:trPr>
        <w:tc>
          <w:tcPr>
            <w:tcW w:w="1260" w:type="dxa"/>
            <w:vAlign w:val="bottom"/>
          </w:tcPr>
          <w:p>
            <w:pPr>
              <w:spacing w:after="0"/>
              <w:rPr>
                <w:sz w:val="22"/>
                <w:szCs w:val="22"/>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CS4 Fund LLC</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November 29, 2018</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$ 972,000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CVSR</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September 30, 2011</w:t>
            </w:r>
          </w:p>
        </w:tc>
        <w:tc>
          <w:tcPr>
            <w:tcW w:w="820" w:type="dxa"/>
            <w:vAlign w:val="bottom"/>
          </w:tcPr>
          <w:p>
            <w:pPr>
              <w:spacing w:after="0"/>
              <w:rPr>
                <w:sz w:val="20"/>
                <w:szCs w:val="20"/>
                <w:color w:val="auto"/>
              </w:rPr>
            </w:pPr>
            <w:r>
              <w:rPr>
                <w:rFonts w:ascii="Arial" w:cs="Arial" w:eastAsia="Arial" w:hAnsi="Arial"/>
                <w:sz w:val="18"/>
                <w:szCs w:val="18"/>
                <w:color w:val="auto"/>
                <w:w w:val="88"/>
              </w:rPr>
              <w:t>$3,442,000</w:t>
            </w:r>
          </w:p>
        </w:tc>
        <w:tc>
          <w:tcPr>
            <w:tcW w:w="1260" w:type="dxa"/>
            <w:vAlign w:val="bottom"/>
          </w:tcPr>
          <w:p>
            <w:pPr>
              <w:spacing w:after="0"/>
              <w:rPr>
                <w:sz w:val="22"/>
                <w:szCs w:val="22"/>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DG-CS Holdco LLC</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November 2, 2020</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$ 360,000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DGPV Fund I LLC</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June 12, 2015</w:t>
            </w:r>
          </w:p>
        </w:tc>
        <w:tc>
          <w:tcPr>
            <w:tcW w:w="820" w:type="dxa"/>
            <w:vAlign w:val="bottom"/>
          </w:tcPr>
          <w:p>
            <w:pPr>
              <w:spacing w:after="0"/>
              <w:rPr>
                <w:sz w:val="20"/>
                <w:szCs w:val="20"/>
                <w:color w:val="auto"/>
              </w:rPr>
            </w:pPr>
            <w:r>
              <w:rPr>
                <w:rFonts w:ascii="Arial" w:cs="Arial" w:eastAsia="Arial" w:hAnsi="Arial"/>
                <w:sz w:val="18"/>
                <w:szCs w:val="18"/>
                <w:color w:val="auto"/>
                <w:w w:val="99"/>
              </w:rPr>
              <w:t>$ 241,000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DGPV Fund 2 LLC</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September 4, 2015</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$1,038,000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DGPV Fund 4 LLC</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June 16, 2017</w:t>
            </w:r>
          </w:p>
        </w:tc>
        <w:tc>
          <w:tcPr>
            <w:tcW w:w="820" w:type="dxa"/>
            <w:vAlign w:val="bottom"/>
          </w:tcPr>
          <w:p>
            <w:pPr>
              <w:spacing w:after="0"/>
              <w:rPr>
                <w:sz w:val="20"/>
                <w:szCs w:val="20"/>
                <w:color w:val="auto"/>
              </w:rPr>
            </w:pPr>
            <w:r>
              <w:rPr>
                <w:rFonts w:ascii="Arial" w:cs="Arial" w:eastAsia="Arial" w:hAnsi="Arial"/>
                <w:sz w:val="18"/>
                <w:szCs w:val="18"/>
                <w:color w:val="auto"/>
                <w:w w:val="88"/>
              </w:rPr>
              <w:t>$1,031,000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Golden Fields Solar III LLC</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February 25, 2020</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$1,643,000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Golden Puma Fund LLC</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March 30, 2017</w:t>
            </w:r>
          </w:p>
        </w:tc>
        <w:tc>
          <w:tcPr>
            <w:tcW w:w="820" w:type="dxa"/>
            <w:vAlign w:val="bottom"/>
          </w:tcPr>
          <w:p>
            <w:pPr>
              <w:spacing w:after="0"/>
              <w:rPr>
                <w:sz w:val="20"/>
                <w:szCs w:val="20"/>
                <w:color w:val="auto"/>
              </w:rPr>
            </w:pPr>
            <w:r>
              <w:rPr>
                <w:rFonts w:ascii="Arial" w:cs="Arial" w:eastAsia="Arial" w:hAnsi="Arial"/>
                <w:sz w:val="18"/>
                <w:szCs w:val="18"/>
                <w:color w:val="auto"/>
                <w:w w:val="99"/>
              </w:rPr>
              <w:t>$ 694,000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Kansas South</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June 13, 2017</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$ 635,000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Kawailoa Solar LLC</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December 14, 2017</w:t>
            </w:r>
          </w:p>
        </w:tc>
        <w:tc>
          <w:tcPr>
            <w:tcW w:w="820" w:type="dxa"/>
            <w:vAlign w:val="bottom"/>
          </w:tcPr>
          <w:p>
            <w:pPr>
              <w:spacing w:after="0"/>
              <w:rPr>
                <w:sz w:val="20"/>
                <w:szCs w:val="20"/>
                <w:color w:val="auto"/>
              </w:rPr>
            </w:pPr>
            <w:r>
              <w:rPr>
                <w:rFonts w:ascii="Arial" w:cs="Arial" w:eastAsia="Arial" w:hAnsi="Arial"/>
                <w:sz w:val="18"/>
                <w:szCs w:val="18"/>
                <w:color w:val="auto"/>
                <w:w w:val="88"/>
              </w:rPr>
              <w:t>$1,565,000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Lanikuhana Solar LLC</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December 28, 2017</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$ 656,000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Mililani I</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May 28, 2021</w:t>
            </w:r>
          </w:p>
        </w:tc>
        <w:tc>
          <w:tcPr>
            <w:tcW w:w="820" w:type="dxa"/>
            <w:vAlign w:val="bottom"/>
          </w:tcPr>
          <w:p>
            <w:pPr>
              <w:spacing w:after="0"/>
              <w:rPr>
                <w:sz w:val="20"/>
                <w:szCs w:val="20"/>
                <w:color w:val="auto"/>
              </w:rPr>
            </w:pPr>
            <w:r>
              <w:rPr>
                <w:rFonts w:ascii="Arial" w:cs="Arial" w:eastAsia="Arial" w:hAnsi="Arial"/>
                <w:sz w:val="18"/>
                <w:szCs w:val="18"/>
                <w:color w:val="auto"/>
                <w:w w:val="99"/>
              </w:rPr>
              <w:t>$ 255,000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Solar Blythe</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November 1, 2017</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$ 267,000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Solar Blythe II</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March 1, 2017</w:t>
            </w:r>
          </w:p>
        </w:tc>
        <w:tc>
          <w:tcPr>
            <w:tcW w:w="820" w:type="dxa"/>
            <w:vAlign w:val="bottom"/>
          </w:tcPr>
          <w:p>
            <w:pPr>
              <w:spacing w:after="0"/>
              <w:rPr>
                <w:sz w:val="20"/>
                <w:szCs w:val="20"/>
                <w:color w:val="auto"/>
              </w:rPr>
            </w:pPr>
            <w:r>
              <w:rPr>
                <w:rFonts w:ascii="Arial" w:cs="Arial" w:eastAsia="Arial" w:hAnsi="Arial"/>
                <w:sz w:val="18"/>
                <w:szCs w:val="18"/>
                <w:color w:val="auto"/>
                <w:w w:val="99"/>
              </w:rPr>
              <w:t>$ 670,000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Solar Community 1 LLC</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February 9, 2018</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$ 135,000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SPP Fund II</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October 31, 2017</w:t>
            </w:r>
          </w:p>
        </w:tc>
        <w:tc>
          <w:tcPr>
            <w:tcW w:w="820" w:type="dxa"/>
            <w:vAlign w:val="bottom"/>
          </w:tcPr>
          <w:p>
            <w:pPr>
              <w:spacing w:after="0"/>
              <w:rPr>
                <w:sz w:val="20"/>
                <w:szCs w:val="20"/>
                <w:color w:val="auto"/>
              </w:rPr>
            </w:pPr>
            <w:r>
              <w:rPr>
                <w:rFonts w:ascii="Arial" w:cs="Arial" w:eastAsia="Arial" w:hAnsi="Arial"/>
                <w:sz w:val="18"/>
                <w:szCs w:val="18"/>
                <w:color w:val="auto"/>
                <w:w w:val="99"/>
              </w:rPr>
              <w:t>$ 206,000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SPP Fund III</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October 31, 2017</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$ 217,000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TA High Desert</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June 9, 2017</w:t>
            </w:r>
          </w:p>
        </w:tc>
        <w:tc>
          <w:tcPr>
            <w:tcW w:w="820" w:type="dxa"/>
            <w:vAlign w:val="bottom"/>
          </w:tcPr>
          <w:p>
            <w:pPr>
              <w:spacing w:after="0"/>
              <w:rPr>
                <w:sz w:val="20"/>
                <w:szCs w:val="20"/>
                <w:color w:val="auto"/>
              </w:rPr>
            </w:pPr>
            <w:r>
              <w:rPr>
                <w:rFonts w:ascii="Arial" w:cs="Arial" w:eastAsia="Arial" w:hAnsi="Arial"/>
                <w:sz w:val="18"/>
                <w:szCs w:val="18"/>
                <w:color w:val="auto"/>
                <w:w w:val="99"/>
              </w:rPr>
              <w:t>$ 645,000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Utah Solar Portfolio</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June 13, 2022</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$1,298,000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Utah Solar Holdings II LLC</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December 1, 2021</w:t>
            </w:r>
          </w:p>
        </w:tc>
        <w:tc>
          <w:tcPr>
            <w:tcW w:w="820" w:type="dxa"/>
            <w:vAlign w:val="bottom"/>
          </w:tcPr>
          <w:p>
            <w:pPr>
              <w:spacing w:after="0"/>
              <w:rPr>
                <w:sz w:val="20"/>
                <w:szCs w:val="20"/>
                <w:color w:val="auto"/>
              </w:rPr>
            </w:pPr>
            <w:r>
              <w:rPr>
                <w:rFonts w:ascii="Arial" w:cs="Arial" w:eastAsia="Arial" w:hAnsi="Arial"/>
                <w:sz w:val="18"/>
                <w:szCs w:val="18"/>
                <w:color w:val="auto"/>
                <w:w w:val="99"/>
              </w:rPr>
              <w:t>$ 178,000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Waipio PV LLC</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December 28, 2017</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$1,282,000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Wind</w:t>
            </w:r>
          </w:p>
        </w:tc>
        <w:tc>
          <w:tcPr>
            <w:tcW w:w="4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Alta Wind I</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December 12, 2016</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$1,584,000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Alta Wind II</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December 12, 2016</w:t>
            </w:r>
          </w:p>
        </w:tc>
        <w:tc>
          <w:tcPr>
            <w:tcW w:w="820" w:type="dxa"/>
            <w:vAlign w:val="bottom"/>
          </w:tcPr>
          <w:p>
            <w:pPr>
              <w:spacing w:after="0"/>
              <w:rPr>
                <w:sz w:val="20"/>
                <w:szCs w:val="20"/>
                <w:color w:val="auto"/>
              </w:rPr>
            </w:pPr>
            <w:r>
              <w:rPr>
                <w:rFonts w:ascii="Arial" w:cs="Arial" w:eastAsia="Arial" w:hAnsi="Arial"/>
                <w:sz w:val="18"/>
                <w:szCs w:val="18"/>
                <w:color w:val="auto"/>
                <w:w w:val="99"/>
              </w:rPr>
              <w:t>$ 869,000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Alta Wind III</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December 12, 2016</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$ 754,000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Alta Wind IV</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December 12, 2016</w:t>
            </w:r>
          </w:p>
        </w:tc>
        <w:tc>
          <w:tcPr>
            <w:tcW w:w="820" w:type="dxa"/>
            <w:vAlign w:val="bottom"/>
          </w:tcPr>
          <w:p>
            <w:pPr>
              <w:spacing w:after="0"/>
              <w:rPr>
                <w:sz w:val="20"/>
                <w:szCs w:val="20"/>
                <w:color w:val="auto"/>
              </w:rPr>
            </w:pPr>
            <w:r>
              <w:rPr>
                <w:rFonts w:ascii="Arial" w:cs="Arial" w:eastAsia="Arial" w:hAnsi="Arial"/>
                <w:sz w:val="18"/>
                <w:szCs w:val="18"/>
                <w:color w:val="auto"/>
                <w:w w:val="99"/>
              </w:rPr>
              <w:t>$ 558,000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Alta Wind V</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December 12, 2016</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$ 854,000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Alta Wind X</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December 12, 2016</w:t>
            </w:r>
          </w:p>
        </w:tc>
        <w:tc>
          <w:tcPr>
            <w:tcW w:w="820" w:type="dxa"/>
            <w:vAlign w:val="bottom"/>
          </w:tcPr>
          <w:p>
            <w:pPr>
              <w:spacing w:after="0"/>
              <w:rPr>
                <w:sz w:val="20"/>
                <w:szCs w:val="20"/>
                <w:color w:val="auto"/>
              </w:rPr>
            </w:pPr>
            <w:r>
              <w:rPr>
                <w:rFonts w:ascii="Arial" w:cs="Arial" w:eastAsia="Arial" w:hAnsi="Arial"/>
                <w:sz w:val="18"/>
                <w:szCs w:val="18"/>
                <w:color w:val="auto"/>
                <w:w w:val="88"/>
              </w:rPr>
              <w:t>$2,627,000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Alta Wind XI</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December 12, 2016</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$1,690,000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Black Rock</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December 30, 2020</w:t>
            </w:r>
          </w:p>
        </w:tc>
        <w:tc>
          <w:tcPr>
            <w:tcW w:w="820" w:type="dxa"/>
            <w:vAlign w:val="bottom"/>
          </w:tcPr>
          <w:p>
            <w:pPr>
              <w:spacing w:after="0"/>
              <w:rPr>
                <w:sz w:val="20"/>
                <w:szCs w:val="20"/>
                <w:color w:val="auto"/>
              </w:rPr>
            </w:pPr>
            <w:r>
              <w:rPr>
                <w:rFonts w:ascii="Arial" w:cs="Arial" w:eastAsia="Arial" w:hAnsi="Arial"/>
                <w:sz w:val="18"/>
                <w:szCs w:val="18"/>
                <w:color w:val="auto"/>
                <w:w w:val="99"/>
              </w:rPr>
              <w:t>$ 914,000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Broken Bow</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Nov 6, 2017</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$ 584,000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Buffalo Bear</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May 1, 2016</w:t>
            </w:r>
          </w:p>
        </w:tc>
        <w:tc>
          <w:tcPr>
            <w:tcW w:w="820" w:type="dxa"/>
            <w:vAlign w:val="bottom"/>
          </w:tcPr>
          <w:p>
            <w:pPr>
              <w:spacing w:after="0"/>
              <w:rPr>
                <w:sz w:val="20"/>
                <w:szCs w:val="20"/>
                <w:color w:val="auto"/>
              </w:rPr>
            </w:pPr>
            <w:r>
              <w:rPr>
                <w:rFonts w:ascii="Arial" w:cs="Arial" w:eastAsia="Arial" w:hAnsi="Arial"/>
                <w:sz w:val="18"/>
                <w:szCs w:val="18"/>
                <w:color w:val="auto"/>
                <w:w w:val="99"/>
              </w:rPr>
              <w:t>$ 286,000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Cedro Hill</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Nov 11, 2015</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$1,450,000</w:t>
            </w:r>
          </w:p>
        </w:tc>
        <w:tc>
          <w:tcPr>
            <w:tcW w:w="1260" w:type="dxa"/>
            <w:vAlign w:val="bottom"/>
          </w:tcPr>
          <w:p>
            <w:pPr>
              <w:spacing w:after="0"/>
              <w:rPr>
                <w:sz w:val="23"/>
                <w:szCs w:val="23"/>
                <w:color w:val="auto"/>
              </w:rPr>
            </w:pPr>
          </w:p>
        </w:tc>
      </w:tr>
      <w:tr>
        <w:trPr>
          <w:trHeight w:val="297"/>
        </w:trPr>
        <w:tc>
          <w:tcPr>
            <w:tcW w:w="1260" w:type="dxa"/>
            <w:vAlign w:val="bottom"/>
          </w:tcPr>
          <w:p>
            <w:pPr>
              <w:spacing w:after="0"/>
              <w:rPr>
                <w:sz w:val="24"/>
                <w:szCs w:val="24"/>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Crosswinds</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May 1, 2016</w:t>
            </w:r>
          </w:p>
        </w:tc>
        <w:tc>
          <w:tcPr>
            <w:tcW w:w="820" w:type="dxa"/>
            <w:vAlign w:val="bottom"/>
          </w:tcPr>
          <w:p>
            <w:pPr>
              <w:spacing w:after="0"/>
              <w:rPr>
                <w:sz w:val="20"/>
                <w:szCs w:val="20"/>
                <w:color w:val="auto"/>
              </w:rPr>
            </w:pPr>
            <w:r>
              <w:rPr>
                <w:rFonts w:ascii="Arial" w:cs="Arial" w:eastAsia="Arial" w:hAnsi="Arial"/>
                <w:sz w:val="18"/>
                <w:szCs w:val="18"/>
                <w:color w:val="auto"/>
                <w:w w:val="99"/>
              </w:rPr>
              <w:t>$ 702,000</w:t>
            </w:r>
          </w:p>
        </w:tc>
        <w:tc>
          <w:tcPr>
            <w:tcW w:w="1260" w:type="dxa"/>
            <w:vAlign w:val="bottom"/>
          </w:tcPr>
          <w:p>
            <w:pPr>
              <w:spacing w:after="0"/>
              <w:rPr>
                <w:sz w:val="24"/>
                <w:szCs w:val="24"/>
                <w:color w:val="auto"/>
              </w:rPr>
            </w:pPr>
          </w:p>
        </w:tc>
      </w:tr>
      <w:tr>
        <w:trPr>
          <w:trHeight w:val="594"/>
        </w:trPr>
        <w:tc>
          <w:tcPr>
            <w:tcW w:w="1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60" w:type="dxa"/>
            <w:vAlign w:val="bottom"/>
          </w:tcPr>
          <w:p>
            <w:pPr>
              <w:ind w:left="98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-7611745</wp:posOffset>
            </wp:positionV>
            <wp:extent cx="137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-7611745</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Approximate</w:t>
            </w:r>
          </w:p>
        </w:tc>
      </w:tr>
      <w:tr>
        <w:trPr>
          <w:trHeight w:val="162"/>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r>
      <w:tr>
        <w:trPr>
          <w:trHeight w:val="162"/>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Paid to</w:t>
            </w:r>
          </w:p>
        </w:tc>
      </w:tr>
      <w:tr>
        <w:trPr>
          <w:trHeight w:val="186"/>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Project</w:t>
            </w:r>
          </w:p>
        </w:tc>
        <w:tc>
          <w:tcPr>
            <w:tcW w:w="4380" w:type="dxa"/>
            <w:vAlign w:val="bottom"/>
            <w:gridSpan w:val="2"/>
          </w:tcPr>
          <w:p>
            <w:pPr>
              <w:ind w:left="1400"/>
              <w:spacing w:after="0"/>
              <w:rPr>
                <w:sz w:val="20"/>
                <w:szCs w:val="20"/>
                <w:color w:val="auto"/>
              </w:rPr>
            </w:pPr>
            <w:r>
              <w:rPr>
                <w:rFonts w:ascii="Arial" w:cs="Arial" w:eastAsia="Arial" w:hAnsi="Arial"/>
                <w:sz w:val="14"/>
                <w:szCs w:val="14"/>
                <w:b w:val="1"/>
                <w:bCs w:val="1"/>
                <w:color w:val="auto"/>
              </w:rPr>
              <w:t>Agreement Description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CEG</w:t>
            </w:r>
          </w:p>
        </w:tc>
      </w:tr>
      <w:tr>
        <w:trPr>
          <w:trHeight w:val="26"/>
        </w:trPr>
        <w:tc>
          <w:tcPr>
            <w:tcW w:w="2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Elbow Creek</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October 31, 2018</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$1,491,000</w:t>
            </w:r>
          </w:p>
        </w:tc>
      </w:tr>
      <w:tr>
        <w:trPr>
          <w:trHeight w:val="257"/>
        </w:trPr>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Forward</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October 20, 2016</w:t>
            </w:r>
          </w:p>
        </w:tc>
        <w:tc>
          <w:tcPr>
            <w:tcW w:w="820" w:type="dxa"/>
            <w:vAlign w:val="bottom"/>
          </w:tcPr>
          <w:p>
            <w:pPr>
              <w:spacing w:after="0"/>
              <w:rPr>
                <w:sz w:val="20"/>
                <w:szCs w:val="20"/>
                <w:color w:val="auto"/>
              </w:rPr>
            </w:pPr>
            <w:r>
              <w:rPr>
                <w:rFonts w:ascii="Arial" w:cs="Arial" w:eastAsia="Arial" w:hAnsi="Arial"/>
                <w:sz w:val="18"/>
                <w:szCs w:val="18"/>
                <w:color w:val="auto"/>
                <w:w w:val="99"/>
              </w:rPr>
              <w:t>$ 482,000</w:t>
            </w:r>
          </w:p>
        </w:tc>
      </w:tr>
      <w:tr>
        <w:trPr>
          <w:trHeight w:val="25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Goat Wind</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February 18, 2008</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$2,682,000</w:t>
            </w:r>
          </w:p>
        </w:tc>
      </w:tr>
      <w:tr>
        <w:trPr>
          <w:trHeight w:val="257"/>
        </w:trPr>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Hardin</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May 1, 2016</w:t>
            </w:r>
          </w:p>
        </w:tc>
        <w:tc>
          <w:tcPr>
            <w:tcW w:w="820" w:type="dxa"/>
            <w:vAlign w:val="bottom"/>
          </w:tcPr>
          <w:p>
            <w:pPr>
              <w:spacing w:after="0"/>
              <w:rPr>
                <w:sz w:val="20"/>
                <w:szCs w:val="20"/>
                <w:color w:val="auto"/>
              </w:rPr>
            </w:pPr>
            <w:r>
              <w:rPr>
                <w:rFonts w:ascii="Arial" w:cs="Arial" w:eastAsia="Arial" w:hAnsi="Arial"/>
                <w:sz w:val="18"/>
                <w:szCs w:val="18"/>
                <w:color w:val="auto"/>
                <w:w w:val="99"/>
              </w:rPr>
              <w:t>$ 452,000</w:t>
            </w:r>
          </w:p>
        </w:tc>
      </w:tr>
      <w:tr>
        <w:trPr>
          <w:trHeight w:val="27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Langford</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July 30, 2018</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$2,734,000</w:t>
            </w:r>
          </w:p>
        </w:tc>
      </w:tr>
      <w:tr>
        <w:trPr>
          <w:trHeight w:val="270"/>
        </w:trPr>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Laredo Ridge</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December 24, 2015</w:t>
            </w:r>
          </w:p>
        </w:tc>
        <w:tc>
          <w:tcPr>
            <w:tcW w:w="820" w:type="dxa"/>
            <w:vAlign w:val="bottom"/>
          </w:tcPr>
          <w:p>
            <w:pPr>
              <w:spacing w:after="0"/>
              <w:rPr>
                <w:sz w:val="20"/>
                <w:szCs w:val="20"/>
                <w:color w:val="auto"/>
              </w:rPr>
            </w:pPr>
            <w:r>
              <w:rPr>
                <w:rFonts w:ascii="Arial" w:cs="Arial" w:eastAsia="Arial" w:hAnsi="Arial"/>
                <w:sz w:val="18"/>
                <w:szCs w:val="18"/>
                <w:color w:val="auto"/>
                <w:w w:val="88"/>
              </w:rPr>
              <w:t>$1,575,000</w:t>
            </w:r>
          </w:p>
        </w:tc>
      </w:tr>
      <w:tr>
        <w:trPr>
          <w:trHeight w:val="27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Lookout</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February 11, 2008</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$1,057,000</w:t>
            </w:r>
          </w:p>
        </w:tc>
      </w:tr>
      <w:tr>
        <w:trPr>
          <w:trHeight w:val="270"/>
        </w:trPr>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Mesquite Sky</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December 30, 2020</w:t>
            </w:r>
          </w:p>
        </w:tc>
        <w:tc>
          <w:tcPr>
            <w:tcW w:w="820" w:type="dxa"/>
            <w:vAlign w:val="bottom"/>
          </w:tcPr>
          <w:p>
            <w:pPr>
              <w:spacing w:after="0"/>
              <w:rPr>
                <w:sz w:val="20"/>
                <w:szCs w:val="20"/>
                <w:color w:val="auto"/>
              </w:rPr>
            </w:pPr>
            <w:r>
              <w:rPr>
                <w:rFonts w:ascii="Arial" w:cs="Arial" w:eastAsia="Arial" w:hAnsi="Arial"/>
                <w:sz w:val="18"/>
                <w:szCs w:val="18"/>
                <w:color w:val="auto"/>
                <w:w w:val="88"/>
              </w:rPr>
              <w:t>$1,602,000</w:t>
            </w:r>
          </w:p>
        </w:tc>
      </w:tr>
      <w:tr>
        <w:trPr>
          <w:trHeight w:val="27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Mesquite Star</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May 7, 2019</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$1,874,000</w:t>
            </w:r>
          </w:p>
        </w:tc>
      </w:tr>
      <w:tr>
        <w:trPr>
          <w:trHeight w:val="270"/>
        </w:trPr>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Mt. Storm</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April 23, 2021</w:t>
            </w:r>
          </w:p>
        </w:tc>
        <w:tc>
          <w:tcPr>
            <w:tcW w:w="820" w:type="dxa"/>
            <w:vAlign w:val="bottom"/>
          </w:tcPr>
          <w:p>
            <w:pPr>
              <w:spacing w:after="0"/>
              <w:rPr>
                <w:sz w:val="20"/>
                <w:szCs w:val="20"/>
                <w:color w:val="auto"/>
              </w:rPr>
            </w:pPr>
            <w:r>
              <w:rPr>
                <w:rFonts w:ascii="Arial" w:cs="Arial" w:eastAsia="Arial" w:hAnsi="Arial"/>
                <w:sz w:val="18"/>
                <w:szCs w:val="18"/>
                <w:color w:val="auto"/>
                <w:w w:val="99"/>
              </w:rPr>
              <w:t>$ 783,000</w:t>
            </w:r>
          </w:p>
        </w:tc>
      </w:tr>
      <w:tr>
        <w:trPr>
          <w:trHeight w:val="27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Mountain Wind Power I &amp; II</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September 17, 2016</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$1,016,000</w:t>
            </w:r>
          </w:p>
        </w:tc>
      </w:tr>
      <w:tr>
        <w:trPr>
          <w:trHeight w:val="270"/>
        </w:trPr>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Ocotillo</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November 3, 2020</w:t>
            </w:r>
          </w:p>
        </w:tc>
        <w:tc>
          <w:tcPr>
            <w:tcW w:w="820" w:type="dxa"/>
            <w:vAlign w:val="bottom"/>
          </w:tcPr>
          <w:p>
            <w:pPr>
              <w:spacing w:after="0"/>
              <w:rPr>
                <w:sz w:val="20"/>
                <w:szCs w:val="20"/>
                <w:color w:val="auto"/>
              </w:rPr>
            </w:pPr>
            <w:r>
              <w:rPr>
                <w:rFonts w:ascii="Arial" w:cs="Arial" w:eastAsia="Arial" w:hAnsi="Arial"/>
                <w:sz w:val="18"/>
                <w:szCs w:val="18"/>
                <w:color w:val="auto"/>
                <w:w w:val="99"/>
              </w:rPr>
              <w:t>$ 732,000</w:t>
            </w:r>
          </w:p>
        </w:tc>
      </w:tr>
      <w:tr>
        <w:trPr>
          <w:trHeight w:val="27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Odin</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September 16, 2016</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$ 474,000</w:t>
            </w:r>
          </w:p>
        </w:tc>
      </w:tr>
      <w:tr>
        <w:trPr>
          <w:trHeight w:val="270"/>
        </w:trPr>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Pinnacle</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December 1, 2016</w:t>
            </w:r>
          </w:p>
        </w:tc>
        <w:tc>
          <w:tcPr>
            <w:tcW w:w="820" w:type="dxa"/>
            <w:vAlign w:val="bottom"/>
          </w:tcPr>
          <w:p>
            <w:pPr>
              <w:spacing w:after="0"/>
              <w:rPr>
                <w:sz w:val="20"/>
                <w:szCs w:val="20"/>
                <w:color w:val="auto"/>
              </w:rPr>
            </w:pPr>
            <w:r>
              <w:rPr>
                <w:rFonts w:ascii="Arial" w:cs="Arial" w:eastAsia="Arial" w:hAnsi="Arial"/>
                <w:sz w:val="18"/>
                <w:szCs w:val="18"/>
                <w:color w:val="auto"/>
                <w:w w:val="88"/>
              </w:rPr>
              <w:t>$1,335,000</w:t>
            </w:r>
          </w:p>
        </w:tc>
      </w:tr>
      <w:tr>
        <w:trPr>
          <w:trHeight w:val="27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Rattlesnake</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February 5, 2020</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$1,459,000</w:t>
            </w:r>
          </w:p>
        </w:tc>
      </w:tr>
      <w:tr>
        <w:trPr>
          <w:trHeight w:val="270"/>
        </w:trPr>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Sleeping Bear</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May 1, 2016</w:t>
            </w:r>
          </w:p>
        </w:tc>
        <w:tc>
          <w:tcPr>
            <w:tcW w:w="820" w:type="dxa"/>
            <w:vAlign w:val="bottom"/>
          </w:tcPr>
          <w:p>
            <w:pPr>
              <w:spacing w:after="0"/>
              <w:rPr>
                <w:sz w:val="20"/>
                <w:szCs w:val="20"/>
                <w:color w:val="auto"/>
              </w:rPr>
            </w:pPr>
            <w:r>
              <w:rPr>
                <w:rFonts w:ascii="Arial" w:cs="Arial" w:eastAsia="Arial" w:hAnsi="Arial"/>
                <w:sz w:val="18"/>
                <w:szCs w:val="18"/>
                <w:color w:val="auto"/>
                <w:w w:val="88"/>
              </w:rPr>
              <w:t>$1,872,000</w:t>
            </w:r>
          </w:p>
        </w:tc>
      </w:tr>
      <w:tr>
        <w:trPr>
          <w:trHeight w:val="27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Spanish Fork</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September 16, 2016</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$ 364,000</w:t>
            </w:r>
          </w:p>
        </w:tc>
      </w:tr>
      <w:tr>
        <w:trPr>
          <w:trHeight w:val="270"/>
        </w:trPr>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South Trent</w:t>
            </w:r>
          </w:p>
        </w:tc>
        <w:tc>
          <w:tcPr>
            <w:tcW w:w="4380" w:type="dxa"/>
            <w:vAlign w:val="bottom"/>
            <w:gridSpan w:val="2"/>
          </w:tcPr>
          <w:p>
            <w:pPr>
              <w:spacing w:after="0"/>
              <w:rPr>
                <w:sz w:val="20"/>
                <w:szCs w:val="20"/>
                <w:color w:val="auto"/>
              </w:rPr>
            </w:pPr>
            <w:r>
              <w:rPr>
                <w:rFonts w:ascii="Arial" w:cs="Arial" w:eastAsia="Arial" w:hAnsi="Arial"/>
                <w:sz w:val="18"/>
                <w:szCs w:val="18"/>
                <w:color w:val="auto"/>
              </w:rPr>
              <w:t>Management O&amp;M Agreement, dated October 1, 2015</w:t>
            </w:r>
          </w:p>
        </w:tc>
        <w:tc>
          <w:tcPr>
            <w:tcW w:w="820" w:type="dxa"/>
            <w:vAlign w:val="bottom"/>
          </w:tcPr>
          <w:p>
            <w:pPr>
              <w:spacing w:after="0"/>
              <w:rPr>
                <w:sz w:val="20"/>
                <w:szCs w:val="20"/>
                <w:color w:val="auto"/>
              </w:rPr>
            </w:pPr>
            <w:r>
              <w:rPr>
                <w:rFonts w:ascii="Arial" w:cs="Arial" w:eastAsia="Arial" w:hAnsi="Arial"/>
                <w:sz w:val="18"/>
                <w:szCs w:val="18"/>
                <w:color w:val="auto"/>
                <w:w w:val="88"/>
              </w:rPr>
              <w:t>$1,732,000</w:t>
            </w:r>
          </w:p>
        </w:tc>
      </w:tr>
      <w:tr>
        <w:trPr>
          <w:trHeight w:val="27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Taloga</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July 1, 2016</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$2,679,000</w:t>
            </w:r>
          </w:p>
        </w:tc>
      </w:tr>
      <w:tr>
        <w:trPr>
          <w:trHeight w:val="270"/>
        </w:trPr>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Wildorado</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February 11, 2008</w:t>
            </w:r>
          </w:p>
        </w:tc>
        <w:tc>
          <w:tcPr>
            <w:tcW w:w="820" w:type="dxa"/>
            <w:vAlign w:val="bottom"/>
          </w:tcPr>
          <w:p>
            <w:pPr>
              <w:spacing w:after="0"/>
              <w:rPr>
                <w:sz w:val="20"/>
                <w:szCs w:val="20"/>
                <w:color w:val="auto"/>
              </w:rPr>
            </w:pPr>
            <w:r>
              <w:rPr>
                <w:rFonts w:ascii="Arial" w:cs="Arial" w:eastAsia="Arial" w:hAnsi="Arial"/>
                <w:sz w:val="18"/>
                <w:szCs w:val="18"/>
                <w:color w:val="auto"/>
                <w:w w:val="88"/>
              </w:rPr>
              <w:t>$2,172,000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-3402330</wp:posOffset>
            </wp:positionV>
            <wp:extent cx="137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-3402330</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ASSET MANAGEMENT AND ADMINISTRATIVE SERVICES AGREEMENTS</w:t>
      </w:r>
    </w:p>
    <w:p>
      <w:pPr>
        <w:spacing w:after="0" w:line="148" w:lineRule="exact"/>
        <w:rPr>
          <w:sz w:val="20"/>
          <w:szCs w:val="20"/>
          <w:color w:val="auto"/>
        </w:rPr>
      </w:pPr>
    </w:p>
    <w:p>
      <w:pPr>
        <w:ind w:left="1260" w:right="1320" w:firstLine="360"/>
        <w:spacing w:after="0" w:line="249" w:lineRule="auto"/>
        <w:rPr>
          <w:sz w:val="20"/>
          <w:szCs w:val="20"/>
          <w:color w:val="auto"/>
        </w:rPr>
      </w:pPr>
      <w:r>
        <w:rPr>
          <w:rFonts w:ascii="Arial" w:cs="Arial" w:eastAsia="Arial" w:hAnsi="Arial"/>
          <w:sz w:val="18"/>
          <w:szCs w:val="18"/>
          <w:color w:val="auto"/>
        </w:rPr>
        <w:t>CEG provides day-to-day administrative support to certain of our project-level entities in accordance with asset management and administrative services agreements (the “ASAs”). The ASAs for which the amount involved exceeded $120,000 during the year ended December 31, 2022 are described in the table below. Under these agreements, we generally pay an annual or monthly fee, which may be subject to annual adjustment, plus any reimbursable expenses.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Approximate</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Paid to</w:t>
            </w:r>
          </w:p>
        </w:tc>
        <w:tc>
          <w:tcPr>
            <w:tcW w:w="126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Project</w:t>
            </w:r>
          </w:p>
        </w:tc>
        <w:tc>
          <w:tcPr>
            <w:tcW w:w="4980" w:type="dxa"/>
            <w:vAlign w:val="bottom"/>
            <w:gridSpan w:val="2"/>
          </w:tcPr>
          <w:p>
            <w:pPr>
              <w:ind w:left="1700"/>
              <w:spacing w:after="0"/>
              <w:rPr>
                <w:sz w:val="20"/>
                <w:szCs w:val="20"/>
                <w:color w:val="auto"/>
              </w:rPr>
            </w:pPr>
            <w:r>
              <w:rPr>
                <w:rFonts w:ascii="Arial" w:cs="Arial" w:eastAsia="Arial" w:hAnsi="Arial"/>
                <w:sz w:val="14"/>
                <w:szCs w:val="14"/>
                <w:b w:val="1"/>
                <w:bCs w:val="1"/>
                <w:color w:val="auto"/>
              </w:rPr>
              <w:t>Agreement Description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CEG</w:t>
            </w:r>
          </w:p>
        </w:tc>
        <w:tc>
          <w:tcPr>
            <w:tcW w:w="1260" w:type="dxa"/>
            <w:vAlign w:val="bottom"/>
          </w:tcPr>
          <w:p>
            <w:pPr>
              <w:spacing w:after="0"/>
              <w:rPr>
                <w:sz w:val="16"/>
                <w:szCs w:val="16"/>
                <w:color w:val="auto"/>
              </w:rPr>
            </w:pPr>
          </w:p>
        </w:tc>
      </w:tr>
      <w:tr>
        <w:trPr>
          <w:trHeight w:val="25"/>
        </w:trPr>
        <w:tc>
          <w:tcPr>
            <w:tcW w:w="126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Solar</w:t>
            </w:r>
          </w:p>
        </w:tc>
        <w:tc>
          <w:tcPr>
            <w:tcW w:w="4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spacing w:after="0"/>
              <w:rPr>
                <w:sz w:val="21"/>
                <w:szCs w:val="21"/>
                <w:color w:val="auto"/>
              </w:rPr>
            </w:pPr>
          </w:p>
        </w:tc>
      </w:tr>
      <w:tr>
        <w:trPr>
          <w:trHeight w:val="257"/>
        </w:trPr>
        <w:tc>
          <w:tcPr>
            <w:tcW w:w="1260" w:type="dxa"/>
            <w:vAlign w:val="bottom"/>
          </w:tcPr>
          <w:p>
            <w:pPr>
              <w:spacing w:after="0"/>
              <w:rPr>
                <w:sz w:val="22"/>
                <w:szCs w:val="22"/>
                <w:color w:val="auto"/>
              </w:rPr>
            </w:pPr>
          </w:p>
        </w:tc>
        <w:tc>
          <w:tcPr>
            <w:tcW w:w="2400" w:type="dxa"/>
            <w:vAlign w:val="bottom"/>
            <w:gridSpan w:val="2"/>
          </w:tcPr>
          <w:p>
            <w:pPr>
              <w:spacing w:after="0"/>
              <w:rPr>
                <w:sz w:val="20"/>
                <w:szCs w:val="20"/>
                <w:color w:val="auto"/>
              </w:rPr>
            </w:pPr>
            <w:r>
              <w:rPr>
                <w:rFonts w:ascii="Arial" w:cs="Arial" w:eastAsia="Arial" w:hAnsi="Arial"/>
                <w:sz w:val="18"/>
                <w:szCs w:val="18"/>
                <w:i w:val="1"/>
                <w:iCs w:val="1"/>
                <w:color w:val="auto"/>
              </w:rPr>
              <w:t>Agua Caliente</w:t>
            </w:r>
          </w:p>
        </w:tc>
        <w:tc>
          <w:tcPr>
            <w:tcW w:w="4980" w:type="dxa"/>
            <w:vAlign w:val="bottom"/>
            <w:gridSpan w:val="2"/>
          </w:tcPr>
          <w:p>
            <w:pPr>
              <w:spacing w:after="0"/>
              <w:rPr>
                <w:sz w:val="20"/>
                <w:szCs w:val="20"/>
                <w:color w:val="auto"/>
              </w:rPr>
            </w:pPr>
            <w:r>
              <w:rPr>
                <w:rFonts w:ascii="Arial" w:cs="Arial" w:eastAsia="Arial" w:hAnsi="Arial"/>
                <w:sz w:val="18"/>
                <w:szCs w:val="18"/>
                <w:color w:val="auto"/>
              </w:rPr>
              <w:t>Asset Management Agreement, dated January 18, 2012</w:t>
            </w:r>
          </w:p>
        </w:tc>
        <w:tc>
          <w:tcPr>
            <w:tcW w:w="820" w:type="dxa"/>
            <w:vAlign w:val="bottom"/>
          </w:tcPr>
          <w:p>
            <w:pPr>
              <w:spacing w:after="0"/>
              <w:rPr>
                <w:sz w:val="20"/>
                <w:szCs w:val="20"/>
                <w:color w:val="auto"/>
              </w:rPr>
            </w:pPr>
            <w:r>
              <w:rPr>
                <w:rFonts w:ascii="Arial" w:cs="Arial" w:eastAsia="Arial" w:hAnsi="Arial"/>
                <w:sz w:val="18"/>
                <w:szCs w:val="18"/>
                <w:color w:val="auto"/>
                <w:w w:val="99"/>
              </w:rPr>
              <w:t>$ 577,000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Alpine</w:t>
            </w: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Management Agreement, dated March 15, 2012</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$ 153,000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400" w:type="dxa"/>
            <w:vAlign w:val="bottom"/>
            <w:gridSpan w:val="2"/>
          </w:tcPr>
          <w:p>
            <w:pPr>
              <w:spacing w:after="0"/>
              <w:rPr>
                <w:sz w:val="20"/>
                <w:szCs w:val="20"/>
                <w:color w:val="auto"/>
              </w:rPr>
            </w:pPr>
            <w:r>
              <w:rPr>
                <w:rFonts w:ascii="Arial" w:cs="Arial" w:eastAsia="Arial" w:hAnsi="Arial"/>
                <w:sz w:val="18"/>
                <w:szCs w:val="18"/>
                <w:i w:val="1"/>
                <w:iCs w:val="1"/>
                <w:color w:val="auto"/>
              </w:rPr>
              <w:t>Buckthorn Solar</w:t>
            </w:r>
          </w:p>
        </w:tc>
        <w:tc>
          <w:tcPr>
            <w:tcW w:w="4980" w:type="dxa"/>
            <w:vAlign w:val="bottom"/>
            <w:gridSpan w:val="2"/>
          </w:tcPr>
          <w:p>
            <w:pPr>
              <w:spacing w:after="0"/>
              <w:rPr>
                <w:sz w:val="20"/>
                <w:szCs w:val="20"/>
                <w:color w:val="auto"/>
              </w:rPr>
            </w:pPr>
            <w:r>
              <w:rPr>
                <w:rFonts w:ascii="Arial" w:cs="Arial" w:eastAsia="Arial" w:hAnsi="Arial"/>
                <w:sz w:val="18"/>
                <w:szCs w:val="18"/>
                <w:color w:val="auto"/>
              </w:rPr>
              <w:t>Asset Management Agreement, dated May 22, 2017</w:t>
            </w:r>
          </w:p>
        </w:tc>
        <w:tc>
          <w:tcPr>
            <w:tcW w:w="820" w:type="dxa"/>
            <w:vAlign w:val="bottom"/>
          </w:tcPr>
          <w:p>
            <w:pPr>
              <w:spacing w:after="0"/>
              <w:rPr>
                <w:sz w:val="20"/>
                <w:szCs w:val="20"/>
                <w:color w:val="auto"/>
              </w:rPr>
            </w:pPr>
            <w:r>
              <w:rPr>
                <w:rFonts w:ascii="Arial" w:cs="Arial" w:eastAsia="Arial" w:hAnsi="Arial"/>
                <w:sz w:val="18"/>
                <w:szCs w:val="18"/>
                <w:color w:val="auto"/>
                <w:w w:val="99"/>
              </w:rPr>
              <w:t>$ 171,000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Chestnut Fund LLC</w:t>
            </w: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Management Agreement, dated July 31, 2017</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$ 209,000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2400" w:type="dxa"/>
            <w:vAlign w:val="bottom"/>
            <w:gridSpan w:val="2"/>
          </w:tcPr>
          <w:p>
            <w:pPr>
              <w:spacing w:after="0"/>
              <w:rPr>
                <w:sz w:val="20"/>
                <w:szCs w:val="20"/>
                <w:color w:val="auto"/>
              </w:rPr>
            </w:pPr>
            <w:r>
              <w:rPr>
                <w:rFonts w:ascii="Arial" w:cs="Arial" w:eastAsia="Arial" w:hAnsi="Arial"/>
                <w:sz w:val="18"/>
                <w:szCs w:val="18"/>
                <w:i w:val="1"/>
                <w:iCs w:val="1"/>
                <w:color w:val="auto"/>
              </w:rPr>
              <w:t>CS4 Fund LLC</w:t>
            </w:r>
          </w:p>
        </w:tc>
        <w:tc>
          <w:tcPr>
            <w:tcW w:w="4980" w:type="dxa"/>
            <w:vAlign w:val="bottom"/>
            <w:gridSpan w:val="2"/>
          </w:tcPr>
          <w:p>
            <w:pPr>
              <w:spacing w:after="0"/>
              <w:rPr>
                <w:sz w:val="20"/>
                <w:szCs w:val="20"/>
                <w:color w:val="auto"/>
              </w:rPr>
            </w:pPr>
            <w:r>
              <w:rPr>
                <w:rFonts w:ascii="Arial" w:cs="Arial" w:eastAsia="Arial" w:hAnsi="Arial"/>
                <w:sz w:val="18"/>
                <w:szCs w:val="18"/>
                <w:color w:val="auto"/>
              </w:rPr>
              <w:t>Asset Management Agreement, dated November 29, 2018</w:t>
            </w:r>
          </w:p>
        </w:tc>
        <w:tc>
          <w:tcPr>
            <w:tcW w:w="820" w:type="dxa"/>
            <w:vAlign w:val="bottom"/>
          </w:tcPr>
          <w:p>
            <w:pPr>
              <w:spacing w:after="0"/>
              <w:rPr>
                <w:sz w:val="20"/>
                <w:szCs w:val="20"/>
                <w:color w:val="auto"/>
              </w:rPr>
            </w:pPr>
            <w:r>
              <w:rPr>
                <w:rFonts w:ascii="Arial" w:cs="Arial" w:eastAsia="Arial" w:hAnsi="Arial"/>
                <w:sz w:val="18"/>
                <w:szCs w:val="18"/>
                <w:color w:val="auto"/>
                <w:w w:val="99"/>
              </w:rPr>
              <w:t>$ 168,000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CVSR</w:t>
            </w: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Management Agreement, dated April 26, 2016</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$ 227,000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2400" w:type="dxa"/>
            <w:vAlign w:val="bottom"/>
            <w:gridSpan w:val="2"/>
          </w:tcPr>
          <w:p>
            <w:pPr>
              <w:spacing w:after="0"/>
              <w:rPr>
                <w:sz w:val="20"/>
                <w:szCs w:val="20"/>
                <w:color w:val="auto"/>
              </w:rPr>
            </w:pPr>
            <w:r>
              <w:rPr>
                <w:rFonts w:ascii="Arial" w:cs="Arial" w:eastAsia="Arial" w:hAnsi="Arial"/>
                <w:sz w:val="18"/>
                <w:szCs w:val="18"/>
                <w:i w:val="1"/>
                <w:iCs w:val="1"/>
                <w:color w:val="auto"/>
              </w:rPr>
              <w:t>DG CS Holdco LLC</w:t>
            </w:r>
          </w:p>
        </w:tc>
        <w:tc>
          <w:tcPr>
            <w:tcW w:w="4980" w:type="dxa"/>
            <w:vAlign w:val="bottom"/>
            <w:gridSpan w:val="2"/>
          </w:tcPr>
          <w:p>
            <w:pPr>
              <w:spacing w:after="0"/>
              <w:rPr>
                <w:sz w:val="20"/>
                <w:szCs w:val="20"/>
                <w:color w:val="auto"/>
              </w:rPr>
            </w:pPr>
            <w:r>
              <w:rPr>
                <w:rFonts w:ascii="Arial" w:cs="Arial" w:eastAsia="Arial" w:hAnsi="Arial"/>
                <w:sz w:val="18"/>
                <w:szCs w:val="18"/>
                <w:color w:val="auto"/>
              </w:rPr>
              <w:t>Asset Management Agreement, dated November 2, 2020</w:t>
            </w:r>
          </w:p>
        </w:tc>
        <w:tc>
          <w:tcPr>
            <w:tcW w:w="820" w:type="dxa"/>
            <w:vAlign w:val="bottom"/>
          </w:tcPr>
          <w:p>
            <w:pPr>
              <w:spacing w:after="0"/>
              <w:rPr>
                <w:sz w:val="20"/>
                <w:szCs w:val="20"/>
                <w:color w:val="auto"/>
              </w:rPr>
            </w:pPr>
            <w:r>
              <w:rPr>
                <w:rFonts w:ascii="Arial" w:cs="Arial" w:eastAsia="Arial" w:hAnsi="Arial"/>
                <w:sz w:val="18"/>
                <w:szCs w:val="18"/>
                <w:color w:val="auto"/>
                <w:w w:val="88"/>
              </w:rPr>
              <w:t>$2,067,000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DGPV Fund 2 LLC</w:t>
            </w: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Management Agreement, dated April 28,2017</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$ 156,000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2400" w:type="dxa"/>
            <w:vAlign w:val="bottom"/>
            <w:gridSpan w:val="2"/>
          </w:tcPr>
          <w:p>
            <w:pPr>
              <w:spacing w:after="0"/>
              <w:rPr>
                <w:sz w:val="20"/>
                <w:szCs w:val="20"/>
                <w:color w:val="auto"/>
              </w:rPr>
            </w:pPr>
            <w:r>
              <w:rPr>
                <w:rFonts w:ascii="Arial" w:cs="Arial" w:eastAsia="Arial" w:hAnsi="Arial"/>
                <w:sz w:val="18"/>
                <w:szCs w:val="18"/>
                <w:i w:val="1"/>
                <w:iCs w:val="1"/>
                <w:color w:val="auto"/>
              </w:rPr>
              <w:t>Kawailoa</w:t>
            </w:r>
          </w:p>
        </w:tc>
        <w:tc>
          <w:tcPr>
            <w:tcW w:w="4980" w:type="dxa"/>
            <w:vAlign w:val="bottom"/>
            <w:gridSpan w:val="2"/>
          </w:tcPr>
          <w:p>
            <w:pPr>
              <w:spacing w:after="0"/>
              <w:rPr>
                <w:sz w:val="20"/>
                <w:szCs w:val="20"/>
                <w:color w:val="auto"/>
              </w:rPr>
            </w:pPr>
            <w:r>
              <w:rPr>
                <w:rFonts w:ascii="Arial" w:cs="Arial" w:eastAsia="Arial" w:hAnsi="Arial"/>
                <w:sz w:val="18"/>
                <w:szCs w:val="18"/>
                <w:color w:val="auto"/>
              </w:rPr>
              <w:t>Asset Management Agreement, dated December 14, 2017</w:t>
            </w:r>
          </w:p>
        </w:tc>
        <w:tc>
          <w:tcPr>
            <w:tcW w:w="820" w:type="dxa"/>
            <w:vAlign w:val="bottom"/>
          </w:tcPr>
          <w:p>
            <w:pPr>
              <w:spacing w:after="0"/>
              <w:rPr>
                <w:sz w:val="20"/>
                <w:szCs w:val="20"/>
                <w:color w:val="auto"/>
              </w:rPr>
            </w:pPr>
            <w:r>
              <w:rPr>
                <w:rFonts w:ascii="Arial" w:cs="Arial" w:eastAsia="Arial" w:hAnsi="Arial"/>
                <w:sz w:val="18"/>
                <w:szCs w:val="18"/>
                <w:color w:val="auto"/>
                <w:w w:val="99"/>
              </w:rPr>
              <w:t>$ 177,000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Oahu Solar</w:t>
            </w: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Management Agreement, dated December 28, 2017</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$ 213,000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2400" w:type="dxa"/>
            <w:vAlign w:val="bottom"/>
            <w:gridSpan w:val="2"/>
          </w:tcPr>
          <w:p>
            <w:pPr>
              <w:spacing w:after="0"/>
              <w:rPr>
                <w:sz w:val="20"/>
                <w:szCs w:val="20"/>
                <w:color w:val="auto"/>
              </w:rPr>
            </w:pPr>
            <w:r>
              <w:rPr>
                <w:rFonts w:ascii="Arial" w:cs="Arial" w:eastAsia="Arial" w:hAnsi="Arial"/>
                <w:sz w:val="18"/>
                <w:szCs w:val="18"/>
                <w:i w:val="1"/>
                <w:iCs w:val="1"/>
                <w:color w:val="auto"/>
              </w:rPr>
              <w:t>Rosamond Central</w:t>
            </w:r>
          </w:p>
        </w:tc>
        <w:tc>
          <w:tcPr>
            <w:tcW w:w="4980" w:type="dxa"/>
            <w:vAlign w:val="bottom"/>
            <w:gridSpan w:val="2"/>
          </w:tcPr>
          <w:p>
            <w:pPr>
              <w:spacing w:after="0"/>
              <w:rPr>
                <w:sz w:val="20"/>
                <w:szCs w:val="20"/>
                <w:color w:val="auto"/>
              </w:rPr>
            </w:pPr>
            <w:r>
              <w:rPr>
                <w:rFonts w:ascii="Arial" w:cs="Arial" w:eastAsia="Arial" w:hAnsi="Arial"/>
                <w:sz w:val="18"/>
                <w:szCs w:val="18"/>
                <w:color w:val="auto"/>
              </w:rPr>
              <w:t>Project Administration Agreement, dated February 25, 2020</w:t>
            </w:r>
          </w:p>
        </w:tc>
        <w:tc>
          <w:tcPr>
            <w:tcW w:w="820" w:type="dxa"/>
            <w:vAlign w:val="bottom"/>
          </w:tcPr>
          <w:p>
            <w:pPr>
              <w:spacing w:after="0"/>
              <w:rPr>
                <w:sz w:val="20"/>
                <w:szCs w:val="20"/>
                <w:color w:val="auto"/>
              </w:rPr>
            </w:pPr>
            <w:r>
              <w:rPr>
                <w:rFonts w:ascii="Arial" w:cs="Arial" w:eastAsia="Arial" w:hAnsi="Arial"/>
                <w:sz w:val="18"/>
                <w:szCs w:val="18"/>
                <w:color w:val="auto"/>
                <w:w w:val="99"/>
              </w:rPr>
              <w:t>$ 156,000</w:t>
            </w:r>
          </w:p>
        </w:tc>
        <w:tc>
          <w:tcPr>
            <w:tcW w:w="1260" w:type="dxa"/>
            <w:vAlign w:val="bottom"/>
          </w:tcPr>
          <w:p>
            <w:pPr>
              <w:spacing w:after="0"/>
              <w:rPr>
                <w:sz w:val="22"/>
                <w:szCs w:val="22"/>
                <w:color w:val="auto"/>
              </w:rPr>
            </w:pPr>
          </w:p>
        </w:tc>
      </w:tr>
      <w:tr>
        <w:trPr>
          <w:trHeight w:val="621"/>
        </w:trPr>
        <w:tc>
          <w:tcPr>
            <w:tcW w:w="1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60" w:type="dxa"/>
            <w:vAlign w:val="bottom"/>
          </w:tcPr>
          <w:p>
            <w:pPr>
              <w:ind w:left="158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-2622550</wp:posOffset>
            </wp:positionV>
            <wp:extent cx="137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2188845</wp:posOffset>
            </wp:positionH>
            <wp:positionV relativeFrom="paragraph">
              <wp:posOffset>-2622550</wp:posOffset>
            </wp:positionV>
            <wp:extent cx="137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b w:val="1"/>
                <w:bCs w:val="1"/>
                <w:color w:val="auto"/>
                <w:w w:val="93"/>
              </w:rPr>
              <w:t>Approximate</w:t>
            </w:r>
          </w:p>
        </w:tc>
      </w:tr>
      <w:tr>
        <w:trPr>
          <w:trHeight w:val="162"/>
        </w:trPr>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r>
      <w:tr>
        <w:trPr>
          <w:trHeight w:val="162"/>
        </w:trPr>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Paid to</w:t>
            </w:r>
          </w:p>
        </w:tc>
      </w:tr>
      <w:tr>
        <w:trPr>
          <w:trHeight w:val="186"/>
        </w:trPr>
        <w:tc>
          <w:tcPr>
            <w:tcW w:w="2200" w:type="dxa"/>
            <w:vAlign w:val="bottom"/>
          </w:tcPr>
          <w:p>
            <w:pPr>
              <w:spacing w:after="0"/>
              <w:rPr>
                <w:sz w:val="20"/>
                <w:szCs w:val="20"/>
                <w:color w:val="auto"/>
              </w:rPr>
            </w:pPr>
            <w:r>
              <w:rPr>
                <w:rFonts w:ascii="Arial" w:cs="Arial" w:eastAsia="Arial" w:hAnsi="Arial"/>
                <w:sz w:val="14"/>
                <w:szCs w:val="14"/>
                <w:b w:val="1"/>
                <w:bCs w:val="1"/>
                <w:color w:val="auto"/>
              </w:rPr>
              <w:t>Project</w:t>
            </w:r>
          </w:p>
        </w:tc>
        <w:tc>
          <w:tcPr>
            <w:tcW w:w="220" w:type="dxa"/>
            <w:vAlign w:val="bottom"/>
          </w:tcPr>
          <w:p>
            <w:pPr>
              <w:spacing w:after="0"/>
              <w:rPr>
                <w:sz w:val="16"/>
                <w:szCs w:val="16"/>
                <w:color w:val="auto"/>
              </w:rPr>
            </w:pPr>
          </w:p>
        </w:tc>
        <w:tc>
          <w:tcPr>
            <w:tcW w:w="4960" w:type="dxa"/>
            <w:vAlign w:val="bottom"/>
            <w:gridSpan w:val="2"/>
          </w:tcPr>
          <w:p>
            <w:pPr>
              <w:ind w:left="1700"/>
              <w:spacing w:after="0"/>
              <w:rPr>
                <w:sz w:val="20"/>
                <w:szCs w:val="20"/>
                <w:color w:val="auto"/>
              </w:rPr>
            </w:pPr>
            <w:r>
              <w:rPr>
                <w:rFonts w:ascii="Arial" w:cs="Arial" w:eastAsia="Arial" w:hAnsi="Arial"/>
                <w:sz w:val="14"/>
                <w:szCs w:val="14"/>
                <w:b w:val="1"/>
                <w:bCs w:val="1"/>
                <w:color w:val="auto"/>
              </w:rPr>
              <w:t>Agreement Description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CEG</w:t>
            </w:r>
          </w:p>
        </w:tc>
      </w:tr>
      <w:tr>
        <w:trPr>
          <w:trHeight w:val="26"/>
        </w:trPr>
        <w:tc>
          <w:tcPr>
            <w:tcW w:w="2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2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SPP P-IV Master Lessee</w:t>
            </w:r>
          </w:p>
        </w:tc>
        <w:tc>
          <w:tcPr>
            <w:tcW w:w="5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Asset Management Agreement, dated July 12, 2012</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$ 191,000</w:t>
            </w:r>
          </w:p>
        </w:tc>
      </w:tr>
      <w:tr>
        <w:trPr>
          <w:trHeight w:val="257"/>
        </w:trPr>
        <w:tc>
          <w:tcPr>
            <w:tcW w:w="2200" w:type="dxa"/>
            <w:vAlign w:val="bottom"/>
          </w:tcPr>
          <w:p>
            <w:pPr>
              <w:spacing w:after="0"/>
              <w:rPr>
                <w:sz w:val="20"/>
                <w:szCs w:val="20"/>
                <w:color w:val="auto"/>
              </w:rPr>
            </w:pPr>
            <w:r>
              <w:rPr>
                <w:rFonts w:ascii="Arial" w:cs="Arial" w:eastAsia="Arial" w:hAnsi="Arial"/>
                <w:sz w:val="18"/>
                <w:szCs w:val="18"/>
                <w:i w:val="1"/>
                <w:iCs w:val="1"/>
                <w:color w:val="auto"/>
              </w:rPr>
              <w:t>Utah Solar Holdings LLC</w:t>
            </w: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Asset Management Agreement, dated December 1, 2021</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$ 429,000</w:t>
            </w:r>
          </w:p>
        </w:tc>
      </w:tr>
      <w:tr>
        <w:trPr>
          <w:trHeight w:val="229"/>
        </w:trPr>
        <w:tc>
          <w:tcPr>
            <w:tcW w:w="2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Utah Solar Holdings II</w:t>
            </w:r>
          </w:p>
        </w:tc>
        <w:tc>
          <w:tcPr>
            <w:tcW w:w="220" w:type="dxa"/>
            <w:vAlign w:val="bottom"/>
            <w:shd w:val="clear" w:color="auto" w:fill="CCEEFF"/>
          </w:tcPr>
          <w:p>
            <w:pPr>
              <w:spacing w:after="0"/>
              <w:rPr>
                <w:sz w:val="19"/>
                <w:szCs w:val="19"/>
                <w:color w:val="auto"/>
              </w:rPr>
            </w:pPr>
          </w:p>
        </w:tc>
        <w:tc>
          <w:tcPr>
            <w:tcW w:w="4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44"/>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LLC</w:t>
            </w:r>
          </w:p>
        </w:tc>
        <w:tc>
          <w:tcPr>
            <w:tcW w:w="5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Asset Management Agreement, dated December 1, 2021</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$ 429,000</w:t>
            </w:r>
          </w:p>
        </w:tc>
      </w:tr>
      <w:tr>
        <w:trPr>
          <w:trHeight w:val="256"/>
        </w:trPr>
        <w:tc>
          <w:tcPr>
            <w:tcW w:w="2200" w:type="dxa"/>
            <w:vAlign w:val="bottom"/>
          </w:tcPr>
          <w:p>
            <w:pPr>
              <w:spacing w:after="0"/>
              <w:rPr>
                <w:sz w:val="20"/>
                <w:szCs w:val="20"/>
                <w:color w:val="auto"/>
              </w:rPr>
            </w:pPr>
            <w:r>
              <w:rPr>
                <w:rFonts w:ascii="Arial" w:cs="Arial" w:eastAsia="Arial" w:hAnsi="Arial"/>
                <w:sz w:val="18"/>
                <w:szCs w:val="18"/>
                <w:b w:val="1"/>
                <w:bCs w:val="1"/>
                <w:color w:val="auto"/>
              </w:rPr>
              <w:t>Wind</w:t>
            </w:r>
          </w:p>
        </w:tc>
        <w:tc>
          <w:tcPr>
            <w:tcW w:w="2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7"/>
        </w:trPr>
        <w:tc>
          <w:tcPr>
            <w:tcW w:w="2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Black Rock</w:t>
            </w:r>
          </w:p>
        </w:tc>
        <w:tc>
          <w:tcPr>
            <w:tcW w:w="5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Project Administration Agreement, dated December 30, 2020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$ 275,000</w:t>
            </w:r>
          </w:p>
        </w:tc>
      </w:tr>
      <w:tr>
        <w:trPr>
          <w:trHeight w:val="229"/>
        </w:trPr>
        <w:tc>
          <w:tcPr>
            <w:tcW w:w="2200" w:type="dxa"/>
            <w:vAlign w:val="bottom"/>
          </w:tcPr>
          <w:p>
            <w:pPr>
              <w:spacing w:after="0"/>
              <w:rPr>
                <w:sz w:val="20"/>
                <w:szCs w:val="20"/>
                <w:color w:val="auto"/>
              </w:rPr>
            </w:pPr>
            <w:r>
              <w:rPr>
                <w:rFonts w:ascii="Arial" w:cs="Arial" w:eastAsia="Arial" w:hAnsi="Arial"/>
                <w:sz w:val="18"/>
                <w:szCs w:val="18"/>
                <w:i w:val="1"/>
                <w:iCs w:val="1"/>
                <w:color w:val="auto"/>
              </w:rPr>
              <w:t>Buffalo Bear</w:t>
            </w: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Amended and Restated Services Agreement, dated</w:t>
            </w:r>
          </w:p>
        </w:tc>
        <w:tc>
          <w:tcPr>
            <w:tcW w:w="820" w:type="dxa"/>
            <w:vAlign w:val="bottom"/>
          </w:tcPr>
          <w:p>
            <w:pPr>
              <w:spacing w:after="0"/>
              <w:rPr>
                <w:sz w:val="19"/>
                <w:szCs w:val="19"/>
                <w:color w:val="auto"/>
              </w:rPr>
            </w:pPr>
          </w:p>
        </w:tc>
      </w:tr>
      <w:tr>
        <w:trPr>
          <w:trHeight w:val="237"/>
        </w:trPr>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60" w:type="dxa"/>
            <w:vAlign w:val="bottom"/>
            <w:gridSpan w:val="2"/>
          </w:tcPr>
          <w:p>
            <w:pPr>
              <w:ind w:left="180"/>
              <w:spacing w:after="0"/>
              <w:rPr>
                <w:sz w:val="20"/>
                <w:szCs w:val="20"/>
                <w:color w:val="auto"/>
              </w:rPr>
            </w:pPr>
            <w:r>
              <w:rPr>
                <w:rFonts w:ascii="Arial" w:cs="Arial" w:eastAsia="Arial" w:hAnsi="Arial"/>
                <w:sz w:val="18"/>
                <w:szCs w:val="18"/>
                <w:color w:val="auto"/>
              </w:rPr>
              <w:t>September 15, 2011</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$ 175,000</w:t>
            </w:r>
          </w:p>
        </w:tc>
      </w:tr>
      <w:tr>
        <w:trPr>
          <w:trHeight w:val="263"/>
        </w:trPr>
        <w:tc>
          <w:tcPr>
            <w:tcW w:w="2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Elbow Creek</w:t>
            </w:r>
          </w:p>
        </w:tc>
        <w:tc>
          <w:tcPr>
            <w:tcW w:w="5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Project Administration Agreement, dated January 1, 2018</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$ 238,000</w:t>
            </w:r>
          </w:p>
        </w:tc>
      </w:tr>
      <w:tr>
        <w:trPr>
          <w:trHeight w:val="257"/>
        </w:trPr>
        <w:tc>
          <w:tcPr>
            <w:tcW w:w="2200" w:type="dxa"/>
            <w:vAlign w:val="bottom"/>
          </w:tcPr>
          <w:p>
            <w:pPr>
              <w:spacing w:after="0"/>
              <w:rPr>
                <w:sz w:val="20"/>
                <w:szCs w:val="20"/>
                <w:color w:val="auto"/>
              </w:rPr>
            </w:pPr>
            <w:r>
              <w:rPr>
                <w:rFonts w:ascii="Arial" w:cs="Arial" w:eastAsia="Arial" w:hAnsi="Arial"/>
                <w:sz w:val="18"/>
                <w:szCs w:val="18"/>
                <w:i w:val="1"/>
                <w:iCs w:val="1"/>
                <w:color w:val="auto"/>
              </w:rPr>
              <w:t>Forward</w:t>
            </w: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Services Agreement, dated January 1, 2012</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$ 219,000</w:t>
            </w:r>
          </w:p>
        </w:tc>
      </w:tr>
      <w:tr>
        <w:trPr>
          <w:trHeight w:val="256"/>
        </w:trPr>
        <w:tc>
          <w:tcPr>
            <w:tcW w:w="2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Langford</w:t>
            </w:r>
          </w:p>
        </w:tc>
        <w:tc>
          <w:tcPr>
            <w:tcW w:w="5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Project Administration Agreement, dated April 24, 2020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$ 157,000</w:t>
            </w:r>
          </w:p>
        </w:tc>
      </w:tr>
      <w:tr>
        <w:trPr>
          <w:trHeight w:val="257"/>
        </w:trPr>
        <w:tc>
          <w:tcPr>
            <w:tcW w:w="2200" w:type="dxa"/>
            <w:vAlign w:val="bottom"/>
          </w:tcPr>
          <w:p>
            <w:pPr>
              <w:spacing w:after="0"/>
              <w:rPr>
                <w:sz w:val="20"/>
                <w:szCs w:val="20"/>
                <w:color w:val="auto"/>
              </w:rPr>
            </w:pPr>
            <w:r>
              <w:rPr>
                <w:rFonts w:ascii="Arial" w:cs="Arial" w:eastAsia="Arial" w:hAnsi="Arial"/>
                <w:sz w:val="18"/>
                <w:szCs w:val="18"/>
                <w:i w:val="1"/>
                <w:iCs w:val="1"/>
                <w:color w:val="auto"/>
              </w:rPr>
              <w:t>Laredo Ridge</w:t>
            </w: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Support Services Agreement, dated May 27, 2010</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$ 176,000</w:t>
            </w:r>
          </w:p>
        </w:tc>
      </w:tr>
      <w:tr>
        <w:trPr>
          <w:trHeight w:val="257"/>
        </w:trPr>
        <w:tc>
          <w:tcPr>
            <w:tcW w:w="2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Lookout</w:t>
            </w:r>
          </w:p>
        </w:tc>
        <w:tc>
          <w:tcPr>
            <w:tcW w:w="5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Services Agreement, dated January 1, 2012</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$ 219,000</w:t>
            </w:r>
          </w:p>
        </w:tc>
      </w:tr>
      <w:tr>
        <w:trPr>
          <w:trHeight w:val="257"/>
        </w:trPr>
        <w:tc>
          <w:tcPr>
            <w:tcW w:w="2200" w:type="dxa"/>
            <w:vAlign w:val="bottom"/>
          </w:tcPr>
          <w:p>
            <w:pPr>
              <w:spacing w:after="0"/>
              <w:rPr>
                <w:sz w:val="20"/>
                <w:szCs w:val="20"/>
                <w:color w:val="auto"/>
              </w:rPr>
            </w:pPr>
            <w:r>
              <w:rPr>
                <w:rFonts w:ascii="Arial" w:cs="Arial" w:eastAsia="Arial" w:hAnsi="Arial"/>
                <w:sz w:val="18"/>
                <w:szCs w:val="18"/>
                <w:i w:val="1"/>
                <w:iCs w:val="1"/>
                <w:color w:val="auto"/>
              </w:rPr>
              <w:t>Mesquite Sky</w:t>
            </w: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Project Administration Agreement, dated December 30, 2020</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$ 350,000</w:t>
            </w:r>
          </w:p>
        </w:tc>
      </w:tr>
      <w:tr>
        <w:trPr>
          <w:trHeight w:val="257"/>
        </w:trPr>
        <w:tc>
          <w:tcPr>
            <w:tcW w:w="2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Mesquite Star</w:t>
            </w:r>
          </w:p>
        </w:tc>
        <w:tc>
          <w:tcPr>
            <w:tcW w:w="5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Services Agreement, dated May 7, 2019</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$ 267,000</w:t>
            </w:r>
          </w:p>
        </w:tc>
      </w:tr>
      <w:tr>
        <w:trPr>
          <w:trHeight w:val="256"/>
        </w:trPr>
        <w:tc>
          <w:tcPr>
            <w:tcW w:w="2200" w:type="dxa"/>
            <w:vAlign w:val="bottom"/>
          </w:tcPr>
          <w:p>
            <w:pPr>
              <w:spacing w:after="0"/>
              <w:rPr>
                <w:sz w:val="20"/>
                <w:szCs w:val="20"/>
                <w:color w:val="auto"/>
              </w:rPr>
            </w:pPr>
            <w:r>
              <w:rPr>
                <w:rFonts w:ascii="Arial" w:cs="Arial" w:eastAsia="Arial" w:hAnsi="Arial"/>
                <w:sz w:val="18"/>
                <w:szCs w:val="18"/>
                <w:i w:val="1"/>
                <w:iCs w:val="1"/>
                <w:color w:val="auto"/>
              </w:rPr>
              <w:t>Mt. Storm</w:t>
            </w: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Project Administration Agreement, dated April 23, 2021</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$ 255,000</w:t>
            </w:r>
          </w:p>
        </w:tc>
      </w:tr>
      <w:tr>
        <w:trPr>
          <w:trHeight w:val="229"/>
        </w:trPr>
        <w:tc>
          <w:tcPr>
            <w:tcW w:w="2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Pinnacle</w:t>
            </w:r>
          </w:p>
        </w:tc>
        <w:tc>
          <w:tcPr>
            <w:tcW w:w="5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Amended and Restated Services Agreement, dated</w:t>
            </w:r>
          </w:p>
        </w:tc>
        <w:tc>
          <w:tcPr>
            <w:tcW w:w="820" w:type="dxa"/>
            <w:vAlign w:val="bottom"/>
            <w:shd w:val="clear" w:color="auto" w:fill="CCEEFF"/>
          </w:tcPr>
          <w:p>
            <w:pPr>
              <w:spacing w:after="0"/>
              <w:rPr>
                <w:sz w:val="19"/>
                <w:szCs w:val="19"/>
                <w:color w:val="auto"/>
              </w:rPr>
            </w:pPr>
          </w:p>
        </w:tc>
      </w:tr>
      <w:tr>
        <w:trPr>
          <w:trHeight w:val="244"/>
        </w:trPr>
        <w:tc>
          <w:tcPr>
            <w:tcW w:w="2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September 15, 2011</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$ 226,000</w:t>
            </w:r>
          </w:p>
        </w:tc>
      </w:tr>
      <w:tr>
        <w:trPr>
          <w:trHeight w:val="257"/>
        </w:trPr>
        <w:tc>
          <w:tcPr>
            <w:tcW w:w="2200" w:type="dxa"/>
            <w:vAlign w:val="bottom"/>
          </w:tcPr>
          <w:p>
            <w:pPr>
              <w:spacing w:after="0"/>
              <w:rPr>
                <w:sz w:val="20"/>
                <w:szCs w:val="20"/>
                <w:color w:val="auto"/>
              </w:rPr>
            </w:pPr>
            <w:r>
              <w:rPr>
                <w:rFonts w:ascii="Arial" w:cs="Arial" w:eastAsia="Arial" w:hAnsi="Arial"/>
                <w:sz w:val="18"/>
                <w:szCs w:val="18"/>
                <w:i w:val="1"/>
                <w:iCs w:val="1"/>
                <w:color w:val="auto"/>
              </w:rPr>
              <w:t>Rattlesnake</w:t>
            </w: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Project Administration Agreement, dated February 5, 2020</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$ 125,000</w:t>
            </w:r>
          </w:p>
        </w:tc>
      </w:tr>
      <w:tr>
        <w:trPr>
          <w:trHeight w:val="257"/>
        </w:trPr>
        <w:tc>
          <w:tcPr>
            <w:tcW w:w="2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Sleeping Bear</w:t>
            </w:r>
          </w:p>
        </w:tc>
        <w:tc>
          <w:tcPr>
            <w:tcW w:w="5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Services Agreement, dated January 1, 2012</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$ 219,000</w:t>
            </w:r>
          </w:p>
        </w:tc>
      </w:tr>
      <w:tr>
        <w:trPr>
          <w:trHeight w:val="256"/>
        </w:trPr>
        <w:tc>
          <w:tcPr>
            <w:tcW w:w="2200" w:type="dxa"/>
            <w:vAlign w:val="bottom"/>
          </w:tcPr>
          <w:p>
            <w:pPr>
              <w:spacing w:after="0"/>
              <w:rPr>
                <w:sz w:val="20"/>
                <w:szCs w:val="20"/>
                <w:color w:val="auto"/>
              </w:rPr>
            </w:pPr>
            <w:r>
              <w:rPr>
                <w:rFonts w:ascii="Arial" w:cs="Arial" w:eastAsia="Arial" w:hAnsi="Arial"/>
                <w:sz w:val="18"/>
                <w:szCs w:val="18"/>
                <w:i w:val="1"/>
                <w:iCs w:val="1"/>
                <w:color w:val="auto"/>
              </w:rPr>
              <w:t>South Trent</w:t>
            </w: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Project Administration Agreement, dated October 1, 2015</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$ 243,000</w:t>
            </w:r>
          </w:p>
        </w:tc>
      </w:tr>
      <w:tr>
        <w:trPr>
          <w:trHeight w:val="257"/>
        </w:trPr>
        <w:tc>
          <w:tcPr>
            <w:tcW w:w="2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Spanish Fork</w:t>
            </w:r>
          </w:p>
        </w:tc>
        <w:tc>
          <w:tcPr>
            <w:tcW w:w="5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Services Agreement, dated January 1, 2012</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$ 219,000</w:t>
            </w:r>
          </w:p>
        </w:tc>
      </w:tr>
      <w:tr>
        <w:trPr>
          <w:trHeight w:val="256"/>
        </w:trPr>
        <w:tc>
          <w:tcPr>
            <w:tcW w:w="2200" w:type="dxa"/>
            <w:vAlign w:val="bottom"/>
          </w:tcPr>
          <w:p>
            <w:pPr>
              <w:spacing w:after="0"/>
              <w:rPr>
                <w:sz w:val="20"/>
                <w:szCs w:val="20"/>
                <w:color w:val="auto"/>
              </w:rPr>
            </w:pPr>
            <w:r>
              <w:rPr>
                <w:rFonts w:ascii="Arial" w:cs="Arial" w:eastAsia="Arial" w:hAnsi="Arial"/>
                <w:sz w:val="18"/>
                <w:szCs w:val="18"/>
                <w:i w:val="1"/>
                <w:iCs w:val="1"/>
                <w:color w:val="auto"/>
              </w:rPr>
              <w:t>Taloga</w:t>
            </w: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Services Agreement, dated November 20, 2012</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$ 174,000</w:t>
            </w:r>
          </w:p>
        </w:tc>
      </w:tr>
      <w:tr>
        <w:trPr>
          <w:trHeight w:val="229"/>
        </w:trPr>
        <w:tc>
          <w:tcPr>
            <w:tcW w:w="2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Viento Funding II, LLC</w:t>
            </w:r>
          </w:p>
        </w:tc>
        <w:tc>
          <w:tcPr>
            <w:tcW w:w="5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Management and Administration Agreement, dated July 1,</w:t>
            </w:r>
          </w:p>
        </w:tc>
        <w:tc>
          <w:tcPr>
            <w:tcW w:w="820" w:type="dxa"/>
            <w:vAlign w:val="bottom"/>
            <w:shd w:val="clear" w:color="auto" w:fill="CCEEFF"/>
          </w:tcPr>
          <w:p>
            <w:pPr>
              <w:spacing w:after="0"/>
              <w:rPr>
                <w:sz w:val="19"/>
                <w:szCs w:val="19"/>
                <w:color w:val="auto"/>
              </w:rPr>
            </w:pPr>
          </w:p>
        </w:tc>
      </w:tr>
      <w:tr>
        <w:trPr>
          <w:trHeight w:val="244"/>
        </w:trPr>
        <w:tc>
          <w:tcPr>
            <w:tcW w:w="2200" w:type="dxa"/>
            <w:vAlign w:val="bottom"/>
            <w:shd w:val="clear" w:color="auto" w:fill="CCEEFF"/>
          </w:tcPr>
          <w:p>
            <w:pPr>
              <w:spacing w:after="0"/>
              <w:rPr>
                <w:sz w:val="21"/>
                <w:szCs w:val="21"/>
                <w:color w:val="auto"/>
              </w:rPr>
            </w:pPr>
          </w:p>
        </w:tc>
        <w:tc>
          <w:tcPr>
            <w:tcW w:w="4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$ 269,000</w:t>
            </w:r>
          </w:p>
        </w:tc>
      </w:tr>
      <w:tr>
        <w:trPr>
          <w:trHeight w:val="257"/>
        </w:trPr>
        <w:tc>
          <w:tcPr>
            <w:tcW w:w="2200" w:type="dxa"/>
            <w:vAlign w:val="bottom"/>
          </w:tcPr>
          <w:p>
            <w:pPr>
              <w:spacing w:after="0"/>
              <w:rPr>
                <w:sz w:val="20"/>
                <w:szCs w:val="20"/>
                <w:color w:val="auto"/>
              </w:rPr>
            </w:pPr>
            <w:r>
              <w:rPr>
                <w:rFonts w:ascii="Arial" w:cs="Arial" w:eastAsia="Arial" w:hAnsi="Arial"/>
                <w:sz w:val="18"/>
                <w:szCs w:val="18"/>
                <w:i w:val="1"/>
                <w:iCs w:val="1"/>
                <w:color w:val="auto"/>
              </w:rPr>
              <w:t>Wildorado</w:t>
            </w: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Project Administration Agreement, dated September 25, 2017</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$ 243,000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-4139565</wp:posOffset>
            </wp:positionV>
            <wp:extent cx="137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-4139565</wp:posOffset>
            </wp:positionV>
            <wp:extent cx="137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LAND LEASE AGREEMENTS</w:t>
      </w:r>
    </w:p>
    <w:p>
      <w:pPr>
        <w:spacing w:after="0" w:line="14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8"/>
          <w:szCs w:val="18"/>
          <w:color w:val="auto"/>
        </w:rPr>
        <w:t>The Company is party to various land lease agreements with CEG. The land lease agreements for which the amount involved exceeded $120,000 during the year ended December 31, 2022 are described in the table below. Under these agreements, the Company generally pays a quarterly or monthly fee, which may be subject to annual adjustment.</w:t>
      </w:r>
    </w:p>
    <w:p>
      <w:pPr>
        <w:spacing w:after="0" w:line="14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Approximate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84"/>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Paid to</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6"/>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Project</w:t>
            </w:r>
          </w:p>
        </w:tc>
        <w:tc>
          <w:tcPr>
            <w:tcW w:w="4380" w:type="dxa"/>
            <w:vAlign w:val="bottom"/>
            <w:gridSpan w:val="2"/>
          </w:tcPr>
          <w:p>
            <w:pPr>
              <w:ind w:left="1400"/>
              <w:spacing w:after="0"/>
              <w:rPr>
                <w:sz w:val="20"/>
                <w:szCs w:val="20"/>
                <w:color w:val="auto"/>
              </w:rPr>
            </w:pPr>
            <w:r>
              <w:rPr>
                <w:rFonts w:ascii="Arial" w:cs="Arial" w:eastAsia="Arial" w:hAnsi="Arial"/>
                <w:sz w:val="14"/>
                <w:szCs w:val="14"/>
                <w:b w:val="1"/>
                <w:bCs w:val="1"/>
                <w:color w:val="auto"/>
              </w:rPr>
              <w:t>Agreement Description</w:t>
            </w:r>
          </w:p>
        </w:tc>
        <w:tc>
          <w:tcPr>
            <w:tcW w:w="160" w:type="dxa"/>
            <w:vAlign w:val="bottom"/>
          </w:tcPr>
          <w:p>
            <w:pPr>
              <w:spacing w:after="0"/>
              <w:rPr>
                <w:sz w:val="16"/>
                <w:szCs w:val="16"/>
                <w:color w:val="auto"/>
              </w:rPr>
            </w:pPr>
          </w:p>
        </w:tc>
        <w:tc>
          <w:tcPr>
            <w:tcW w:w="640" w:type="dxa"/>
            <w:vAlign w:val="bottom"/>
          </w:tcPr>
          <w:p>
            <w:pPr>
              <w:jc w:val="center"/>
              <w:ind w:right="44"/>
              <w:spacing w:after="0"/>
              <w:rPr>
                <w:sz w:val="20"/>
                <w:szCs w:val="20"/>
                <w:color w:val="auto"/>
              </w:rPr>
            </w:pPr>
            <w:r>
              <w:rPr>
                <w:rFonts w:ascii="Arial" w:cs="Arial" w:eastAsia="Arial" w:hAnsi="Arial"/>
                <w:sz w:val="14"/>
                <w:szCs w:val="14"/>
                <w:b w:val="1"/>
                <w:bCs w:val="1"/>
                <w:color w:val="auto"/>
              </w:rPr>
              <w:t>CEG</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
        </w:trPr>
        <w:tc>
          <w:tcPr>
            <w:tcW w:w="2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Solar</w:t>
            </w:r>
          </w:p>
        </w:tc>
        <w:tc>
          <w:tcPr>
            <w:tcW w:w="4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ind w:left="300"/>
              <w:spacing w:after="0"/>
              <w:rPr>
                <w:sz w:val="20"/>
                <w:szCs w:val="20"/>
                <w:color w:val="auto"/>
              </w:rPr>
            </w:pPr>
            <w:r>
              <w:rPr>
                <w:rFonts w:ascii="Arial" w:cs="Arial" w:eastAsia="Arial" w:hAnsi="Arial"/>
                <w:sz w:val="18"/>
                <w:szCs w:val="18"/>
                <w:b w:val="1"/>
                <w:bCs w:val="1"/>
                <w:color w:val="auto"/>
              </w:rPr>
              <w:t>​</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Mililani I</w:t>
            </w:r>
          </w:p>
        </w:tc>
        <w:tc>
          <w:tcPr>
            <w:tcW w:w="4380" w:type="dxa"/>
            <w:vAlign w:val="bottom"/>
            <w:gridSpan w:val="2"/>
          </w:tcPr>
          <w:p>
            <w:pPr>
              <w:spacing w:after="0"/>
              <w:rPr>
                <w:sz w:val="20"/>
                <w:szCs w:val="20"/>
                <w:color w:val="auto"/>
              </w:rPr>
            </w:pPr>
            <w:r>
              <w:rPr>
                <w:rFonts w:ascii="Arial" w:cs="Arial" w:eastAsia="Arial" w:hAnsi="Arial"/>
                <w:sz w:val="18"/>
                <w:szCs w:val="18"/>
                <w:color w:val="auto"/>
              </w:rPr>
              <w:t>Land Lease Agreement, dated November 19, 2020</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​$780,000 ​</w:t>
            </w:r>
          </w:p>
        </w:tc>
      </w:tr>
      <w:tr>
        <w:trPr>
          <w:trHeight w:val="256"/>
        </w:trPr>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Oahu Solar</w:t>
            </w:r>
          </w:p>
        </w:tc>
        <w:tc>
          <w:tcPr>
            <w:tcW w:w="4380" w:type="dxa"/>
            <w:vAlign w:val="bottom"/>
            <w:gridSpan w:val="2"/>
          </w:tcPr>
          <w:p>
            <w:pPr>
              <w:spacing w:after="0"/>
              <w:rPr>
                <w:sz w:val="20"/>
                <w:szCs w:val="20"/>
                <w:color w:val="auto"/>
              </w:rPr>
            </w:pPr>
            <w:r>
              <w:rPr>
                <w:rFonts w:ascii="Arial" w:cs="Arial" w:eastAsia="Arial" w:hAnsi="Arial"/>
                <w:sz w:val="18"/>
                <w:szCs w:val="18"/>
                <w:color w:val="auto"/>
              </w:rPr>
              <w:t>Land Lease Agreement, dated September 19, 2019</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​$895,000 ​</w:t>
            </w:r>
          </w:p>
        </w:tc>
      </w:tr>
      <w:tr>
        <w:trPr>
          <w:trHeight w:val="284"/>
        </w:trPr>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Rosamond Central</w:t>
            </w:r>
          </w:p>
        </w:tc>
        <w:tc>
          <w:tcPr>
            <w:tcW w:w="4380" w:type="dxa"/>
            <w:vAlign w:val="bottom"/>
            <w:gridSpan w:val="2"/>
          </w:tcPr>
          <w:p>
            <w:pPr>
              <w:spacing w:after="0"/>
              <w:rPr>
                <w:sz w:val="20"/>
                <w:szCs w:val="20"/>
                <w:color w:val="auto"/>
              </w:rPr>
            </w:pPr>
            <w:r>
              <w:rPr>
                <w:rFonts w:ascii="Arial" w:cs="Arial" w:eastAsia="Arial" w:hAnsi="Arial"/>
                <w:sz w:val="18"/>
                <w:szCs w:val="18"/>
                <w:color w:val="auto"/>
              </w:rPr>
              <w:t>Land Lease Agreement, dated November 18, 2020</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​$552,000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-342265</wp:posOffset>
            </wp:positionV>
            <wp:extent cx="5212080"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-676275</wp:posOffset>
            </wp:positionV>
            <wp:extent cx="52120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INSURANCE REIMBURSEMENTS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During 2022, we paid approximately $1,210,000 for insurance premium reimbursements to CEG.</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1359"/>
        <w:spacing w:after="0" w:line="282" w:lineRule="auto"/>
        <w:rPr>
          <w:sz w:val="20"/>
          <w:szCs w:val="20"/>
          <w:color w:val="auto"/>
        </w:rPr>
      </w:pPr>
      <w:r>
        <w:rPr>
          <w:rFonts w:ascii="Arial" w:cs="Arial" w:eastAsia="Arial" w:hAnsi="Arial"/>
          <w:sz w:val="18"/>
          <w:szCs w:val="18"/>
          <w:b w:val="1"/>
          <w:bCs w:val="1"/>
          <w:color w:val="auto"/>
        </w:rPr>
        <w:t>FOURTH AMENDED AND RESTATED LIMITED LIABILITY COMPANY AGREEMENT OF CLEARWAY ENERGY LLC</w:t>
      </w:r>
    </w:p>
    <w:p>
      <w:pPr>
        <w:spacing w:after="0" w:line="8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is a description of the material terms of Clearway Energy LLC’s Fourth Amended and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Restated Limited Liability Company Agreement (the “LLC Agreement”). For the year ended December 31,</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2022, Clearway Energy LLC made approximately $166,708,000 in distributions to us (the holder of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Class A and Class C units) and $121,590,000 to CEG (the holder of Class B and Class D units). In addition</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quarterly distributions, Clearway Energy LLC distributed an additional $11,100,000 to us and</w:t>
      </w:r>
    </w:p>
    <w:p>
      <w:pPr>
        <w:ind w:left="1260"/>
        <w:spacing w:after="0"/>
        <w:rPr>
          <w:sz w:val="20"/>
          <w:szCs w:val="20"/>
          <w:color w:val="auto"/>
        </w:rPr>
      </w:pPr>
      <w:r>
        <w:rPr>
          <w:rFonts w:ascii="Arial" w:cs="Arial" w:eastAsia="Arial" w:hAnsi="Arial"/>
          <w:sz w:val="17"/>
          <w:szCs w:val="17"/>
          <w:color w:val="auto"/>
        </w:rPr>
        <w:t>$8,111,000 to CEG during the third quarter of 2022 in order for us to make certain tax payments associated</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with the sale of the Thermal Business.</w:t>
      </w:r>
    </w:p>
    <w:p>
      <w:pPr>
        <w:spacing w:after="0" w:line="19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Governance</w:t>
      </w:r>
    </w:p>
    <w:p>
      <w:pPr>
        <w:spacing w:after="0" w:line="158"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We serve as the sole managing member of Clearway Energy LLC. As such, we and effectively our Board, control the business and affairs of Clearway Energy LLC and are responsible for the management of its business.</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Voting and Economic Rights of Members</w:t>
      </w:r>
    </w:p>
    <w:p>
      <w:pPr>
        <w:spacing w:after="0" w:line="144" w:lineRule="exact"/>
        <w:rPr>
          <w:sz w:val="20"/>
          <w:szCs w:val="20"/>
          <w:color w:val="auto"/>
        </w:rPr>
      </w:pPr>
    </w:p>
    <w:p>
      <w:pPr>
        <w:ind w:left="1260" w:right="419" w:firstLine="360"/>
        <w:spacing w:after="0" w:line="260" w:lineRule="auto"/>
        <w:rPr>
          <w:sz w:val="20"/>
          <w:szCs w:val="20"/>
          <w:color w:val="auto"/>
        </w:rPr>
      </w:pPr>
      <w:r>
        <w:rPr>
          <w:rFonts w:ascii="Arial" w:cs="Arial" w:eastAsia="Arial" w:hAnsi="Arial"/>
          <w:sz w:val="17"/>
          <w:szCs w:val="17"/>
          <w:color w:val="auto"/>
        </w:rPr>
        <w:t>Clearway Energy LLC has four classes of Units: Class A units, Class B units, Class C units and Class D units. Class A units and Class C units may be issued only to us as the sole managing member, and Class B units and Class D units may be issued only to CEG and held by CEG or its permitted transferees. Units of each of the four classes have equivalent economic and other rights, except that upon issuance, each holder of a Class B unit will also be issued a share of our Class B common stock, and each holder of a Class D unit will also be issued a share of our Class D common stock. Each Class B unit is exchangeable for a share of our Class A common stock and each Class D unit is exchangeable for a share of our Class D common stock, in each case subject to equitable adjustments for stock splits, dividends and reclassifications in accordance with the terms of the Exchange Agreement (as described below).</w:t>
      </w:r>
    </w:p>
    <w:p>
      <w:pPr>
        <w:spacing w:after="0" w:line="106" w:lineRule="exact"/>
        <w:rPr>
          <w:sz w:val="20"/>
          <w:szCs w:val="20"/>
          <w:color w:val="auto"/>
        </w:rPr>
      </w:pPr>
    </w:p>
    <w:p>
      <w:pPr>
        <w:ind w:left="1260" w:right="459" w:firstLine="360"/>
        <w:spacing w:after="0" w:line="245" w:lineRule="auto"/>
        <w:rPr>
          <w:sz w:val="20"/>
          <w:szCs w:val="20"/>
          <w:color w:val="auto"/>
        </w:rPr>
      </w:pPr>
      <w:r>
        <w:rPr>
          <w:rFonts w:ascii="Arial" w:cs="Arial" w:eastAsia="Arial" w:hAnsi="Arial"/>
          <w:sz w:val="18"/>
          <w:szCs w:val="18"/>
          <w:color w:val="auto"/>
        </w:rPr>
        <w:t>Net profits and net losses and distributions by Clearway Energy LLC are allocated and made to holders of units in accordance with the respective number of membership units of Clearway Energy LLC held. Generally, Clearway Energy LLC will make distributions to holders of units for the purpose of funding tax obligations in respect of income of Clearway Energy LLC that is allocated to the members of Clearway Energy LLC.</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Coordination with Clearway Energy LLC</w:t>
      </w:r>
    </w:p>
    <w:p>
      <w:pPr>
        <w:spacing w:after="0" w:line="158" w:lineRule="exact"/>
        <w:rPr>
          <w:sz w:val="20"/>
          <w:szCs w:val="20"/>
          <w:color w:val="auto"/>
        </w:rPr>
      </w:pPr>
    </w:p>
    <w:p>
      <w:pPr>
        <w:ind w:left="1260" w:right="539" w:firstLine="360"/>
        <w:spacing w:after="0" w:line="256" w:lineRule="auto"/>
        <w:rPr>
          <w:sz w:val="20"/>
          <w:szCs w:val="20"/>
          <w:color w:val="auto"/>
        </w:rPr>
      </w:pPr>
      <w:r>
        <w:rPr>
          <w:rFonts w:ascii="Arial" w:cs="Arial" w:eastAsia="Arial" w:hAnsi="Arial"/>
          <w:sz w:val="18"/>
          <w:szCs w:val="18"/>
          <w:color w:val="auto"/>
        </w:rPr>
        <w:t>Any time we issue a share of Class A common stock or a share of our Class C common stock for cash, the net proceeds therefrom will promptly be transferred to Clearway Energy LLC, and Clearway Energy LLC will either:</w:t>
      </w:r>
    </w:p>
    <w:p>
      <w:pPr>
        <w:spacing w:after="0" w:line="67" w:lineRule="exact"/>
        <w:rPr>
          <w:sz w:val="20"/>
          <w:szCs w:val="20"/>
          <w:color w:val="auto"/>
        </w:rPr>
      </w:pPr>
    </w:p>
    <w:p>
      <w:pPr>
        <w:ind w:left="1800" w:right="479" w:hanging="180"/>
        <w:spacing w:after="0" w:line="263"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transfer a newly issued Class A unit of Clearway Energy LLC to us in the case of the issuance of a share of Class A common stock, or a newly issued Class C unit of Clearway Energy LLC to us in the case of the issuance of a share of Class C common stock; or</w:t>
      </w:r>
    </w:p>
    <w:p>
      <w:pPr>
        <w:spacing w:after="0" w:line="62" w:lineRule="exact"/>
        <w:rPr>
          <w:rFonts w:ascii="Arial" w:cs="Arial" w:eastAsia="Arial" w:hAnsi="Arial"/>
          <w:sz w:val="18"/>
          <w:szCs w:val="18"/>
          <w:color w:val="auto"/>
        </w:rPr>
      </w:pPr>
    </w:p>
    <w:p>
      <w:pPr>
        <w:ind w:left="1800" w:right="419" w:hanging="180"/>
        <w:spacing w:after="0" w:line="275" w:lineRule="auto"/>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use the net proceeds to purchase a Class B unit of Clearway Energy LLC from CEG in the case of the issuance of a share of Class A common stock, which Class B unit will automatically convert into a Class A unit of Clearway Energy LLC when transferred to us, or a Class D unit of Clearway Energy LLC from CEG in the case of the issuance of a share of Class C common stock, which Class D unit will automatically convert into a Class C unit of Clearway Energy LLC when transferred to us.</w:t>
      </w:r>
    </w:p>
    <w:p>
      <w:pPr>
        <w:spacing w:after="0" w:line="95"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If we elect to redeem any shares of our Class A common stock or Class C common stock for cash, Clearway Energy LLC will, immediately prior to such redemption, redeem an equal number of Class A units or Class C units, as applicable, held by us upon the same terms and for the same price, as the shares of Class A common stock so redeemed.</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EXCHANGE AGREEMENT</w:t>
      </w:r>
    </w:p>
    <w:p>
      <w:pPr>
        <w:spacing w:after="0" w:line="148" w:lineRule="exact"/>
        <w:rPr>
          <w:sz w:val="20"/>
          <w:szCs w:val="20"/>
          <w:color w:val="auto"/>
        </w:rPr>
      </w:pPr>
    </w:p>
    <w:p>
      <w:pPr>
        <w:ind w:left="1260" w:right="899" w:firstLine="360"/>
        <w:spacing w:after="0" w:line="308" w:lineRule="auto"/>
        <w:rPr>
          <w:sz w:val="20"/>
          <w:szCs w:val="20"/>
          <w:color w:val="auto"/>
        </w:rPr>
      </w:pPr>
      <w:r>
        <w:rPr>
          <w:rFonts w:ascii="Arial" w:cs="Arial" w:eastAsia="Arial" w:hAnsi="Arial"/>
          <w:sz w:val="17"/>
          <w:szCs w:val="17"/>
          <w:color w:val="auto"/>
        </w:rPr>
        <w:t>We entered into an Amended and Restated Exchange Agreement with NRG (the “Exchange Agreement”), which was assigned to CEG upon the GIP Transaction. Under the Exchange Agreement,</w:t>
      </w:r>
    </w:p>
    <w:p>
      <w:pPr>
        <w:sectPr>
          <w:pgSz w:w="11900" w:h="16838" w:orient="portrait"/>
          <w:cols w:equalWidth="0" w:num="1">
            <w:col w:w="9879"/>
          </w:cols>
          <w:pgMar w:left="580" w:top="132" w:right="1440" w:bottom="1440" w:gutter="0" w:footer="0" w:header="0"/>
        </w:sectPr>
      </w:pPr>
    </w:p>
    <w:p>
      <w:pPr>
        <w:spacing w:after="0" w:line="30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46" w:lineRule="auto"/>
        <w:rPr>
          <w:sz w:val="20"/>
          <w:szCs w:val="20"/>
          <w:color w:val="auto"/>
        </w:rPr>
      </w:pPr>
      <w:r>
        <w:rPr>
          <w:rFonts w:ascii="Arial" w:cs="Arial" w:eastAsia="Arial" w:hAnsi="Arial"/>
          <w:sz w:val="18"/>
          <w:szCs w:val="18"/>
          <w:color w:val="auto"/>
        </w:rPr>
        <w:t>CEG (and certain permitted assignees and permitted transferees who acquire Class B units or Class D units of Clearway Energy LLC) may from time to time cause Clearway Energy LLC to exchange their Class B units for shares of our Class A common stock on a one- for-one basis, subject to adjustments for stock splits, stock dividends and reclassifications, or exchange their Class D units for shares of our Class C common stock on a one-for-one basis, subject to equitable adjustments for stock splits, stock dividends and reclassifications.</w:t>
      </w:r>
    </w:p>
    <w:p>
      <w:pPr>
        <w:spacing w:after="0" w:line="118" w:lineRule="exact"/>
        <w:rPr>
          <w:sz w:val="20"/>
          <w:szCs w:val="20"/>
          <w:color w:val="auto"/>
        </w:rPr>
      </w:pPr>
    </w:p>
    <w:p>
      <w:pPr>
        <w:ind w:left="1260" w:right="459" w:firstLine="360"/>
        <w:spacing w:after="0" w:line="244" w:lineRule="auto"/>
        <w:rPr>
          <w:sz w:val="20"/>
          <w:szCs w:val="20"/>
          <w:color w:val="auto"/>
        </w:rPr>
      </w:pPr>
      <w:r>
        <w:rPr>
          <w:rFonts w:ascii="Arial" w:cs="Arial" w:eastAsia="Arial" w:hAnsi="Arial"/>
          <w:sz w:val="18"/>
          <w:szCs w:val="18"/>
          <w:color w:val="auto"/>
        </w:rPr>
        <w:t>When CEG or its permitted transferee exchanges a Class B unit of Clearway Energy LLC for a share of our Class A common stock, we will automatically redeem and cancel a corresponding share of our Class B common stock and the Class B unit will automatically convert into a Class A unit when issued to us; similarly, when CEG or its permitted transferee exchanges a Class D unit of Clearway Energy LLC for a share of our Class C common stock, we will automatically redeem and cancel a corresponding share of our Class D common stock and the Class D unit will automatically convert into a Class C unit when issued to us. As a result, when a holder exchanges its Class B units for shares of our Class A common stock, or its Class D units for shares of our Class C common stock, our interest in Clearway Energy LLC will be correspondingly increased.</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OF OFFICERS</w:t>
      </w:r>
    </w:p>
    <w:p>
      <w:pPr>
        <w:spacing w:after="0" w:line="162" w:lineRule="exact"/>
        <w:rPr>
          <w:sz w:val="20"/>
          <w:szCs w:val="20"/>
          <w:color w:val="auto"/>
        </w:rPr>
      </w:pPr>
    </w:p>
    <w:p>
      <w:pPr>
        <w:ind w:left="1260" w:right="999" w:firstLine="360"/>
        <w:spacing w:after="0" w:line="270" w:lineRule="auto"/>
        <w:rPr>
          <w:sz w:val="20"/>
          <w:szCs w:val="20"/>
          <w:color w:val="auto"/>
        </w:rPr>
      </w:pPr>
      <w:r>
        <w:rPr>
          <w:rFonts w:ascii="Arial" w:cs="Arial" w:eastAsia="Arial" w:hAnsi="Arial"/>
          <w:sz w:val="17"/>
          <w:szCs w:val="17"/>
          <w:color w:val="auto"/>
        </w:rPr>
        <w:t>We have entered into indemnification agreements with each of our executive officers. The indemnification agreements provide the executive officers with contractual rights to indemnification, expense advancement and reimbursement to the fullest extent permitted under Delaware law.</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 AGREEMENT</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We entered into an Amended and Restated Registration Rights Agreement with NRG (the “Registration Rights Agreement”), which was assigned to CEG upon the GIP Transaction. Under the Registration Rights Agreement, CEG and its affiliates are entitled to demand registration rights, including the right to demand that a shelf registration statement be filed, and “piggyback” registration rights, for shares of our Class A common stock that are issuable upon exchange of Class B units of Clearway Energy LLC that CEG owns and shares of our Class C common stock that are issuable upon exchange of the Class D units of Clearway Energy LLC that CEG owns.</w:t>
      </w:r>
    </w:p>
    <w:p>
      <w:pPr>
        <w:spacing w:after="0" w:line="183" w:lineRule="exact"/>
        <w:rPr>
          <w:sz w:val="20"/>
          <w:szCs w:val="20"/>
          <w:color w:val="auto"/>
        </w:rPr>
      </w:pPr>
    </w:p>
    <w:p>
      <w:pPr>
        <w:ind w:left="1260" w:right="1579"/>
        <w:spacing w:after="0" w:line="282" w:lineRule="auto"/>
        <w:rPr>
          <w:sz w:val="20"/>
          <w:szCs w:val="20"/>
          <w:color w:val="auto"/>
        </w:rPr>
      </w:pPr>
      <w:r>
        <w:rPr>
          <w:rFonts w:ascii="Arial" w:cs="Arial" w:eastAsia="Arial" w:hAnsi="Arial"/>
          <w:sz w:val="18"/>
          <w:szCs w:val="18"/>
          <w:b w:val="1"/>
          <w:bCs w:val="1"/>
          <w:color w:val="auto"/>
        </w:rPr>
        <w:t>PROCEDURES FOR REVIEW, APPROVAL AND RATIFICATION OF RELATED PERSON TRANSACTIONS; CONFLICTS OF INTEREST</w:t>
      </w:r>
    </w:p>
    <w:p>
      <w:pPr>
        <w:spacing w:after="0" w:line="85"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color w:val="auto"/>
        </w:rPr>
        <w:t>Our Board has adopted a written Related Person Transaction Policy (the “Related Person Policy”) that provides that the Corporate Governance, Conflicts and Nominating Committee will periodically review all related person transactions that are required to be disclosed under SEC rules and, when appropriate, initially authorize or ratify all such transactions. See “Governance of the Company — Corporate Governance, Conflicts and Nominating Committee.”</w:t>
      </w:r>
    </w:p>
    <w:p>
      <w:pPr>
        <w:spacing w:after="0" w:line="118"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7"/>
          <w:szCs w:val="17"/>
          <w:color w:val="auto"/>
        </w:rPr>
        <w:t>The Related Person Policy operates in conjunction with our Code of Conduct and is applicable to all “Related Person Transactions”, which are all transactions, arrangements or relationships in which:</w:t>
      </w:r>
    </w:p>
    <w:p>
      <w:pPr>
        <w:spacing w:after="0" w:line="39" w:lineRule="exact"/>
        <w:rPr>
          <w:sz w:val="20"/>
          <w:szCs w:val="20"/>
          <w:color w:val="auto"/>
        </w:rPr>
      </w:pPr>
    </w:p>
    <w:p>
      <w:pPr>
        <w:ind w:left="1800" w:hanging="180"/>
        <w:spacing w:after="0"/>
        <w:tabs>
          <w:tab w:leader="none" w:pos="1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aggregate amount involved will or may be expected to exceed $50,000 in any calendar year;</w:t>
      </w:r>
    </w:p>
    <w:p>
      <w:pPr>
        <w:spacing w:after="0" w:line="115" w:lineRule="exact"/>
        <w:rPr>
          <w:rFonts w:ascii="Arial" w:cs="Arial" w:eastAsia="Arial" w:hAnsi="Arial"/>
          <w:sz w:val="17"/>
          <w:szCs w:val="17"/>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is a participant; and</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Related Person (as that term is defined below) has or will have a direct or indirect interest.</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“Related Person” is:</w:t>
      </w:r>
    </w:p>
    <w:p>
      <w:pPr>
        <w:spacing w:after="0" w:line="117" w:lineRule="exact"/>
        <w:rPr>
          <w:sz w:val="20"/>
          <w:szCs w:val="20"/>
          <w:color w:val="auto"/>
        </w:rPr>
      </w:pPr>
    </w:p>
    <w:p>
      <w:pPr>
        <w:ind w:left="1800" w:right="65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a director of the Company or a nominee for director or an executive officer;</w:t>
      </w:r>
    </w:p>
    <w:p>
      <w:pPr>
        <w:spacing w:after="0" w:line="35"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person who is known to the Company to be the beneficial owner of more than 5% of any class of the Company’s voting stock;</w:t>
      </w:r>
    </w:p>
    <w:p>
      <w:pPr>
        <w:spacing w:after="0" w:line="35" w:lineRule="exact"/>
        <w:rPr>
          <w:rFonts w:ascii="Arial" w:cs="Arial" w:eastAsia="Arial" w:hAnsi="Arial"/>
          <w:sz w:val="18"/>
          <w:szCs w:val="18"/>
          <w:color w:val="auto"/>
        </w:rPr>
      </w:pPr>
    </w:p>
    <w:p>
      <w:pPr>
        <w:jc w:val="both"/>
        <w:ind w:left="1800" w:right="559" w:hanging="180"/>
        <w:spacing w:after="0" w:line="286" w:lineRule="auto"/>
        <w:tabs>
          <w:tab w:leader="none" w:pos="1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immediate family member of any of the persons referenced in the preceding two bullets, which means any child, stepchild, parent, stepparent, spouse, sibling, mother-in-law, father-in-law, son-in-law, daughter-in-law, brother-in-law or sister-in-law of the director, nominee for director, executive</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spacing w:after="0" w:line="286" w:lineRule="auto"/>
        <w:rPr>
          <w:sz w:val="20"/>
          <w:szCs w:val="20"/>
          <w:color w:val="auto"/>
        </w:rPr>
      </w:pPr>
      <w:r>
        <w:rPr>
          <w:rFonts w:ascii="Arial" w:cs="Arial" w:eastAsia="Arial" w:hAnsi="Arial"/>
          <w:sz w:val="17"/>
          <w:szCs w:val="17"/>
          <w:color w:val="auto"/>
        </w:rPr>
        <w:t>officer or more than 5% beneficial owner of any class of the Company’s voting stock, and any person (other than a tenant or employee) sharing the household of such director, nominee for director, executive officer or more than 5% beneficial owner of any class of the Company’s voting stock; and</w:t>
      </w:r>
    </w:p>
    <w:p>
      <w:pPr>
        <w:spacing w:after="0" w:line="57" w:lineRule="exact"/>
        <w:rPr>
          <w:sz w:val="20"/>
          <w:szCs w:val="20"/>
          <w:color w:val="auto"/>
        </w:rPr>
      </w:pPr>
    </w:p>
    <w:p>
      <w:pPr>
        <w:ind w:left="1800" w:right="419" w:hanging="180"/>
        <w:spacing w:after="0" w:line="308" w:lineRule="auto"/>
        <w:tabs>
          <w:tab w:leader="none" w:pos="1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firm, corporation or other entity in which any of the foregoing persons is a partner or principal or in a similar position or in which such person has a 10% or greater beneficial ownership interest.</w:t>
      </w:r>
    </w:p>
    <w:p>
      <w:pPr>
        <w:spacing w:after="0" w:line="79"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In determining whether to recommend the initial approval or ratification of a Related Person Transaction, the Corporate Governance, Conflicts and Nominating Committee considers all of the relevant facts and circumstances available, including (if applicable) but not limited to: (a) whether there is an appropriate business justification for the transaction; (b) the benefits that accrue to us as a result of the transaction; (c) the terms available to unrelated third parties entering into similar transactions; (d) the impact of the transaction on director independence (in the event the related person is a director, an immediate family member of a director or an entity in which a director or an immediate family member of a director is a partner, stockholder, member or executive officer); (e) the availability of other sources for comparable products or services; (f) whether it is a single transaction or a series of ongoing, related transactions; and (g) whether entering into the transaction would be consistent with the Related Person Transaction Policy.</w:t>
      </w:r>
    </w:p>
    <w:p>
      <w:pPr>
        <w:spacing w:after="0" w:line="124"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If the aggregate amount involved is expected to be less than $500,000, the transaction may be approved or ratified by the Chair of the Corporate Governance, Conflicts and Nominating Committee.</w:t>
      </w:r>
    </w:p>
    <w:p>
      <w:pPr>
        <w:spacing w:after="0" w:line="89"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As part of its review of each Related Person Transaction, the Corporate Governance, Conflicts and Nominating Committee will take into account, among other factors it deems appropriate, whether the transaction is on terms no less favorable than the terms generally available to an unaffiliated third-party under the same or similar circumstances and the extent of the Related Person’s interest in the transaction. This Related Person Policy also provides that certain transactions, based on their nature and/or monetary amount, are deemed to be pre-approved or ratified by the Corporate Governance, Conflicts and Nominating Committee and do not require separate approval or ratification.</w:t>
      </w:r>
    </w:p>
    <w:p>
      <w:pPr>
        <w:spacing w:after="0" w:line="127" w:lineRule="exact"/>
        <w:rPr>
          <w:sz w:val="20"/>
          <w:szCs w:val="20"/>
          <w:color w:val="auto"/>
        </w:rPr>
      </w:pPr>
    </w:p>
    <w:p>
      <w:pPr>
        <w:ind w:left="1260" w:right="659" w:firstLine="360"/>
        <w:spacing w:after="0" w:line="286" w:lineRule="auto"/>
        <w:rPr>
          <w:sz w:val="20"/>
          <w:szCs w:val="20"/>
          <w:color w:val="auto"/>
        </w:rPr>
      </w:pPr>
      <w:r>
        <w:rPr>
          <w:rFonts w:ascii="Arial" w:cs="Arial" w:eastAsia="Arial" w:hAnsi="Arial"/>
          <w:sz w:val="17"/>
          <w:szCs w:val="17"/>
          <w:color w:val="auto"/>
        </w:rPr>
        <w:t>Transactions involving ongoing relationships with a Related Person will be reviewed and assessed at least annually by the Corporate Governance, Conflicts and Nominating Committee to ensure that such Related Person Transactions remain appropriate and in compliance with the Committee’s guidelines.</w:t>
      </w:r>
    </w:p>
    <w:p>
      <w:pPr>
        <w:spacing w:after="0" w:line="9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The Committee’s activities with respect to the review and approval or ratification of all Related Person Transactions are reported periodically to the Board. Any transaction between us and any Related Person, including CEG, will be subject to the prior review and approval of our Corporate Governance, Conflicts and Nominating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0" w:type="dxa"/>
            <w:vAlign w:val="bottom"/>
            <w:gridSpan w:val="11"/>
          </w:tcPr>
          <w:p>
            <w:pPr>
              <w:jc w:val="center"/>
              <w:ind w:right="1480"/>
              <w:spacing w:after="0"/>
              <w:rPr>
                <w:sz w:val="20"/>
                <w:szCs w:val="20"/>
                <w:color w:val="auto"/>
              </w:rPr>
            </w:pPr>
            <w:r>
              <w:rPr>
                <w:rFonts w:ascii="Arial" w:cs="Arial" w:eastAsia="Arial" w:hAnsi="Arial"/>
                <w:sz w:val="18"/>
                <w:szCs w:val="18"/>
                <w:b w:val="1"/>
                <w:bCs w:val="1"/>
                <w:color w:val="auto"/>
                <w:w w:val="99"/>
              </w:rPr>
              <w:t>EXECUTIVE COMPENSATION</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24"/>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15"/>
          </w:tcPr>
          <w:p>
            <w:pPr>
              <w:jc w:val="center"/>
              <w:ind w:right="900"/>
              <w:spacing w:after="0"/>
              <w:rPr>
                <w:sz w:val="20"/>
                <w:szCs w:val="20"/>
                <w:color w:val="auto"/>
              </w:rPr>
            </w:pPr>
            <w:r>
              <w:rPr>
                <w:rFonts w:ascii="Arial" w:cs="Arial" w:eastAsia="Arial" w:hAnsi="Arial"/>
                <w:sz w:val="18"/>
                <w:szCs w:val="18"/>
                <w:b w:val="1"/>
                <w:bCs w:val="1"/>
                <w:color w:val="auto"/>
                <w:w w:val="96"/>
              </w:rPr>
              <w:t>COMPENSATION DISCUSSION &amp; ANALYSIS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4"/>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40" w:type="dxa"/>
            <w:vAlign w:val="bottom"/>
            <w:gridSpan w:val="9"/>
          </w:tcPr>
          <w:p>
            <w:pPr>
              <w:jc w:val="center"/>
              <w:ind w:right="1820"/>
              <w:spacing w:after="0"/>
              <w:rPr>
                <w:sz w:val="20"/>
                <w:szCs w:val="20"/>
                <w:color w:val="auto"/>
              </w:rPr>
            </w:pPr>
            <w:r>
              <w:rPr>
                <w:rFonts w:ascii="Arial" w:cs="Arial" w:eastAsia="Arial" w:hAnsi="Arial"/>
                <w:sz w:val="18"/>
                <w:szCs w:val="18"/>
                <w:b w:val="1"/>
                <w:bCs w:val="1"/>
                <w:color w:val="auto"/>
                <w:w w:val="95"/>
              </w:rPr>
              <w:t>TABLE OF CONTENTS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9"/>
        </w:trPr>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2040" w:type="dxa"/>
            <w:vAlign w:val="bottom"/>
            <w:tcBorders>
              <w:bottom w:val="single" w:sz="8" w:color="0000EE"/>
            </w:tcBorders>
            <w:gridSpan w:val="6"/>
            <w:shd w:val="clear" w:color="auto" w:fill="CCEEFF"/>
          </w:tcPr>
          <w:p>
            <w:pPr>
              <w:spacing w:after="0" w:line="162" w:lineRule="exact"/>
              <w:rPr>
                <w:sz w:val="20"/>
                <w:szCs w:val="20"/>
                <w:color w:val="auto"/>
              </w:rPr>
            </w:pPr>
            <w:r>
              <w:rPr>
                <w:rFonts w:ascii="Arial" w:cs="Arial" w:eastAsia="Arial" w:hAnsi="Arial"/>
                <w:sz w:val="18"/>
                <w:szCs w:val="18"/>
                <w:color w:val="0000EE"/>
              </w:rPr>
              <w:t>EXECUTIVE SUMMARY</w:t>
            </w:r>
          </w:p>
        </w:tc>
        <w:tc>
          <w:tcPr>
            <w:tcW w:w="4900" w:type="dxa"/>
            <w:vAlign w:val="bottom"/>
            <w:tcBorders>
              <w:bottom w:val="single" w:sz="8" w:color="CCEEFF"/>
            </w:tcBorders>
            <w:gridSpan w:val="16"/>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0000EE"/>
            </w:tcBorders>
            <w:shd w:val="clear" w:color="auto" w:fill="CCEEFF"/>
          </w:tcPr>
          <w:p>
            <w:pPr>
              <w:jc w:val="right"/>
              <w:spacing w:after="0" w:line="162" w:lineRule="exact"/>
              <w:rPr>
                <w:sz w:val="20"/>
                <w:szCs w:val="20"/>
                <w:color w:val="auto"/>
              </w:rPr>
            </w:pPr>
            <w:r>
              <w:rPr>
                <w:rFonts w:ascii="Arial" w:cs="Arial" w:eastAsia="Arial" w:hAnsi="Arial"/>
                <w:sz w:val="18"/>
                <w:szCs w:val="18"/>
                <w:color w:val="0000EE"/>
                <w:w w:val="79"/>
              </w:rPr>
              <w:t>45</w:t>
            </w:r>
          </w:p>
        </w:tc>
      </w:tr>
      <w:tr>
        <w:trPr>
          <w:trHeight w:val="216"/>
        </w:trPr>
        <w:tc>
          <w:tcPr>
            <w:tcW w:w="6940" w:type="dxa"/>
            <w:vAlign w:val="bottom"/>
            <w:gridSpan w:val="22"/>
          </w:tcPr>
          <w:p>
            <w:pPr>
              <w:spacing w:after="0"/>
              <w:rPr>
                <w:sz w:val="20"/>
                <w:szCs w:val="20"/>
                <w:color w:val="auto"/>
              </w:rPr>
            </w:pPr>
            <w:r>
              <w:rPr>
                <w:rFonts w:ascii="Arial" w:cs="Arial" w:eastAsia="Arial" w:hAnsi="Arial"/>
                <w:sz w:val="18"/>
                <w:szCs w:val="18"/>
                <w:color w:val="0000EE"/>
              </w:rPr>
              <w:t>EXECUTIVE COMPENSATION PROGRAM</w:t>
            </w:r>
          </w:p>
        </w:tc>
        <w:tc>
          <w:tcPr>
            <w:tcW w:w="1260" w:type="dxa"/>
            <w:vAlign w:val="bottom"/>
            <w:gridSpan w:val="2"/>
          </w:tcPr>
          <w:p>
            <w:pPr>
              <w:jc w:val="right"/>
              <w:spacing w:after="0"/>
              <w:rPr>
                <w:sz w:val="20"/>
                <w:szCs w:val="20"/>
                <w:color w:val="auto"/>
              </w:rPr>
            </w:pPr>
            <w:r>
              <w:rPr>
                <w:rFonts w:ascii="Arial" w:cs="Arial" w:eastAsia="Arial" w:hAnsi="Arial"/>
                <w:sz w:val="18"/>
                <w:szCs w:val="18"/>
                <w:color w:val="0000EE"/>
              </w:rPr>
              <w:t>45</w:t>
            </w:r>
          </w:p>
        </w:tc>
      </w:tr>
      <w:tr>
        <w:trPr>
          <w:trHeight w:val="20"/>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6940" w:type="dxa"/>
            <w:vAlign w:val="bottom"/>
            <w:tcBorders>
              <w:bottom w:val="single" w:sz="8" w:color="0000EE"/>
            </w:tcBorders>
            <w:gridSpan w:val="22"/>
            <w:shd w:val="clear" w:color="auto" w:fill="CCEEFF"/>
          </w:tcPr>
          <w:p>
            <w:pPr>
              <w:spacing w:after="0"/>
              <w:rPr>
                <w:sz w:val="20"/>
                <w:szCs w:val="20"/>
                <w:color w:val="auto"/>
              </w:rPr>
            </w:pPr>
            <w:r>
              <w:rPr>
                <w:rFonts w:ascii="Arial" w:cs="Arial" w:eastAsia="Arial" w:hAnsi="Arial"/>
                <w:sz w:val="18"/>
                <w:szCs w:val="18"/>
                <w:color w:val="0000EE"/>
                <w:w w:val="98"/>
              </w:rPr>
              <w:t>KEY GOVERNANCE FEATURES OF OUR EXECUTIVE COMPENSATION PROGRAM</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sz w:val="20"/>
                <w:szCs w:val="20"/>
                <w:color w:val="auto"/>
              </w:rPr>
            </w:pPr>
            <w:r>
              <w:rPr>
                <w:rFonts w:ascii="Arial" w:cs="Arial" w:eastAsia="Arial" w:hAnsi="Arial"/>
                <w:sz w:val="18"/>
                <w:szCs w:val="18"/>
                <w:color w:val="0000EE"/>
                <w:w w:val="79"/>
              </w:rPr>
              <w:t>45</w:t>
            </w:r>
          </w:p>
        </w:tc>
      </w:tr>
      <w:tr>
        <w:trPr>
          <w:trHeight w:val="230"/>
        </w:trPr>
        <w:tc>
          <w:tcPr>
            <w:tcW w:w="6940" w:type="dxa"/>
            <w:vAlign w:val="bottom"/>
            <w:gridSpan w:val="22"/>
          </w:tcPr>
          <w:p>
            <w:pPr>
              <w:spacing w:after="0"/>
              <w:rPr>
                <w:sz w:val="20"/>
                <w:szCs w:val="20"/>
                <w:color w:val="auto"/>
              </w:rPr>
            </w:pPr>
            <w:r>
              <w:rPr>
                <w:rFonts w:ascii="Arial" w:cs="Arial" w:eastAsia="Arial" w:hAnsi="Arial"/>
                <w:sz w:val="18"/>
                <w:szCs w:val="18"/>
                <w:color w:val="0000EE"/>
              </w:rPr>
              <w:t>BUSINESS STRATEGY AND COMPANY PERFORMANCE</w:t>
            </w:r>
          </w:p>
        </w:tc>
        <w:tc>
          <w:tcPr>
            <w:tcW w:w="1260" w:type="dxa"/>
            <w:vAlign w:val="bottom"/>
            <w:gridSpan w:val="2"/>
          </w:tcPr>
          <w:p>
            <w:pPr>
              <w:jc w:val="right"/>
              <w:spacing w:after="0"/>
              <w:rPr>
                <w:sz w:val="20"/>
                <w:szCs w:val="20"/>
                <w:color w:val="auto"/>
              </w:rPr>
            </w:pPr>
            <w:r>
              <w:rPr>
                <w:rFonts w:ascii="Arial" w:cs="Arial" w:eastAsia="Arial" w:hAnsi="Arial"/>
                <w:sz w:val="18"/>
                <w:szCs w:val="18"/>
                <w:color w:val="0000EE"/>
              </w:rPr>
              <w:t>46</w:t>
            </w:r>
          </w:p>
        </w:tc>
      </w:tr>
      <w:tr>
        <w:trPr>
          <w:trHeight w:val="20"/>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694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EXECUTIVE COMPENSATION PROGRAM</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46</w:t>
            </w:r>
          </w:p>
        </w:tc>
      </w:tr>
      <w:tr>
        <w:trPr>
          <w:trHeight w:val="230"/>
        </w:trPr>
        <w:tc>
          <w:tcPr>
            <w:tcW w:w="348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0000EE"/>
              </w:rPr>
              <w:t>2022 NAMED EXECUTIVE OFFICERS</w:t>
            </w:r>
          </w:p>
        </w:tc>
        <w:tc>
          <w:tcPr>
            <w:tcW w:w="3460" w:type="dxa"/>
            <w:vAlign w:val="bottom"/>
            <w:tcBorders>
              <w:top w:val="single" w:sz="8" w:color="CCEEFF"/>
            </w:tcBorders>
            <w:gridSpan w:val="7"/>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8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0000EE"/>
                <w:w w:val="79"/>
              </w:rPr>
              <w:t>46</w:t>
            </w:r>
          </w:p>
        </w:tc>
      </w:tr>
      <w:tr>
        <w:trPr>
          <w:trHeight w:val="20"/>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694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GOALS AND OBJECTIVES OF THE PROGRAM</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47</w:t>
            </w:r>
          </w:p>
        </w:tc>
      </w:tr>
      <w:tr>
        <w:trPr>
          <w:trHeight w:val="229"/>
        </w:trPr>
        <w:tc>
          <w:tcPr>
            <w:tcW w:w="386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EE"/>
              </w:rPr>
              <w:t>THE COMPENSATION PROCESS</w:t>
            </w:r>
          </w:p>
        </w:tc>
        <w:tc>
          <w:tcPr>
            <w:tcW w:w="3080" w:type="dxa"/>
            <w:vAlign w:val="bottom"/>
            <w:tcBorders>
              <w:top w:val="single" w:sz="8" w:color="CCEEFF"/>
            </w:tcBorders>
            <w:gridSpan w:val="3"/>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8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0000EE"/>
                <w:w w:val="79"/>
              </w:rPr>
              <w:t>47</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29"/>
        </w:trPr>
        <w:tc>
          <w:tcPr>
            <w:tcW w:w="694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COMPENSATION CONSULTANT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47</w:t>
            </w:r>
          </w:p>
        </w:tc>
      </w:tr>
      <w:tr>
        <w:trPr>
          <w:trHeight w:val="21"/>
        </w:trPr>
        <w:tc>
          <w:tcPr>
            <w:tcW w:w="8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6940" w:type="dxa"/>
            <w:vAlign w:val="bottom"/>
            <w:gridSpan w:val="22"/>
          </w:tcPr>
          <w:p>
            <w:pPr>
              <w:spacing w:after="0"/>
              <w:rPr>
                <w:sz w:val="20"/>
                <w:szCs w:val="20"/>
                <w:color w:val="auto"/>
              </w:rPr>
            </w:pPr>
            <w:r>
              <w:rPr>
                <w:rFonts w:ascii="Arial" w:cs="Arial" w:eastAsia="Arial" w:hAnsi="Arial"/>
                <w:sz w:val="18"/>
                <w:szCs w:val="18"/>
                <w:color w:val="0000EE"/>
              </w:rPr>
              <w:t>COMPENSATION PEER GROUP ANALYSIS</w:t>
            </w:r>
          </w:p>
        </w:tc>
        <w:tc>
          <w:tcPr>
            <w:tcW w:w="1260" w:type="dxa"/>
            <w:vAlign w:val="bottom"/>
            <w:gridSpan w:val="2"/>
          </w:tcPr>
          <w:p>
            <w:pPr>
              <w:jc w:val="right"/>
              <w:spacing w:after="0"/>
              <w:rPr>
                <w:sz w:val="20"/>
                <w:szCs w:val="20"/>
                <w:color w:val="auto"/>
              </w:rPr>
            </w:pPr>
            <w:r>
              <w:rPr>
                <w:rFonts w:ascii="Arial" w:cs="Arial" w:eastAsia="Arial" w:hAnsi="Arial"/>
                <w:sz w:val="18"/>
                <w:szCs w:val="18"/>
                <w:color w:val="0000EE"/>
              </w:rPr>
              <w:t>47</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2740" w:type="dxa"/>
            <w:vAlign w:val="bottom"/>
            <w:tcBorders>
              <w:bottom w:val="single" w:sz="8" w:color="0000EE"/>
            </w:tcBorders>
            <w:gridSpan w:val="11"/>
            <w:shd w:val="clear" w:color="auto" w:fill="CCEEFF"/>
          </w:tcPr>
          <w:p>
            <w:pPr>
              <w:spacing w:after="0"/>
              <w:rPr>
                <w:sz w:val="20"/>
                <w:szCs w:val="20"/>
                <w:color w:val="auto"/>
              </w:rPr>
            </w:pPr>
            <w:r>
              <w:rPr>
                <w:rFonts w:ascii="Arial" w:cs="Arial" w:eastAsia="Arial" w:hAnsi="Arial"/>
                <w:sz w:val="18"/>
                <w:szCs w:val="18"/>
                <w:color w:val="0000EE"/>
                <w:w w:val="97"/>
              </w:rPr>
              <w:t>ELEMENTS OF COMPENSATION</w:t>
            </w:r>
          </w:p>
        </w:tc>
        <w:tc>
          <w:tcPr>
            <w:tcW w:w="4200" w:type="dxa"/>
            <w:vAlign w:val="bottom"/>
            <w:tcBorders>
              <w:bottom w:val="single" w:sz="8" w:color="CCEEFF"/>
            </w:tcBorders>
            <w:gridSpan w:val="11"/>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sz w:val="20"/>
                <w:szCs w:val="20"/>
                <w:color w:val="auto"/>
              </w:rPr>
            </w:pPr>
            <w:r>
              <w:rPr>
                <w:rFonts w:ascii="Arial" w:cs="Arial" w:eastAsia="Arial" w:hAnsi="Arial"/>
                <w:sz w:val="18"/>
                <w:szCs w:val="18"/>
                <w:color w:val="0000EE"/>
                <w:w w:val="79"/>
              </w:rPr>
              <w:t>48</w:t>
            </w:r>
          </w:p>
        </w:tc>
      </w:tr>
      <w:tr>
        <w:trPr>
          <w:trHeight w:val="229"/>
        </w:trPr>
        <w:tc>
          <w:tcPr>
            <w:tcW w:w="6940" w:type="dxa"/>
            <w:vAlign w:val="bottom"/>
            <w:gridSpan w:val="22"/>
          </w:tcPr>
          <w:p>
            <w:pPr>
              <w:spacing w:after="0"/>
              <w:rPr>
                <w:sz w:val="20"/>
                <w:szCs w:val="20"/>
                <w:color w:val="auto"/>
              </w:rPr>
            </w:pPr>
            <w:r>
              <w:rPr>
                <w:rFonts w:ascii="Arial" w:cs="Arial" w:eastAsia="Arial" w:hAnsi="Arial"/>
                <w:sz w:val="18"/>
                <w:szCs w:val="18"/>
                <w:color w:val="0000EE"/>
              </w:rPr>
              <w:t>BASE SALARY</w:t>
            </w:r>
          </w:p>
        </w:tc>
        <w:tc>
          <w:tcPr>
            <w:tcW w:w="1260" w:type="dxa"/>
            <w:vAlign w:val="bottom"/>
            <w:gridSpan w:val="2"/>
          </w:tcPr>
          <w:p>
            <w:pPr>
              <w:jc w:val="right"/>
              <w:spacing w:after="0"/>
              <w:rPr>
                <w:sz w:val="20"/>
                <w:szCs w:val="20"/>
                <w:color w:val="auto"/>
              </w:rPr>
            </w:pPr>
            <w:r>
              <w:rPr>
                <w:rFonts w:ascii="Arial" w:cs="Arial" w:eastAsia="Arial" w:hAnsi="Arial"/>
                <w:sz w:val="18"/>
                <w:szCs w:val="18"/>
                <w:color w:val="0000EE"/>
              </w:rPr>
              <w:t>48</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3300" w:type="dxa"/>
            <w:vAlign w:val="bottom"/>
            <w:tcBorders>
              <w:bottom w:val="single" w:sz="8" w:color="0000EE"/>
            </w:tcBorders>
            <w:gridSpan w:val="14"/>
            <w:shd w:val="clear" w:color="auto" w:fill="CCEEFF"/>
          </w:tcPr>
          <w:p>
            <w:pPr>
              <w:spacing w:after="0"/>
              <w:rPr>
                <w:sz w:val="20"/>
                <w:szCs w:val="20"/>
                <w:color w:val="auto"/>
              </w:rPr>
            </w:pPr>
            <w:r>
              <w:rPr>
                <w:rFonts w:ascii="Arial" w:cs="Arial" w:eastAsia="Arial" w:hAnsi="Arial"/>
                <w:sz w:val="18"/>
                <w:szCs w:val="18"/>
                <w:color w:val="0000EE"/>
              </w:rPr>
              <w:t>ANNUAL INCENTIVE COMPENSATION</w:t>
            </w:r>
          </w:p>
        </w:tc>
        <w:tc>
          <w:tcPr>
            <w:tcW w:w="3640" w:type="dxa"/>
            <w:vAlign w:val="bottom"/>
            <w:tcBorders>
              <w:bottom w:val="single" w:sz="8" w:color="CCEEFF"/>
            </w:tcBorders>
            <w:gridSpan w:val="8"/>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sz w:val="20"/>
                <w:szCs w:val="20"/>
                <w:color w:val="auto"/>
              </w:rPr>
            </w:pPr>
            <w:r>
              <w:rPr>
                <w:rFonts w:ascii="Arial" w:cs="Arial" w:eastAsia="Arial" w:hAnsi="Arial"/>
                <w:sz w:val="18"/>
                <w:szCs w:val="18"/>
                <w:color w:val="0000EE"/>
                <w:w w:val="79"/>
              </w:rPr>
              <w:t>49</w:t>
            </w:r>
          </w:p>
        </w:tc>
      </w:tr>
      <w:tr>
        <w:trPr>
          <w:trHeight w:val="229"/>
        </w:trPr>
        <w:tc>
          <w:tcPr>
            <w:tcW w:w="6940" w:type="dxa"/>
            <w:vAlign w:val="bottom"/>
            <w:gridSpan w:val="22"/>
          </w:tcPr>
          <w:p>
            <w:pPr>
              <w:spacing w:after="0"/>
              <w:rPr>
                <w:sz w:val="20"/>
                <w:szCs w:val="20"/>
                <w:color w:val="auto"/>
              </w:rPr>
            </w:pPr>
            <w:r>
              <w:rPr>
                <w:rFonts w:ascii="Arial" w:cs="Arial" w:eastAsia="Arial" w:hAnsi="Arial"/>
                <w:sz w:val="18"/>
                <w:szCs w:val="18"/>
                <w:color w:val="0000EE"/>
              </w:rPr>
              <w:t>LONG-TERM INCENTIVE COMPENSATION</w:t>
            </w:r>
          </w:p>
        </w:tc>
        <w:tc>
          <w:tcPr>
            <w:tcW w:w="1260" w:type="dxa"/>
            <w:vAlign w:val="bottom"/>
            <w:gridSpan w:val="2"/>
          </w:tcPr>
          <w:p>
            <w:pPr>
              <w:jc w:val="right"/>
              <w:spacing w:after="0"/>
              <w:rPr>
                <w:sz w:val="20"/>
                <w:szCs w:val="20"/>
                <w:color w:val="auto"/>
              </w:rPr>
            </w:pPr>
            <w:r>
              <w:rPr>
                <w:rFonts w:ascii="Arial" w:cs="Arial" w:eastAsia="Arial" w:hAnsi="Arial"/>
                <w:sz w:val="18"/>
                <w:szCs w:val="18"/>
                <w:color w:val="0000EE"/>
              </w:rPr>
              <w:t>51</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694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CLAWBACKS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53</w:t>
            </w:r>
          </w:p>
        </w:tc>
      </w:tr>
      <w:tr>
        <w:trPr>
          <w:trHeight w:val="229"/>
        </w:trPr>
        <w:tc>
          <w:tcPr>
            <w:tcW w:w="11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rPr>
              <w:t>BENEFITS</w:t>
            </w:r>
          </w:p>
        </w:tc>
        <w:tc>
          <w:tcPr>
            <w:tcW w:w="5800" w:type="dxa"/>
            <w:vAlign w:val="bottom"/>
            <w:tcBorders>
              <w:top w:val="single" w:sz="8" w:color="CCEEFF"/>
            </w:tcBorders>
            <w:gridSpan w:val="20"/>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8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0000EE"/>
                <w:w w:val="79"/>
              </w:rPr>
              <w:t>53</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694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POTENTIAL SEVERANCE AND CHANGE-IN-CONTROL BENEFITS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53</w:t>
            </w:r>
          </w:p>
        </w:tc>
      </w:tr>
      <w:tr>
        <w:trPr>
          <w:trHeight w:val="229"/>
        </w:trPr>
        <w:tc>
          <w:tcPr>
            <w:tcW w:w="5540" w:type="dxa"/>
            <w:vAlign w:val="bottom"/>
            <w:tcBorders>
              <w:top w:val="single" w:sz="8" w:color="0000EE"/>
            </w:tcBorders>
            <w:gridSpan w:val="21"/>
          </w:tcPr>
          <w:p>
            <w:pPr>
              <w:spacing w:after="0"/>
              <w:rPr>
                <w:sz w:val="20"/>
                <w:szCs w:val="20"/>
                <w:color w:val="auto"/>
              </w:rPr>
            </w:pPr>
            <w:r>
              <w:rPr>
                <w:rFonts w:ascii="Arial" w:cs="Arial" w:eastAsia="Arial" w:hAnsi="Arial"/>
                <w:sz w:val="18"/>
                <w:szCs w:val="18"/>
                <w:color w:val="0000EE"/>
              </w:rPr>
              <w:t>OTHER MATTERS</w:t>
            </w:r>
          </w:p>
        </w:tc>
        <w:tc>
          <w:tcPr>
            <w:tcW w:w="140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8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0000EE"/>
                <w:w w:val="79"/>
              </w:rPr>
              <w:t>54</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29"/>
        </w:trPr>
        <w:tc>
          <w:tcPr>
            <w:tcW w:w="694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STOCK OWNERSHIP GUIDELINES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54</w:t>
            </w:r>
          </w:p>
        </w:tc>
      </w:tr>
      <w:tr>
        <w:trPr>
          <w:trHeight w:val="21"/>
        </w:trPr>
        <w:tc>
          <w:tcPr>
            <w:tcW w:w="8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6940" w:type="dxa"/>
            <w:vAlign w:val="bottom"/>
            <w:gridSpan w:val="22"/>
          </w:tcPr>
          <w:p>
            <w:pPr>
              <w:spacing w:after="0"/>
              <w:rPr>
                <w:sz w:val="20"/>
                <w:szCs w:val="20"/>
                <w:color w:val="auto"/>
              </w:rPr>
            </w:pPr>
            <w:r>
              <w:rPr>
                <w:rFonts w:ascii="Arial" w:cs="Arial" w:eastAsia="Arial" w:hAnsi="Arial"/>
                <w:sz w:val="18"/>
                <w:szCs w:val="18"/>
                <w:color w:val="0000EE"/>
              </w:rPr>
              <w:t>TAX AND ACCOUNTING CONSIDERATIONS</w:t>
            </w:r>
          </w:p>
        </w:tc>
        <w:tc>
          <w:tcPr>
            <w:tcW w:w="1260" w:type="dxa"/>
            <w:vAlign w:val="bottom"/>
            <w:gridSpan w:val="2"/>
          </w:tcPr>
          <w:p>
            <w:pPr>
              <w:jc w:val="right"/>
              <w:spacing w:after="0"/>
              <w:rPr>
                <w:sz w:val="20"/>
                <w:szCs w:val="20"/>
                <w:color w:val="auto"/>
              </w:rPr>
            </w:pPr>
            <w:r>
              <w:rPr>
                <w:rFonts w:ascii="Arial" w:cs="Arial" w:eastAsia="Arial" w:hAnsi="Arial"/>
                <w:sz w:val="18"/>
                <w:szCs w:val="18"/>
                <w:color w:val="0000EE"/>
              </w:rPr>
              <w:t>54</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29"/>
        </w:trPr>
        <w:tc>
          <w:tcPr>
            <w:tcW w:w="694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COMPENSATION TABLES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55</w:t>
            </w:r>
          </w:p>
        </w:tc>
      </w:tr>
      <w:tr>
        <w:trPr>
          <w:trHeight w:val="20"/>
        </w:trPr>
        <w:tc>
          <w:tcPr>
            <w:tcW w:w="8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6940" w:type="dxa"/>
            <w:vAlign w:val="bottom"/>
            <w:gridSpan w:val="22"/>
          </w:tcPr>
          <w:p>
            <w:pPr>
              <w:spacing w:after="0"/>
              <w:rPr>
                <w:sz w:val="20"/>
                <w:szCs w:val="20"/>
                <w:color w:val="auto"/>
              </w:rPr>
            </w:pPr>
            <w:r>
              <w:rPr>
                <w:rFonts w:ascii="Arial" w:cs="Arial" w:eastAsia="Arial" w:hAnsi="Arial"/>
                <w:sz w:val="18"/>
                <w:szCs w:val="18"/>
                <w:color w:val="0000EE"/>
              </w:rPr>
              <w:t>EMPLOYMENT AGREEMENTS</w:t>
            </w:r>
          </w:p>
        </w:tc>
        <w:tc>
          <w:tcPr>
            <w:tcW w:w="1260" w:type="dxa"/>
            <w:vAlign w:val="bottom"/>
            <w:gridSpan w:val="2"/>
          </w:tcPr>
          <w:p>
            <w:pPr>
              <w:jc w:val="right"/>
              <w:spacing w:after="0"/>
              <w:rPr>
                <w:sz w:val="20"/>
                <w:szCs w:val="20"/>
                <w:color w:val="auto"/>
              </w:rPr>
            </w:pPr>
            <w:r>
              <w:rPr>
                <w:rFonts w:ascii="Arial" w:cs="Arial" w:eastAsia="Arial" w:hAnsi="Arial"/>
                <w:sz w:val="18"/>
                <w:szCs w:val="18"/>
                <w:color w:val="0000EE"/>
              </w:rPr>
              <w:t>58</w:t>
            </w:r>
          </w:p>
        </w:tc>
      </w:tr>
      <w:tr>
        <w:trPr>
          <w:trHeight w:val="20"/>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3560" w:type="dxa"/>
            <w:vAlign w:val="bottom"/>
            <w:tcBorders>
              <w:bottom w:val="single" w:sz="8" w:color="0000EE"/>
            </w:tcBorders>
            <w:gridSpan w:val="16"/>
            <w:shd w:val="clear" w:color="auto" w:fill="CCEEFF"/>
          </w:tcPr>
          <w:p>
            <w:pPr>
              <w:spacing w:after="0"/>
              <w:rPr>
                <w:sz w:val="20"/>
                <w:szCs w:val="20"/>
                <w:color w:val="auto"/>
              </w:rPr>
            </w:pPr>
            <w:r>
              <w:rPr>
                <w:rFonts w:ascii="Arial" w:cs="Arial" w:eastAsia="Arial" w:hAnsi="Arial"/>
                <w:sz w:val="18"/>
                <w:szCs w:val="18"/>
                <w:color w:val="0000EE"/>
                <w:w w:val="99"/>
              </w:rPr>
              <w:t>SEVERANCE AND CHANGE-IN-CONTROL</w:t>
            </w:r>
          </w:p>
        </w:tc>
        <w:tc>
          <w:tcPr>
            <w:tcW w:w="3380" w:type="dxa"/>
            <w:vAlign w:val="bottom"/>
            <w:tcBorders>
              <w:bottom w:val="single" w:sz="8" w:color="CCEEFF"/>
            </w:tcBorders>
            <w:gridSpan w:val="6"/>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sz w:val="20"/>
                <w:szCs w:val="20"/>
                <w:color w:val="auto"/>
              </w:rPr>
            </w:pPr>
            <w:r>
              <w:rPr>
                <w:rFonts w:ascii="Arial" w:cs="Arial" w:eastAsia="Arial" w:hAnsi="Arial"/>
                <w:sz w:val="18"/>
                <w:szCs w:val="18"/>
                <w:color w:val="0000EE"/>
                <w:w w:val="79"/>
              </w:rPr>
              <w:t>59</w:t>
            </w:r>
          </w:p>
        </w:tc>
      </w:tr>
      <w:tr>
        <w:trPr>
          <w:trHeight w:val="230"/>
        </w:trPr>
        <w:tc>
          <w:tcPr>
            <w:tcW w:w="13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5"/>
              </w:rPr>
              <w:t>CEO PAY RATIO</w:t>
            </w:r>
          </w:p>
        </w:tc>
        <w:tc>
          <w:tcPr>
            <w:tcW w:w="5580" w:type="dxa"/>
            <w:vAlign w:val="bottom"/>
            <w:gridSpan w:val="18"/>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9" w:name="page50"/>
    <w:bookmarkEnd w:id="4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EXECUTIVE SUMMARY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COMPENSATION PROGRAM</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Clearway is a publicly-traded energy infrastructure investor and owner of modern, sustainable and long-term contracted assets across North America. The Company is sponsored by GIP and TotalEnergies through the portfolio company, CEG, and, together, GIP and TotalEnergies hold all of the Company’s Class B common stock and Class D common stock and thus collectively have the majority voting interest in the Company. This Compensation Discussion and Analysis (this “CD&amp;A”) describes the philosophy, elements, implementation, and results of our 2022 executive compensation program as it applies to the executive team.</w:t>
      </w:r>
    </w:p>
    <w:p>
      <w:pPr>
        <w:spacing w:after="0" w:line="127" w:lineRule="exact"/>
        <w:rPr>
          <w:sz w:val="20"/>
          <w:szCs w:val="20"/>
          <w:color w:val="auto"/>
        </w:rPr>
      </w:pPr>
    </w:p>
    <w:p>
      <w:pPr>
        <w:ind w:left="1260" w:right="519" w:firstLine="360"/>
        <w:spacing w:after="0" w:line="270" w:lineRule="auto"/>
        <w:rPr>
          <w:sz w:val="20"/>
          <w:szCs w:val="20"/>
          <w:color w:val="auto"/>
        </w:rPr>
      </w:pPr>
      <w:r>
        <w:rPr>
          <w:rFonts w:ascii="Arial" w:cs="Arial" w:eastAsia="Arial" w:hAnsi="Arial"/>
          <w:sz w:val="17"/>
          <w:szCs w:val="17"/>
          <w:color w:val="auto"/>
        </w:rPr>
        <w:t>The Compensation Committee’s objectives are to design a simple yet competitive program, which is aligned with the interests of our stockholders. This program is designed to align short-term and long-term compensation with the Company’s annual performance and three-year total stockholder return (“TSR”), respectively. Our annual incentive program (“AIP”) is primarily based on objective criteria that support the achievement of our short-term objectives, which we believe create long-term stockholder value. Our long-term incentives are comprised of 67% Relative Performance Stock Units (“RPSUs”), which vest based on relative TSR measured over three years and 33% Restricted Stock Units (“RSUs”), which vest based on continued service over three years. The program incorporates many best practices in compensation design, while being tailored to our business needs and compensation objectives.</w:t>
      </w:r>
    </w:p>
    <w:p>
      <w:pPr>
        <w:spacing w:after="0" w:line="100" w:lineRule="exact"/>
        <w:rPr>
          <w:sz w:val="20"/>
          <w:szCs w:val="20"/>
          <w:color w:val="auto"/>
        </w:rPr>
      </w:pPr>
    </w:p>
    <w:p>
      <w:pPr>
        <w:ind w:left="1260" w:right="439" w:firstLine="360"/>
        <w:spacing w:after="0" w:line="274" w:lineRule="auto"/>
        <w:rPr>
          <w:sz w:val="20"/>
          <w:szCs w:val="20"/>
          <w:color w:val="auto"/>
        </w:rPr>
      </w:pPr>
      <w:r>
        <w:rPr>
          <w:rFonts w:ascii="Arial" w:cs="Arial" w:eastAsia="Arial" w:hAnsi="Arial"/>
          <w:sz w:val="17"/>
          <w:szCs w:val="17"/>
          <w:color w:val="auto"/>
        </w:rPr>
        <w:t>In 2022, the Compensation Committee reviewed and did not modify its philosophy related to the compensation program. Thus, NEO compensation continued to be delivered through a mix of (i) base salary,</w:t>
      </w:r>
    </w:p>
    <w:p>
      <w:pPr>
        <w:ind w:left="1260" w:right="599"/>
        <w:spacing w:after="0" w:line="260" w:lineRule="auto"/>
        <w:tabs>
          <w:tab w:leader="none" w:pos="15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annual incentive bonus opportunity under the AIP and (iii) long-term incentive compensation under our LTIP in the form of RPSUs and RSUs.</w:t>
      </w:r>
    </w:p>
    <w:p>
      <w:pPr>
        <w:spacing w:after="0" w:line="118" w:lineRule="exact"/>
        <w:rPr>
          <w:sz w:val="20"/>
          <w:szCs w:val="20"/>
          <w:color w:val="auto"/>
        </w:rPr>
      </w:pPr>
    </w:p>
    <w:p>
      <w:pPr>
        <w:jc w:val="both"/>
        <w:ind w:left="1260" w:right="579" w:firstLine="360"/>
        <w:spacing w:after="0" w:line="263" w:lineRule="auto"/>
        <w:rPr>
          <w:sz w:val="20"/>
          <w:szCs w:val="20"/>
          <w:color w:val="auto"/>
        </w:rPr>
      </w:pPr>
      <w:r>
        <w:rPr>
          <w:rFonts w:ascii="Arial" w:cs="Arial" w:eastAsia="Arial" w:hAnsi="Arial"/>
          <w:sz w:val="18"/>
          <w:szCs w:val="18"/>
          <w:color w:val="auto"/>
        </w:rPr>
        <w:t>At our 2022 Annual Meeting of Stockholders, we received approximately 99% support for our say on pay proposal. We believe these results demonstrate our stockholders support our pay practices and that our compensation program is aligned with their interests.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GOVERNANCE FEATURES OF OUR EXECUTIVE COMPENSATION PROGRAM</w:t>
      </w:r>
    </w:p>
    <w:p>
      <w:pPr>
        <w:spacing w:after="0" w:line="162"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Our compensation program and practices incorporate several key governance features as highlighted in the table below.</w:t>
      </w:r>
    </w:p>
    <w:p>
      <w:pPr>
        <w:sectPr>
          <w:pgSz w:w="11900" w:h="16838" w:orient="portrait"/>
          <w:cols w:equalWidth="0" w:num="1">
            <w:col w:w="9879"/>
          </w:cols>
          <w:pgMar w:left="580" w:top="132" w:right="1440" w:bottom="1440" w:gutter="0" w:footer="0" w:header="0"/>
        </w:sectPr>
      </w:pPr>
    </w:p>
    <w:p>
      <w:pPr>
        <w:spacing w:after="0" w:line="108" w:lineRule="exact"/>
        <w:rPr>
          <w:sz w:val="20"/>
          <w:szCs w:val="20"/>
          <w:color w:val="auto"/>
        </w:rPr>
      </w:pPr>
    </w:p>
    <w:p>
      <w:pPr>
        <w:ind w:left="2860"/>
        <w:spacing w:after="0"/>
        <w:rPr>
          <w:sz w:val="20"/>
          <w:szCs w:val="20"/>
          <w:color w:val="auto"/>
        </w:rPr>
      </w:pPr>
      <w:r>
        <w:rPr>
          <w:rFonts w:ascii="Arial" w:cs="Arial" w:eastAsia="Arial" w:hAnsi="Arial"/>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25374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11" w:lineRule="exact"/>
        <w:rPr>
          <w:sz w:val="20"/>
          <w:szCs w:val="20"/>
          <w:color w:val="auto"/>
        </w:rPr>
      </w:pPr>
    </w:p>
    <w:p>
      <w:pPr>
        <w:ind w:left="1440" w:right="200" w:hanging="180"/>
        <w:spacing w:after="0" w:line="263" w:lineRule="auto"/>
        <w:tabs>
          <w:tab w:leader="none" w:pos="1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 for performance by delivering a substantial majority of our President and CEO’s compensation through equity.</w:t>
      </w:r>
    </w:p>
    <w:p>
      <w:pPr>
        <w:spacing w:after="0" w:line="116" w:lineRule="exact"/>
        <w:rPr>
          <w:rFonts w:ascii="Arial" w:cs="Arial" w:eastAsia="Arial" w:hAnsi="Arial"/>
          <w:sz w:val="18"/>
          <w:szCs w:val="18"/>
          <w:color w:val="auto"/>
        </w:rPr>
      </w:pPr>
    </w:p>
    <w:p>
      <w:pPr>
        <w:jc w:val="both"/>
        <w:ind w:left="1440" w:hanging="180"/>
        <w:spacing w:after="0" w:line="263" w:lineRule="auto"/>
        <w:tabs>
          <w:tab w:leader="none" w:pos="1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large majority of our equity compensation for Senior Vice Presidents and above is performance-based</w:t>
      </w:r>
    </w:p>
    <w:p>
      <w:pPr>
        <w:spacing w:after="0" w:line="102" w:lineRule="exact"/>
        <w:rPr>
          <w:rFonts w:ascii="Arial" w:cs="Arial" w:eastAsia="Arial" w:hAnsi="Arial"/>
          <w:sz w:val="18"/>
          <w:szCs w:val="18"/>
          <w:color w:val="auto"/>
        </w:rPr>
      </w:pPr>
    </w:p>
    <w:p>
      <w:pPr>
        <w:ind w:left="1440" w:right="420" w:hanging="180"/>
        <w:spacing w:after="0" w:line="277" w:lineRule="auto"/>
        <w:tabs>
          <w:tab w:leader="none" w:pos="1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Target our peer group median for total direct compensation</w:t>
      </w:r>
    </w:p>
    <w:p>
      <w:pPr>
        <w:spacing w:after="0" w:line="102" w:lineRule="exact"/>
        <w:rPr>
          <w:rFonts w:ascii="Arial" w:cs="Arial" w:eastAsia="Arial" w:hAnsi="Arial"/>
          <w:sz w:val="18"/>
          <w:szCs w:val="18"/>
          <w:color w:val="auto"/>
        </w:rPr>
      </w:pPr>
    </w:p>
    <w:p>
      <w:pPr>
        <w:jc w:val="both"/>
        <w:ind w:left="1440" w:right="220" w:hanging="180"/>
        <w:spacing w:after="0" w:line="263" w:lineRule="auto"/>
        <w:tabs>
          <w:tab w:leader="none" w:pos="1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a double trigger for the acceleration of equity vesting in connection with a change-in-control</w:t>
      </w:r>
    </w:p>
    <w:p>
      <w:pPr>
        <w:spacing w:after="0" w:line="116" w:lineRule="exact"/>
        <w:rPr>
          <w:rFonts w:ascii="Arial" w:cs="Arial" w:eastAsia="Arial" w:hAnsi="Arial"/>
          <w:sz w:val="18"/>
          <w:szCs w:val="18"/>
          <w:color w:val="auto"/>
        </w:rPr>
      </w:pPr>
    </w:p>
    <w:p>
      <w:pPr>
        <w:jc w:val="both"/>
        <w:ind w:left="1440" w:right="260" w:hanging="180"/>
        <w:spacing w:after="0" w:line="308" w:lineRule="auto"/>
        <w:tabs>
          <w:tab w:leader="none" w:pos="14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Prevent undue risk taking in our compensation practices and engage in robust risk monitoring</w:t>
      </w:r>
    </w:p>
    <w:p>
      <w:pPr>
        <w:spacing w:after="0" w:line="65" w:lineRule="exact"/>
        <w:rPr>
          <w:rFonts w:ascii="Arial" w:cs="Arial" w:eastAsia="Arial" w:hAnsi="Arial"/>
          <w:sz w:val="17"/>
          <w:szCs w:val="17"/>
          <w:color w:val="auto"/>
        </w:rPr>
      </w:pPr>
    </w:p>
    <w:p>
      <w:pPr>
        <w:ind w:left="1440" w:right="240" w:hanging="180"/>
        <w:spacing w:after="0" w:line="277" w:lineRule="auto"/>
        <w:tabs>
          <w:tab w:leader="none" w:pos="1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 clawback policies in our compensation plans</w:t>
      </w:r>
    </w:p>
    <w:p>
      <w:pPr>
        <w:spacing w:after="0" w:line="102" w:lineRule="exact"/>
        <w:rPr>
          <w:rFonts w:ascii="Arial" w:cs="Arial" w:eastAsia="Arial" w:hAnsi="Arial"/>
          <w:sz w:val="18"/>
          <w:szCs w:val="18"/>
          <w:color w:val="auto"/>
        </w:rPr>
      </w:pPr>
    </w:p>
    <w:p>
      <w:pPr>
        <w:ind w:left="1440" w:right="220" w:hanging="180"/>
        <w:spacing w:after="0" w:line="277" w:lineRule="auto"/>
        <w:tabs>
          <w:tab w:leader="none" w:pos="1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Maintain robust stock ownership guidelines for our NEOs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411"/>
        <w:spacing w:after="0"/>
        <w:rPr>
          <w:sz w:val="20"/>
          <w:szCs w:val="20"/>
          <w:color w:val="auto"/>
        </w:rPr>
      </w:pPr>
      <w:r>
        <w:rPr>
          <w:rFonts w:ascii="Arial" w:cs="Arial" w:eastAsia="Arial" w:hAnsi="Arial"/>
          <w:sz w:val="14"/>
          <w:szCs w:val="14"/>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25374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11" w:lineRule="exact"/>
        <w:rPr>
          <w:sz w:val="20"/>
          <w:szCs w:val="20"/>
          <w:color w:val="auto"/>
        </w:rPr>
      </w:pPr>
    </w:p>
    <w:p>
      <w:pPr>
        <w:ind w:left="188" w:right="599" w:hanging="188"/>
        <w:spacing w:after="0" w:line="263" w:lineRule="auto"/>
        <w:tabs>
          <w:tab w:leader="none" w:pos="1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excise tax gross-ups on change-in-control payments and no tax gross-ups on perquisites or benefits</w:t>
      </w:r>
    </w:p>
    <w:p>
      <w:pPr>
        <w:spacing w:after="0" w:line="116" w:lineRule="exact"/>
        <w:rPr>
          <w:rFonts w:ascii="Arial" w:cs="Arial" w:eastAsia="Arial" w:hAnsi="Arial"/>
          <w:sz w:val="18"/>
          <w:szCs w:val="18"/>
          <w:color w:val="auto"/>
        </w:rPr>
      </w:pPr>
    </w:p>
    <w:p>
      <w:pPr>
        <w:ind w:left="188" w:right="599" w:hanging="188"/>
        <w:spacing w:after="0" w:line="277" w:lineRule="auto"/>
        <w:tabs>
          <w:tab w:leader="none" w:pos="1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pledging or hedging of the Company’s stock by NEOs or directors</w:t>
      </w:r>
    </w:p>
    <w:p>
      <w:pPr>
        <w:spacing w:after="0" w:line="89" w:lineRule="exact"/>
        <w:rPr>
          <w:rFonts w:ascii="Arial" w:cs="Arial" w:eastAsia="Arial" w:hAnsi="Arial"/>
          <w:sz w:val="18"/>
          <w:szCs w:val="18"/>
          <w:color w:val="auto"/>
        </w:rPr>
      </w:pPr>
    </w:p>
    <w:p>
      <w:pPr>
        <w:ind w:left="188" w:right="459" w:hanging="188"/>
        <w:spacing w:after="0" w:line="308" w:lineRule="auto"/>
        <w:tabs>
          <w:tab w:leader="none" w:pos="188"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 employment agreements for executive officers with the exception of our President and CEO</w:t>
      </w:r>
    </w:p>
    <w:p>
      <w:pPr>
        <w:spacing w:after="0" w:line="65" w:lineRule="exact"/>
        <w:rPr>
          <w:rFonts w:ascii="Arial" w:cs="Arial" w:eastAsia="Arial" w:hAnsi="Arial"/>
          <w:sz w:val="17"/>
          <w:szCs w:val="17"/>
          <w:color w:val="auto"/>
        </w:rPr>
      </w:pPr>
    </w:p>
    <w:p>
      <w:pPr>
        <w:ind w:left="188" w:hanging="188"/>
        <w:spacing w:after="0"/>
        <w:tabs>
          <w:tab w:leader="none" w:pos="1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guaranteed bonus payments for our NEOs</w:t>
      </w:r>
    </w:p>
    <w:p>
      <w:pPr>
        <w:spacing w:after="0" w:line="117" w:lineRule="exact"/>
        <w:rPr>
          <w:rFonts w:ascii="Arial" w:cs="Arial" w:eastAsia="Arial" w:hAnsi="Arial"/>
          <w:sz w:val="18"/>
          <w:szCs w:val="18"/>
          <w:color w:val="auto"/>
        </w:rPr>
      </w:pPr>
    </w:p>
    <w:p>
      <w:pPr>
        <w:ind w:left="188" w:hanging="188"/>
        <w:spacing w:after="0"/>
        <w:tabs>
          <w:tab w:leader="none" w:pos="1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supplemental executive retirement plans</w:t>
      </w:r>
    </w:p>
    <w:p>
      <w:pPr>
        <w:spacing w:after="0" w:line="130" w:lineRule="exact"/>
        <w:rPr>
          <w:rFonts w:ascii="Arial" w:cs="Arial" w:eastAsia="Arial" w:hAnsi="Arial"/>
          <w:sz w:val="18"/>
          <w:szCs w:val="18"/>
          <w:color w:val="auto"/>
        </w:rPr>
      </w:pPr>
    </w:p>
    <w:p>
      <w:pPr>
        <w:ind w:left="188" w:right="499" w:hanging="188"/>
        <w:spacing w:after="0" w:line="263" w:lineRule="auto"/>
        <w:tabs>
          <w:tab w:leader="none" w:pos="1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re-pricing of underwater stock options and no stock option grants with an exercise price below 100% of fair market value</w:t>
      </w:r>
    </w:p>
    <w:p>
      <w:pPr>
        <w:spacing w:after="0" w:line="1509" w:lineRule="exact"/>
        <w:rPr>
          <w:sz w:val="20"/>
          <w:szCs w:val="20"/>
          <w:color w:val="auto"/>
        </w:rPr>
      </w:pPr>
    </w:p>
    <w:p>
      <w:pPr>
        <w:sectPr>
          <w:pgSz w:w="11900" w:h="16838" w:orient="portrait"/>
          <w:cols w:equalWidth="0" w:num="2">
            <w:col w:w="5220" w:space="252"/>
            <w:col w:w="4407"/>
          </w:cols>
          <w:pgMar w:left="580" w:top="132" w:right="1440" w:bottom="1440" w:gutter="0" w:footer="0" w:header="0"/>
          <w:type w:val="continuous"/>
        </w:sectPr>
      </w:pPr>
    </w:p>
    <w:p>
      <w:pPr>
        <w:spacing w:after="0" w:line="1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860"/>
        <w:spacing w:after="0"/>
        <w:tabs>
          <w:tab w:leader="none" w:pos="6860" w:val="left"/>
        </w:tabs>
        <w:rPr>
          <w:sz w:val="20"/>
          <w:szCs w:val="20"/>
          <w:color w:val="auto"/>
        </w:rPr>
      </w:pPr>
      <w:r>
        <w:rPr>
          <w:rFonts w:ascii="Arial" w:cs="Arial" w:eastAsia="Arial" w:hAnsi="Arial"/>
          <w:sz w:val="14"/>
          <w:szCs w:val="14"/>
          <w:b w:val="1"/>
          <w:bCs w:val="1"/>
          <w:color w:val="auto"/>
        </w:rPr>
        <w:t>What We Do:</w:t>
      </w:r>
      <w:r>
        <w:rPr>
          <w:sz w:val="20"/>
          <w:szCs w:val="20"/>
          <w:color w:val="auto"/>
        </w:rPr>
        <w:tab/>
      </w:r>
      <w:r>
        <w:rPr>
          <w:rFonts w:ascii="Arial" w:cs="Arial" w:eastAsia="Arial" w:hAnsi="Arial"/>
          <w:sz w:val="13"/>
          <w:szCs w:val="13"/>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52120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1" w:lineRule="exact"/>
        <w:rPr>
          <w:sz w:val="20"/>
          <w:szCs w:val="20"/>
          <w:color w:val="auto"/>
        </w:rPr>
      </w:pPr>
    </w:p>
    <w:p>
      <w:pPr>
        <w:ind w:left="1400" w:right="5099" w:hanging="140"/>
        <w:spacing w:after="0" w:line="277" w:lineRule="auto"/>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market-level retirement benefits and limited perquisites</w:t>
      </w:r>
    </w:p>
    <w:p>
      <w:pPr>
        <w:spacing w:after="0" w:line="102" w:lineRule="exact"/>
        <w:rPr>
          <w:rFonts w:ascii="Arial" w:cs="Arial" w:eastAsia="Arial" w:hAnsi="Arial"/>
          <w:sz w:val="18"/>
          <w:szCs w:val="18"/>
          <w:color w:val="auto"/>
        </w:rPr>
      </w:pPr>
    </w:p>
    <w:p>
      <w:pPr>
        <w:ind w:left="1400" w:right="4679" w:hanging="140"/>
        <w:spacing w:after="0" w:line="286" w:lineRule="auto"/>
        <w:tabs>
          <w:tab w:leader="none" w:pos="14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Engage an independent compensation consultant to provide advice to the Compensation Committee with respect to our compensation program</w:t>
      </w:r>
    </w:p>
    <w:p>
      <w:pPr>
        <w:spacing w:after="0" w:line="84" w:lineRule="exact"/>
        <w:rPr>
          <w:rFonts w:ascii="Arial" w:cs="Arial" w:eastAsia="Arial" w:hAnsi="Arial"/>
          <w:sz w:val="17"/>
          <w:szCs w:val="17"/>
          <w:color w:val="auto"/>
        </w:rPr>
      </w:pPr>
    </w:p>
    <w:p>
      <w:pPr>
        <w:ind w:left="1400" w:hanging="140"/>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Conduct an annual say on pay vote</w:t>
      </w:r>
    </w:p>
    <w:p>
      <w:pPr>
        <w:spacing w:after="0" w:line="3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STRATEGY AND COMPANY PERFORMANCE</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Company’s primary business strategy is to focus on the acquisition and ownership of assets with predictable, long-term cash flows that allow the Company to increase the cash dividends paid to holders of the Company’s Class A and Class C common stock over time without compromising the ongoing stability of the business. The Company’s plan for executing this strategy includes the following key components: focusing on contracted renewable energy and conventional generation; growing our business through acquisitions of contracted operating assets primarily in North America; and maintaining sound financial practices to grow our dividend.</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execution of the Company’s business strategy produced the following results in 2022:</w:t>
      </w:r>
    </w:p>
    <w:p>
      <w:pPr>
        <w:spacing w:after="0" w:line="117" w:lineRule="exact"/>
        <w:rPr>
          <w:sz w:val="20"/>
          <w:szCs w:val="20"/>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Closed the sale of its Thermal Business to KKR for $1.9 billion</w:t>
      </w:r>
    </w:p>
    <w:p>
      <w:pPr>
        <w:spacing w:after="0" w:line="117"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Invested approximately $255 million in the third-party acquisition of the Capistrano Wind Portfolio, which consists of five wind projects representing 413 MW of capacity</w:t>
      </w:r>
    </w:p>
    <w:p>
      <w:pPr>
        <w:spacing w:after="0" w:line="62" w:lineRule="exact"/>
        <w:rPr>
          <w:rFonts w:ascii="Arial" w:cs="Arial" w:eastAsia="Arial" w:hAnsi="Arial"/>
          <w:sz w:val="18"/>
          <w:szCs w:val="18"/>
          <w:color w:val="auto"/>
        </w:rPr>
      </w:pPr>
    </w:p>
    <w:p>
      <w:pPr>
        <w:ind w:left="1800" w:right="439" w:hanging="180"/>
        <w:spacing w:after="0" w:line="259"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Invested or committed approximately $309 million in new growth investments with CEG, including the commitment to acquire Victory Pass and Arica solar and energy storage projects and funding the Company’s interest in the Mililani and Waiawa solar projects, as well as incremental fundings for the Black Rock, Mesquite Sky and Pinnacle wind projects</w:t>
      </w:r>
    </w:p>
    <w:p>
      <w:pPr>
        <w:spacing w:after="0" w:line="92" w:lineRule="exact"/>
        <w:rPr>
          <w:rFonts w:ascii="Arial" w:cs="Arial" w:eastAsia="Arial" w:hAnsi="Arial"/>
          <w:sz w:val="18"/>
          <w:szCs w:val="18"/>
          <w:color w:val="auto"/>
        </w:rPr>
      </w:pPr>
    </w:p>
    <w:p>
      <w:pPr>
        <w:ind w:left="1800" w:right="439" w:hanging="180"/>
        <w:spacing w:after="0" w:line="342" w:lineRule="auto"/>
        <w:tabs>
          <w:tab w:leader="none" w:pos="1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Entered into resource adequacy contracts for El Segundo and Marsh Landing, resulting in both assets having capacity sales fully contracted on a weighted average basis through the majority of 2026</w:t>
      </w:r>
    </w:p>
    <w:p>
      <w:pPr>
        <w:spacing w:after="0" w:line="43" w:lineRule="exact"/>
        <w:rPr>
          <w:sz w:val="20"/>
          <w:szCs w:val="20"/>
          <w:color w:val="auto"/>
        </w:rPr>
      </w:pPr>
    </w:p>
    <w:p>
      <w:pPr>
        <w:ind w:left="1260" w:right="619" w:firstLine="360"/>
        <w:spacing w:after="0" w:line="308" w:lineRule="auto"/>
        <w:rPr>
          <w:sz w:val="20"/>
          <w:szCs w:val="20"/>
          <w:color w:val="auto"/>
        </w:rPr>
      </w:pPr>
      <w:r>
        <w:rPr>
          <w:rFonts w:ascii="Arial" w:cs="Arial" w:eastAsia="Arial" w:hAnsi="Arial"/>
          <w:sz w:val="17"/>
          <w:szCs w:val="17"/>
          <w:color w:val="auto"/>
        </w:rPr>
        <w:t>Such results were taken into account by the Compensation Committee in making determinations with respect to the compensation for our NEOs under the 2022 compensation program.</w:t>
      </w:r>
    </w:p>
    <w:p>
      <w:pPr>
        <w:spacing w:after="0" w:line="142"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EXECUTIVE COMPENSATION PROGRAM</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2022 NAMED EXECUTIVE OFFICERS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This CD&amp;A describes the material components of our compensation program for our NEOs in 2022.</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 the year ending December 31, 2022, our NEOs included the following individuals:</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NEO</w:t>
            </w:r>
          </w:p>
        </w:tc>
        <w:tc>
          <w:tcPr>
            <w:tcW w:w="5320" w:type="dxa"/>
            <w:vAlign w:val="bottom"/>
          </w:tcPr>
          <w:p>
            <w:pPr>
              <w:ind w:left="2380"/>
              <w:spacing w:after="0"/>
              <w:rPr>
                <w:sz w:val="20"/>
                <w:szCs w:val="20"/>
                <w:color w:val="auto"/>
              </w:rPr>
            </w:pPr>
            <w:r>
              <w:rPr>
                <w:rFonts w:ascii="Arial" w:cs="Arial" w:eastAsia="Arial" w:hAnsi="Arial"/>
                <w:sz w:val="14"/>
                <w:szCs w:val="14"/>
                <w:b w:val="1"/>
                <w:bCs w:val="1"/>
                <w:color w:val="auto"/>
              </w:rPr>
              <w:t>2022 Title</w:t>
            </w:r>
          </w:p>
        </w:tc>
      </w:tr>
      <w:tr>
        <w:trPr>
          <w:trHeight w:val="39"/>
        </w:trPr>
        <w:tc>
          <w:tcPr>
            <w:tcW w:w="26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320" w:type="dxa"/>
            <w:vAlign w:val="bottom"/>
            <w:tcBorders>
              <w:bottom w:val="single" w:sz="8" w:color="auto"/>
            </w:tcBorders>
          </w:tcPr>
          <w:p>
            <w:pPr>
              <w:spacing w:after="0"/>
              <w:rPr>
                <w:sz w:val="3"/>
                <w:szCs w:val="3"/>
                <w:color w:val="auto"/>
              </w:rPr>
            </w:pPr>
          </w:p>
        </w:tc>
      </w:tr>
      <w:tr>
        <w:trPr>
          <w:trHeight w:val="250"/>
        </w:trPr>
        <w:tc>
          <w:tcPr>
            <w:tcW w:w="2880" w:type="dxa"/>
            <w:vAlign w:val="bottom"/>
            <w:gridSpan w:val="2"/>
          </w:tcPr>
          <w:p>
            <w:pPr>
              <w:spacing w:after="0"/>
              <w:rPr>
                <w:sz w:val="20"/>
                <w:szCs w:val="20"/>
                <w:color w:val="auto"/>
              </w:rPr>
            </w:pPr>
            <w:r>
              <w:rPr>
                <w:rFonts w:ascii="Arial" w:cs="Arial" w:eastAsia="Arial" w:hAnsi="Arial"/>
                <w:sz w:val="18"/>
                <w:szCs w:val="18"/>
                <w:color w:val="auto"/>
              </w:rPr>
              <w:t>Christopher S. Sotos</w:t>
            </w:r>
          </w:p>
        </w:tc>
        <w:tc>
          <w:tcPr>
            <w:tcW w:w="5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04"/>
        </w:trPr>
        <w:tc>
          <w:tcPr>
            <w:tcW w:w="2880" w:type="dxa"/>
            <w:vAlign w:val="bottom"/>
            <w:gridSpan w:val="2"/>
          </w:tcPr>
          <w:p>
            <w:pPr>
              <w:spacing w:after="0"/>
              <w:rPr>
                <w:sz w:val="20"/>
                <w:szCs w:val="20"/>
                <w:color w:val="auto"/>
              </w:rPr>
            </w:pPr>
            <w:r>
              <w:rPr>
                <w:rFonts w:ascii="Arial" w:cs="Arial" w:eastAsia="Arial" w:hAnsi="Arial"/>
                <w:sz w:val="18"/>
                <w:szCs w:val="18"/>
                <w:color w:val="auto"/>
              </w:rPr>
              <w:t>Sarah Rubenstein</w:t>
            </w:r>
          </w:p>
        </w:tc>
        <w:tc>
          <w:tcPr>
            <w:tcW w:w="5320" w:type="dxa"/>
            <w:vAlign w:val="bottom"/>
          </w:tcPr>
          <w:p>
            <w:pPr>
              <w:spacing w:after="0"/>
              <w:rPr>
                <w:sz w:val="20"/>
                <w:szCs w:val="20"/>
                <w:color w:val="auto"/>
              </w:rPr>
            </w:pPr>
            <w:r>
              <w:rPr>
                <w:rFonts w:ascii="Arial" w:cs="Arial" w:eastAsia="Arial" w:hAnsi="Arial"/>
                <w:sz w:val="18"/>
                <w:szCs w:val="18"/>
                <w:color w:val="auto"/>
              </w:rPr>
              <w:t>Senior Vice President and Chief Accounting Officer</w:t>
            </w:r>
            <w:r>
              <w:rPr>
                <w:rFonts w:ascii="Arial" w:cs="Arial" w:eastAsia="Arial" w:hAnsi="Arial"/>
                <w:sz w:val="23"/>
                <w:szCs w:val="23"/>
                <w:color w:val="auto"/>
                <w:vertAlign w:val="superscript"/>
              </w:rPr>
              <w:t>(1)</w:t>
            </w:r>
          </w:p>
        </w:tc>
      </w:tr>
      <w:tr>
        <w:trPr>
          <w:trHeight w:val="284"/>
        </w:trPr>
        <w:tc>
          <w:tcPr>
            <w:tcW w:w="2880" w:type="dxa"/>
            <w:vAlign w:val="bottom"/>
            <w:gridSpan w:val="2"/>
          </w:tcPr>
          <w:p>
            <w:pPr>
              <w:spacing w:after="0"/>
              <w:rPr>
                <w:sz w:val="20"/>
                <w:szCs w:val="20"/>
                <w:color w:val="auto"/>
              </w:rPr>
            </w:pPr>
            <w:r>
              <w:rPr>
                <w:rFonts w:ascii="Arial" w:cs="Arial" w:eastAsia="Arial" w:hAnsi="Arial"/>
                <w:sz w:val="18"/>
                <w:szCs w:val="18"/>
                <w:color w:val="auto"/>
              </w:rPr>
              <w:t>Kevin P. Malcarney</w:t>
            </w:r>
          </w:p>
        </w:tc>
        <w:tc>
          <w:tcPr>
            <w:tcW w:w="5320" w:type="dxa"/>
            <w:vAlign w:val="bottom"/>
          </w:tcPr>
          <w:p>
            <w:pPr>
              <w:spacing w:after="0"/>
              <w:rPr>
                <w:sz w:val="20"/>
                <w:szCs w:val="20"/>
                <w:color w:val="auto"/>
              </w:rPr>
            </w:pPr>
            <w:r>
              <w:rPr>
                <w:rFonts w:ascii="Arial" w:cs="Arial" w:eastAsia="Arial" w:hAnsi="Arial"/>
                <w:sz w:val="18"/>
                <w:szCs w:val="18"/>
                <w:color w:val="auto"/>
                <w:w w:val="93"/>
              </w:rPr>
              <w:t>Executive Vice President, General Counsel and Corporate Secretary</w:t>
            </w:r>
            <w:r>
              <w:rPr>
                <w:rFonts w:ascii="Arial" w:cs="Arial" w:eastAsia="Arial" w:hAnsi="Arial"/>
                <w:sz w:val="23"/>
                <w:szCs w:val="23"/>
                <w:color w:val="auto"/>
                <w:w w:val="93"/>
                <w:vertAlign w:val="superscript"/>
              </w:rPr>
              <w:t>(2)</w:t>
            </w:r>
          </w:p>
        </w:tc>
      </w:tr>
      <w:tr>
        <w:trPr>
          <w:trHeight w:val="304"/>
        </w:trPr>
        <w:tc>
          <w:tcPr>
            <w:tcW w:w="2880" w:type="dxa"/>
            <w:vAlign w:val="bottom"/>
            <w:gridSpan w:val="2"/>
          </w:tcPr>
          <w:p>
            <w:pPr>
              <w:spacing w:after="0"/>
              <w:rPr>
                <w:sz w:val="20"/>
                <w:szCs w:val="20"/>
                <w:color w:val="auto"/>
              </w:rPr>
            </w:pPr>
            <w:r>
              <w:rPr>
                <w:rFonts w:ascii="Arial" w:cs="Arial" w:eastAsia="Arial" w:hAnsi="Arial"/>
                <w:sz w:val="18"/>
                <w:szCs w:val="18"/>
                <w:color w:val="auto"/>
              </w:rPr>
              <w:t>Chad Plotkin</w:t>
            </w:r>
          </w:p>
        </w:tc>
        <w:tc>
          <w:tcPr>
            <w:tcW w:w="53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r>
              <w:rPr>
                <w:rFonts w:ascii="Arial" w:cs="Arial" w:eastAsia="Arial" w:hAnsi="Arial"/>
                <w:sz w:val="23"/>
                <w:szCs w:val="23"/>
                <w:color w:val="auto"/>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127635</wp:posOffset>
            </wp:positionV>
            <wp:extent cx="12344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9" w:lineRule="exact"/>
        <w:rPr>
          <w:sz w:val="20"/>
          <w:szCs w:val="20"/>
          <w:color w:val="auto"/>
        </w:rPr>
      </w:pPr>
    </w:p>
    <w:p>
      <w:pPr>
        <w:ind w:left="1620" w:right="539" w:hanging="360"/>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Ms. Rubenstein was promoted to Senior Vice President and Chief Accounting Officer in January 2022 and appointed as the principal financial officer for the Company in August 2022.</w:t>
      </w:r>
    </w:p>
    <w:p>
      <w:pPr>
        <w:spacing w:after="0" w:line="21" w:lineRule="exact"/>
        <w:rPr>
          <w:rFonts w:ascii="Arial" w:cs="Arial" w:eastAsia="Arial" w:hAnsi="Arial"/>
          <w:sz w:val="18"/>
          <w:szCs w:val="18"/>
          <w:color w:val="auto"/>
        </w:rPr>
      </w:pPr>
    </w:p>
    <w:p>
      <w:pPr>
        <w:ind w:left="1620" w:right="479" w:hanging="360"/>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Malcarney was promoted to Executive Vice President, General Counsel and Corporate Secretary in January 2022.</w:t>
      </w:r>
    </w:p>
    <w:p>
      <w:pPr>
        <w:spacing w:after="0" w:line="35" w:lineRule="exact"/>
        <w:rPr>
          <w:rFonts w:ascii="Arial" w:cs="Arial" w:eastAsia="Arial" w:hAnsi="Arial"/>
          <w:sz w:val="18"/>
          <w:szCs w:val="18"/>
          <w:color w:val="auto"/>
        </w:rPr>
      </w:pPr>
    </w:p>
    <w:p>
      <w:pPr>
        <w:ind w:left="1620" w:right="739" w:hanging="360"/>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Plotkin was promoted to Executive Vice President and Chief Financial Officer in January 2022. Mr. Plotkin voluntarily resigned from his employment with the Company in August 2022.</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GOALS AND OBJECTIVES OF THE PROGRAM</w:t>
      </w:r>
    </w:p>
    <w:p>
      <w:pPr>
        <w:spacing w:after="0" w:line="162" w:lineRule="exact"/>
        <w:rPr>
          <w:sz w:val="20"/>
          <w:szCs w:val="20"/>
          <w:color w:val="auto"/>
        </w:rPr>
      </w:pPr>
    </w:p>
    <w:p>
      <w:pPr>
        <w:ind w:left="1260" w:right="639" w:firstLine="360"/>
        <w:spacing w:after="0" w:line="283" w:lineRule="auto"/>
        <w:rPr>
          <w:sz w:val="20"/>
          <w:szCs w:val="20"/>
          <w:color w:val="auto"/>
        </w:rPr>
      </w:pPr>
      <w:r>
        <w:rPr>
          <w:rFonts w:ascii="Arial" w:cs="Arial" w:eastAsia="Arial" w:hAnsi="Arial"/>
          <w:sz w:val="17"/>
          <w:szCs w:val="17"/>
          <w:color w:val="auto"/>
        </w:rPr>
        <w:t>The Compensation Committee is responsible for the development and implementation of the Company’s executive compensation program, subject to Board approval for equity awards to certain officers, and references to Compensation Committee actions described below should be read in a manner that contemplates the requisite Board approval, as applicable, is in effect (see “Board Committees —  Compensation Committee” above). The intent of the program is to reward the achievement of the Company’s annual goals and objectives while supporting the Company’s long-term business strategy. The Compensation Committee is committed to aligning executives’ compensation with performance. Our Compensation Committee has designed an executive compensation program that:</w:t>
      </w:r>
    </w:p>
    <w:p>
      <w:pPr>
        <w:spacing w:after="0" w:line="73" w:lineRule="exact"/>
        <w:rPr>
          <w:sz w:val="20"/>
          <w:szCs w:val="20"/>
          <w:color w:val="auto"/>
        </w:rPr>
      </w:pPr>
    </w:p>
    <w:p>
      <w:pPr>
        <w:ind w:left="1800" w:right="919" w:hanging="180"/>
        <w:spacing w:after="0" w:line="308" w:lineRule="auto"/>
        <w:tabs>
          <w:tab w:leader="none" w:pos="1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closely aligns our executive compensation with stockholder value creation, avoiding plans that encourage executives to take excessive risk, while driving long-term value to stockholders;</w:t>
      </w:r>
    </w:p>
    <w:p>
      <w:pPr>
        <w:spacing w:after="0" w:line="78" w:lineRule="exact"/>
        <w:rPr>
          <w:rFonts w:ascii="Arial" w:cs="Arial" w:eastAsia="Arial" w:hAnsi="Arial"/>
          <w:sz w:val="17"/>
          <w:szCs w:val="17"/>
          <w:color w:val="auto"/>
        </w:rPr>
      </w:pPr>
    </w:p>
    <w:p>
      <w:pPr>
        <w:ind w:left="1800" w:right="739" w:hanging="180"/>
        <w:spacing w:after="0" w:line="308" w:lineRule="auto"/>
        <w:tabs>
          <w:tab w:leader="none" w:pos="1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supports our long-term business strategy, while rewarding our executive team for their individual accomplishments with tailored individual executive compensation metrics and incentives; and</w:t>
      </w:r>
    </w:p>
    <w:p>
      <w:pPr>
        <w:spacing w:after="0" w:line="65" w:lineRule="exact"/>
        <w:rPr>
          <w:rFonts w:ascii="Arial" w:cs="Arial" w:eastAsia="Arial" w:hAnsi="Arial"/>
          <w:sz w:val="17"/>
          <w:szCs w:val="17"/>
          <w:color w:val="auto"/>
        </w:rPr>
      </w:pPr>
    </w:p>
    <w:p>
      <w:pPr>
        <w:ind w:left="1800" w:right="1239" w:hanging="180"/>
        <w:spacing w:after="0" w:line="27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provides a competitive compensation opportunity while aligning with market standards for compensation.</w:t>
      </w:r>
    </w:p>
    <w:p>
      <w:pPr>
        <w:spacing w:after="0" w:line="103"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The Compensation Committee’s objectives are achieved through the use of both short-term and long-term incentives. The Company currently targets total direct compensation at the median of our Compensation Peer Group (defined below), as described below under “Elements of Compensation.”</w:t>
      </w:r>
    </w:p>
    <w:p>
      <w:pPr>
        <w:spacing w:after="0" w:line="18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THE COMPENSATION PROCESS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CONSULTANT</w:t>
      </w:r>
    </w:p>
    <w:p>
      <w:pPr>
        <w:spacing w:after="0" w:line="148"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7"/>
          <w:szCs w:val="17"/>
          <w:color w:val="auto"/>
        </w:rPr>
        <w:t>Pursuant to its charter, the Compensation Committee is authorized to engage, at the expense of the Company, a compensation consultant to provide independent advice, support and expertise to assist the Compensation Committee in overseeing and reviewing our overall executive compensation strategy, structure, policies and programs, and to assess whether our compensation structure establishes appropriate incentives for management and other key employees. Pay Governance has been the Compensation Committee’s independent compensation consultant since August 2020, and Pay Governance has continued to serve in that capacity to the present date. Pay Governance worked with the Compensation Committee to formulate the design of the executive and director compensation programs for 2022. As part of its work with the Compensation Committee, Pay Governance provided reports to the Compensation Committee containing research, market data, survey information and information regarding trends and developments in executive and director compensation, and Pay Governance reported directly to the Compensation Committee. Neither Pay Governance, nor any of their affiliates provided any other services for us or any of our affiliates in</w:t>
      </w:r>
    </w:p>
    <w:p>
      <w:pPr>
        <w:spacing w:after="0" w:line="7" w:lineRule="exact"/>
        <w:rPr>
          <w:sz w:val="20"/>
          <w:szCs w:val="20"/>
          <w:color w:val="auto"/>
        </w:rPr>
      </w:pPr>
    </w:p>
    <w:p>
      <w:pPr>
        <w:jc w:val="both"/>
        <w:ind w:left="1260" w:right="659"/>
        <w:spacing w:after="0" w:line="271" w:lineRule="auto"/>
        <w:rPr>
          <w:sz w:val="20"/>
          <w:szCs w:val="20"/>
          <w:color w:val="auto"/>
        </w:rPr>
      </w:pPr>
      <w:r>
        <w:rPr>
          <w:rFonts w:ascii="Arial" w:cs="Arial" w:eastAsia="Arial" w:hAnsi="Arial"/>
          <w:sz w:val="18"/>
          <w:szCs w:val="18"/>
          <w:color w:val="auto"/>
        </w:rPr>
        <w:t>2022. In accordance with SEC rules and requirements, the Company has affirmatively determined that no conflicts of interest exist between the Company and Pay Governance (or any individuals working on the Company’s account on behalf of Pay Governance).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PEER GROUP ANALYSIS</w:t>
      </w:r>
    </w:p>
    <w:p>
      <w:pPr>
        <w:spacing w:after="0" w:line="162" w:lineRule="exact"/>
        <w:rPr>
          <w:sz w:val="20"/>
          <w:szCs w:val="20"/>
          <w:color w:val="auto"/>
        </w:rPr>
      </w:pPr>
    </w:p>
    <w:p>
      <w:pPr>
        <w:ind w:left="1260" w:right="559" w:firstLine="360"/>
        <w:spacing w:after="0" w:line="283" w:lineRule="auto"/>
        <w:rPr>
          <w:sz w:val="20"/>
          <w:szCs w:val="20"/>
          <w:color w:val="auto"/>
        </w:rPr>
      </w:pPr>
      <w:r>
        <w:rPr>
          <w:rFonts w:ascii="Arial" w:cs="Arial" w:eastAsia="Arial" w:hAnsi="Arial"/>
          <w:sz w:val="17"/>
          <w:szCs w:val="17"/>
          <w:color w:val="auto"/>
        </w:rPr>
        <w:t>The Compensation Committee, with support from its independent compensation consultant, identifies the most appropriate comparator group within relevant industries for purposes of benchmarking compensation. The Compensation Committee aims to compare our compensation program to a consistent peer group year-to-year but given the dynamic nature of our industry and the companies that constitute it, the Compensation Committee annually examines the peer group for appropriateness in terms of size, complexity, and industry. As a result of such annual review, the Compensation Committee identified a new peer group for compensation benchmarking purposes in 2022 (the “Compensation Peer Group”).</w:t>
      </w:r>
    </w:p>
    <w:p>
      <w:pPr>
        <w:spacing w:after="0" w:line="101"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For these purposes, the Compensation Peer Group, comprised of similarly sized publicly owned energy and utility companies, is identified below.</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220" w:type="dxa"/>
            <w:vAlign w:val="bottom"/>
          </w:tcPr>
          <w:p>
            <w:pPr>
              <w:spacing w:after="0"/>
              <w:rPr>
                <w:sz w:val="19"/>
                <w:szCs w:val="19"/>
                <w:color w:val="auto"/>
              </w:rPr>
            </w:pPr>
          </w:p>
        </w:tc>
        <w:tc>
          <w:tcPr>
            <w:tcW w:w="12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Ticker</w:t>
            </w:r>
          </w:p>
        </w:tc>
        <w:tc>
          <w:tcPr>
            <w:tcW w:w="220" w:type="dxa"/>
            <w:vAlign w:val="bottom"/>
          </w:tcPr>
          <w:p>
            <w:pPr>
              <w:spacing w:after="0"/>
              <w:rPr>
                <w:sz w:val="19"/>
                <w:szCs w:val="19"/>
                <w:color w:val="auto"/>
              </w:rPr>
            </w:pPr>
          </w:p>
        </w:tc>
        <w:tc>
          <w:tcPr>
            <w:tcW w:w="218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Company</w:t>
            </w:r>
          </w:p>
        </w:tc>
        <w:tc>
          <w:tcPr>
            <w:tcW w:w="200" w:type="dxa"/>
            <w:vAlign w:val="bottom"/>
          </w:tcPr>
          <w:p>
            <w:pPr>
              <w:spacing w:after="0"/>
              <w:rPr>
                <w:sz w:val="19"/>
                <w:szCs w:val="19"/>
                <w:color w:val="auto"/>
              </w:rPr>
            </w:pPr>
          </w:p>
        </w:tc>
        <w:tc>
          <w:tcPr>
            <w:tcW w:w="14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Ticker</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50"/>
        </w:trPr>
        <w:tc>
          <w:tcPr>
            <w:tcW w:w="2660" w:type="dxa"/>
            <w:vAlign w:val="bottom"/>
          </w:tcPr>
          <w:p>
            <w:pPr>
              <w:spacing w:after="0"/>
              <w:rPr>
                <w:sz w:val="20"/>
                <w:szCs w:val="20"/>
                <w:color w:val="auto"/>
              </w:rPr>
            </w:pPr>
            <w:r>
              <w:rPr>
                <w:rFonts w:ascii="Arial" w:cs="Arial" w:eastAsia="Arial" w:hAnsi="Arial"/>
                <w:sz w:val="18"/>
                <w:szCs w:val="18"/>
                <w:color w:val="auto"/>
                <w:w w:val="99"/>
              </w:rPr>
              <w:t>Algonquin Power &amp; Utilities Corp.</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NYSE: AQN</w:t>
            </w:r>
          </w:p>
        </w:tc>
        <w:tc>
          <w:tcPr>
            <w:tcW w:w="2600" w:type="dxa"/>
            <w:vAlign w:val="bottom"/>
            <w:gridSpan w:val="3"/>
          </w:tcPr>
          <w:p>
            <w:pPr>
              <w:ind w:left="220"/>
              <w:spacing w:after="0"/>
              <w:rPr>
                <w:sz w:val="20"/>
                <w:szCs w:val="20"/>
                <w:color w:val="auto"/>
              </w:rPr>
            </w:pPr>
            <w:r>
              <w:rPr>
                <w:rFonts w:ascii="Arial" w:cs="Arial" w:eastAsia="Arial" w:hAnsi="Arial"/>
                <w:sz w:val="18"/>
                <w:szCs w:val="18"/>
                <w:color w:val="auto"/>
              </w:rPr>
              <w:t>MGE Energy, Inc.</w:t>
            </w:r>
          </w:p>
        </w:tc>
        <w:tc>
          <w:tcPr>
            <w:tcW w:w="1460" w:type="dxa"/>
            <w:vAlign w:val="bottom"/>
          </w:tcPr>
          <w:p>
            <w:pPr>
              <w:ind w:left="20"/>
              <w:spacing w:after="0"/>
              <w:rPr>
                <w:sz w:val="20"/>
                <w:szCs w:val="20"/>
                <w:color w:val="auto"/>
              </w:rPr>
            </w:pPr>
            <w:r>
              <w:rPr>
                <w:rFonts w:ascii="Arial" w:cs="Arial" w:eastAsia="Arial" w:hAnsi="Arial"/>
                <w:sz w:val="18"/>
                <w:szCs w:val="18"/>
                <w:color w:val="auto"/>
              </w:rPr>
              <w:t>NASDAQ: MGEE</w:t>
            </w:r>
          </w:p>
        </w:tc>
        <w:tc>
          <w:tcPr>
            <w:tcW w:w="40" w:type="dxa"/>
            <w:vAlign w:val="bottom"/>
          </w:tcPr>
          <w:p>
            <w:pPr>
              <w:spacing w:after="0"/>
              <w:rPr>
                <w:sz w:val="21"/>
                <w:szCs w:val="21"/>
                <w:color w:val="auto"/>
              </w:rPr>
            </w:pPr>
          </w:p>
        </w:tc>
      </w:tr>
      <w:tr>
        <w:trPr>
          <w:trHeight w:val="257"/>
        </w:trPr>
        <w:tc>
          <w:tcPr>
            <w:tcW w:w="2660" w:type="dxa"/>
            <w:vAlign w:val="bottom"/>
          </w:tcPr>
          <w:p>
            <w:pPr>
              <w:spacing w:after="0"/>
              <w:rPr>
                <w:sz w:val="20"/>
                <w:szCs w:val="20"/>
                <w:color w:val="auto"/>
              </w:rPr>
            </w:pPr>
            <w:r>
              <w:rPr>
                <w:rFonts w:ascii="Arial" w:cs="Arial" w:eastAsia="Arial" w:hAnsi="Arial"/>
                <w:sz w:val="18"/>
                <w:szCs w:val="18"/>
                <w:color w:val="auto"/>
              </w:rPr>
              <w:t>Alliant Energy Corporation</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NASDAQ: LNT</w:t>
            </w:r>
          </w:p>
        </w:tc>
        <w:tc>
          <w:tcPr>
            <w:tcW w:w="2600" w:type="dxa"/>
            <w:vAlign w:val="bottom"/>
            <w:gridSpan w:val="3"/>
          </w:tcPr>
          <w:p>
            <w:pPr>
              <w:ind w:left="220"/>
              <w:spacing w:after="0"/>
              <w:rPr>
                <w:sz w:val="20"/>
                <w:szCs w:val="20"/>
                <w:color w:val="auto"/>
              </w:rPr>
            </w:pPr>
            <w:r>
              <w:rPr>
                <w:rFonts w:ascii="Arial" w:cs="Arial" w:eastAsia="Arial" w:hAnsi="Arial"/>
                <w:sz w:val="18"/>
                <w:szCs w:val="18"/>
                <w:color w:val="auto"/>
              </w:rPr>
              <w:t>Northland Power Inc.</w:t>
            </w:r>
          </w:p>
        </w:tc>
        <w:tc>
          <w:tcPr>
            <w:tcW w:w="1460" w:type="dxa"/>
            <w:vAlign w:val="bottom"/>
          </w:tcPr>
          <w:p>
            <w:pPr>
              <w:ind w:left="20"/>
              <w:spacing w:after="0"/>
              <w:rPr>
                <w:sz w:val="20"/>
                <w:szCs w:val="20"/>
                <w:color w:val="auto"/>
              </w:rPr>
            </w:pPr>
            <w:r>
              <w:rPr>
                <w:rFonts w:ascii="Arial" w:cs="Arial" w:eastAsia="Arial" w:hAnsi="Arial"/>
                <w:sz w:val="18"/>
                <w:szCs w:val="18"/>
                <w:color w:val="auto"/>
              </w:rPr>
              <w:t>TSX: NPI</w:t>
            </w:r>
          </w:p>
        </w:tc>
        <w:tc>
          <w:tcPr>
            <w:tcW w:w="40" w:type="dxa"/>
            <w:vAlign w:val="bottom"/>
          </w:tcPr>
          <w:p>
            <w:pPr>
              <w:spacing w:after="0"/>
              <w:rPr>
                <w:sz w:val="22"/>
                <w:szCs w:val="22"/>
                <w:color w:val="auto"/>
              </w:rPr>
            </w:pPr>
          </w:p>
        </w:tc>
      </w:tr>
      <w:tr>
        <w:trPr>
          <w:trHeight w:val="257"/>
        </w:trPr>
        <w:tc>
          <w:tcPr>
            <w:tcW w:w="2660" w:type="dxa"/>
            <w:vAlign w:val="bottom"/>
          </w:tcPr>
          <w:p>
            <w:pPr>
              <w:spacing w:after="0"/>
              <w:rPr>
                <w:sz w:val="20"/>
                <w:szCs w:val="20"/>
                <w:color w:val="auto"/>
              </w:rPr>
            </w:pPr>
            <w:r>
              <w:rPr>
                <w:rFonts w:ascii="Arial" w:cs="Arial" w:eastAsia="Arial" w:hAnsi="Arial"/>
                <w:sz w:val="18"/>
                <w:szCs w:val="18"/>
                <w:color w:val="auto"/>
              </w:rPr>
              <w:t>Atmos Energy Corporation</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NYSE: ATO</w:t>
            </w:r>
          </w:p>
        </w:tc>
        <w:tc>
          <w:tcPr>
            <w:tcW w:w="2600" w:type="dxa"/>
            <w:vAlign w:val="bottom"/>
            <w:gridSpan w:val="3"/>
          </w:tcPr>
          <w:p>
            <w:pPr>
              <w:ind w:left="220"/>
              <w:spacing w:after="0"/>
              <w:rPr>
                <w:sz w:val="20"/>
                <w:szCs w:val="20"/>
                <w:color w:val="auto"/>
              </w:rPr>
            </w:pPr>
            <w:r>
              <w:rPr>
                <w:rFonts w:ascii="Arial" w:cs="Arial" w:eastAsia="Arial" w:hAnsi="Arial"/>
                <w:sz w:val="18"/>
                <w:szCs w:val="18"/>
                <w:color w:val="auto"/>
              </w:rPr>
              <w:t>NorthWestern Corporation</w:t>
            </w:r>
          </w:p>
        </w:tc>
        <w:tc>
          <w:tcPr>
            <w:tcW w:w="1460" w:type="dxa"/>
            <w:vAlign w:val="bottom"/>
          </w:tcPr>
          <w:p>
            <w:pPr>
              <w:ind w:left="20"/>
              <w:spacing w:after="0"/>
              <w:rPr>
                <w:sz w:val="20"/>
                <w:szCs w:val="20"/>
                <w:color w:val="auto"/>
              </w:rPr>
            </w:pPr>
            <w:r>
              <w:rPr>
                <w:rFonts w:ascii="Arial" w:cs="Arial" w:eastAsia="Arial" w:hAnsi="Arial"/>
                <w:sz w:val="18"/>
                <w:szCs w:val="18"/>
                <w:color w:val="auto"/>
              </w:rPr>
              <w:t>NYSE: NWE</w:t>
            </w:r>
          </w:p>
        </w:tc>
        <w:tc>
          <w:tcPr>
            <w:tcW w:w="40" w:type="dxa"/>
            <w:vAlign w:val="bottom"/>
          </w:tcPr>
          <w:p>
            <w:pPr>
              <w:spacing w:after="0"/>
              <w:rPr>
                <w:sz w:val="22"/>
                <w:szCs w:val="22"/>
                <w:color w:val="auto"/>
              </w:rPr>
            </w:pPr>
          </w:p>
        </w:tc>
      </w:tr>
      <w:tr>
        <w:trPr>
          <w:trHeight w:val="256"/>
        </w:trPr>
        <w:tc>
          <w:tcPr>
            <w:tcW w:w="2660" w:type="dxa"/>
            <w:vAlign w:val="bottom"/>
          </w:tcPr>
          <w:p>
            <w:pPr>
              <w:spacing w:after="0"/>
              <w:rPr>
                <w:sz w:val="20"/>
                <w:szCs w:val="20"/>
                <w:color w:val="auto"/>
              </w:rPr>
            </w:pPr>
            <w:r>
              <w:rPr>
                <w:rFonts w:ascii="Arial" w:cs="Arial" w:eastAsia="Arial" w:hAnsi="Arial"/>
                <w:sz w:val="18"/>
                <w:szCs w:val="18"/>
                <w:color w:val="auto"/>
              </w:rPr>
              <w:t>Avista Corporation</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NYSE: AVA</w:t>
            </w:r>
          </w:p>
        </w:tc>
        <w:tc>
          <w:tcPr>
            <w:tcW w:w="2600" w:type="dxa"/>
            <w:vAlign w:val="bottom"/>
            <w:gridSpan w:val="3"/>
          </w:tcPr>
          <w:p>
            <w:pPr>
              <w:ind w:left="220"/>
              <w:spacing w:after="0"/>
              <w:rPr>
                <w:sz w:val="20"/>
                <w:szCs w:val="20"/>
                <w:color w:val="auto"/>
              </w:rPr>
            </w:pPr>
            <w:r>
              <w:rPr>
                <w:rFonts w:ascii="Arial" w:cs="Arial" w:eastAsia="Arial" w:hAnsi="Arial"/>
                <w:sz w:val="18"/>
                <w:szCs w:val="18"/>
                <w:color w:val="auto"/>
              </w:rPr>
              <w:t>Ormat Technologies, Inc.</w:t>
            </w:r>
          </w:p>
        </w:tc>
        <w:tc>
          <w:tcPr>
            <w:tcW w:w="1460" w:type="dxa"/>
            <w:vAlign w:val="bottom"/>
          </w:tcPr>
          <w:p>
            <w:pPr>
              <w:ind w:left="20"/>
              <w:spacing w:after="0"/>
              <w:rPr>
                <w:sz w:val="20"/>
                <w:szCs w:val="20"/>
                <w:color w:val="auto"/>
              </w:rPr>
            </w:pPr>
            <w:r>
              <w:rPr>
                <w:rFonts w:ascii="Arial" w:cs="Arial" w:eastAsia="Arial" w:hAnsi="Arial"/>
                <w:sz w:val="18"/>
                <w:szCs w:val="18"/>
                <w:color w:val="auto"/>
              </w:rPr>
              <w:t>NYSE: ORA</w:t>
            </w:r>
          </w:p>
        </w:tc>
        <w:tc>
          <w:tcPr>
            <w:tcW w:w="40" w:type="dxa"/>
            <w:vAlign w:val="bottom"/>
          </w:tcPr>
          <w:p>
            <w:pPr>
              <w:spacing w:after="0"/>
              <w:rPr>
                <w:sz w:val="22"/>
                <w:szCs w:val="22"/>
                <w:color w:val="auto"/>
              </w:rPr>
            </w:pPr>
          </w:p>
        </w:tc>
      </w:tr>
      <w:tr>
        <w:trPr>
          <w:trHeight w:val="229"/>
        </w:trPr>
        <w:tc>
          <w:tcPr>
            <w:tcW w:w="2660" w:type="dxa"/>
            <w:vAlign w:val="bottom"/>
          </w:tcPr>
          <w:p>
            <w:pPr>
              <w:spacing w:after="0"/>
              <w:rPr>
                <w:sz w:val="20"/>
                <w:szCs w:val="20"/>
                <w:color w:val="auto"/>
              </w:rPr>
            </w:pPr>
            <w:r>
              <w:rPr>
                <w:rFonts w:ascii="Arial" w:cs="Arial" w:eastAsia="Arial" w:hAnsi="Arial"/>
                <w:sz w:val="18"/>
                <w:szCs w:val="18"/>
                <w:color w:val="auto"/>
              </w:rPr>
              <w:t>Black Hills Corporation</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NYSE: BKH</w:t>
            </w:r>
          </w:p>
        </w:tc>
        <w:tc>
          <w:tcPr>
            <w:tcW w:w="2600" w:type="dxa"/>
            <w:vAlign w:val="bottom"/>
            <w:gridSpan w:val="3"/>
          </w:tcPr>
          <w:p>
            <w:pPr>
              <w:ind w:left="220"/>
              <w:spacing w:after="0"/>
              <w:rPr>
                <w:sz w:val="20"/>
                <w:szCs w:val="20"/>
                <w:color w:val="auto"/>
              </w:rPr>
            </w:pPr>
            <w:r>
              <w:rPr>
                <w:rFonts w:ascii="Arial" w:cs="Arial" w:eastAsia="Arial" w:hAnsi="Arial"/>
                <w:sz w:val="18"/>
                <w:szCs w:val="18"/>
                <w:color w:val="auto"/>
              </w:rPr>
              <w:t>Portland General Electric</w:t>
            </w:r>
          </w:p>
        </w:tc>
        <w:tc>
          <w:tcPr>
            <w:tcW w:w="1460" w:type="dxa"/>
            <w:vAlign w:val="bottom"/>
          </w:tcPr>
          <w:p>
            <w:pPr>
              <w:ind w:left="20"/>
              <w:spacing w:after="0"/>
              <w:rPr>
                <w:sz w:val="20"/>
                <w:szCs w:val="20"/>
                <w:color w:val="auto"/>
              </w:rPr>
            </w:pPr>
            <w:r>
              <w:rPr>
                <w:rFonts w:ascii="Arial" w:cs="Arial" w:eastAsia="Arial" w:hAnsi="Arial"/>
                <w:sz w:val="18"/>
                <w:szCs w:val="18"/>
                <w:color w:val="auto"/>
              </w:rPr>
              <w:t>NYSE: POR</w:t>
            </w:r>
          </w:p>
        </w:tc>
        <w:tc>
          <w:tcPr>
            <w:tcW w:w="40" w:type="dxa"/>
            <w:vAlign w:val="bottom"/>
          </w:tcPr>
          <w:p>
            <w:pPr>
              <w:spacing w:after="0"/>
              <w:rPr>
                <w:sz w:val="19"/>
                <w:szCs w:val="19"/>
                <w:color w:val="auto"/>
              </w:rPr>
            </w:pPr>
          </w:p>
        </w:tc>
      </w:tr>
      <w:tr>
        <w:trPr>
          <w:trHeight w:val="230"/>
        </w:trPr>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0" w:type="dxa"/>
            <w:vAlign w:val="bottom"/>
            <w:gridSpan w:val="3"/>
          </w:tcPr>
          <w:p>
            <w:pPr>
              <w:ind w:left="220"/>
              <w:spacing w:after="0"/>
              <w:rPr>
                <w:sz w:val="20"/>
                <w:szCs w:val="20"/>
                <w:color w:val="auto"/>
              </w:rPr>
            </w:pPr>
            <w:r>
              <w:rPr>
                <w:rFonts w:ascii="Arial" w:cs="Arial" w:eastAsia="Arial" w:hAnsi="Arial"/>
                <w:sz w:val="18"/>
                <w:szCs w:val="18"/>
                <w:color w:val="auto"/>
              </w:rPr>
              <w:t>Company</w:t>
            </w: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3"/>
        </w:trPr>
        <w:tc>
          <w:tcPr>
            <w:tcW w:w="2660" w:type="dxa"/>
            <w:vAlign w:val="bottom"/>
          </w:tcPr>
          <w:p>
            <w:pPr>
              <w:spacing w:after="0"/>
              <w:rPr>
                <w:sz w:val="20"/>
                <w:szCs w:val="20"/>
                <w:color w:val="auto"/>
              </w:rPr>
            </w:pPr>
            <w:r>
              <w:rPr>
                <w:rFonts w:ascii="Arial" w:cs="Arial" w:eastAsia="Arial" w:hAnsi="Arial"/>
                <w:sz w:val="18"/>
                <w:szCs w:val="18"/>
                <w:color w:val="auto"/>
              </w:rPr>
              <w:t>Covanta Holding Corporation</w:t>
            </w:r>
            <w:r>
              <w:rPr>
                <w:rFonts w:ascii="Arial" w:cs="Arial" w:eastAsia="Arial" w:hAnsi="Arial"/>
                <w:sz w:val="23"/>
                <w:szCs w:val="23"/>
                <w:color w:val="auto"/>
                <w:vertAlign w:val="superscript"/>
              </w:rPr>
              <w:t>(1)</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NYSE: CVA</w:t>
            </w:r>
          </w:p>
        </w:tc>
        <w:tc>
          <w:tcPr>
            <w:tcW w:w="2600" w:type="dxa"/>
            <w:vAlign w:val="bottom"/>
            <w:gridSpan w:val="3"/>
          </w:tcPr>
          <w:p>
            <w:pPr>
              <w:ind w:left="220"/>
              <w:spacing w:after="0"/>
              <w:rPr>
                <w:sz w:val="20"/>
                <w:szCs w:val="20"/>
                <w:color w:val="auto"/>
              </w:rPr>
            </w:pPr>
            <w:r>
              <w:rPr>
                <w:rFonts w:ascii="Arial" w:cs="Arial" w:eastAsia="Arial" w:hAnsi="Arial"/>
                <w:sz w:val="18"/>
                <w:szCs w:val="18"/>
                <w:color w:val="auto"/>
              </w:rPr>
              <w:t>South Jersey Industries, Inc.</w:t>
            </w:r>
          </w:p>
        </w:tc>
        <w:tc>
          <w:tcPr>
            <w:tcW w:w="1460" w:type="dxa"/>
            <w:vAlign w:val="bottom"/>
          </w:tcPr>
          <w:p>
            <w:pPr>
              <w:ind w:left="20"/>
              <w:spacing w:after="0"/>
              <w:rPr>
                <w:sz w:val="20"/>
                <w:szCs w:val="20"/>
                <w:color w:val="auto"/>
              </w:rPr>
            </w:pPr>
            <w:r>
              <w:rPr>
                <w:rFonts w:ascii="Arial" w:cs="Arial" w:eastAsia="Arial" w:hAnsi="Arial"/>
                <w:sz w:val="18"/>
                <w:szCs w:val="18"/>
                <w:color w:val="auto"/>
              </w:rPr>
              <w:t>NYSE: SJI</w:t>
            </w:r>
          </w:p>
        </w:tc>
        <w:tc>
          <w:tcPr>
            <w:tcW w:w="40" w:type="dxa"/>
            <w:vAlign w:val="bottom"/>
          </w:tcPr>
          <w:p>
            <w:pPr>
              <w:spacing w:after="0"/>
              <w:rPr>
                <w:sz w:val="24"/>
                <w:szCs w:val="24"/>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w w:val="99"/>
              </w:rPr>
              <w:t>Equitrans Midstream Corporation</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NYSE: ETRN</w:t>
            </w:r>
          </w:p>
        </w:tc>
        <w:tc>
          <w:tcPr>
            <w:tcW w:w="2600" w:type="dxa"/>
            <w:vAlign w:val="bottom"/>
            <w:gridSpan w:val="3"/>
          </w:tcPr>
          <w:p>
            <w:pPr>
              <w:ind w:left="220"/>
              <w:spacing w:after="0"/>
              <w:rPr>
                <w:sz w:val="20"/>
                <w:szCs w:val="20"/>
                <w:color w:val="auto"/>
              </w:rPr>
            </w:pPr>
            <w:r>
              <w:rPr>
                <w:rFonts w:ascii="Arial" w:cs="Arial" w:eastAsia="Arial" w:hAnsi="Arial"/>
                <w:sz w:val="18"/>
                <w:szCs w:val="18"/>
                <w:color w:val="auto"/>
              </w:rPr>
              <w:t>TransAltaCorporation</w:t>
            </w:r>
          </w:p>
        </w:tc>
        <w:tc>
          <w:tcPr>
            <w:tcW w:w="1460" w:type="dxa"/>
            <w:vAlign w:val="bottom"/>
          </w:tcPr>
          <w:p>
            <w:pPr>
              <w:ind w:left="20"/>
              <w:spacing w:after="0"/>
              <w:rPr>
                <w:sz w:val="20"/>
                <w:szCs w:val="20"/>
                <w:color w:val="auto"/>
              </w:rPr>
            </w:pPr>
            <w:r>
              <w:rPr>
                <w:rFonts w:ascii="Arial" w:cs="Arial" w:eastAsia="Arial" w:hAnsi="Arial"/>
                <w:sz w:val="18"/>
                <w:szCs w:val="18"/>
                <w:color w:val="auto"/>
              </w:rPr>
              <w:t>NYSE: TAC</w:t>
            </w:r>
          </w:p>
        </w:tc>
        <w:tc>
          <w:tcPr>
            <w:tcW w:w="40" w:type="dxa"/>
            <w:vAlign w:val="bottom"/>
          </w:tcPr>
          <w:p>
            <w:pPr>
              <w:spacing w:after="0"/>
              <w:rPr>
                <w:sz w:val="20"/>
                <w:szCs w:val="20"/>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Genesis Energy, L.P.</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NYSE: GEL</w:t>
            </w:r>
          </w:p>
        </w:tc>
        <w:tc>
          <w:tcPr>
            <w:tcW w:w="2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Innergex Renewable Energy Inc.</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TSX: INE</w:t>
            </w:r>
          </w:p>
        </w:tc>
        <w:tc>
          <w:tcPr>
            <w:tcW w:w="2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1" w:lineRule="exact"/>
        <w:rPr>
          <w:sz w:val="20"/>
          <w:szCs w:val="20"/>
          <w:color w:val="auto"/>
        </w:rPr>
      </w:pPr>
    </w:p>
    <w:p>
      <w:pPr>
        <w:ind w:left="1620" w:right="1420" w:hanging="360"/>
        <w:spacing w:after="0" w:line="279" w:lineRule="auto"/>
        <w:tabs>
          <w:tab w:leader="none" w:pos="1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Covanta Holding Corporation was acquired by the EQT Infrastructure V Fund in November 2021 and was delisted, but was included by Pay Governance as part of its 2022 compensation benchmarking analysis, and for that reason, Covanta Holding Corporation is included in the Compensation Peer Group for 2022 but will not be part of the Compensation Peer Group for 2023 or going forward.</w:t>
      </w:r>
    </w:p>
    <w:p>
      <w:pPr>
        <w:spacing w:after="0" w:line="90" w:lineRule="exact"/>
        <w:rPr>
          <w:sz w:val="20"/>
          <w:szCs w:val="20"/>
          <w:color w:val="auto"/>
        </w:rPr>
      </w:pPr>
    </w:p>
    <w:p>
      <w:pPr>
        <w:ind w:left="1260" w:right="1300" w:firstLine="360"/>
        <w:spacing w:after="0" w:line="244" w:lineRule="auto"/>
        <w:rPr>
          <w:sz w:val="20"/>
          <w:szCs w:val="20"/>
          <w:color w:val="auto"/>
        </w:rPr>
      </w:pPr>
      <w:r>
        <w:rPr>
          <w:rFonts w:ascii="Arial" w:cs="Arial" w:eastAsia="Arial" w:hAnsi="Arial"/>
          <w:sz w:val="18"/>
          <w:szCs w:val="18"/>
          <w:color w:val="auto"/>
        </w:rPr>
        <w:t>For the purposes of determining appropriate NEO pay levels for 2022, the Compensation Committee reviewed NEO compensation from peers, where available and appropriate (e.g., based on an NEO’s position and duties). To supplement this analysis, the Compensation Committee reviewed relevant third-party survey data and considered the recommendations of the CEO on NEO and employee compensation matters not involving the CEO. The Compensation Committee may accept or adjust such CEO recommendations at its discretion. The NEOs did not participate in Compensation Committee discussions regarding their own compensation.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ELEMENTS OF COMPENSATION</w:t>
      </w:r>
    </w:p>
    <w:p>
      <w:pPr>
        <w:spacing w:after="0" w:line="148" w:lineRule="exact"/>
        <w:rPr>
          <w:sz w:val="20"/>
          <w:szCs w:val="20"/>
          <w:color w:val="auto"/>
        </w:rPr>
      </w:pPr>
    </w:p>
    <w:p>
      <w:pPr>
        <w:ind w:left="1260" w:right="1460" w:firstLine="360"/>
        <w:spacing w:after="0" w:line="266" w:lineRule="auto"/>
        <w:rPr>
          <w:sz w:val="20"/>
          <w:szCs w:val="20"/>
          <w:color w:val="auto"/>
        </w:rPr>
      </w:pPr>
      <w:r>
        <w:rPr>
          <w:rFonts w:ascii="Arial" w:cs="Arial" w:eastAsia="Arial" w:hAnsi="Arial"/>
          <w:sz w:val="17"/>
          <w:szCs w:val="17"/>
          <w:color w:val="auto"/>
        </w:rPr>
        <w:t>Our compensation program for our NEOs consists of fixed compensation (base salary), performance-based compensation (AIP bonus and RPSUs) and time-based compensation (RSUs). We use the</w:t>
      </w:r>
    </w:p>
    <w:p>
      <w:pPr>
        <w:spacing w:after="0" w:line="1" w:lineRule="exact"/>
        <w:rPr>
          <w:sz w:val="20"/>
          <w:szCs w:val="20"/>
          <w:color w:val="auto"/>
        </w:rPr>
      </w:pPr>
    </w:p>
    <w:p>
      <w:pPr>
        <w:ind w:left="1260" w:right="1300"/>
        <w:spacing w:after="0" w:line="242" w:lineRule="auto"/>
        <w:rPr>
          <w:sz w:val="20"/>
          <w:szCs w:val="20"/>
          <w:color w:val="auto"/>
        </w:rPr>
      </w:pPr>
      <w:r>
        <w:rPr>
          <w:rFonts w:ascii="Arial" w:cs="Arial" w:eastAsia="Arial" w:hAnsi="Arial"/>
          <w:sz w:val="18"/>
          <w:szCs w:val="18"/>
          <w:color w:val="auto"/>
        </w:rPr>
        <w:t>median percentile of our Compensation Peer Group as a guidepost in establishing the targeted levels of total direct compensation (cash and equity) for our NEOs. We expect that, over time, targeted total direct compensation for our NEOs will continue to approximate the median of our Compensation Peer Group. Realized pay in a given year depends on the achievement of defined performance-based compensation metrics. While a portion of our NEOs’ compensation is fixed, a significant percentage is at-risk and payable and/or realizable only if certain performance objectives are met.</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BASE SALARY</w:t>
      </w:r>
    </w:p>
    <w:p>
      <w:pPr>
        <w:spacing w:after="0" w:line="162" w:lineRule="exact"/>
        <w:rPr>
          <w:sz w:val="20"/>
          <w:szCs w:val="20"/>
          <w:color w:val="auto"/>
        </w:rPr>
      </w:pPr>
    </w:p>
    <w:p>
      <w:pPr>
        <w:ind w:left="1260" w:right="1300" w:firstLine="360"/>
        <w:spacing w:after="0" w:line="277" w:lineRule="auto"/>
        <w:rPr>
          <w:sz w:val="20"/>
          <w:szCs w:val="20"/>
          <w:color w:val="auto"/>
        </w:rPr>
      </w:pPr>
      <w:r>
        <w:rPr>
          <w:rFonts w:ascii="Arial" w:cs="Arial" w:eastAsia="Arial" w:hAnsi="Arial"/>
          <w:sz w:val="16"/>
          <w:szCs w:val="16"/>
          <w:color w:val="auto"/>
        </w:rPr>
        <w:t>Base salary compensates NEOs for their level of experience and position responsibilities and for the continued expectation of superior performance. Recommendations on increases to base salary take into account, among other factors, the NEO’s individual performance, the general contributions of the NEO to overall corporate performance, the level of responsibility of the NEO with respect to his or her specific position, and the NEO’s current base salary level compared to the market median. Mr. Sotos received a base salary increases in 2022 based on his performance and peer group benchmarking. Messrs. Malcarney and Plotkin and Ms. Rubenstein received base salary increases in 2022 based on their promotions, performance and peer group benchmarking. The base salary for each NEO for fiscal year 2022 is set forth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2022 Annualized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b w:val="1"/>
                <w:bCs w:val="1"/>
                <w:color w:val="auto"/>
                <w:w w:val="85"/>
              </w:rPr>
              <w:t>Percentage Increase</w:t>
            </w:r>
          </w:p>
        </w:tc>
        <w:tc>
          <w:tcPr>
            <w:tcW w:w="1260" w:type="dxa"/>
            <w:vAlign w:val="bottom"/>
          </w:tcPr>
          <w:p>
            <w:pPr>
              <w:spacing w:after="0"/>
              <w:rPr>
                <w:sz w:val="14"/>
                <w:szCs w:val="14"/>
                <w:color w:val="auto"/>
              </w:rPr>
            </w:pPr>
          </w:p>
        </w:tc>
      </w:tr>
      <w:tr>
        <w:trPr>
          <w:trHeight w:val="225"/>
        </w:trPr>
        <w:tc>
          <w:tcPr>
            <w:tcW w:w="1260" w:type="dxa"/>
            <w:vAlign w:val="bottom"/>
          </w:tcPr>
          <w:p>
            <w:pPr>
              <w:spacing w:after="0"/>
              <w:rPr>
                <w:sz w:val="19"/>
                <w:szCs w:val="19"/>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26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Base Salary ($)</w:t>
            </w:r>
            <w:r>
              <w:rPr>
                <w:rFonts w:ascii="Arial" w:cs="Arial" w:eastAsia="Arial" w:hAnsi="Arial"/>
                <w:sz w:val="17"/>
                <w:szCs w:val="17"/>
                <w:b w:val="1"/>
                <w:bCs w:val="1"/>
                <w:color w:val="auto"/>
                <w:w w:val="87"/>
                <w:vertAlign w:val="superscript"/>
              </w:rPr>
              <w:t>(1)</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7"/>
              </w:rPr>
              <w:t>Over 2021 (%)</w:t>
            </w:r>
            <w:r>
              <w:rPr>
                <w:rFonts w:ascii="Arial" w:cs="Arial" w:eastAsia="Arial" w:hAnsi="Arial"/>
                <w:sz w:val="17"/>
                <w:szCs w:val="17"/>
                <w:b w:val="1"/>
                <w:bCs w:val="1"/>
                <w:color w:val="auto"/>
                <w:w w:val="97"/>
                <w:vertAlign w:val="superscript"/>
              </w:rPr>
              <w:t>(2)</w:t>
            </w:r>
          </w:p>
        </w:tc>
        <w:tc>
          <w:tcPr>
            <w:tcW w:w="1260" w:type="dxa"/>
            <w:vAlign w:val="bottom"/>
          </w:tcPr>
          <w:p>
            <w:pPr>
              <w:spacing w:after="0"/>
              <w:rPr>
                <w:sz w:val="19"/>
                <w:szCs w:val="19"/>
                <w:color w:val="auto"/>
              </w:rPr>
            </w:pPr>
          </w:p>
        </w:tc>
      </w:tr>
      <w:tr>
        <w:trPr>
          <w:trHeight w:val="223"/>
        </w:trPr>
        <w:tc>
          <w:tcPr>
            <w:tcW w:w="1260" w:type="dxa"/>
            <w:vAlign w:val="bottom"/>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Christopher S. Sotos</w:t>
            </w:r>
          </w:p>
        </w:tc>
        <w:tc>
          <w:tcPr>
            <w:tcW w:w="2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​665,201</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 6%</w:t>
            </w:r>
          </w:p>
        </w:tc>
        <w:tc>
          <w:tcPr>
            <w:tcW w:w="1260" w:type="dxa"/>
            <w:vAlign w:val="bottom"/>
          </w:tcPr>
          <w:p>
            <w:pPr>
              <w:spacing w:after="0"/>
              <w:rPr>
                <w:sz w:val="20"/>
                <w:szCs w:val="20"/>
                <w:color w:val="auto"/>
              </w:rPr>
            </w:pPr>
            <w:r>
              <w:rPr>
                <w:rFonts w:ascii="Arial" w:cs="Arial" w:eastAsia="Arial" w:hAnsi="Arial"/>
                <w:sz w:val="18"/>
                <w:szCs w:val="18"/>
                <w:color w:val="auto"/>
              </w:rPr>
              <w:t>​</w:t>
            </w:r>
          </w:p>
        </w:tc>
      </w:tr>
      <w:tr>
        <w:trPr>
          <w:trHeight w:val="256"/>
        </w:trPr>
        <w:tc>
          <w:tcPr>
            <w:tcW w:w="1260" w:type="dxa"/>
            <w:vAlign w:val="bottom"/>
          </w:tcPr>
          <w:p>
            <w:pPr>
              <w:spacing w:after="0"/>
              <w:rPr>
                <w:sz w:val="22"/>
                <w:szCs w:val="22"/>
                <w:color w:val="auto"/>
              </w:rPr>
            </w:pPr>
          </w:p>
        </w:tc>
        <w:tc>
          <w:tcPr>
            <w:tcW w:w="2800" w:type="dxa"/>
            <w:vAlign w:val="bottom"/>
          </w:tcPr>
          <w:p>
            <w:pPr>
              <w:spacing w:after="0" w:line="256" w:lineRule="exact"/>
              <w:rPr>
                <w:sz w:val="20"/>
                <w:szCs w:val="20"/>
                <w:color w:val="auto"/>
              </w:rPr>
            </w:pPr>
            <w:r>
              <w:rPr>
                <w:rFonts w:ascii="Arial" w:cs="Arial" w:eastAsia="Arial" w:hAnsi="Arial"/>
                <w:sz w:val="18"/>
                <w:szCs w:val="18"/>
                <w:color w:val="auto"/>
              </w:rPr>
              <w:t>Sarah Rubenstein</w:t>
            </w:r>
            <w:r>
              <w:rPr>
                <w:rFonts w:ascii="Arial" w:cs="Arial" w:eastAsia="Arial" w:hAnsi="Arial"/>
                <w:sz w:val="23"/>
                <w:szCs w:val="23"/>
                <w:color w:val="auto"/>
                <w:vertAlign w:val="superscript"/>
              </w:rPr>
              <w:t>(3)</w:t>
            </w:r>
          </w:p>
        </w:tc>
        <w:tc>
          <w:tcPr>
            <w:tcW w:w="2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​325,000</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ind w:left="500"/>
              <w:spacing w:after="0"/>
              <w:rPr>
                <w:sz w:val="20"/>
                <w:szCs w:val="20"/>
                <w:color w:val="auto"/>
              </w:rPr>
            </w:pPr>
            <w:r>
              <w:rPr>
                <w:rFonts w:ascii="Arial" w:cs="Arial" w:eastAsia="Arial" w:hAnsi="Arial"/>
                <w:sz w:val="18"/>
                <w:szCs w:val="18"/>
                <w:color w:val="auto"/>
              </w:rPr>
              <w:t>​15%</w:t>
            </w:r>
          </w:p>
        </w:tc>
        <w:tc>
          <w:tcPr>
            <w:tcW w:w="12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1260" w:type="dxa"/>
            <w:vAlign w:val="bottom"/>
          </w:tcPr>
          <w:p>
            <w:pPr>
              <w:spacing w:after="0"/>
              <w:rPr>
                <w:sz w:val="23"/>
                <w:szCs w:val="2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Kevin P. Malcarney</w:t>
            </w:r>
            <w:r>
              <w:rPr>
                <w:rFonts w:ascii="Arial" w:cs="Arial" w:eastAsia="Arial" w:hAnsi="Arial"/>
                <w:sz w:val="23"/>
                <w:szCs w:val="23"/>
                <w:color w:val="auto"/>
                <w:vertAlign w:val="superscript"/>
              </w:rPr>
              <w:t>(4)</w:t>
            </w:r>
          </w:p>
        </w:tc>
        <w:tc>
          <w:tcPr>
            <w:tcW w:w="26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​400,000</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​25%</w:t>
            </w:r>
          </w:p>
        </w:tc>
        <w:tc>
          <w:tcPr>
            <w:tcW w:w="1260" w:type="dxa"/>
            <w:vAlign w:val="bottom"/>
          </w:tcPr>
          <w:p>
            <w:pPr>
              <w:spacing w:after="0"/>
              <w:rPr>
                <w:sz w:val="20"/>
                <w:szCs w:val="20"/>
                <w:color w:val="auto"/>
              </w:rPr>
            </w:pPr>
            <w:r>
              <w:rPr>
                <w:rFonts w:ascii="Arial" w:cs="Arial" w:eastAsia="Arial" w:hAnsi="Arial"/>
                <w:sz w:val="18"/>
                <w:szCs w:val="18"/>
                <w:color w:val="auto"/>
              </w:rPr>
              <w:t>​</w:t>
            </w:r>
          </w:p>
        </w:tc>
      </w:tr>
      <w:tr>
        <w:trPr>
          <w:trHeight w:val="325"/>
        </w:trPr>
        <w:tc>
          <w:tcPr>
            <w:tcW w:w="126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Chad Plotkin</w:t>
            </w:r>
            <w:r>
              <w:rPr>
                <w:rFonts w:ascii="Arial" w:cs="Arial" w:eastAsia="Arial" w:hAnsi="Arial"/>
                <w:sz w:val="23"/>
                <w:szCs w:val="23"/>
                <w:color w:val="auto"/>
                <w:vertAlign w:val="superscript"/>
              </w:rPr>
              <w:t>(5)</w:t>
            </w: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​460,000</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ind w:left="500"/>
              <w:spacing w:after="0"/>
              <w:rPr>
                <w:sz w:val="20"/>
                <w:szCs w:val="20"/>
                <w:color w:val="auto"/>
              </w:rPr>
            </w:pPr>
            <w:r>
              <w:rPr>
                <w:rFonts w:ascii="Arial" w:cs="Arial" w:eastAsia="Arial" w:hAnsi="Arial"/>
                <w:sz w:val="18"/>
                <w:szCs w:val="18"/>
                <w:color w:val="auto"/>
              </w:rPr>
              <w:t>​18%</w:t>
            </w:r>
          </w:p>
        </w:tc>
        <w:tc>
          <w:tcPr>
            <w:tcW w:w="1260" w:type="dxa"/>
            <w:vAlign w:val="bottom"/>
          </w:tcPr>
          <w:p>
            <w:pPr>
              <w:spacing w:after="0"/>
              <w:rPr>
                <w:sz w:val="20"/>
                <w:szCs w:val="20"/>
                <w:color w:val="auto"/>
              </w:rPr>
            </w:pPr>
            <w:r>
              <w:rPr>
                <w:rFonts w:ascii="Arial" w:cs="Arial" w:eastAsia="Arial" w:hAnsi="Arial"/>
                <w:sz w:val="18"/>
                <w:szCs w:val="18"/>
                <w:color w:val="auto"/>
              </w:rPr>
              <w:t>​</w:t>
            </w:r>
          </w:p>
        </w:tc>
      </w:tr>
      <w:tr>
        <w:trPr>
          <w:trHeight w:val="552"/>
        </w:trPr>
        <w:tc>
          <w:tcPr>
            <w:tcW w:w="12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80" w:type="dxa"/>
            <w:vAlign w:val="bottom"/>
          </w:tcPr>
          <w:p>
            <w:pPr>
              <w:jc w:val="right"/>
              <w:ind w:right="121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-1310640</wp:posOffset>
            </wp:positionV>
            <wp:extent cx="1371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-1310640</wp:posOffset>
            </wp:positionV>
            <wp:extent cx="137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3" w:name="page54"/>
    <w:bookmarkEnd w:id="5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537210</wp:posOffset>
            </wp:positionV>
            <wp:extent cx="12344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620" w:hanging="360"/>
        <w:spacing w:after="0"/>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Actual 2022 base salary earnings are presented in the Summary Compensation Table.</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compared to the December 31, 2021 annualized base salary.</w:t>
      </w:r>
    </w:p>
    <w:p>
      <w:pPr>
        <w:spacing w:after="0" w:line="90" w:lineRule="exact"/>
        <w:rPr>
          <w:rFonts w:ascii="Arial" w:cs="Arial" w:eastAsia="Arial" w:hAnsi="Arial"/>
          <w:sz w:val="18"/>
          <w:szCs w:val="18"/>
          <w:color w:val="auto"/>
        </w:rPr>
      </w:pPr>
    </w:p>
    <w:p>
      <w:pPr>
        <w:ind w:left="1620" w:right="539" w:hanging="360"/>
        <w:spacing w:after="0" w:line="277"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Ms. Rubenstein was promoted to Senior Vice President and Chief Accounting Officer in January 2022 and appointed as the principal financial officer for the Company in August 2022.</w:t>
      </w:r>
    </w:p>
    <w:p>
      <w:pPr>
        <w:spacing w:after="0" w:line="21" w:lineRule="exact"/>
        <w:rPr>
          <w:rFonts w:ascii="Arial" w:cs="Arial" w:eastAsia="Arial" w:hAnsi="Arial"/>
          <w:sz w:val="18"/>
          <w:szCs w:val="18"/>
          <w:color w:val="auto"/>
        </w:rPr>
      </w:pPr>
    </w:p>
    <w:p>
      <w:pPr>
        <w:ind w:left="1620" w:right="479" w:hanging="360"/>
        <w:spacing w:after="0" w:line="277"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Malcarney was promoted to Executive Vice President, General Counsel and Corporate Secretary in January 2022.</w:t>
      </w:r>
    </w:p>
    <w:p>
      <w:pPr>
        <w:spacing w:after="0" w:line="21" w:lineRule="exact"/>
        <w:rPr>
          <w:rFonts w:ascii="Arial" w:cs="Arial" w:eastAsia="Arial" w:hAnsi="Arial"/>
          <w:sz w:val="18"/>
          <w:szCs w:val="18"/>
          <w:color w:val="auto"/>
        </w:rPr>
      </w:pPr>
    </w:p>
    <w:p>
      <w:pPr>
        <w:ind w:left="1620" w:right="579" w:hanging="360"/>
        <w:spacing w:after="0" w:line="263"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Plotkin was promoted to Executive Vice President and Chief Financial Officer in January 2022. Mr. Plotkin voluntarily resigned from his employment with the Company in August 2022. Mr. Plotkin earned $278,219 prior to his departure.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INCENTIVE COMPENSATION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Overview</w:t>
      </w:r>
    </w:p>
    <w:p>
      <w:pPr>
        <w:spacing w:after="0" w:line="158" w:lineRule="exact"/>
        <w:rPr>
          <w:sz w:val="20"/>
          <w:szCs w:val="20"/>
          <w:color w:val="auto"/>
        </w:rPr>
      </w:pPr>
    </w:p>
    <w:p>
      <w:pPr>
        <w:ind w:left="1260" w:right="519" w:firstLine="360"/>
        <w:spacing w:after="0" w:line="276" w:lineRule="auto"/>
        <w:rPr>
          <w:sz w:val="20"/>
          <w:szCs w:val="20"/>
          <w:color w:val="auto"/>
        </w:rPr>
      </w:pPr>
      <w:r>
        <w:rPr>
          <w:rFonts w:ascii="Arial" w:cs="Arial" w:eastAsia="Arial" w:hAnsi="Arial"/>
          <w:sz w:val="16"/>
          <w:szCs w:val="16"/>
          <w:color w:val="auto"/>
        </w:rPr>
        <w:t>Annual incentive compensation awards (AIP bonuses) are made under our AIP. AIP bonuses represent short-term compensation designed to compensate NEOs for meeting annual Company goals and for their individual performance over the course of the year. The Compensation Committee establishes these annual Company goals after reviewing the Company’s business strategy and other matters. As further discussed below, the annual goals for 2022 relate to: (a) CAFD and (b) key performance milestones. In addition, the overall bonus payout is negatively adjusted for any OSHA recordable injuries that occur during the year, and each NEO’s individual performance may (negatively or positively) affect the bonus amount that he or she ultimately receives under our AIP. However, notwithstanding individual performance or the extent to which the Company goals are achieved, the Compensation Committee retains sole discretion under the AIP to reduce the amount of or eliminate any AIP bonuses that are otherwise payable under the AIP.</w:t>
      </w:r>
    </w:p>
    <w:p>
      <w:pPr>
        <w:spacing w:after="0" w:line="9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AIP bonus opportunities are expressed in terms of threshold, target and maximum bonus opportunities. Different percentages of each NEO’s annual base salary relate to these threshold, target and maximum AIP bonus opportunities. However, in the event threshold performance for 2022 was not achieved with respect to one of the AIP performance metrics, no AIP bonuses would have been payable for that component for 2022.</w:t>
      </w:r>
    </w:p>
    <w:p>
      <w:pPr>
        <w:spacing w:after="0" w:line="85" w:lineRule="exact"/>
        <w:rPr>
          <w:sz w:val="20"/>
          <w:szCs w:val="20"/>
          <w:color w:val="auto"/>
        </w:rPr>
      </w:pPr>
    </w:p>
    <w:p>
      <w:pPr>
        <w:ind w:left="1260" w:right="479" w:firstLine="360"/>
        <w:spacing w:after="0" w:line="278" w:lineRule="auto"/>
        <w:rPr>
          <w:sz w:val="20"/>
          <w:szCs w:val="20"/>
          <w:color w:val="auto"/>
        </w:rPr>
      </w:pPr>
      <w:r>
        <w:rPr>
          <w:rFonts w:ascii="Arial" w:cs="Arial" w:eastAsia="Arial" w:hAnsi="Arial"/>
          <w:sz w:val="17"/>
          <w:szCs w:val="17"/>
          <w:color w:val="auto"/>
        </w:rPr>
        <w:t>The AIP provides NEOs (other than Mr. Sotos whose severance is governed by his amended and restated employment agreement) eligibility for a pro-rated target bonus payment for the year of a qualifying severance termination, based on the portion of the performance period that the NEO was employed.</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2022 AIP Bonus Performance Criteria</w:t>
      </w:r>
    </w:p>
    <w:p>
      <w:pPr>
        <w:spacing w:after="0" w:line="158" w:lineRule="exact"/>
        <w:rPr>
          <w:sz w:val="20"/>
          <w:szCs w:val="20"/>
          <w:color w:val="auto"/>
        </w:rPr>
      </w:pPr>
    </w:p>
    <w:p>
      <w:pPr>
        <w:ind w:left="1260" w:right="499" w:firstLine="360"/>
        <w:spacing w:after="0" w:line="244" w:lineRule="auto"/>
        <w:rPr>
          <w:sz w:val="20"/>
          <w:szCs w:val="20"/>
          <w:color w:val="auto"/>
        </w:rPr>
      </w:pPr>
      <w:r>
        <w:rPr>
          <w:rFonts w:ascii="Arial" w:cs="Arial" w:eastAsia="Arial" w:hAnsi="Arial"/>
          <w:sz w:val="18"/>
          <w:szCs w:val="18"/>
          <w:color w:val="auto"/>
        </w:rPr>
        <w:t>The 2022 AIP bonus performance criteria applicable to all NEOs are based upon the two Company goals described above and adjusted, as discussed, based on OSHA recordable injuries and individual performance, as applicable. As a result of the announcement of Company’s sale of its Thermal Business to KKR in the fourth quarter of 2021, and the closing of such sale in the second quarter of 2022, the 2021 AIP metrics that related to the Thermal Plan were removed for 2022. The table below sets forth the 2022 AIP performance criteria and weightings applicable to all NEOs, assuming the achievement of each goal at target.</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Goal</w:t>
            </w:r>
          </w:p>
        </w:tc>
        <w:tc>
          <w:tcPr>
            <w:tcW w:w="1900" w:type="dxa"/>
            <w:vAlign w:val="bottom"/>
          </w:tcPr>
          <w:p>
            <w:pPr>
              <w:jc w:val="right"/>
              <w:ind w:right="633"/>
              <w:spacing w:after="0"/>
              <w:rPr>
                <w:sz w:val="20"/>
                <w:szCs w:val="20"/>
                <w:color w:val="auto"/>
              </w:rPr>
            </w:pPr>
            <w:r>
              <w:rPr>
                <w:rFonts w:ascii="Arial" w:cs="Arial" w:eastAsia="Arial" w:hAnsi="Arial"/>
                <w:sz w:val="14"/>
                <w:szCs w:val="14"/>
                <w:b w:val="1"/>
                <w:bCs w:val="1"/>
                <w:color w:val="auto"/>
              </w:rPr>
              <w:t>Weight</w:t>
            </w:r>
          </w:p>
        </w:tc>
        <w:tc>
          <w:tcPr>
            <w:tcW w:w="0" w:type="dxa"/>
            <w:vAlign w:val="bottom"/>
          </w:tcPr>
          <w:p>
            <w:pPr>
              <w:spacing w:after="0"/>
              <w:rPr>
                <w:sz w:val="1"/>
                <w:szCs w:val="1"/>
                <w:color w:val="auto"/>
              </w:rPr>
            </w:pPr>
          </w:p>
        </w:tc>
      </w:tr>
      <w:tr>
        <w:trPr>
          <w:trHeight w:val="39"/>
        </w:trPr>
        <w:tc>
          <w:tcPr>
            <w:tcW w:w="60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CAFD</w:t>
            </w:r>
            <w:r>
              <w:rPr>
                <w:rFonts w:ascii="Arial" w:cs="Arial" w:eastAsia="Arial" w:hAnsi="Arial"/>
                <w:sz w:val="23"/>
                <w:szCs w:val="23"/>
                <w:color w:val="auto"/>
                <w:vertAlign w:val="superscript"/>
              </w:rPr>
              <w:t>(1)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6"/>
        </w:trPr>
        <w:tc>
          <w:tcPr>
            <w:tcW w:w="6300" w:type="dxa"/>
            <w:vAlign w:val="bottom"/>
            <w:gridSpan w:val="2"/>
          </w:tcPr>
          <w:p>
            <w:pPr>
              <w:spacing w:after="0"/>
              <w:rPr>
                <w:sz w:val="20"/>
                <w:szCs w:val="20"/>
                <w:color w:val="auto"/>
              </w:rPr>
            </w:pPr>
            <w:r>
              <w:rPr>
                <w:rFonts w:ascii="Arial" w:cs="Arial" w:eastAsia="Arial" w:hAnsi="Arial"/>
                <w:sz w:val="18"/>
                <w:szCs w:val="18"/>
                <w:color w:val="auto"/>
              </w:rPr>
              <w:t>Key Performance Milestones</w:t>
            </w:r>
          </w:p>
        </w:tc>
        <w:tc>
          <w:tcPr>
            <w:tcW w:w="19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Overall Funding</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2"/>
        </w:trPr>
        <w:tc>
          <w:tcPr>
            <w:tcW w:w="63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OSHA Recordables</w:t>
            </w:r>
          </w:p>
        </w:tc>
        <w:tc>
          <w:tcPr>
            <w:tcW w:w="1900" w:type="dxa"/>
            <w:vAlign w:val="bottom"/>
          </w:tcPr>
          <w:p>
            <w:pPr>
              <w:jc w:val="right"/>
              <w:spacing w:after="0"/>
              <w:rPr>
                <w:sz w:val="20"/>
                <w:szCs w:val="20"/>
                <w:color w:val="auto"/>
              </w:rPr>
            </w:pPr>
            <w:r>
              <w:rPr>
                <w:rFonts w:ascii="Arial" w:cs="Arial" w:eastAsia="Arial" w:hAnsi="Arial"/>
                <w:sz w:val="18"/>
                <w:szCs w:val="18"/>
                <w:color w:val="auto"/>
              </w:rPr>
              <w:t>- 5%</w:t>
            </w:r>
          </w:p>
        </w:tc>
        <w:tc>
          <w:tcPr>
            <w:tcW w:w="0" w:type="dxa"/>
            <w:vAlign w:val="bottom"/>
          </w:tcPr>
          <w:p>
            <w:pPr>
              <w:spacing w:after="0"/>
              <w:rPr>
                <w:sz w:val="1"/>
                <w:szCs w:val="1"/>
                <w:color w:val="auto"/>
              </w:rPr>
            </w:pPr>
          </w:p>
        </w:tc>
      </w:tr>
      <w:tr>
        <w:trPr>
          <w:trHeight w:val="109"/>
        </w:trPr>
        <w:tc>
          <w:tcPr>
            <w:tcW w:w="6300" w:type="dxa"/>
            <w:vAlign w:val="bottom"/>
            <w:gridSpan w:val="2"/>
            <w:vMerge w:val="continue"/>
          </w:tcPr>
          <w:p>
            <w:pPr>
              <w:spacing w:after="0"/>
              <w:rPr>
                <w:sz w:val="9"/>
                <w:szCs w:val="9"/>
                <w:color w:val="auto"/>
              </w:rPr>
            </w:pPr>
          </w:p>
        </w:tc>
        <w:tc>
          <w:tcPr>
            <w:tcW w:w="1900" w:type="dxa"/>
            <w:vAlign w:val="bottom"/>
            <w:vMerge w:val="restart"/>
          </w:tcPr>
          <w:p>
            <w:pPr>
              <w:jc w:val="right"/>
              <w:spacing w:after="0"/>
              <w:rPr>
                <w:sz w:val="20"/>
                <w:szCs w:val="20"/>
                <w:color w:val="auto"/>
              </w:rPr>
            </w:pPr>
            <w:r>
              <w:rPr>
                <w:rFonts w:ascii="Arial" w:cs="Arial" w:eastAsia="Arial" w:hAnsi="Arial"/>
                <w:sz w:val="18"/>
                <w:szCs w:val="18"/>
                <w:color w:val="auto"/>
              </w:rPr>
              <w:t>(per recordable injury)</w:t>
            </w:r>
          </w:p>
        </w:tc>
        <w:tc>
          <w:tcPr>
            <w:tcW w:w="0" w:type="dxa"/>
            <w:vAlign w:val="bottom"/>
          </w:tcPr>
          <w:p>
            <w:pPr>
              <w:spacing w:after="0"/>
              <w:rPr>
                <w:sz w:val="1"/>
                <w:szCs w:val="1"/>
                <w:color w:val="auto"/>
              </w:rPr>
            </w:pPr>
          </w:p>
        </w:tc>
      </w:tr>
      <w:tr>
        <w:trPr>
          <w:trHeight w:val="128"/>
        </w:trPr>
        <w:tc>
          <w:tcPr>
            <w:tcW w:w="6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Individual Performance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4665980</wp:posOffset>
            </wp:positionH>
            <wp:positionV relativeFrom="paragraph">
              <wp:posOffset>-976630</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4" w:lineRule="exact"/>
        <w:rPr>
          <w:sz w:val="20"/>
          <w:szCs w:val="20"/>
          <w:color w:val="auto"/>
        </w:rPr>
      </w:pPr>
    </w:p>
    <w:p>
      <w:pPr>
        <w:ind w:left="1620" w:hanging="360"/>
        <w:spacing w:after="0"/>
        <w:tabs>
          <w:tab w:leader="none" w:pos="1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non-GAAP measure, CAFD is defined as adjusted earnings before interest, taxes, depreciation and</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5240"/>
        <w:spacing w:after="0"/>
        <w:rPr>
          <w:rFonts w:ascii="Arial" w:cs="Arial" w:eastAsia="Arial" w:hAnsi="Arial"/>
          <w:sz w:val="17"/>
          <w:szCs w:val="17"/>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20" w:right="419"/>
        <w:spacing w:after="0" w:line="234" w:lineRule="auto"/>
        <w:rPr>
          <w:sz w:val="20"/>
          <w:szCs w:val="20"/>
          <w:color w:val="auto"/>
        </w:rPr>
      </w:pPr>
      <w:r>
        <w:rPr>
          <w:rFonts w:ascii="Arial" w:cs="Arial" w:eastAsia="Arial" w:hAnsi="Arial"/>
          <w:sz w:val="18"/>
          <w:szCs w:val="18"/>
          <w:color w:val="auto"/>
        </w:rPr>
        <w:t>amortization (Adjusted EBITDA) plus cash distributions/return of investment from unconsolidated affiliates, and subsequent release post-bankruptcy, cash receipts from notes receivable, cash distributions from noncontrolling interests, adjustments to reflect sales-type lease cash payments,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w:t>
      </w:r>
    </w:p>
    <w:p>
      <w:pPr>
        <w:spacing w:after="0" w:line="86" w:lineRule="exact"/>
        <w:rPr>
          <w:sz w:val="20"/>
          <w:szCs w:val="20"/>
          <w:color w:val="auto"/>
        </w:rPr>
      </w:pPr>
    </w:p>
    <w:p>
      <w:pPr>
        <w:ind w:left="1800" w:right="439" w:hanging="180"/>
        <w:spacing w:after="0" w:line="279" w:lineRule="auto"/>
        <w:tabs>
          <w:tab w:leader="none" w:pos="180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CAFD</w:t>
      </w:r>
      <w:r>
        <w:rPr>
          <w:rFonts w:ascii="Arial" w:cs="Arial" w:eastAsia="Arial" w:hAnsi="Arial"/>
          <w:sz w:val="17"/>
          <w:szCs w:val="17"/>
          <w:color w:val="auto"/>
        </w:rPr>
        <w:t>. The Compensation Committee set the 2022 threshold, target and maximum CAFD</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metric at $292 million, $365 million and $438 million, respectively. For 2022, the CAFD goals and the achieved level are set forth in the chart below. The Company achieved CAFD of approximately $326 million, surpassing the CAFD threshold but less than the CAFD target.</w:t>
      </w:r>
    </w:p>
    <w:p>
      <w:pPr>
        <w:spacing w:after="0" w:line="109" w:lineRule="exact"/>
        <w:rPr>
          <w:sz w:val="20"/>
          <w:szCs w:val="20"/>
          <w:color w:val="auto"/>
        </w:rPr>
      </w:pPr>
    </w:p>
    <w:tbl>
      <w:tblPr>
        <w:tblLayout w:type="fixed"/>
        <w:tblInd w:w="2340" w:type="dxa"/>
        <w:tblCellMar>
          <w:top w:w="0" w:type="dxa"/>
          <w:left w:w="0" w:type="dxa"/>
          <w:bottom w:w="0" w:type="dxa"/>
          <w:right w:w="0" w:type="dxa"/>
        </w:tblCellMar>
      </w:tblPr>
      <w:tr>
        <w:trPr>
          <w:trHeight w:val="225"/>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CAFD Threshold</w:t>
            </w:r>
          </w:p>
        </w:tc>
        <w:tc>
          <w:tcPr>
            <w:tcW w:w="30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ind w:left="1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CAFD Target</w:t>
            </w:r>
          </w:p>
        </w:tc>
        <w:tc>
          <w:tcPr>
            <w:tcW w:w="32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ind w:left="1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CAFD Maximum</w:t>
            </w:r>
          </w:p>
        </w:tc>
        <w:tc>
          <w:tcPr>
            <w:tcW w:w="30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ind w:left="1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CAFD Actual</w:t>
            </w:r>
          </w:p>
        </w:tc>
        <w:tc>
          <w:tcPr>
            <w:tcW w:w="20" w:type="dxa"/>
            <w:vAlign w:val="bottom"/>
            <w:tcBorders>
              <w:bottom w:val="single" w:sz="8" w:color="CCEEFF"/>
            </w:tcBorders>
          </w:tcPr>
          <w:p>
            <w:pPr>
              <w:spacing w:after="0"/>
              <w:rPr>
                <w:sz w:val="19"/>
                <w:szCs w:val="19"/>
                <w:color w:val="auto"/>
              </w:rPr>
            </w:pPr>
          </w:p>
        </w:tc>
      </w:tr>
      <w:tr>
        <w:trPr>
          <w:trHeight w:val="263"/>
        </w:trPr>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million</w:t>
            </w:r>
          </w:p>
        </w:tc>
        <w:tc>
          <w:tcPr>
            <w:tcW w:w="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$365 million</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$438 million</w:t>
            </w:r>
          </w:p>
        </w:tc>
        <w:tc>
          <w:tcPr>
            <w:tcW w:w="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$326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5309235</wp:posOffset>
            </wp:positionH>
            <wp:positionV relativeFrom="paragraph">
              <wp:posOffset>-179070</wp:posOffset>
            </wp:positionV>
            <wp:extent cx="171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-179070</wp:posOffset>
            </wp:positionV>
            <wp:extent cx="3600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-179070</wp:posOffset>
            </wp:positionV>
            <wp:extent cx="3600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-179070</wp:posOffset>
            </wp:positionV>
            <wp:extent cx="3600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7" w:lineRule="exact"/>
        <w:rPr>
          <w:sz w:val="20"/>
          <w:szCs w:val="20"/>
          <w:color w:val="auto"/>
        </w:rPr>
      </w:pPr>
    </w:p>
    <w:p>
      <w:pPr>
        <w:ind w:left="1800" w:right="499" w:hanging="180"/>
        <w:spacing w:after="0" w:line="270" w:lineRule="auto"/>
        <w:tabs>
          <w:tab w:leader="none" w:pos="18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Key Performance Milestones</w:t>
      </w:r>
      <w:r>
        <w:rPr>
          <w:rFonts w:ascii="Arial" w:cs="Arial" w:eastAsia="Arial" w:hAnsi="Arial"/>
          <w:sz w:val="17"/>
          <w:szCs w:val="17"/>
          <w:color w:val="auto"/>
        </w:rPr>
        <w:t>. “Key performance milestones” performance metrics are established</w:t>
      </w:r>
      <w:r>
        <w:rPr>
          <w:rFonts w:ascii="Arial" w:cs="Arial" w:eastAsia="Arial" w:hAnsi="Arial"/>
          <w:sz w:val="17"/>
          <w:szCs w:val="17"/>
          <w:i w:val="1"/>
          <w:iCs w:val="1"/>
          <w:color w:val="auto"/>
        </w:rPr>
        <w:t xml:space="preserve"> </w:t>
      </w:r>
      <w:r>
        <w:rPr>
          <w:rFonts w:ascii="Arial" w:cs="Arial" w:eastAsia="Arial" w:hAnsi="Arial"/>
          <w:sz w:val="17"/>
          <w:szCs w:val="17"/>
          <w:color w:val="auto"/>
        </w:rPr>
        <w:t>as a defined annual incentive category. The Compensation Committee establishes threshold, target and maximum levels of performance for this category based on the number of milestones achieved. For 2022, a total of seven milestones were established relating to ESG matters, adherence to budget, CAFD per share goals, ratio of administrative costs to CAFD, and natural gas strategic plan and execution. For 2022, threshold performance required the achievement of two out of the seven milestones, target performance required the achievement of four out of the seven milestones, and maximum performance required the achievement of all seven milestones. Ultimately, above target performance was attained with the achievement of five out of the seven milestones in 2022.</w:t>
      </w:r>
    </w:p>
    <w:p>
      <w:pPr>
        <w:spacing w:after="0" w:line="59" w:lineRule="exact"/>
        <w:rPr>
          <w:rFonts w:ascii="Arial" w:cs="Arial" w:eastAsia="Arial" w:hAnsi="Arial"/>
          <w:sz w:val="17"/>
          <w:szCs w:val="17"/>
          <w:color w:val="auto"/>
        </w:rPr>
      </w:pPr>
    </w:p>
    <w:p>
      <w:pPr>
        <w:ind w:left="1800" w:right="439" w:hanging="180"/>
        <w:spacing w:after="0" w:line="269" w:lineRule="auto"/>
        <w:tabs>
          <w:tab w:leader="none" w:pos="18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Individual Performance</w:t>
      </w:r>
      <w:r>
        <w:rPr>
          <w:rFonts w:ascii="Arial" w:cs="Arial" w:eastAsia="Arial" w:hAnsi="Arial"/>
          <w:sz w:val="17"/>
          <w:szCs w:val="17"/>
          <w:color w:val="auto"/>
        </w:rPr>
        <w:t>. As indicated above, an NEO’s individual performance may (negatively or</w:t>
      </w:r>
      <w:r>
        <w:rPr>
          <w:rFonts w:ascii="Arial" w:cs="Arial" w:eastAsia="Arial" w:hAnsi="Arial"/>
          <w:sz w:val="17"/>
          <w:szCs w:val="17"/>
          <w:i w:val="1"/>
          <w:iCs w:val="1"/>
          <w:color w:val="auto"/>
        </w:rPr>
        <w:t xml:space="preserve"> </w:t>
      </w:r>
      <w:r>
        <w:rPr>
          <w:rFonts w:ascii="Arial" w:cs="Arial" w:eastAsia="Arial" w:hAnsi="Arial"/>
          <w:sz w:val="17"/>
          <w:szCs w:val="17"/>
          <w:color w:val="auto"/>
        </w:rPr>
        <w:t>positively) affect his or her AIP bonus by up to 20%, although no AIP bonus payments can exceed 200% of the target award. Such individual performance is determined on a subjective basis based on the Compensation Committee’s assessment of the NEO’s contributions in supporting adherence to budget, support towards the achievement of key milestones, and other contributions towards the successful execution of the Company’s business strategy. The Compensation Committee recommended to the full Board that the CEO’s AIP bonus be paid based on the overall 2022 AIP achievement without additional modification. Similarly, the CEO recommended to the Compensation Committee that the AIP bonus for the other NEOs be based on the overall 2022 AIP achievement without additional modification. The full board approved the above recommendation of the Compensation Committee for the CEO and the Compensation Committee approved the above recommendation of the CEO for the other NEOs.</w:t>
      </w:r>
    </w:p>
    <w:p>
      <w:pPr>
        <w:spacing w:after="0" w:line="57" w:lineRule="exact"/>
        <w:rPr>
          <w:rFonts w:ascii="Arial" w:cs="Arial" w:eastAsia="Arial" w:hAnsi="Arial"/>
          <w:sz w:val="17"/>
          <w:szCs w:val="17"/>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2022 Annual Incentive Bonus Opportunity</w:t>
      </w:r>
    </w:p>
    <w:p>
      <w:pPr>
        <w:spacing w:after="0" w:line="158" w:lineRule="exact"/>
        <w:rPr>
          <w:sz w:val="20"/>
          <w:szCs w:val="20"/>
          <w:color w:val="auto"/>
        </w:rPr>
      </w:pPr>
    </w:p>
    <w:p>
      <w:pPr>
        <w:ind w:left="1260" w:right="1179" w:firstLine="360"/>
        <w:spacing w:after="0" w:line="261" w:lineRule="auto"/>
        <w:rPr>
          <w:sz w:val="20"/>
          <w:szCs w:val="20"/>
          <w:color w:val="auto"/>
        </w:rPr>
      </w:pPr>
      <w:r>
        <w:rPr>
          <w:rFonts w:ascii="Arial" w:cs="Arial" w:eastAsia="Arial" w:hAnsi="Arial"/>
          <w:sz w:val="18"/>
          <w:szCs w:val="18"/>
          <w:color w:val="auto"/>
        </w:rPr>
        <w:t>The threshold, target and maximum AIP bonus opportunities for NEOs for 2022, expressed as a percentage of base salary, were:</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Threshold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Target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Target</w:t>
            </w:r>
          </w:p>
        </w:tc>
      </w:tr>
      <w:tr>
        <w:trPr>
          <w:trHeight w:val="212"/>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(1)</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w:t>
            </w:r>
            <w:r>
              <w:rPr>
                <w:rFonts w:ascii="Arial" w:cs="Arial" w:eastAsia="Arial" w:hAnsi="Arial"/>
                <w:sz w:val="17"/>
                <w:szCs w:val="17"/>
                <w:b w:val="1"/>
                <w:bCs w:val="1"/>
                <w:color w:val="auto"/>
                <w:w w:val="95"/>
                <w:vertAlign w:val="superscript"/>
              </w:rPr>
              <w:t>(1)</w:t>
            </w: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17"/>
                <w:szCs w:val="17"/>
                <w:b w:val="1"/>
                <w:bCs w:val="1"/>
                <w:color w:val="auto"/>
                <w:w w:val="89"/>
                <w:vertAlign w:val="superscript"/>
              </w:rPr>
              <w:t>(1)</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Amount ($)</w:t>
            </w:r>
          </w:p>
        </w:tc>
        <w:tc>
          <w:tcPr>
            <w:tcW w:w="40" w:type="dxa"/>
            <w:vAlign w:val="bottom"/>
          </w:tcPr>
          <w:p>
            <w:pPr>
              <w:spacing w:after="0"/>
              <w:rPr>
                <w:sz w:val="18"/>
                <w:szCs w:val="18"/>
                <w:color w:val="auto"/>
              </w:rPr>
            </w:pPr>
          </w:p>
        </w:tc>
      </w:tr>
      <w:tr>
        <w:trPr>
          <w:trHeight w:val="25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S. Sotos</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​200</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​665,201</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5120" w:type="dxa"/>
            <w:vAlign w:val="bottom"/>
            <w:gridSpan w:val="2"/>
          </w:tcPr>
          <w:p>
            <w:pPr>
              <w:spacing w:after="0"/>
              <w:rPr>
                <w:sz w:val="20"/>
                <w:szCs w:val="20"/>
                <w:color w:val="auto"/>
              </w:rPr>
            </w:pPr>
            <w:r>
              <w:rPr>
                <w:rFonts w:ascii="Arial" w:cs="Arial" w:eastAsia="Arial" w:hAnsi="Arial"/>
                <w:sz w:val="18"/>
                <w:szCs w:val="18"/>
                <w:color w:val="auto"/>
              </w:rPr>
              <w:t>Sarah Rubenstein</w:t>
            </w:r>
            <w:r>
              <w:rPr>
                <w:rFonts w:ascii="Arial" w:cs="Arial" w:eastAsia="Arial" w:hAnsi="Arial"/>
                <w:sz w:val="23"/>
                <w:szCs w:val="23"/>
                <w:color w:val="auto"/>
                <w:vertAlign w:val="superscript"/>
              </w:rPr>
              <w:t>(2)</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rPr>
              <w:t>​ 50</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​162,500 ​</w:t>
            </w:r>
          </w:p>
        </w:tc>
      </w:tr>
      <w:tr>
        <w:trPr>
          <w:trHeight w:val="283"/>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Malcarney</w:t>
            </w:r>
            <w:r>
              <w:rPr>
                <w:rFonts w:ascii="Arial" w:cs="Arial" w:eastAsia="Arial" w:hAnsi="Arial"/>
                <w:sz w:val="23"/>
                <w:szCs w:val="23"/>
                <w:color w:val="auto"/>
                <w:vertAlign w:val="superscript"/>
              </w:rPr>
              <w:t>(3)</w:t>
            </w: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​32.5</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65</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​130</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​260,000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2"/>
        </w:trPr>
        <w:tc>
          <w:tcPr>
            <w:tcW w:w="5120" w:type="dxa"/>
            <w:vAlign w:val="bottom"/>
            <w:gridSpan w:val="2"/>
          </w:tcPr>
          <w:p>
            <w:pPr>
              <w:spacing w:after="0"/>
              <w:rPr>
                <w:sz w:val="20"/>
                <w:szCs w:val="20"/>
                <w:color w:val="auto"/>
              </w:rPr>
            </w:pPr>
            <w:r>
              <w:rPr>
                <w:rFonts w:ascii="Arial" w:cs="Arial" w:eastAsia="Arial" w:hAnsi="Arial"/>
                <w:sz w:val="18"/>
                <w:szCs w:val="18"/>
                <w:color w:val="auto"/>
              </w:rPr>
              <w:t>Chad Plotkin</w:t>
            </w:r>
            <w:r>
              <w:rPr>
                <w:rFonts w:ascii="Arial" w:cs="Arial" w:eastAsia="Arial" w:hAnsi="Arial"/>
                <w:sz w:val="23"/>
                <w:szCs w:val="23"/>
                <w:color w:val="auto"/>
                <w:vertAlign w:val="superscript"/>
              </w:rPr>
              <w:t>(4)</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rPr>
              <w:t>​ 70</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​140</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​322,000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-728980</wp:posOffset>
            </wp:positionV>
            <wp:extent cx="137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-728980</wp:posOffset>
            </wp:positionV>
            <wp:extent cx="137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-728980</wp:posOffset>
            </wp:positionV>
            <wp:extent cx="137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-728980</wp:posOffset>
            </wp:positionV>
            <wp:extent cx="137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119380</wp:posOffset>
            </wp:positionV>
            <wp:extent cx="12344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2" w:lineRule="exact"/>
        <w:rPr>
          <w:sz w:val="20"/>
          <w:szCs w:val="20"/>
          <w:color w:val="auto"/>
        </w:rPr>
      </w:pPr>
    </w:p>
    <w:p>
      <w:pPr>
        <w:ind w:left="1620" w:right="859" w:hanging="360"/>
        <w:spacing w:after="0" w:line="306" w:lineRule="auto"/>
        <w:tabs>
          <w:tab w:leader="none" w:pos="1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This assumes that the CAFD performance metric and all other quantitative and qualitative goals, including the key milestones, are achieved at threshold, target and maximum levels, as applicable.</w:t>
      </w:r>
    </w:p>
    <w:p>
      <w:pPr>
        <w:spacing w:after="0" w:line="1" w:lineRule="exact"/>
        <w:rPr>
          <w:rFonts w:ascii="Arial" w:cs="Arial" w:eastAsia="Arial" w:hAnsi="Arial"/>
          <w:sz w:val="17"/>
          <w:szCs w:val="17"/>
          <w:color w:val="auto"/>
        </w:rPr>
      </w:pPr>
    </w:p>
    <w:p>
      <w:pPr>
        <w:ind w:left="1620" w:right="539" w:hanging="360"/>
        <w:spacing w:after="0" w:line="277" w:lineRule="auto"/>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Ms. Rubenstein was promoted to Senior Vice President and Chief Accounting Officer in January 2022 and appointed as the principal financial officer for the Company in August 2022.</w:t>
      </w:r>
    </w:p>
    <w:p>
      <w:pPr>
        <w:spacing w:after="0" w:line="21" w:lineRule="exact"/>
        <w:rPr>
          <w:rFonts w:ascii="Arial" w:cs="Arial" w:eastAsia="Arial" w:hAnsi="Arial"/>
          <w:sz w:val="18"/>
          <w:szCs w:val="18"/>
          <w:color w:val="auto"/>
        </w:rPr>
      </w:pPr>
    </w:p>
    <w:p>
      <w:pPr>
        <w:ind w:left="1620" w:right="519" w:hanging="360"/>
        <w:spacing w:after="0" w:line="263" w:lineRule="auto"/>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Mr. Malcarney’s threshold, target and maximum AIP award were increased in 2022 in connection with his promotion, to recognize his performance, and better align his total direct compensation with the market median.</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620" w:right="459" w:hanging="360"/>
        <w:spacing w:after="0" w:line="271" w:lineRule="auto"/>
        <w:tabs>
          <w:tab w:leader="none" w:pos="1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Mr. Plotkin’s threshold, target and maximum AIP award were increased in 2022 in connection with his promotion, to recognize his performance, and better align his total direct compensation with the market median. Mr. Plotkin voluntarily resigned from his employment with the Company in August 2022.</w:t>
      </w:r>
    </w:p>
    <w:p>
      <w:pPr>
        <w:ind w:left="1620"/>
        <w:spacing w:after="0"/>
        <w:rPr>
          <w:rFonts w:ascii="Arial" w:cs="Arial" w:eastAsia="Arial" w:hAnsi="Arial"/>
          <w:sz w:val="17"/>
          <w:szCs w:val="17"/>
          <w:color w:val="auto"/>
        </w:rPr>
      </w:pPr>
      <w:r>
        <w:rPr>
          <w:rFonts w:ascii="Arial" w:cs="Arial" w:eastAsia="Arial" w:hAnsi="Arial"/>
          <w:sz w:val="18"/>
          <w:szCs w:val="18"/>
          <w:color w:val="auto"/>
        </w:rPr>
        <w:t>Accordingly, no AIP bonus was paid to Mr. Plotkin for 2022.</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2022 Annual Incentive Bonuses</w:t>
      </w:r>
    </w:p>
    <w:p>
      <w:pPr>
        <w:spacing w:after="0" w:line="158" w:lineRule="exact"/>
        <w:rPr>
          <w:sz w:val="20"/>
          <w:szCs w:val="20"/>
          <w:color w:val="auto"/>
        </w:rPr>
      </w:pPr>
    </w:p>
    <w:p>
      <w:pPr>
        <w:ind w:left="1260" w:right="559" w:firstLine="360"/>
        <w:spacing w:after="0" w:line="291" w:lineRule="auto"/>
        <w:rPr>
          <w:sz w:val="20"/>
          <w:szCs w:val="20"/>
          <w:color w:val="auto"/>
        </w:rPr>
      </w:pPr>
      <w:r>
        <w:rPr>
          <w:rFonts w:ascii="Arial" w:cs="Arial" w:eastAsia="Arial" w:hAnsi="Arial"/>
          <w:sz w:val="17"/>
          <w:szCs w:val="17"/>
          <w:color w:val="auto"/>
        </w:rPr>
        <w:t>As noted above, with respect to AIP bonuses for 2022, the CAFD target was $365 million and the key performance milestone target was achievement of five out of seven key performance milestones.</w:t>
      </w:r>
    </w:p>
    <w:p>
      <w:pPr>
        <w:spacing w:after="0" w:line="79"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For 2022, CAFD achievement was between threshold and target at approximately $326 million, five out of seven key performance milestones were achieved, and there were no OSHA recordable injuries. Due to the achievement specified above, 2022 AIP bonuses were paid at levels above target. If performance falls between threshold and target or target and maximum, the bonus opportunity will be determined on an interpolated basis. As a result, the CAFD metric and the key performance milestone metrics were respectively weighted at 73% and 133% of target.</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annual incentive bonuses paid to NEOs for 2022 were:</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Percentage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Annual</w:t>
            </w:r>
          </w:p>
        </w:tc>
      </w:tr>
      <w:tr>
        <w:trPr>
          <w:trHeight w:val="162"/>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Annual Base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Incentive</w:t>
            </w:r>
          </w:p>
        </w:tc>
      </w:tr>
      <w:tr>
        <w:trPr>
          <w:trHeight w:val="162"/>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Salary Achieved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Target Achieved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Payment</w:t>
            </w:r>
          </w:p>
        </w:tc>
      </w:tr>
      <w:tr>
        <w:trPr>
          <w:trHeight w:val="186"/>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360" w:type="dxa"/>
            <w:vAlign w:val="bottom"/>
          </w:tcPr>
          <w:p>
            <w:pPr>
              <w:spacing w:after="0"/>
              <w:rPr>
                <w:sz w:val="16"/>
                <w:szCs w:val="16"/>
                <w:color w:val="auto"/>
              </w:rPr>
            </w:pPr>
          </w:p>
        </w:tc>
        <w:tc>
          <w:tcPr>
            <w:tcW w:w="600" w:type="dxa"/>
            <w:vAlign w:val="bottom"/>
          </w:tcPr>
          <w:p>
            <w:pPr>
              <w:jc w:val="center"/>
              <w:ind w:right="25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6"/>
        </w:trPr>
        <w:tc>
          <w:tcPr>
            <w:tcW w:w="4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S. Sotos</w:t>
            </w:r>
          </w:p>
        </w:tc>
        <w:tc>
          <w:tcPr>
            <w:tcW w:w="960" w:type="dxa"/>
            <w:vAlign w:val="bottom"/>
            <w:gridSpan w:val="2"/>
            <w:shd w:val="clear" w:color="auto" w:fill="CCEEFF"/>
          </w:tcPr>
          <w:p>
            <w:pPr>
              <w:jc w:val="right"/>
              <w:ind w:right="236"/>
              <w:spacing w:after="0"/>
              <w:rPr>
                <w:sz w:val="20"/>
                <w:szCs w:val="20"/>
                <w:color w:val="auto"/>
              </w:rPr>
            </w:pPr>
            <w:r>
              <w:rPr>
                <w:rFonts w:ascii="Arial" w:cs="Arial" w:eastAsia="Arial" w:hAnsi="Arial"/>
                <w:sz w:val="18"/>
                <w:szCs w:val="18"/>
                <w:color w:val="auto"/>
              </w:rPr>
              <w:t>​109</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​109</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​725,069</w:t>
            </w:r>
          </w:p>
        </w:tc>
      </w:tr>
      <w:tr>
        <w:trPr>
          <w:trHeight w:val="283"/>
        </w:trPr>
        <w:tc>
          <w:tcPr>
            <w:tcW w:w="5180" w:type="dxa"/>
            <w:vAlign w:val="bottom"/>
            <w:gridSpan w:val="2"/>
          </w:tcPr>
          <w:p>
            <w:pPr>
              <w:spacing w:after="0"/>
              <w:rPr>
                <w:sz w:val="20"/>
                <w:szCs w:val="20"/>
                <w:color w:val="auto"/>
              </w:rPr>
            </w:pPr>
            <w:r>
              <w:rPr>
                <w:rFonts w:ascii="Arial" w:cs="Arial" w:eastAsia="Arial" w:hAnsi="Arial"/>
                <w:sz w:val="18"/>
                <w:szCs w:val="18"/>
                <w:color w:val="auto"/>
              </w:rPr>
              <w:t>Sarah Rubenstein</w:t>
            </w:r>
            <w:r>
              <w:rPr>
                <w:rFonts w:ascii="Arial" w:cs="Arial" w:eastAsia="Arial" w:hAnsi="Arial"/>
                <w:sz w:val="23"/>
                <w:szCs w:val="23"/>
                <w:color w:val="auto"/>
                <w:vertAlign w:val="superscript"/>
              </w:rPr>
              <w:t>(1)</w:t>
            </w:r>
          </w:p>
        </w:tc>
        <w:tc>
          <w:tcPr>
            <w:tcW w:w="360" w:type="dxa"/>
            <w:vAlign w:val="bottom"/>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36"/>
              <w:spacing w:after="0"/>
              <w:rPr>
                <w:sz w:val="20"/>
                <w:szCs w:val="20"/>
                <w:color w:val="auto"/>
              </w:rPr>
            </w:pPr>
            <w:r>
              <w:rPr>
                <w:rFonts w:ascii="Arial" w:cs="Arial" w:eastAsia="Arial" w:hAnsi="Arial"/>
                <w:sz w:val="18"/>
                <w:szCs w:val="18"/>
                <w:color w:val="auto"/>
              </w:rPr>
              <w:t>55</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center"/>
              <w:spacing w:after="0"/>
              <w:rPr>
                <w:sz w:val="20"/>
                <w:szCs w:val="20"/>
                <w:color w:val="auto"/>
              </w:rPr>
            </w:pPr>
            <w:r>
              <w:rPr>
                <w:rFonts w:ascii="Arial" w:cs="Arial" w:eastAsia="Arial" w:hAnsi="Arial"/>
                <w:sz w:val="18"/>
                <w:szCs w:val="18"/>
                <w:color w:val="auto"/>
              </w:rPr>
              <w:t>​109</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​177,125</w:t>
            </w:r>
          </w:p>
        </w:tc>
      </w:tr>
      <w:tr>
        <w:trPr>
          <w:trHeight w:val="283"/>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Malcarney</w:t>
            </w:r>
            <w:r>
              <w:rPr>
                <w:rFonts w:ascii="Arial" w:cs="Arial" w:eastAsia="Arial" w:hAnsi="Arial"/>
                <w:sz w:val="23"/>
                <w:szCs w:val="23"/>
                <w:color w:val="auto"/>
                <w:vertAlign w:val="superscript"/>
              </w:rPr>
              <w:t>(2)</w:t>
            </w:r>
          </w:p>
        </w:tc>
        <w:tc>
          <w:tcPr>
            <w:tcW w:w="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71</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​109</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​283,400</w:t>
            </w:r>
          </w:p>
        </w:tc>
      </w:tr>
      <w:tr>
        <w:trPr>
          <w:trHeight w:val="325"/>
        </w:trPr>
        <w:tc>
          <w:tcPr>
            <w:tcW w:w="5180" w:type="dxa"/>
            <w:vAlign w:val="bottom"/>
            <w:gridSpan w:val="2"/>
          </w:tcPr>
          <w:p>
            <w:pPr>
              <w:spacing w:after="0"/>
              <w:rPr>
                <w:sz w:val="20"/>
                <w:szCs w:val="20"/>
                <w:color w:val="auto"/>
              </w:rPr>
            </w:pPr>
            <w:r>
              <w:rPr>
                <w:rFonts w:ascii="Arial" w:cs="Arial" w:eastAsia="Arial" w:hAnsi="Arial"/>
                <w:sz w:val="18"/>
                <w:szCs w:val="18"/>
                <w:color w:val="auto"/>
              </w:rPr>
              <w:t>Chad Plotkin</w:t>
            </w:r>
            <w:r>
              <w:rPr>
                <w:rFonts w:ascii="Arial" w:cs="Arial" w:eastAsia="Arial" w:hAnsi="Arial"/>
                <w:sz w:val="23"/>
                <w:szCs w:val="23"/>
                <w:color w:val="auto"/>
                <w:vertAlign w:val="superscript"/>
              </w:rPr>
              <w:t>(3)</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rPr>
              <w:t>​N/A</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center"/>
              <w:spacing w:after="0"/>
              <w:rPr>
                <w:sz w:val="20"/>
                <w:szCs w:val="20"/>
                <w:color w:val="auto"/>
              </w:rPr>
            </w:pPr>
            <w:r>
              <w:rPr>
                <w:rFonts w:ascii="Arial" w:cs="Arial" w:eastAsia="Arial" w:hAnsi="Arial"/>
                <w:sz w:val="18"/>
                <w:szCs w:val="18"/>
                <w:color w:val="auto"/>
              </w:rPr>
              <w:t>​N/A</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rPr>
              <w:t>​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-737235</wp:posOffset>
            </wp:positionV>
            <wp:extent cx="137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-737235</wp:posOffset>
            </wp:positionV>
            <wp:extent cx="137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-737235</wp:posOffset>
            </wp:positionV>
            <wp:extent cx="137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119380</wp:posOffset>
            </wp:positionV>
            <wp:extent cx="123444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5" w:lineRule="exact"/>
        <w:rPr>
          <w:sz w:val="20"/>
          <w:szCs w:val="20"/>
          <w:color w:val="auto"/>
        </w:rPr>
      </w:pPr>
    </w:p>
    <w:p>
      <w:pPr>
        <w:ind w:left="1620" w:right="459" w:hanging="360"/>
        <w:spacing w:after="0" w:line="263" w:lineRule="auto"/>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Ms. Rubenstein was promoted to Senior Vice President and Chief Accounting Officer in January 2022 and appointed as the principal financial officer for the Company in August 2022. Ms. Rubenstein’s AIP target increased from 40% to 50% in connection with her promotion.</w:t>
      </w:r>
    </w:p>
    <w:p>
      <w:pPr>
        <w:spacing w:after="0" w:line="35" w:lineRule="exact"/>
        <w:rPr>
          <w:rFonts w:ascii="Arial" w:cs="Arial" w:eastAsia="Arial" w:hAnsi="Arial"/>
          <w:sz w:val="18"/>
          <w:szCs w:val="18"/>
          <w:color w:val="auto"/>
        </w:rPr>
      </w:pPr>
    </w:p>
    <w:p>
      <w:pPr>
        <w:ind w:left="1620" w:right="479" w:hanging="360"/>
        <w:spacing w:after="0" w:line="263" w:lineRule="auto"/>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Malcarney was promoted to Executive Vice President, General Counsel and Corporate Secretary in January 2022. Mr. Malcarney’s AIP target increased from 60% to 65% in connection with his promotion.</w:t>
      </w:r>
    </w:p>
    <w:p>
      <w:pPr>
        <w:spacing w:after="0" w:line="35" w:lineRule="exact"/>
        <w:rPr>
          <w:rFonts w:ascii="Arial" w:cs="Arial" w:eastAsia="Arial" w:hAnsi="Arial"/>
          <w:sz w:val="18"/>
          <w:szCs w:val="18"/>
          <w:color w:val="auto"/>
        </w:rPr>
      </w:pPr>
    </w:p>
    <w:p>
      <w:pPr>
        <w:ind w:left="1620" w:right="739" w:hanging="360"/>
        <w:spacing w:after="0" w:line="259" w:lineRule="auto"/>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Plotkin was promoted to Executive Vice President and Chief Financial Officer in January 2022. Mr. Plotkin’s AIP target increase from 60% to 70% in connection with his promotion. Mr. Plotkin voluntarily resigned from his employment with the Company in August 2022. Accordingly, no AIP bonus was paid to Mr. Plotkin for 2022.</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LONG-TERM INCENTIVE COMPENSATION</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7"/>
          <w:szCs w:val="17"/>
          <w:color w:val="auto"/>
        </w:rPr>
        <w:t>We believe that equity awards directly align our NEOs’ interests with those of our stockholders. In 2022, the Compensation Committee granted our NEOs a combination of performance -based equity awards directly linked to long-term stockholder value creation and time-based equity awards which also represent a critical component of our long-term incentive compensation due to the retention aspects of the awards. To enhance our compensation program’s focus on Company performance, the majority of these long-term incentive awards (67%) were performance-based (i.e., granted as RPSUs). The remainder of our long-term incentive awards (33%) were time- based (i.e., granted as RSUs which vest over three years). We believe that our AIP appropriately focuses our NEOs on shorter-term (one-year) financial metrics while our LTIP emphasizes long-term stockholder value creation (i.e., three-year TSR outperformance). For 2022,</w:t>
      </w:r>
    </w:p>
    <w:p>
      <w:pPr>
        <w:spacing w:after="0" w:line="1"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color w:val="auto"/>
        </w:rPr>
        <w:t>Mr. Sotos’ target LTIP award was 315% of his base salary, Ms. Rubenstein and Mr. Malcarney’s target LTIP awards were 125% of their respective base salaries, and Mr. Plotkin’s target LTIP award was 150% of his base salary. Mr. Sotos’ target LTIP award increased from 280% in 2021 to 315% in 2022 to recognize his performance and better align his total direct compensation with the market median. Ms. Rubenstein’s target LTIP award increased from 75% in 2021 to 125% in 2022 and Mr. Plotkin’s target LTIP award increased from 125% in 2021 to 150% in 2022. These changes were made in connection with promotional matters and intended to</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99"/>
        <w:spacing w:after="0" w:line="286" w:lineRule="auto"/>
        <w:rPr>
          <w:sz w:val="20"/>
          <w:szCs w:val="20"/>
          <w:color w:val="auto"/>
        </w:rPr>
      </w:pPr>
      <w:r>
        <w:rPr>
          <w:rFonts w:ascii="Arial" w:cs="Arial" w:eastAsia="Arial" w:hAnsi="Arial"/>
          <w:sz w:val="17"/>
          <w:szCs w:val="17"/>
          <w:color w:val="auto"/>
        </w:rPr>
        <w:t>recognize their performance and better align their total direct compensation with the market median. The above mix of long-term incentive compensation applied to all NEOs for 2022. Mr. Plotkin’s outstanding RPSUs and RSUs were forfeited as of the time of his resignation in August 2022.</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Relative Performance Stock Units</w:t>
      </w:r>
    </w:p>
    <w:p>
      <w:pPr>
        <w:spacing w:after="0" w:line="158" w:lineRule="exact"/>
        <w:rPr>
          <w:sz w:val="20"/>
          <w:szCs w:val="20"/>
          <w:color w:val="auto"/>
        </w:rPr>
      </w:pPr>
    </w:p>
    <w:p>
      <w:pPr>
        <w:jc w:val="both"/>
        <w:ind w:left="1260" w:right="559" w:firstLine="360"/>
        <w:spacing w:after="0" w:line="287" w:lineRule="auto"/>
        <w:rPr>
          <w:sz w:val="20"/>
          <w:szCs w:val="20"/>
          <w:color w:val="auto"/>
        </w:rPr>
      </w:pPr>
      <w:r>
        <w:rPr>
          <w:rFonts w:ascii="Arial" w:cs="Arial" w:eastAsia="Arial" w:hAnsi="Arial"/>
          <w:sz w:val="16"/>
          <w:szCs w:val="16"/>
          <w:color w:val="auto"/>
        </w:rPr>
        <w:t>Each RPSU represents the potential to receive one share of Class C common stock, as adjusted, based on the Company’s TSR performance ranked against the TSR performance of a comparator group of similar companies (the “Performance Peer Group”) after the completion of a three-year performance period.</w:t>
      </w:r>
    </w:p>
    <w:p>
      <w:pPr>
        <w:spacing w:after="0" w:line="2" w:lineRule="exact"/>
        <w:rPr>
          <w:sz w:val="20"/>
          <w:szCs w:val="20"/>
          <w:color w:val="auto"/>
        </w:rPr>
      </w:pPr>
    </w:p>
    <w:p>
      <w:pPr>
        <w:ind w:left="1260" w:right="639"/>
        <w:spacing w:after="0" w:line="255" w:lineRule="auto"/>
        <w:rPr>
          <w:sz w:val="20"/>
          <w:szCs w:val="20"/>
          <w:color w:val="auto"/>
        </w:rPr>
      </w:pPr>
      <w:r>
        <w:rPr>
          <w:rFonts w:ascii="Arial" w:cs="Arial" w:eastAsia="Arial" w:hAnsi="Arial"/>
          <w:sz w:val="18"/>
          <w:szCs w:val="18"/>
          <w:color w:val="auto"/>
        </w:rPr>
        <w:t>Relative measures are designed to normalize for externalities, ensuring the program appropriately reflects management’s impact on the Company’s TSR by including peer companies that the Compensation Committee believes are similarly impacted by market conditions.</w:t>
      </w:r>
    </w:p>
    <w:p>
      <w:pPr>
        <w:spacing w:after="0" w:line="122"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The payout of shares of Class C common stock at the end of the three-year performance period is based on the Company’s TSR performance percentile rank compared with the TSR performance of the Performance Peer Group. To ensure a rigorous program design, the target level payout (100% of shares granted) requires the Company to perform at the 50th percentile. To induce management to achieve greater than target level performance in a down market, in the event that the Company’s TSR performance declines by more than 20% over the performance period, the target level payout (100% of shares granted) will require achievement of 60th percentile performance. The Compensation Committee believes that this increased performance requirement addresses the concern that a disproportionate award may be paid in the event that our relative performance is high, but absolute performance is low.</w:t>
      </w:r>
    </w:p>
    <w:p>
      <w:pPr>
        <w:spacing w:after="0" w:line="10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the event relative performance is below the 25th percentile, the award is forfeited. In the event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relative performance is between the 25th percentile and the 50th percentile (or the 60th percentile if our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TSR performance declines by more than 20% over the performance period), payouts will be based on an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interpolated calculation. In the event relative performance reaches the 50th percentile (or the 60th percentile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described above), 100% of the award will be paid. In the event relative performance is between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50th percentile (or the 60th percentile as described above) and the 75th percentile, payouts will be based 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 interpolated calculation. In the event that relative performance is at or above the 75th percentile, 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maximum payout of 150% of the target will be paid with respect to RPSU awards granted in 2022. Based 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Company’s TSR performance ranked against the TSR performance of the Performance Peer Group over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three year performance period ending on December 31, 2022, the RPSUs granted in 2020 will vest 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15, 2023 at 150% of target.</w:t>
      </w:r>
    </w:p>
    <w:p>
      <w:pPr>
        <w:spacing w:after="0" w:line="1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table below illustrates the design of our RPSUs in 2022.</w:t>
      </w:r>
    </w:p>
    <w:p>
      <w:pPr>
        <w:spacing w:after="0" w:line="163" w:lineRule="exact"/>
        <w:rPr>
          <w:sz w:val="20"/>
          <w:szCs w:val="20"/>
          <w:color w:val="auto"/>
        </w:rPr>
      </w:pPr>
    </w:p>
    <w:p>
      <w:pPr>
        <w:jc w:val="right"/>
        <w:ind w:right="419"/>
        <w:spacing w:after="0"/>
        <w:tabs>
          <w:tab w:leader="none" w:pos="3940" w:val="left"/>
          <w:tab w:leader="none" w:pos="1180" w:val="left"/>
        </w:tabs>
        <w:rPr>
          <w:sz w:val="20"/>
          <w:szCs w:val="20"/>
          <w:color w:val="auto"/>
        </w:rPr>
      </w:pPr>
      <w:r>
        <w:rPr>
          <w:rFonts w:ascii="Arial" w:cs="Arial" w:eastAsia="Arial" w:hAnsi="Arial"/>
          <w:sz w:val="14"/>
          <w:szCs w:val="14"/>
          <w:b w:val="1"/>
          <w:bCs w:val="1"/>
          <w:color w:val="auto"/>
        </w:rPr>
        <w:t>Performance Targets</w:t>
      </w:r>
      <w:r>
        <w:rPr>
          <w:sz w:val="20"/>
          <w:szCs w:val="20"/>
          <w:color w:val="auto"/>
        </w:rPr>
        <w:tab/>
      </w:r>
      <w:r>
        <w:rPr>
          <w:rFonts w:ascii="Arial" w:cs="Arial" w:eastAsia="Arial" w:hAnsi="Arial"/>
          <w:sz w:val="14"/>
          <w:szCs w:val="14"/>
          <w:b w:val="1"/>
          <w:bCs w:val="1"/>
          <w:color w:val="auto"/>
        </w:rPr>
        <w:t>Performance Requirement</w:t>
      </w:r>
      <w:r>
        <w:rPr>
          <w:sz w:val="20"/>
          <w:szCs w:val="20"/>
          <w:color w:val="auto"/>
        </w:rPr>
        <w:tab/>
      </w:r>
      <w:r>
        <w:rPr>
          <w:rFonts w:ascii="Arial" w:cs="Arial" w:eastAsia="Arial" w:hAnsi="Arial"/>
          <w:sz w:val="12"/>
          <w:szCs w:val="12"/>
          <w:b w:val="1"/>
          <w:bCs w:val="1"/>
          <w:color w:val="auto"/>
        </w:rPr>
        <w:t>Payout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521208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104" w:lineRule="exact"/>
        <w:rPr>
          <w:sz w:val="20"/>
          <w:szCs w:val="20"/>
          <w:color w:val="auto"/>
        </w:rPr>
      </w:pPr>
    </w:p>
    <w:tbl>
      <w:tblPr>
        <w:tblLayout w:type="fixed"/>
        <w:tblInd w:w="1260" w:type="dxa"/>
        <w:tblCellMar>
          <w:top w:w="0" w:type="dxa"/>
          <w:left w:w="0" w:type="dxa"/>
          <w:bottom w:w="0" w:type="dxa"/>
          <w:right w:w="0" w:type="dxa"/>
        </w:tblCellMar>
      </w:tblPr>
      <w:tr>
        <w:trPr>
          <w:trHeight w:val="239"/>
        </w:trPr>
        <w:tc>
          <w:tcPr>
            <w:tcW w:w="2240" w:type="dxa"/>
            <w:vAlign w:val="bottom"/>
          </w:tcPr>
          <w:p>
            <w:pPr>
              <w:spacing w:after="0"/>
              <w:rPr>
                <w:sz w:val="20"/>
                <w:szCs w:val="20"/>
                <w:color w:val="auto"/>
              </w:rPr>
            </w:pPr>
            <w:r>
              <w:rPr>
                <w:rFonts w:ascii="Arial" w:cs="Arial" w:eastAsia="Arial" w:hAnsi="Arial"/>
                <w:sz w:val="18"/>
                <w:szCs w:val="18"/>
                <w:b w:val="1"/>
                <w:bCs w:val="1"/>
                <w:i w:val="1"/>
                <w:iCs w:val="1"/>
                <w:color w:val="auto"/>
              </w:rPr>
              <w:t>Maximum</w:t>
            </w:r>
          </w:p>
        </w:tc>
        <w:tc>
          <w:tcPr>
            <w:tcW w:w="4860" w:type="dxa"/>
            <w:vAlign w:val="bottom"/>
            <w:gridSpan w:val="2"/>
          </w:tcPr>
          <w:p>
            <w:pPr>
              <w:jc w:val="center"/>
              <w:ind w:left="630"/>
              <w:spacing w:after="0"/>
              <w:rPr>
                <w:sz w:val="20"/>
                <w:szCs w:val="20"/>
                <w:color w:val="auto"/>
              </w:rPr>
            </w:pPr>
            <w:r>
              <w:rPr>
                <w:rFonts w:ascii="Arial" w:cs="Arial" w:eastAsia="Arial" w:hAnsi="Arial"/>
                <w:sz w:val="18"/>
                <w:szCs w:val="18"/>
                <w:color w:val="auto"/>
                <w:w w:val="94"/>
              </w:rPr>
              <w:t>75th percentile or above</w:t>
            </w:r>
          </w:p>
        </w:tc>
        <w:tc>
          <w:tcPr>
            <w:tcW w:w="780" w:type="dxa"/>
            <w:vAlign w:val="bottom"/>
          </w:tcPr>
          <w:p>
            <w:pPr>
              <w:ind w:left="360"/>
              <w:spacing w:after="0"/>
              <w:rPr>
                <w:sz w:val="20"/>
                <w:szCs w:val="20"/>
                <w:color w:val="auto"/>
              </w:rPr>
            </w:pPr>
            <w:r>
              <w:rPr>
                <w:rFonts w:ascii="Arial" w:cs="Arial" w:eastAsia="Arial" w:hAnsi="Arial"/>
                <w:sz w:val="18"/>
                <w:szCs w:val="18"/>
                <w:color w:val="auto"/>
                <w:w w:val="86"/>
              </w:rPr>
              <w:t>​150%</w:t>
            </w:r>
          </w:p>
        </w:tc>
      </w:tr>
      <w:tr>
        <w:trPr>
          <w:trHeight w:val="220"/>
        </w:trPr>
        <w:tc>
          <w:tcPr>
            <w:tcW w:w="2240" w:type="dxa"/>
            <w:vAlign w:val="bottom"/>
          </w:tcPr>
          <w:p>
            <w:pPr>
              <w:spacing w:after="0"/>
              <w:rPr>
                <w:sz w:val="20"/>
                <w:szCs w:val="20"/>
                <w:color w:val="auto"/>
              </w:rPr>
            </w:pPr>
            <w:r>
              <w:rPr>
                <w:rFonts w:ascii="Arial" w:cs="Arial" w:eastAsia="Arial" w:hAnsi="Arial"/>
                <w:sz w:val="18"/>
                <w:szCs w:val="18"/>
                <w:b w:val="1"/>
                <w:bCs w:val="1"/>
                <w:i w:val="1"/>
                <w:iCs w:val="1"/>
                <w:color w:val="auto"/>
              </w:rPr>
              <w:t>Target</w:t>
            </w:r>
          </w:p>
        </w:tc>
        <w:tc>
          <w:tcPr>
            <w:tcW w:w="2440" w:type="dxa"/>
            <w:vAlign w:val="bottom"/>
          </w:tcPr>
          <w:p>
            <w:pPr>
              <w:jc w:val="center"/>
              <w:ind w:left="810"/>
              <w:spacing w:after="0"/>
              <w:rPr>
                <w:sz w:val="20"/>
                <w:szCs w:val="20"/>
                <w:color w:val="auto"/>
              </w:rPr>
            </w:pPr>
            <w:r>
              <w:rPr>
                <w:rFonts w:ascii="Arial" w:cs="Arial" w:eastAsia="Arial" w:hAnsi="Arial"/>
                <w:sz w:val="18"/>
                <w:szCs w:val="18"/>
                <w:b w:val="1"/>
                <w:bCs w:val="1"/>
                <w:color w:val="auto"/>
                <w:w w:val="88"/>
              </w:rPr>
              <w:t>Standard Target</w:t>
            </w:r>
            <w:r>
              <w:rPr>
                <w:rFonts w:ascii="Arial" w:cs="Arial" w:eastAsia="Arial" w:hAnsi="Arial"/>
                <w:sz w:val="18"/>
                <w:szCs w:val="18"/>
                <w:color w:val="auto"/>
                <w:w w:val="88"/>
              </w:rPr>
              <w:t>:</w:t>
            </w:r>
          </w:p>
        </w:tc>
        <w:tc>
          <w:tcPr>
            <w:tcW w:w="24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Modified Target</w:t>
            </w:r>
            <w:r>
              <w:rPr>
                <w:rFonts w:ascii="Arial" w:cs="Arial" w:eastAsia="Arial" w:hAnsi="Arial"/>
                <w:sz w:val="18"/>
                <w:szCs w:val="18"/>
                <w:color w:val="auto"/>
                <w:w w:val="89"/>
              </w:rPr>
              <w:t>:</w:t>
            </w:r>
          </w:p>
        </w:tc>
        <w:tc>
          <w:tcPr>
            <w:tcW w:w="780" w:type="dxa"/>
            <w:vAlign w:val="bottom"/>
          </w:tcPr>
          <w:p>
            <w:pPr>
              <w:spacing w:after="0"/>
              <w:rPr>
                <w:sz w:val="19"/>
                <w:szCs w:val="19"/>
                <w:color w:val="auto"/>
              </w:rPr>
            </w:pPr>
          </w:p>
        </w:tc>
      </w:tr>
      <w:tr>
        <w:trPr>
          <w:trHeight w:val="216"/>
        </w:trPr>
        <w:tc>
          <w:tcPr>
            <w:tcW w:w="2240" w:type="dxa"/>
            <w:vAlign w:val="bottom"/>
          </w:tcPr>
          <w:p>
            <w:pPr>
              <w:spacing w:after="0"/>
              <w:rPr>
                <w:sz w:val="18"/>
                <w:szCs w:val="18"/>
                <w:color w:val="auto"/>
              </w:rPr>
            </w:pPr>
          </w:p>
        </w:tc>
        <w:tc>
          <w:tcPr>
            <w:tcW w:w="2440" w:type="dxa"/>
            <w:vAlign w:val="bottom"/>
          </w:tcPr>
          <w:p>
            <w:pPr>
              <w:jc w:val="center"/>
              <w:ind w:left="870"/>
              <w:spacing w:after="0"/>
              <w:rPr>
                <w:sz w:val="20"/>
                <w:szCs w:val="20"/>
                <w:color w:val="auto"/>
              </w:rPr>
            </w:pPr>
            <w:r>
              <w:rPr>
                <w:rFonts w:ascii="Arial" w:cs="Arial" w:eastAsia="Arial" w:hAnsi="Arial"/>
                <w:sz w:val="18"/>
                <w:szCs w:val="18"/>
                <w:color w:val="auto"/>
                <w:w w:val="94"/>
              </w:rPr>
              <w:t>50th percentile</w:t>
            </w:r>
          </w:p>
        </w:tc>
        <w:tc>
          <w:tcPr>
            <w:tcW w:w="2420" w:type="dxa"/>
            <w:vAlign w:val="bottom"/>
          </w:tcPr>
          <w:p>
            <w:pPr>
              <w:jc w:val="center"/>
              <w:ind w:right="150"/>
              <w:spacing w:after="0"/>
              <w:rPr>
                <w:sz w:val="20"/>
                <w:szCs w:val="20"/>
                <w:color w:val="auto"/>
              </w:rPr>
            </w:pPr>
            <w:r>
              <w:rPr>
                <w:rFonts w:ascii="Arial" w:cs="Arial" w:eastAsia="Arial" w:hAnsi="Arial"/>
                <w:sz w:val="18"/>
                <w:szCs w:val="18"/>
                <w:color w:val="auto"/>
                <w:w w:val="94"/>
              </w:rPr>
              <w:t>60th percentile (less than</w:t>
            </w:r>
          </w:p>
        </w:tc>
        <w:tc>
          <w:tcPr>
            <w:tcW w:w="780" w:type="dxa"/>
            <w:vAlign w:val="bottom"/>
          </w:tcPr>
          <w:p>
            <w:pPr>
              <w:spacing w:after="0"/>
              <w:rPr>
                <w:sz w:val="18"/>
                <w:szCs w:val="18"/>
                <w:color w:val="auto"/>
              </w:rPr>
            </w:pPr>
          </w:p>
        </w:tc>
      </w:tr>
      <w:tr>
        <w:trPr>
          <w:trHeight w:val="244"/>
        </w:trPr>
        <w:tc>
          <w:tcPr>
            <w:tcW w:w="22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420" w:type="dxa"/>
            <w:vAlign w:val="bottom"/>
          </w:tcPr>
          <w:p>
            <w:pPr>
              <w:jc w:val="center"/>
              <w:ind w:right="90"/>
              <w:spacing w:after="0"/>
              <w:rPr>
                <w:sz w:val="20"/>
                <w:szCs w:val="20"/>
                <w:color w:val="auto"/>
              </w:rPr>
            </w:pPr>
            <w:r>
              <w:rPr>
                <w:rFonts w:ascii="Arial" w:cs="Arial" w:eastAsia="Arial" w:hAnsi="Arial"/>
                <w:sz w:val="18"/>
                <w:szCs w:val="18"/>
                <w:color w:val="auto"/>
                <w:w w:val="93"/>
              </w:rPr>
              <w:t>-20% absolute TSR)</w:t>
            </w:r>
          </w:p>
        </w:tc>
        <w:tc>
          <w:tcPr>
            <w:tcW w:w="780" w:type="dxa"/>
            <w:vAlign w:val="bottom"/>
          </w:tcPr>
          <w:p>
            <w:pPr>
              <w:ind w:left="360"/>
              <w:spacing w:after="0"/>
              <w:rPr>
                <w:sz w:val="20"/>
                <w:szCs w:val="20"/>
                <w:color w:val="auto"/>
              </w:rPr>
            </w:pPr>
            <w:r>
              <w:rPr>
                <w:rFonts w:ascii="Arial" w:cs="Arial" w:eastAsia="Arial" w:hAnsi="Arial"/>
                <w:sz w:val="18"/>
                <w:szCs w:val="18"/>
                <w:color w:val="auto"/>
                <w:w w:val="86"/>
              </w:rPr>
              <w:t>​100%</w:t>
            </w:r>
          </w:p>
        </w:tc>
      </w:tr>
      <w:tr>
        <w:trPr>
          <w:trHeight w:val="283"/>
        </w:trPr>
        <w:tc>
          <w:tcPr>
            <w:tcW w:w="2240" w:type="dxa"/>
            <w:vAlign w:val="bottom"/>
          </w:tcPr>
          <w:p>
            <w:pPr>
              <w:spacing w:after="0"/>
              <w:rPr>
                <w:sz w:val="20"/>
                <w:szCs w:val="20"/>
                <w:color w:val="auto"/>
              </w:rPr>
            </w:pPr>
            <w:r>
              <w:rPr>
                <w:rFonts w:ascii="Arial" w:cs="Arial" w:eastAsia="Arial" w:hAnsi="Arial"/>
                <w:sz w:val="18"/>
                <w:szCs w:val="18"/>
                <w:b w:val="1"/>
                <w:bCs w:val="1"/>
                <w:i w:val="1"/>
                <w:iCs w:val="1"/>
                <w:color w:val="auto"/>
              </w:rPr>
              <w:t>Threshold</w:t>
            </w:r>
          </w:p>
        </w:tc>
        <w:tc>
          <w:tcPr>
            <w:tcW w:w="4860" w:type="dxa"/>
            <w:vAlign w:val="bottom"/>
            <w:gridSpan w:val="2"/>
          </w:tcPr>
          <w:p>
            <w:pPr>
              <w:jc w:val="center"/>
              <w:ind w:left="610"/>
              <w:spacing w:after="0"/>
              <w:rPr>
                <w:sz w:val="20"/>
                <w:szCs w:val="20"/>
                <w:color w:val="auto"/>
              </w:rPr>
            </w:pPr>
            <w:r>
              <w:rPr>
                <w:rFonts w:ascii="Arial" w:cs="Arial" w:eastAsia="Arial" w:hAnsi="Arial"/>
                <w:sz w:val="18"/>
                <w:szCs w:val="18"/>
                <w:color w:val="auto"/>
                <w:w w:val="94"/>
              </w:rPr>
              <w:t>25th percentile</w:t>
            </w:r>
          </w:p>
        </w:tc>
        <w:tc>
          <w:tcPr>
            <w:tcW w:w="780" w:type="dxa"/>
            <w:vAlign w:val="bottom"/>
          </w:tcPr>
          <w:p>
            <w:pPr>
              <w:ind w:left="360"/>
              <w:spacing w:after="0"/>
              <w:rPr>
                <w:sz w:val="20"/>
                <w:szCs w:val="20"/>
                <w:color w:val="auto"/>
              </w:rPr>
            </w:pPr>
            <w:r>
              <w:rPr>
                <w:rFonts w:ascii="Arial" w:cs="Arial" w:eastAsia="Arial" w:hAnsi="Arial"/>
                <w:sz w:val="18"/>
                <w:szCs w:val="18"/>
                <w:color w:val="auto"/>
                <w:w w:val="97"/>
              </w:rPr>
              <w:t>​ 25%</w:t>
            </w:r>
          </w:p>
        </w:tc>
      </w:tr>
      <w:tr>
        <w:trPr>
          <w:trHeight w:val="257"/>
        </w:trPr>
        <w:tc>
          <w:tcPr>
            <w:tcW w:w="2240" w:type="dxa"/>
            <w:vAlign w:val="bottom"/>
          </w:tcPr>
          <w:p>
            <w:pPr>
              <w:spacing w:after="0"/>
              <w:rPr>
                <w:sz w:val="20"/>
                <w:szCs w:val="20"/>
                <w:color w:val="auto"/>
              </w:rPr>
            </w:pPr>
            <w:r>
              <w:rPr>
                <w:rFonts w:ascii="Arial" w:cs="Arial" w:eastAsia="Arial" w:hAnsi="Arial"/>
                <w:sz w:val="18"/>
                <w:szCs w:val="18"/>
                <w:b w:val="1"/>
                <w:bCs w:val="1"/>
                <w:i w:val="1"/>
                <w:iCs w:val="1"/>
                <w:color w:val="auto"/>
              </w:rPr>
              <w:t>Below Threshold</w:t>
            </w:r>
          </w:p>
        </w:tc>
        <w:tc>
          <w:tcPr>
            <w:tcW w:w="4860" w:type="dxa"/>
            <w:vAlign w:val="bottom"/>
            <w:gridSpan w:val="2"/>
          </w:tcPr>
          <w:p>
            <w:pPr>
              <w:jc w:val="center"/>
              <w:ind w:left="630"/>
              <w:spacing w:after="0"/>
              <w:rPr>
                <w:sz w:val="20"/>
                <w:szCs w:val="20"/>
                <w:color w:val="auto"/>
              </w:rPr>
            </w:pPr>
            <w:r>
              <w:rPr>
                <w:rFonts w:ascii="Arial" w:cs="Arial" w:eastAsia="Arial" w:hAnsi="Arial"/>
                <w:sz w:val="18"/>
                <w:szCs w:val="18"/>
                <w:color w:val="auto"/>
                <w:w w:val="96"/>
              </w:rPr>
              <w:t>Below 25th percentile</w:t>
            </w:r>
          </w:p>
        </w:tc>
        <w:tc>
          <w:tcPr>
            <w:tcW w:w="780" w:type="dxa"/>
            <w:vAlign w:val="bottom"/>
          </w:tcPr>
          <w:p>
            <w:pPr>
              <w:ind w:left="360"/>
              <w:spacing w:after="0"/>
              <w:rPr>
                <w:sz w:val="20"/>
                <w:szCs w:val="20"/>
                <w:color w:val="auto"/>
              </w:rPr>
            </w:pPr>
            <w:r>
              <w:rPr>
                <w:rFonts w:ascii="Arial" w:cs="Arial" w:eastAsia="Arial" w:hAnsi="Arial"/>
                <w:sz w:val="18"/>
                <w:szCs w:val="18"/>
                <w:color w:val="auto"/>
              </w:rPr>
              <w:t>​  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-342265</wp:posOffset>
            </wp:positionV>
            <wp:extent cx="5212080"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44" w:lineRule="exact"/>
        <w:rPr>
          <w:sz w:val="20"/>
          <w:szCs w:val="20"/>
          <w:color w:val="auto"/>
        </w:rPr>
      </w:pPr>
    </w:p>
    <w:p>
      <w:pPr>
        <w:ind w:left="1260" w:firstLine="360"/>
        <w:spacing w:after="0" w:line="263" w:lineRule="auto"/>
        <w:rPr>
          <w:sz w:val="20"/>
          <w:szCs w:val="20"/>
          <w:color w:val="auto"/>
        </w:rPr>
      </w:pPr>
      <w:r>
        <w:rPr>
          <w:rFonts w:ascii="Arial" w:cs="Arial" w:eastAsia="Arial" w:hAnsi="Arial"/>
          <w:sz w:val="18"/>
          <w:szCs w:val="18"/>
          <w:color w:val="auto"/>
        </w:rPr>
        <w:t>Each RSU represents the right to receive one share of our Class C common stock after the completion of the vesting period. The RSUs granted to the NEOs in 2022 vest ratably, meaning that one-third of the award vests each year on the anniversary of the grant date, over a three-year period.</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26" w:lineRule="exact"/>
        <w:rPr>
          <w:sz w:val="20"/>
          <w:szCs w:val="20"/>
          <w:color w:val="auto"/>
        </w:rPr>
      </w:pPr>
    </w:p>
    <w:p>
      <w:pPr>
        <w:sectPr>
          <w:pgSz w:w="11900" w:h="16838" w:orient="portrait"/>
          <w:cols w:equalWidth="0" w:num="2">
            <w:col w:w="9300" w:space="160"/>
            <w:col w:w="419"/>
          </w:cols>
          <w:pgMar w:left="580" w:top="132" w:right="1440" w:bottom="1440" w:gutter="0" w:footer="0" w:header="0"/>
          <w:type w:val="continuous"/>
        </w:sectPr>
      </w:pPr>
    </w:p>
    <w:p>
      <w:pPr>
        <w:ind w:left="1260"/>
        <w:spacing w:after="0"/>
        <w:rPr>
          <w:sz w:val="20"/>
          <w:szCs w:val="20"/>
          <w:color w:val="auto"/>
        </w:rPr>
      </w:pPr>
      <w:r>
        <w:rPr>
          <w:rFonts w:ascii="Arial" w:cs="Arial" w:eastAsia="Arial" w:hAnsi="Arial"/>
          <w:sz w:val="18"/>
          <w:szCs w:val="18"/>
          <w:b w:val="1"/>
          <w:bCs w:val="1"/>
          <w:i w:val="1"/>
          <w:iCs w:val="1"/>
          <w:color w:val="auto"/>
        </w:rPr>
        <w:t>Dividend Equivalent Rights (DERs)</w:t>
      </w:r>
    </w:p>
    <w:p>
      <w:pPr>
        <w:spacing w:after="0" w:line="158"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7"/>
          <w:szCs w:val="17"/>
          <w:color w:val="auto"/>
        </w:rPr>
        <w:t>In connection with awards of both RPSUs and RSUs, each NEO also receives DERs, which accrue with respect to the award to which they relate. Accrued DERs are only paid out to the extent that the shares of Class C common stock underlying each award become vested and deliverable to the NEO. Accrued</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77" w:lineRule="auto"/>
        <w:rPr>
          <w:sz w:val="20"/>
          <w:szCs w:val="20"/>
          <w:color w:val="auto"/>
        </w:rPr>
      </w:pPr>
      <w:r>
        <w:rPr>
          <w:rFonts w:ascii="Arial" w:cs="Arial" w:eastAsia="Arial" w:hAnsi="Arial"/>
          <w:sz w:val="18"/>
          <w:szCs w:val="18"/>
          <w:color w:val="auto"/>
        </w:rPr>
        <w:t>DERs are paid at the same time such shares are delivered to the NEO. Accordingly, DERs are forfeited if the underlying shares are forfeited.</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CLAWBACKS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Company has a “clawback” policy with regard to awards made under the AIP and LTIP in the case of a material financial restatement, including a restatement resulting from employee misconduct, or in the case of fraud, embezzlement or other serious misconduct that is materially detrimental to the Company. The Compensation Committee retains discretion regarding application of the policy. The policy is incremental to other remedies that are available to the Company. In addition to our “clawback” policy, if the Company is required to restate its earnings as a result of noncompliance with a financial reporting requirement due to misconduct, under the Sarbanes-Oxley Act of 2002 (“SOX”), the CEO and the CFO would also be subject to a “clawback,” as required by SOX.</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BENEFITS</w:t>
      </w:r>
    </w:p>
    <w:p>
      <w:pPr>
        <w:spacing w:after="0" w:line="162" w:lineRule="exact"/>
        <w:rPr>
          <w:sz w:val="20"/>
          <w:szCs w:val="20"/>
          <w:color w:val="auto"/>
        </w:rPr>
      </w:pPr>
    </w:p>
    <w:p>
      <w:pPr>
        <w:ind w:left="1260" w:right="579" w:firstLine="360"/>
        <w:spacing w:after="0" w:line="275" w:lineRule="auto"/>
        <w:rPr>
          <w:sz w:val="20"/>
          <w:szCs w:val="20"/>
          <w:color w:val="auto"/>
        </w:rPr>
      </w:pPr>
      <w:r>
        <w:rPr>
          <w:rFonts w:ascii="Arial" w:cs="Arial" w:eastAsia="Arial" w:hAnsi="Arial"/>
          <w:sz w:val="17"/>
          <w:szCs w:val="17"/>
          <w:color w:val="auto"/>
        </w:rPr>
        <w:t>All of our NEOs are eligible to participate in the same retirement, life insurance, health and welfare plans as other employees. To generally support more complicated financial planning and estate planning matters, NEOs are eligible for reimbursement of annual tax return preparation, tax advice, financial planning and estate planning expenses. Mr. Sotos is eligible for a maximum reimbursement of $12,000 per year and the remaining NEOs are eligible for a maximum reimbursement of $3,000 per year.</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SEVERANCE AND CHANGE-IN-CONTROL BENEFITS</w:t>
      </w:r>
    </w:p>
    <w:p>
      <w:pPr>
        <w:spacing w:after="0" w:line="148" w:lineRule="exact"/>
        <w:rPr>
          <w:sz w:val="20"/>
          <w:szCs w:val="20"/>
          <w:color w:val="auto"/>
        </w:rPr>
      </w:pPr>
    </w:p>
    <w:p>
      <w:pPr>
        <w:ind w:left="1260" w:right="539" w:firstLine="360"/>
        <w:spacing w:after="0" w:line="274" w:lineRule="auto"/>
        <w:rPr>
          <w:sz w:val="20"/>
          <w:szCs w:val="20"/>
          <w:color w:val="auto"/>
        </w:rPr>
      </w:pPr>
      <w:r>
        <w:rPr>
          <w:rFonts w:ascii="Arial" w:cs="Arial" w:eastAsia="Arial" w:hAnsi="Arial"/>
          <w:sz w:val="17"/>
          <w:szCs w:val="17"/>
          <w:color w:val="auto"/>
        </w:rPr>
        <w:t>Each NEO’s RPSU and RSU award agreements under the LTIP provide for certain treatment in the event of such NEO’s termination of employment under certain circumstances, including in connection with</w:t>
      </w:r>
    </w:p>
    <w:p>
      <w:pPr>
        <w:ind w:left="1260" w:right="579"/>
        <w:spacing w:after="0" w:line="271" w:lineRule="auto"/>
        <w:tabs>
          <w:tab w:leader="none" w:pos="1392" w:val="left"/>
        </w:tabs>
        <w:numPr>
          <w:ilvl w:val="0"/>
          <w:numId w:val="56"/>
        </w:numPr>
        <w:rPr>
          <w:rFonts w:ascii="Arial" w:cs="Arial" w:eastAsia="Arial" w:hAnsi="Arial"/>
          <w:sz w:val="17"/>
          <w:szCs w:val="17"/>
          <w:color w:val="auto"/>
        </w:rPr>
      </w:pPr>
      <w:r>
        <w:rPr>
          <w:rFonts w:ascii="Arial" w:cs="Arial" w:eastAsia="Arial" w:hAnsi="Arial"/>
          <w:sz w:val="17"/>
          <w:szCs w:val="17"/>
          <w:color w:val="auto"/>
        </w:rPr>
        <w:t>change-in-control. Additionally, Mr. Sotos, pursuant to his amended and restated employment agreement (as described below), and the remaining NEOs, pursuant to the Company’s Executive Change-in-Control and General Severance Plan (the “CIC Plan”) as well as pursuant to the Compensation Committee’s discretion under the AIP, are entitled to additional severance payments and benefits in the event of termination of employment under certain circumstances, including following a change-in-control.</w:t>
      </w:r>
    </w:p>
    <w:p>
      <w:pPr>
        <w:spacing w:after="0" w:line="111"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Change-in-control arrangements are considered a market practice among many publicly held companies. Most often, these arrangements are utilized to encourage executives to remain with the company during periods of extreme job uncertainty and to ensure that any potential transaction is thoroughly and objectively evaluated. In order to enable a smooth transition during an interim period, change-in-control arrangements provide a defined level of security for the executive and the company, enabling a more seamless implementation of a particular merger, acquisition or asset sale or purchase, and subsequent integration. In addition, such agreements include restrictive covenants, such as non-compete, non-solicitation and confidentiality provisions that protect the interests of the Company.</w:t>
      </w:r>
    </w:p>
    <w:p>
      <w:pPr>
        <w:spacing w:after="0" w:line="111" w:lineRule="exact"/>
        <w:rPr>
          <w:sz w:val="20"/>
          <w:szCs w:val="20"/>
          <w:color w:val="auto"/>
        </w:rPr>
      </w:pPr>
    </w:p>
    <w:p>
      <w:pPr>
        <w:ind w:left="1260" w:right="739" w:firstLine="360"/>
        <w:spacing w:after="0" w:line="308" w:lineRule="auto"/>
        <w:rPr>
          <w:sz w:val="20"/>
          <w:szCs w:val="20"/>
          <w:color w:val="auto"/>
        </w:rPr>
      </w:pPr>
      <w:r>
        <w:rPr>
          <w:rFonts w:ascii="Arial" w:cs="Arial" w:eastAsia="Arial" w:hAnsi="Arial"/>
          <w:sz w:val="17"/>
          <w:szCs w:val="17"/>
          <w:color w:val="auto"/>
        </w:rPr>
        <w:t>For a more detailed discussion, including the quantification of potential payments, please see the section entitled “Severance and Change-in-Control” following the executive compensation tables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OWNERSHIP GUIDELINES</w:t>
      </w:r>
    </w:p>
    <w:p>
      <w:pPr>
        <w:spacing w:after="0" w:line="162"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8"/>
          <w:szCs w:val="18"/>
          <w:color w:val="auto"/>
        </w:rPr>
        <w:t>The Compensation Committee and the Board require the CEO to hold Company stock with a value equal to 5.0 times his base salary until his separation from the Company. Executive Vice Presidents are required to hold Company stock with a value equal to 3.0 times their base salary until their separation from the Company. Senior Vice Presidents are required to hold Company stock with a value equal to 2.0 times their base salary until their separation from the Company. Personal holdings and vested awards count towards the ownership multiple. Beginning in 2022, unvested RSUs also count towards the ownership multiple. This change in determining attainment of the ownership multiple was implemented after reviewing the compensation practices of Compensation Peer Group Companies. Although NEOs are not required to make purchases of our common stock to meet their target ownership multiple, NEOs are restricted from divesting any securities until such ownership multiples are attained, except in the event of hardship or to make a required tax payment, and they must maintain their ownership multiple after any such transactions. Once met, they must maintain their ownership multiple during their service. The current target stock ownership for NEOs as of March 3, 2023 is shown below. All of our NEOs met or exceeded their stock ownership guidelines as of March 3, 2023, or in the case of Mr. Plotkin, as of the date of his separation from the Company.</w:t>
      </w:r>
    </w:p>
    <w:p>
      <w:pPr>
        <w:spacing w:after="0" w:line="15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Target</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Actual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Ownership</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Ownership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Multiple</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Multiple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S. Sotos</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​5.0x</w:t>
            </w:r>
          </w:p>
        </w:tc>
        <w:tc>
          <w:tcPr>
            <w:tcW w:w="6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​22.1x</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6620" w:type="dxa"/>
            <w:vAlign w:val="bottom"/>
            <w:gridSpan w:val="2"/>
          </w:tcPr>
          <w:p>
            <w:pPr>
              <w:spacing w:after="0"/>
              <w:rPr>
                <w:sz w:val="20"/>
                <w:szCs w:val="20"/>
                <w:color w:val="auto"/>
              </w:rPr>
            </w:pPr>
            <w:r>
              <w:rPr>
                <w:rFonts w:ascii="Arial" w:cs="Arial" w:eastAsia="Arial" w:hAnsi="Arial"/>
                <w:sz w:val="18"/>
                <w:szCs w:val="18"/>
                <w:color w:val="auto"/>
              </w:rPr>
              <w:t>Sarah Rubenstein</w:t>
            </w:r>
            <w:r>
              <w:rPr>
                <w:rFonts w:ascii="Arial" w:cs="Arial" w:eastAsia="Arial" w:hAnsi="Arial"/>
                <w:sz w:val="23"/>
                <w:szCs w:val="23"/>
                <w:color w:val="auto"/>
                <w:vertAlign w:val="superscript"/>
              </w:rPr>
              <w:t>(1)</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​2.0x</w:t>
            </w: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 3.0x</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P. Malcarney</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​3.0x</w:t>
            </w:r>
          </w:p>
        </w:tc>
        <w:tc>
          <w:tcPr>
            <w:tcW w:w="6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6.7x</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Chad Plotkin</w:t>
            </w:r>
          </w:p>
        </w:tc>
        <w:tc>
          <w:tcPr>
            <w:tcW w:w="9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3.0x</w:t>
            </w:r>
          </w:p>
        </w:tc>
        <w:tc>
          <w:tcPr>
            <w:tcW w:w="20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7"/>
              </w:rPr>
              <w:t>8.7x</w:t>
            </w:r>
            <w:r>
              <w:rPr>
                <w:rFonts w:ascii="Arial" w:cs="Arial" w:eastAsia="Arial" w:hAnsi="Arial"/>
                <w:sz w:val="23"/>
                <w:szCs w:val="23"/>
                <w:color w:val="auto"/>
                <w:w w:val="87"/>
                <w:vertAlign w:val="superscript"/>
              </w:rPr>
              <w:t>(2)</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5437505</wp:posOffset>
            </wp:positionH>
            <wp:positionV relativeFrom="paragraph">
              <wp:posOffset>-788670</wp:posOffset>
            </wp:positionV>
            <wp:extent cx="137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-788670</wp:posOffset>
            </wp:positionV>
            <wp:extent cx="137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42545</wp:posOffset>
            </wp:positionV>
            <wp:extent cx="123444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21" w:lineRule="exact"/>
        <w:rPr>
          <w:sz w:val="20"/>
          <w:szCs w:val="20"/>
          <w:color w:val="auto"/>
        </w:rPr>
      </w:pPr>
    </w:p>
    <w:p>
      <w:pPr>
        <w:ind w:left="1620" w:right="539" w:hanging="360"/>
        <w:spacing w:after="0" w:line="277"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Ms. Rubenstein was promoted to Senior Vice President and Chief Accounting Officer in January 2022 and appointed as the principal financial officer for the Company in August 2022.</w:t>
      </w:r>
    </w:p>
    <w:p>
      <w:pPr>
        <w:spacing w:after="0" w:line="62" w:lineRule="exact"/>
        <w:rPr>
          <w:rFonts w:ascii="Arial" w:cs="Arial" w:eastAsia="Arial" w:hAnsi="Arial"/>
          <w:sz w:val="18"/>
          <w:szCs w:val="18"/>
          <w:color w:val="auto"/>
        </w:rPr>
      </w:pPr>
    </w:p>
    <w:p>
      <w:pPr>
        <w:ind w:left="1620" w:right="879" w:hanging="360"/>
        <w:spacing w:after="0" w:line="277"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Reported for Mr. Plotkin as of the date of his voluntary resignation from his employment with the Company in August 2022.</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AND ACCOUNTING CONSIDERATIONS</w:t>
      </w:r>
    </w:p>
    <w:p>
      <w:pPr>
        <w:spacing w:after="0" w:line="162" w:lineRule="exact"/>
        <w:rPr>
          <w:sz w:val="20"/>
          <w:szCs w:val="20"/>
          <w:color w:val="auto"/>
        </w:rPr>
      </w:pPr>
    </w:p>
    <w:p>
      <w:pPr>
        <w:ind w:left="1260" w:right="739" w:firstLine="360"/>
        <w:spacing w:after="0" w:line="274" w:lineRule="auto"/>
        <w:rPr>
          <w:sz w:val="20"/>
          <w:szCs w:val="20"/>
          <w:color w:val="auto"/>
        </w:rPr>
      </w:pPr>
      <w:r>
        <w:rPr>
          <w:rFonts w:ascii="Arial" w:cs="Arial" w:eastAsia="Arial" w:hAnsi="Arial"/>
          <w:sz w:val="17"/>
          <w:szCs w:val="17"/>
          <w:color w:val="auto"/>
        </w:rPr>
        <w:t>Section 162(m) of the Internal Revenue Code (the “Code”) precludes us, as a public company, from taking a tax deduction for individual compensation to certain of our executive officers in excess of</w:t>
      </w:r>
    </w:p>
    <w:p>
      <w:pPr>
        <w:ind w:left="1260" w:right="419"/>
        <w:spacing w:after="0" w:line="263" w:lineRule="auto"/>
        <w:rPr>
          <w:sz w:val="20"/>
          <w:szCs w:val="20"/>
          <w:color w:val="auto"/>
        </w:rPr>
      </w:pPr>
      <w:r>
        <w:rPr>
          <w:rFonts w:ascii="Arial" w:cs="Arial" w:eastAsia="Arial" w:hAnsi="Arial"/>
          <w:sz w:val="18"/>
          <w:szCs w:val="18"/>
          <w:color w:val="auto"/>
        </w:rPr>
        <w:t>$1 million, subject to certain exemptions. Prior to 2018, the exemptions included an exclusion of performance-based compensation within the meaning of Section 162(m) of the Code (“Section 162(m)”). The Tax Cuts and Jobs Act, enacted in December 2017, however, amended Section 162(m) and eliminated the exclusion of performance-based compensation from the $1 million limit, subject to certain exemptions. The Compensation Committee believes tax deductibility of compensation is an important consideration and continues to consider the implications of legislative changes to Section 162(m). However, the Compensation Committee also believes that it is important to retain flexibility in designing compensation programs, and as a result, has not adopted a policy that any particular amount of compensation must be deductible to the Company under Section 162(m).</w:t>
      </w:r>
    </w:p>
    <w:p>
      <w:pPr>
        <w:spacing w:after="0" w:line="131" w:lineRule="exact"/>
        <w:rPr>
          <w:sz w:val="20"/>
          <w:szCs w:val="20"/>
          <w:color w:val="auto"/>
        </w:rPr>
      </w:pPr>
    </w:p>
    <w:p>
      <w:pPr>
        <w:ind w:left="1260" w:right="439" w:firstLine="360"/>
        <w:spacing w:after="0" w:line="265" w:lineRule="auto"/>
        <w:rPr>
          <w:sz w:val="20"/>
          <w:szCs w:val="20"/>
          <w:color w:val="auto"/>
        </w:rPr>
      </w:pPr>
      <w:r>
        <w:rPr>
          <w:rFonts w:ascii="Arial" w:cs="Arial" w:eastAsia="Arial" w:hAnsi="Arial"/>
          <w:sz w:val="18"/>
          <w:szCs w:val="18"/>
          <w:color w:val="auto"/>
        </w:rPr>
        <w:t>The Compensation Committee also takes into account tax consequences to NEOs in designing the various elements of our compensation program, such as designing the terms of awards to defer immediate income recognition under Section 409A of the Code. The Compensation Committee remains informed of, and takes into account, the accounting implications of its compensation programs. However, the Compensation Committee approves programs based on their total alignment with our strategy and long-term goals.</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COMPENSATION TABLES</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Summary Compensation Table</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Fiscal Year Ended December 31, 2022</w:t>
      </w:r>
    </w:p>
    <w:p>
      <w:pPr>
        <w:spacing w:after="0" w:line="17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4"/>
              </w:rPr>
              <w:t>Pension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Value and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Nonqualified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Non-Equity</w:t>
            </w: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Deferred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center"/>
              <w:ind w:right="2"/>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Incentive Plan</w:t>
            </w: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Compensation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42"/>
              <w:spacing w:after="0"/>
              <w:rPr>
                <w:sz w:val="20"/>
                <w:szCs w:val="20"/>
                <w:color w:val="auto"/>
              </w:rPr>
            </w:pPr>
            <w:r>
              <w:rPr>
                <w:rFonts w:ascii="Arial" w:cs="Arial" w:eastAsia="Arial" w:hAnsi="Arial"/>
                <w:sz w:val="14"/>
                <w:szCs w:val="14"/>
                <w:b w:val="1"/>
                <w:bCs w:val="1"/>
                <w:color w:val="auto"/>
                <w:w w:val="94"/>
              </w:rPr>
              <w:t>All Other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Name and Principal</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right"/>
              <w:ind w:right="25"/>
              <w:spacing w:after="0" w:line="149" w:lineRule="exact"/>
              <w:rPr>
                <w:sz w:val="20"/>
                <w:szCs w:val="20"/>
                <w:color w:val="auto"/>
              </w:rPr>
            </w:pPr>
            <w:r>
              <w:rPr>
                <w:rFonts w:ascii="Arial" w:cs="Arial" w:eastAsia="Arial" w:hAnsi="Arial"/>
                <w:sz w:val="14"/>
                <w:szCs w:val="14"/>
                <w:b w:val="1"/>
                <w:bCs w:val="1"/>
                <w:color w:val="auto"/>
                <w:w w:val="90"/>
              </w:rPr>
              <w:t>Salary</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7"/>
              </w:rPr>
              <w:t>Bonus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Awards</w:t>
            </w:r>
          </w:p>
        </w:tc>
        <w:tc>
          <w:tcPr>
            <w:tcW w:w="1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8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1"/>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5"/>
        </w:trPr>
        <w:tc>
          <w:tcPr>
            <w:tcW w:w="172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80" w:type="dxa"/>
            <w:vAlign w:val="bottom"/>
          </w:tcPr>
          <w:p>
            <w:pPr>
              <w:spacing w:after="0"/>
              <w:rPr>
                <w:sz w:val="19"/>
                <w:szCs w:val="19"/>
                <w:color w:val="auto"/>
              </w:rPr>
            </w:pPr>
          </w:p>
        </w:tc>
        <w:tc>
          <w:tcPr>
            <w:tcW w:w="340" w:type="dxa"/>
            <w:vAlign w:val="bottom"/>
          </w:tcPr>
          <w:p>
            <w:pPr>
              <w:jc w:val="right"/>
              <w:spacing w:after="0" w:line="225" w:lineRule="exact"/>
              <w:rPr>
                <w:sz w:val="20"/>
                <w:szCs w:val="20"/>
                <w:color w:val="auto"/>
              </w:rPr>
            </w:pPr>
            <w:r>
              <w:rPr>
                <w:rFonts w:ascii="Arial" w:cs="Arial" w:eastAsia="Arial" w:hAnsi="Arial"/>
                <w:sz w:val="26"/>
                <w:szCs w:val="26"/>
                <w:b w:val="1"/>
                <w:bCs w:val="1"/>
                <w:color w:val="auto"/>
                <w:w w:val="81"/>
                <w:vertAlign w:val="subscript"/>
              </w:rPr>
              <w:t>​</w:t>
            </w:r>
            <w:r>
              <w:rPr>
                <w:rFonts w:ascii="Arial" w:cs="Arial" w:eastAsia="Arial" w:hAnsi="Arial"/>
                <w:sz w:val="14"/>
                <w:szCs w:val="14"/>
                <w:b w:val="1"/>
                <w:bCs w:val="1"/>
                <w:color w:val="auto"/>
                <w:w w:val="81"/>
              </w:rPr>
              <w:t xml:space="preserve"> Year</w:t>
            </w:r>
          </w:p>
        </w:tc>
        <w:tc>
          <w:tcPr>
            <w:tcW w:w="12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65"/>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(2)</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640" w:type="dxa"/>
            <w:vAlign w:val="bottom"/>
          </w:tcPr>
          <w:p>
            <w:pPr>
              <w:jc w:val="center"/>
              <w:ind w:right="181"/>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(3)</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9"/>
                <w:szCs w:val="19"/>
                <w:color w:val="auto"/>
              </w:rPr>
            </w:pPr>
          </w:p>
        </w:tc>
        <w:tc>
          <w:tcPr>
            <w:tcW w:w="600" w:type="dxa"/>
            <w:vAlign w:val="bottom"/>
          </w:tcPr>
          <w:p>
            <w:pPr>
              <w:jc w:val="center"/>
              <w:ind w:right="182"/>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(4)</w:t>
            </w:r>
          </w:p>
        </w:tc>
        <w:tc>
          <w:tcPr>
            <w:tcW w:w="18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16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6"/>
                <w:szCs w:val="16"/>
                <w:b w:val="1"/>
                <w:bCs w:val="1"/>
                <w:color w:val="auto"/>
              </w:rPr>
              <w:t>Christopher S. Sotos</w:t>
            </w:r>
          </w:p>
        </w:tc>
        <w:tc>
          <w:tcPr>
            <w:tcW w:w="80" w:type="dxa"/>
            <w:vAlign w:val="bottom"/>
            <w:tcBorders>
              <w:right w:val="single" w:sz="8" w:color="CCEEFF"/>
            </w:tcBorders>
          </w:tcPr>
          <w:p>
            <w:pPr>
              <w:spacing w:after="0"/>
              <w:rPr>
                <w:sz w:val="18"/>
                <w:szCs w:val="18"/>
                <w:color w:val="auto"/>
              </w:rPr>
            </w:pPr>
          </w:p>
        </w:tc>
        <w:tc>
          <w:tcPr>
            <w:tcW w:w="340" w:type="dxa"/>
            <w:vAlign w:val="bottom"/>
            <w:tcBorders>
              <w:bottom w:val="single" w:sz="8" w:color="CCEEFF"/>
            </w:tcBorders>
            <w:shd w:val="clear" w:color="auto" w:fill="CCEEFF"/>
          </w:tcPr>
          <w:p>
            <w:pPr>
              <w:spacing w:after="0" w:line="187"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2022</w:t>
            </w:r>
          </w:p>
        </w:tc>
        <w:tc>
          <w:tcPr>
            <w:tcW w:w="620" w:type="dxa"/>
            <w:vAlign w:val="bottom"/>
            <w:tcBorders>
              <w:bottom w:val="single" w:sz="8" w:color="CCEEFF"/>
            </w:tcBorders>
            <w:gridSpan w:val="3"/>
            <w:shd w:val="clear" w:color="auto" w:fill="CCEEFF"/>
          </w:tcPr>
          <w:p>
            <w:pPr>
              <w:ind w:left="20"/>
              <w:spacing w:after="0" w:line="187"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659,682</w:t>
            </w: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400" w:type="dxa"/>
            <w:vAlign w:val="bottom"/>
            <w:tcBorders>
              <w:left w:val="single" w:sz="8" w:color="CCEEFF"/>
              <w:bottom w:val="single" w:sz="8" w:color="CCEEFF"/>
              <w:right w:val="single" w:sz="8" w:color="CCEEFF"/>
            </w:tcBorders>
            <w:shd w:val="clear" w:color="auto" w:fill="CCEEFF"/>
          </w:tcPr>
          <w:p>
            <w:pPr>
              <w:jc w:val="right"/>
              <w:ind w:right="49"/>
              <w:spacing w:after="0" w:line="187"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840" w:type="dxa"/>
            <w:vAlign w:val="bottom"/>
            <w:tcBorders>
              <w:bottom w:val="single" w:sz="8" w:color="CCEEFF"/>
              <w:right w:val="single" w:sz="8" w:color="CCEEFF"/>
            </w:tcBorders>
            <w:gridSpan w:val="4"/>
            <w:shd w:val="clear" w:color="auto" w:fill="CCEEFF"/>
          </w:tcPr>
          <w:p>
            <w:pPr>
              <w:jc w:val="right"/>
              <w:spacing w:after="0" w:line="187"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1,951,273 </w:t>
            </w:r>
            <w:r>
              <w:rPr>
                <w:rFonts w:ascii="Arial" w:cs="Arial" w:eastAsia="Arial" w:hAnsi="Arial"/>
                <w:sz w:val="21"/>
                <w:szCs w:val="21"/>
                <w:color w:val="auto"/>
                <w:vertAlign w:val="superscript"/>
              </w:rPr>
              <w:t>​​</w:t>
            </w:r>
          </w:p>
        </w:tc>
        <w:tc>
          <w:tcPr>
            <w:tcW w:w="460" w:type="dxa"/>
            <w:vAlign w:val="bottom"/>
            <w:tcBorders>
              <w:bottom w:val="single" w:sz="8" w:color="CCEEFF"/>
              <w:right w:val="single" w:sz="8" w:color="CCEEFF"/>
            </w:tcBorders>
            <w:shd w:val="clear" w:color="auto" w:fill="CCEEFF"/>
          </w:tcPr>
          <w:p>
            <w:pPr>
              <w:jc w:val="right"/>
              <w:ind w:right="88"/>
              <w:spacing w:after="0" w:line="187"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880" w:type="dxa"/>
            <w:vAlign w:val="bottom"/>
            <w:tcBorders>
              <w:left w:val="single" w:sz="8" w:color="CCEEFF"/>
              <w:bottom w:val="single" w:sz="8" w:color="CCEEFF"/>
              <w:right w:val="single" w:sz="8" w:color="CCEEFF"/>
            </w:tcBorders>
            <w:gridSpan w:val="2"/>
            <w:shd w:val="clear" w:color="auto" w:fill="CCEEFF"/>
          </w:tcPr>
          <w:p>
            <w:pPr>
              <w:ind w:left="160"/>
              <w:spacing w:after="0" w:line="187"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725,069</w:t>
            </w: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900" w:type="dxa"/>
            <w:vAlign w:val="bottom"/>
            <w:tcBorders>
              <w:left w:val="single" w:sz="8" w:color="CCEEFF"/>
              <w:bottom w:val="single" w:sz="8" w:color="CCEEFF"/>
              <w:right w:val="single" w:sz="8" w:color="CCEEFF"/>
            </w:tcBorders>
            <w:shd w:val="clear" w:color="auto" w:fill="CCEEFF"/>
          </w:tcPr>
          <w:p>
            <w:pPr>
              <w:ind w:left="360"/>
              <w:spacing w:after="0" w:line="187"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right w:val="single" w:sz="8" w:color="CCEEFF"/>
            </w:tcBorders>
            <w:gridSpan w:val="2"/>
            <w:shd w:val="clear" w:color="auto" w:fill="CCEEFF"/>
          </w:tcPr>
          <w:p>
            <w:pPr>
              <w:ind w:left="120"/>
              <w:spacing w:after="0" w:line="187"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12,200</w:t>
            </w:r>
          </w:p>
        </w:tc>
        <w:tc>
          <w:tcPr>
            <w:tcW w:w="740" w:type="dxa"/>
            <w:vAlign w:val="bottom"/>
            <w:tcBorders>
              <w:bottom w:val="single" w:sz="8" w:color="CCEEFF"/>
            </w:tcBorders>
            <w:gridSpan w:val="3"/>
            <w:shd w:val="clear" w:color="auto" w:fill="CCEEFF"/>
          </w:tcPr>
          <w:p>
            <w:pPr>
              <w:spacing w:after="0" w:line="187"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3,348,224</w:t>
            </w:r>
          </w:p>
        </w:tc>
        <w:tc>
          <w:tcPr>
            <w:tcW w:w="0" w:type="dxa"/>
            <w:vAlign w:val="bottom"/>
          </w:tcPr>
          <w:p>
            <w:pPr>
              <w:spacing w:after="0"/>
              <w:rPr>
                <w:sz w:val="1"/>
                <w:szCs w:val="1"/>
                <w:color w:val="auto"/>
              </w:rPr>
            </w:pPr>
          </w:p>
        </w:tc>
      </w:tr>
      <w:tr>
        <w:trPr>
          <w:trHeight w:val="189"/>
        </w:trPr>
        <w:tc>
          <w:tcPr>
            <w:tcW w:w="1800" w:type="dxa"/>
            <w:vAlign w:val="bottom"/>
            <w:gridSpan w:val="2"/>
          </w:tcPr>
          <w:p>
            <w:pPr>
              <w:ind w:left="160"/>
              <w:spacing w:after="0" w:line="156" w:lineRule="exact"/>
              <w:rPr>
                <w:sz w:val="20"/>
                <w:szCs w:val="20"/>
                <w:color w:val="auto"/>
              </w:rPr>
            </w:pPr>
            <w:r>
              <w:rPr>
                <w:rFonts w:ascii="Arial" w:cs="Arial" w:eastAsia="Arial" w:hAnsi="Arial"/>
                <w:sz w:val="16"/>
                <w:szCs w:val="16"/>
                <w:color w:val="auto"/>
              </w:rPr>
              <w:t>President and Chief</w:t>
            </w:r>
          </w:p>
        </w:tc>
        <w:tc>
          <w:tcPr>
            <w:tcW w:w="340" w:type="dxa"/>
            <w:vAlign w:val="bottom"/>
          </w:tcPr>
          <w:p>
            <w:pPr>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2021</w:t>
            </w:r>
          </w:p>
        </w:tc>
        <w:tc>
          <w:tcPr>
            <w:tcW w:w="700" w:type="dxa"/>
            <w:vAlign w:val="bottom"/>
            <w:gridSpan w:val="4"/>
          </w:tcPr>
          <w:p>
            <w:pPr>
              <w:ind w:left="2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638,260 </w:t>
            </w:r>
            <w:r>
              <w:rPr>
                <w:rFonts w:ascii="Arial" w:cs="Arial" w:eastAsia="Arial" w:hAnsi="Arial"/>
                <w:sz w:val="21"/>
                <w:szCs w:val="21"/>
                <w:color w:val="auto"/>
                <w:vertAlign w:val="superscript"/>
              </w:rPr>
              <w:t>​​</w:t>
            </w:r>
          </w:p>
        </w:tc>
        <w:tc>
          <w:tcPr>
            <w:tcW w:w="400" w:type="dxa"/>
            <w:vAlign w:val="bottom"/>
          </w:tcPr>
          <w:p>
            <w:pPr>
              <w:jc w:val="right"/>
              <w:ind w:right="49"/>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840" w:type="dxa"/>
            <w:vAlign w:val="bottom"/>
            <w:gridSpan w:val="4"/>
          </w:tcPr>
          <w:p>
            <w:pPr>
              <w:jc w:val="right"/>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1,535,147 </w:t>
            </w:r>
            <w:r>
              <w:rPr>
                <w:rFonts w:ascii="Arial" w:cs="Arial" w:eastAsia="Arial" w:hAnsi="Arial"/>
                <w:sz w:val="21"/>
                <w:szCs w:val="21"/>
                <w:color w:val="auto"/>
                <w:vertAlign w:val="superscript"/>
              </w:rPr>
              <w:t>​​</w:t>
            </w:r>
          </w:p>
        </w:tc>
        <w:tc>
          <w:tcPr>
            <w:tcW w:w="460" w:type="dxa"/>
            <w:vAlign w:val="bottom"/>
          </w:tcPr>
          <w:p>
            <w:pPr>
              <w:jc w:val="right"/>
              <w:ind w:right="88"/>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16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899,312</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36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12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19,790</w:t>
            </w:r>
          </w:p>
        </w:tc>
        <w:tc>
          <w:tcPr>
            <w:tcW w:w="740" w:type="dxa"/>
            <w:vAlign w:val="bottom"/>
            <w:gridSpan w:val="3"/>
          </w:tcPr>
          <w:p>
            <w:pPr>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3,092,509</w:t>
            </w:r>
          </w:p>
        </w:tc>
        <w:tc>
          <w:tcPr>
            <w:tcW w:w="0" w:type="dxa"/>
            <w:vAlign w:val="bottom"/>
          </w:tcPr>
          <w:p>
            <w:pPr>
              <w:spacing w:after="0"/>
              <w:rPr>
                <w:sz w:val="1"/>
                <w:szCs w:val="1"/>
                <w:color w:val="auto"/>
              </w:rPr>
            </w:pPr>
          </w:p>
        </w:tc>
      </w:tr>
      <w:tr>
        <w:trPr>
          <w:trHeight w:val="206"/>
        </w:trPr>
        <w:tc>
          <w:tcPr>
            <w:tcW w:w="1800" w:type="dxa"/>
            <w:vAlign w:val="bottom"/>
            <w:gridSpan w:val="2"/>
          </w:tcPr>
          <w:p>
            <w:pPr>
              <w:ind w:left="160"/>
              <w:spacing w:after="0"/>
              <w:rPr>
                <w:sz w:val="20"/>
                <w:szCs w:val="20"/>
                <w:color w:val="auto"/>
              </w:rPr>
            </w:pPr>
            <w:r>
              <w:rPr>
                <w:rFonts w:ascii="Arial" w:cs="Arial" w:eastAsia="Arial" w:hAnsi="Arial"/>
                <w:sz w:val="16"/>
                <w:szCs w:val="16"/>
                <w:color w:val="auto"/>
              </w:rPr>
              <w:t>Executive Officer</w:t>
            </w:r>
          </w:p>
        </w:tc>
        <w:tc>
          <w:tcPr>
            <w:tcW w:w="340" w:type="dxa"/>
            <w:vAlign w:val="bottom"/>
            <w:vMerge w:val="restart"/>
          </w:tcPr>
          <w:p>
            <w:pPr>
              <w:spacing w:after="0" w:line="301" w:lineRule="exact"/>
              <w:rPr>
                <w:sz w:val="20"/>
                <w:szCs w:val="20"/>
                <w:color w:val="auto"/>
              </w:rPr>
            </w:pPr>
            <w:r>
              <w:rPr>
                <w:rFonts w:ascii="Arial" w:cs="Arial" w:eastAsia="Arial" w:hAnsi="Arial"/>
                <w:sz w:val="32"/>
                <w:szCs w:val="32"/>
                <w:color w:val="auto"/>
                <w:w w:val="89"/>
                <w:vertAlign w:val="superscript"/>
              </w:rPr>
              <w:t>​​</w:t>
            </w:r>
            <w:r>
              <w:rPr>
                <w:rFonts w:ascii="Arial" w:cs="Arial" w:eastAsia="Arial" w:hAnsi="Arial"/>
                <w:sz w:val="16"/>
                <w:szCs w:val="16"/>
                <w:color w:val="auto"/>
                <w:w w:val="89"/>
              </w:rPr>
              <w:t>2020</w:t>
            </w:r>
          </w:p>
        </w:tc>
        <w:tc>
          <w:tcPr>
            <w:tcW w:w="700" w:type="dxa"/>
            <w:vAlign w:val="bottom"/>
            <w:gridSpan w:val="4"/>
            <w:vMerge w:val="restart"/>
          </w:tcPr>
          <w:p>
            <w:pPr>
              <w:ind w:left="20"/>
              <w:spacing w:after="0" w:line="301"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634,500 </w:t>
            </w:r>
            <w:r>
              <w:rPr>
                <w:rFonts w:ascii="Arial" w:cs="Arial" w:eastAsia="Arial" w:hAnsi="Arial"/>
                <w:sz w:val="32"/>
                <w:szCs w:val="32"/>
                <w:color w:val="auto"/>
                <w:vertAlign w:val="superscript"/>
              </w:rPr>
              <w:t>​​</w:t>
            </w:r>
          </w:p>
        </w:tc>
        <w:tc>
          <w:tcPr>
            <w:tcW w:w="400" w:type="dxa"/>
            <w:vAlign w:val="bottom"/>
            <w:vMerge w:val="restart"/>
          </w:tcPr>
          <w:p>
            <w:pPr>
              <w:jc w:val="right"/>
              <w:ind w:right="49"/>
              <w:spacing w:after="0" w:line="301"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840" w:type="dxa"/>
            <w:vAlign w:val="bottom"/>
            <w:gridSpan w:val="4"/>
            <w:vMerge w:val="restart"/>
          </w:tcPr>
          <w:p>
            <w:pPr>
              <w:jc w:val="right"/>
              <w:spacing w:after="0" w:line="301"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1,900,423 </w:t>
            </w:r>
            <w:r>
              <w:rPr>
                <w:rFonts w:ascii="Arial" w:cs="Arial" w:eastAsia="Arial" w:hAnsi="Arial"/>
                <w:sz w:val="32"/>
                <w:szCs w:val="32"/>
                <w:color w:val="auto"/>
                <w:vertAlign w:val="superscript"/>
              </w:rPr>
              <w:t>​​</w:t>
            </w:r>
          </w:p>
        </w:tc>
        <w:tc>
          <w:tcPr>
            <w:tcW w:w="460" w:type="dxa"/>
            <w:vAlign w:val="bottom"/>
            <w:vMerge w:val="restart"/>
          </w:tcPr>
          <w:p>
            <w:pPr>
              <w:jc w:val="right"/>
              <w:ind w:right="88"/>
              <w:spacing w:after="0" w:line="301"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ind w:left="160"/>
              <w:spacing w:after="0" w:line="301"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699,534</w:t>
            </w: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ind w:left="360"/>
              <w:spacing w:after="0" w:line="301"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ind w:left="120"/>
              <w:spacing w:after="0" w:line="301"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14,111</w:t>
            </w:r>
          </w:p>
        </w:tc>
        <w:tc>
          <w:tcPr>
            <w:tcW w:w="740" w:type="dxa"/>
            <w:vAlign w:val="bottom"/>
            <w:gridSpan w:val="3"/>
            <w:vMerge w:val="restart"/>
          </w:tcPr>
          <w:p>
            <w:pPr>
              <w:spacing w:after="0" w:line="301"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3,248,568</w:t>
            </w:r>
          </w:p>
        </w:tc>
        <w:tc>
          <w:tcPr>
            <w:tcW w:w="0" w:type="dxa"/>
            <w:vAlign w:val="bottom"/>
          </w:tcPr>
          <w:p>
            <w:pPr>
              <w:spacing w:after="0"/>
              <w:rPr>
                <w:sz w:val="1"/>
                <w:szCs w:val="1"/>
                <w:color w:val="auto"/>
              </w:rPr>
            </w:pPr>
          </w:p>
        </w:tc>
      </w:tr>
      <w:tr>
        <w:trPr>
          <w:trHeight w:val="94"/>
        </w:trPr>
        <w:tc>
          <w:tcPr>
            <w:tcW w:w="17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700" w:type="dxa"/>
            <w:vAlign w:val="bottom"/>
            <w:gridSpan w:val="4"/>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840" w:type="dxa"/>
            <w:vAlign w:val="bottom"/>
            <w:gridSpan w:val="4"/>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6"/>
                <w:szCs w:val="16"/>
                <w:b w:val="1"/>
                <w:bCs w:val="1"/>
                <w:color w:val="auto"/>
              </w:rPr>
              <w:t>Sarah Rubenstein</w:t>
            </w:r>
          </w:p>
        </w:tc>
        <w:tc>
          <w:tcPr>
            <w:tcW w:w="340" w:type="dxa"/>
            <w:vAlign w:val="bottom"/>
          </w:tcPr>
          <w:p>
            <w:pPr>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2022</w:t>
            </w:r>
          </w:p>
        </w:tc>
        <w:tc>
          <w:tcPr>
            <w:tcW w:w="700" w:type="dxa"/>
            <w:vAlign w:val="bottom"/>
            <w:gridSpan w:val="4"/>
          </w:tcPr>
          <w:p>
            <w:pPr>
              <w:ind w:left="20"/>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324,197 </w:t>
            </w:r>
            <w:r>
              <w:rPr>
                <w:rFonts w:ascii="Arial" w:cs="Arial" w:eastAsia="Arial" w:hAnsi="Arial"/>
                <w:sz w:val="25"/>
                <w:szCs w:val="25"/>
                <w:color w:val="auto"/>
                <w:vertAlign w:val="superscript"/>
              </w:rPr>
              <w:t>​​</w:t>
            </w:r>
          </w:p>
        </w:tc>
        <w:tc>
          <w:tcPr>
            <w:tcW w:w="400" w:type="dxa"/>
            <w:vAlign w:val="bottom"/>
          </w:tcPr>
          <w:p>
            <w:pPr>
              <w:jc w:val="right"/>
              <w:ind w:right="49"/>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w:t>
            </w:r>
          </w:p>
        </w:tc>
        <w:tc>
          <w:tcPr>
            <w:tcW w:w="140" w:type="dxa"/>
            <w:vAlign w:val="bottom"/>
            <w:gridSpan w:val="2"/>
          </w:tcPr>
          <w:p>
            <w:pPr>
              <w:jc w:val="center"/>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378,417</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88"/>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160"/>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177,125</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360"/>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120"/>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12,200</w:t>
            </w:r>
          </w:p>
        </w:tc>
        <w:tc>
          <w:tcPr>
            <w:tcW w:w="180" w:type="dxa"/>
            <w:vAlign w:val="bottom"/>
            <w:gridSpan w:val="2"/>
          </w:tcPr>
          <w:p>
            <w:pPr>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891,939</w:t>
            </w:r>
          </w:p>
        </w:tc>
        <w:tc>
          <w:tcPr>
            <w:tcW w:w="0" w:type="dxa"/>
            <w:vAlign w:val="bottom"/>
          </w:tcPr>
          <w:p>
            <w:pPr>
              <w:spacing w:after="0"/>
              <w:rPr>
                <w:sz w:val="1"/>
                <w:szCs w:val="1"/>
                <w:color w:val="auto"/>
              </w:rPr>
            </w:pPr>
          </w:p>
        </w:tc>
      </w:tr>
      <w:tr>
        <w:trPr>
          <w:trHeight w:val="185"/>
        </w:trPr>
        <w:tc>
          <w:tcPr>
            <w:tcW w:w="1800" w:type="dxa"/>
            <w:vAlign w:val="bottom"/>
            <w:gridSpan w:val="2"/>
          </w:tcPr>
          <w:p>
            <w:pPr>
              <w:ind w:left="160"/>
              <w:spacing w:after="0"/>
              <w:rPr>
                <w:sz w:val="20"/>
                <w:szCs w:val="20"/>
                <w:color w:val="auto"/>
              </w:rPr>
            </w:pPr>
            <w:r>
              <w:rPr>
                <w:rFonts w:ascii="Arial" w:cs="Arial" w:eastAsia="Arial" w:hAnsi="Arial"/>
                <w:sz w:val="16"/>
                <w:szCs w:val="16"/>
                <w:color w:val="auto"/>
              </w:rPr>
              <w:t>Senior Vice President</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89"/>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center"/>
              <w:ind w:right="2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28"/>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ind w:left="160"/>
              <w:spacing w:after="0"/>
              <w:rPr>
                <w:sz w:val="20"/>
                <w:szCs w:val="20"/>
                <w:color w:val="auto"/>
              </w:rPr>
            </w:pPr>
            <w:r>
              <w:rPr>
                <w:rFonts w:ascii="Arial" w:cs="Arial" w:eastAsia="Arial" w:hAnsi="Arial"/>
                <w:sz w:val="16"/>
                <w:szCs w:val="16"/>
                <w:color w:val="auto"/>
              </w:rPr>
              <w:t>​</w:t>
            </w:r>
          </w:p>
        </w:tc>
        <w:tc>
          <w:tcPr>
            <w:tcW w:w="640" w:type="dxa"/>
            <w:vAlign w:val="bottom"/>
            <w:vMerge w:val="restart"/>
          </w:tcPr>
          <w:p>
            <w:pPr>
              <w:jc w:val="right"/>
              <w:ind w:right="101"/>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36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ind w:left="12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ind w:right="142"/>
              <w:spacing w:after="0"/>
              <w:rPr>
                <w:sz w:val="20"/>
                <w:szCs w:val="20"/>
                <w:color w:val="auto"/>
              </w:rPr>
            </w:pPr>
            <w:r>
              <w:rPr>
                <w:rFonts w:ascii="Arial" w:cs="Arial" w:eastAsia="Arial" w:hAnsi="Arial"/>
                <w:sz w:val="16"/>
                <w:szCs w:val="16"/>
                <w:color w:val="auto"/>
              </w:rPr>
              <w:t>—</w:t>
            </w:r>
          </w:p>
        </w:tc>
        <w:tc>
          <w:tcPr>
            <w:tcW w:w="180" w:type="dxa"/>
            <w:vAlign w:val="bottom"/>
            <w:gridSpan w:val="2"/>
          </w:tcPr>
          <w:p>
            <w:pPr>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1800" w:type="dxa"/>
            <w:vAlign w:val="bottom"/>
            <w:gridSpan w:val="2"/>
          </w:tcPr>
          <w:p>
            <w:pPr>
              <w:ind w:left="160"/>
              <w:spacing w:after="0" w:line="135" w:lineRule="exact"/>
              <w:rPr>
                <w:sz w:val="20"/>
                <w:szCs w:val="20"/>
                <w:color w:val="auto"/>
              </w:rPr>
            </w:pPr>
            <w:r>
              <w:rPr>
                <w:rFonts w:ascii="Arial" w:cs="Arial" w:eastAsia="Arial" w:hAnsi="Arial"/>
                <w:sz w:val="15"/>
                <w:szCs w:val="15"/>
                <w:color w:val="auto"/>
              </w:rPr>
              <w:t>and Chief Accounting</w:t>
            </w:r>
          </w:p>
        </w:tc>
        <w:tc>
          <w:tcPr>
            <w:tcW w:w="340" w:type="dxa"/>
            <w:vAlign w:val="bottom"/>
          </w:tcPr>
          <w:p>
            <w:pPr>
              <w:jc w:val="right"/>
              <w:spacing w:after="0" w:line="135" w:lineRule="exact"/>
              <w:rPr>
                <w:sz w:val="20"/>
                <w:szCs w:val="20"/>
                <w:color w:val="auto"/>
              </w:rPr>
            </w:pPr>
            <w:r>
              <w:rPr>
                <w:rFonts w:ascii="Arial" w:cs="Arial" w:eastAsia="Arial" w:hAnsi="Arial"/>
                <w:sz w:val="15"/>
                <w:szCs w:val="15"/>
                <w:color w:val="auto"/>
                <w:w w:val="95"/>
              </w:rPr>
              <w:t>2021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ind w:right="49"/>
              <w:spacing w:after="0" w:line="13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88"/>
              <w:spacing w:after="0" w:line="13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360"/>
              <w:spacing w:after="0" w:line="13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800" w:type="dxa"/>
            <w:vAlign w:val="bottom"/>
            <w:gridSpan w:val="2"/>
          </w:tcPr>
          <w:p>
            <w:pPr>
              <w:ind w:left="160"/>
              <w:spacing w:after="0"/>
              <w:rPr>
                <w:sz w:val="20"/>
                <w:szCs w:val="20"/>
                <w:color w:val="auto"/>
              </w:rPr>
            </w:pPr>
            <w:r>
              <w:rPr>
                <w:rFonts w:ascii="Arial" w:cs="Arial" w:eastAsia="Arial" w:hAnsi="Arial"/>
                <w:sz w:val="16"/>
                <w:szCs w:val="16"/>
                <w:color w:val="auto"/>
              </w:rPr>
              <w:t>Officer</w:t>
            </w:r>
          </w:p>
        </w:tc>
        <w:tc>
          <w:tcPr>
            <w:tcW w:w="340" w:type="dxa"/>
            <w:vAlign w:val="bottom"/>
          </w:tcPr>
          <w:p>
            <w:pPr>
              <w:spacing w:after="0" w:line="243" w:lineRule="exact"/>
              <w:rPr>
                <w:sz w:val="20"/>
                <w:szCs w:val="20"/>
                <w:color w:val="auto"/>
              </w:rPr>
            </w:pPr>
            <w:r>
              <w:rPr>
                <w:rFonts w:ascii="Arial" w:cs="Arial" w:eastAsia="Arial" w:hAnsi="Arial"/>
                <w:sz w:val="28"/>
                <w:szCs w:val="28"/>
                <w:color w:val="auto"/>
                <w:w w:val="95"/>
                <w:vertAlign w:val="superscript"/>
              </w:rPr>
              <w:t>​​</w:t>
            </w:r>
            <w:r>
              <w:rPr>
                <w:rFonts w:ascii="Arial" w:cs="Arial" w:eastAsia="Arial" w:hAnsi="Arial"/>
                <w:sz w:val="15"/>
                <w:szCs w:val="15"/>
                <w:color w:val="auto"/>
                <w:w w:val="95"/>
              </w:rPr>
              <w:t>2020</w:t>
            </w:r>
          </w:p>
        </w:tc>
        <w:tc>
          <w:tcPr>
            <w:tcW w:w="1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400" w:type="dxa"/>
            <w:vAlign w:val="bottom"/>
          </w:tcPr>
          <w:p>
            <w:pPr>
              <w:jc w:val="right"/>
              <w:ind w:right="49"/>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w:t>
            </w:r>
          </w:p>
        </w:tc>
        <w:tc>
          <w:tcPr>
            <w:tcW w:w="140" w:type="dxa"/>
            <w:vAlign w:val="bottom"/>
            <w:gridSpan w:val="2"/>
          </w:tcPr>
          <w:p>
            <w:pPr>
              <w:jc w:val="center"/>
              <w:ind w:right="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460" w:type="dxa"/>
            <w:vAlign w:val="bottom"/>
          </w:tcPr>
          <w:p>
            <w:pPr>
              <w:jc w:val="right"/>
              <w:ind w:right="88"/>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ind w:left="1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36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ind w:left="1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80" w:type="dxa"/>
            <w:vAlign w:val="bottom"/>
            <w:gridSpan w:val="2"/>
          </w:tcPr>
          <w:p>
            <w:pPr>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1800" w:type="dxa"/>
            <w:vAlign w:val="bottom"/>
            <w:tcBorders>
              <w:right w:val="single" w:sz="8" w:color="CCEEFF"/>
            </w:tcBorders>
            <w:gridSpan w:val="2"/>
          </w:tcPr>
          <w:p>
            <w:pPr>
              <w:spacing w:after="0"/>
              <w:rPr>
                <w:sz w:val="20"/>
                <w:szCs w:val="20"/>
                <w:color w:val="auto"/>
              </w:rPr>
            </w:pPr>
            <w:r>
              <w:rPr>
                <w:rFonts w:ascii="Arial" w:cs="Arial" w:eastAsia="Arial" w:hAnsi="Arial"/>
                <w:sz w:val="16"/>
                <w:szCs w:val="16"/>
                <w:b w:val="1"/>
                <w:bCs w:val="1"/>
                <w:color w:val="auto"/>
              </w:rPr>
              <w:t>Kevin P. Malcarney</w:t>
            </w:r>
          </w:p>
        </w:tc>
        <w:tc>
          <w:tcPr>
            <w:tcW w:w="340" w:type="dxa"/>
            <w:vAlign w:val="bottom"/>
            <w:tcBorders>
              <w:bottom w:val="single" w:sz="8" w:color="CCEEFF"/>
            </w:tcBorders>
            <w:shd w:val="clear" w:color="auto" w:fill="CCEEFF"/>
          </w:tcPr>
          <w:p>
            <w:pPr>
              <w:spacing w:after="0" w:line="192"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3"/>
                <w:szCs w:val="13"/>
                <w:color w:val="auto"/>
              </w:rPr>
              <w:t>2022</w:t>
            </w:r>
          </w:p>
        </w:tc>
        <w:tc>
          <w:tcPr>
            <w:tcW w:w="700" w:type="dxa"/>
            <w:vAlign w:val="bottom"/>
            <w:tcBorders>
              <w:bottom w:val="single" w:sz="8" w:color="CCEEFF"/>
            </w:tcBorders>
            <w:gridSpan w:val="4"/>
            <w:shd w:val="clear" w:color="auto" w:fill="CCEEFF"/>
          </w:tcPr>
          <w:p>
            <w:pPr>
              <w:ind w:left="20"/>
              <w:spacing w:after="0" w:line="192"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3"/>
                <w:szCs w:val="13"/>
                <w:color w:val="auto"/>
              </w:rPr>
              <w:t xml:space="preserve">398,461 </w:t>
            </w:r>
            <w:r>
              <w:rPr>
                <w:rFonts w:ascii="Arial" w:cs="Arial" w:eastAsia="Arial" w:hAnsi="Arial"/>
                <w:sz w:val="22"/>
                <w:szCs w:val="22"/>
                <w:color w:val="auto"/>
                <w:vertAlign w:val="superscript"/>
              </w:rPr>
              <w:t>​​</w:t>
            </w:r>
          </w:p>
        </w:tc>
        <w:tc>
          <w:tcPr>
            <w:tcW w:w="400" w:type="dxa"/>
            <w:vAlign w:val="bottom"/>
            <w:tcBorders>
              <w:left w:val="single" w:sz="8" w:color="CCEEFF"/>
              <w:bottom w:val="single" w:sz="8" w:color="CCEEFF"/>
              <w:right w:val="single" w:sz="8" w:color="CCEEFF"/>
            </w:tcBorders>
            <w:shd w:val="clear" w:color="auto" w:fill="CCEEFF"/>
          </w:tcPr>
          <w:p>
            <w:pPr>
              <w:jc w:val="right"/>
              <w:ind w:right="49"/>
              <w:spacing w:after="0" w:line="192" w:lineRule="exact"/>
              <w:rPr>
                <w:sz w:val="20"/>
                <w:szCs w:val="20"/>
                <w:color w:val="auto"/>
              </w:rPr>
            </w:pPr>
            <w:r>
              <w:rPr>
                <w:rFonts w:ascii="Arial" w:cs="Arial" w:eastAsia="Arial" w:hAnsi="Arial"/>
                <w:sz w:val="13"/>
                <w:szCs w:val="13"/>
                <w:color w:val="auto"/>
              </w:rPr>
              <w:t>​</w:t>
            </w:r>
            <w:r>
              <w:rPr>
                <w:rFonts w:ascii="Arial" w:cs="Arial" w:eastAsia="Arial" w:hAnsi="Arial"/>
                <w:sz w:val="22"/>
                <w:szCs w:val="22"/>
                <w:color w:val="auto"/>
                <w:vertAlign w:val="subscript"/>
              </w:rPr>
              <w:t>—</w:t>
            </w:r>
          </w:p>
        </w:tc>
        <w:tc>
          <w:tcPr>
            <w:tcW w:w="14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465,703</w:t>
            </w:r>
          </w:p>
        </w:tc>
        <w:tc>
          <w:tcPr>
            <w:tcW w:w="1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right w:val="single" w:sz="8" w:color="CCEEFF"/>
            </w:tcBorders>
            <w:shd w:val="clear" w:color="auto" w:fill="CCEEFF"/>
          </w:tcPr>
          <w:p>
            <w:pPr>
              <w:jc w:val="right"/>
              <w:ind w:right="88"/>
              <w:spacing w:after="0" w:line="192" w:lineRule="exact"/>
              <w:rPr>
                <w:sz w:val="20"/>
                <w:szCs w:val="20"/>
                <w:color w:val="auto"/>
              </w:rPr>
            </w:pPr>
            <w:r>
              <w:rPr>
                <w:rFonts w:ascii="Arial" w:cs="Arial" w:eastAsia="Arial" w:hAnsi="Arial"/>
                <w:sz w:val="13"/>
                <w:szCs w:val="13"/>
                <w:color w:val="auto"/>
              </w:rPr>
              <w:t>​</w:t>
            </w:r>
            <w:r>
              <w:rPr>
                <w:rFonts w:ascii="Arial" w:cs="Arial" w:eastAsia="Arial" w:hAnsi="Arial"/>
                <w:sz w:val="22"/>
                <w:szCs w:val="22"/>
                <w:color w:val="auto"/>
                <w:vertAlign w:val="subscript"/>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left w:val="single" w:sz="8" w:color="CCEEFF"/>
              <w:bottom w:val="single" w:sz="8" w:color="CCEEFF"/>
              <w:right w:val="single" w:sz="8" w:color="CCEEFF"/>
            </w:tcBorders>
            <w:gridSpan w:val="2"/>
            <w:shd w:val="clear" w:color="auto" w:fill="CCEEFF"/>
          </w:tcPr>
          <w:p>
            <w:pPr>
              <w:ind w:left="160"/>
              <w:spacing w:after="0" w:line="192"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3"/>
                <w:szCs w:val="13"/>
                <w:color w:val="auto"/>
              </w:rPr>
              <w:t>283,400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left w:val="single" w:sz="8" w:color="CCEEFF"/>
              <w:bottom w:val="single" w:sz="8" w:color="CCEEFF"/>
              <w:right w:val="single" w:sz="8" w:color="CCEEFF"/>
            </w:tcBorders>
            <w:shd w:val="clear" w:color="auto" w:fill="CCEEFF"/>
          </w:tcPr>
          <w:p>
            <w:pPr>
              <w:ind w:left="360"/>
              <w:spacing w:after="0" w:line="192" w:lineRule="exact"/>
              <w:rPr>
                <w:sz w:val="20"/>
                <w:szCs w:val="20"/>
                <w:color w:val="auto"/>
              </w:rPr>
            </w:pPr>
            <w:r>
              <w:rPr>
                <w:rFonts w:ascii="Arial" w:cs="Arial" w:eastAsia="Arial" w:hAnsi="Arial"/>
                <w:sz w:val="13"/>
                <w:szCs w:val="13"/>
                <w:color w:val="auto"/>
              </w:rPr>
              <w:t>​</w:t>
            </w:r>
            <w:r>
              <w:rPr>
                <w:rFonts w:ascii="Arial" w:cs="Arial" w:eastAsia="Arial" w:hAnsi="Arial"/>
                <w:sz w:val="22"/>
                <w:szCs w:val="22"/>
                <w:color w:val="auto"/>
                <w:vertAlign w:val="subscript"/>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right w:val="single" w:sz="8" w:color="CCEEFF"/>
            </w:tcBorders>
            <w:gridSpan w:val="2"/>
            <w:shd w:val="clear" w:color="auto" w:fill="CCEEFF"/>
          </w:tcPr>
          <w:p>
            <w:pPr>
              <w:ind w:left="120"/>
              <w:spacing w:after="0" w:line="192"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3"/>
                <w:szCs w:val="13"/>
                <w:color w:val="auto"/>
              </w:rPr>
              <w:t>12,850</w:t>
            </w:r>
          </w:p>
        </w:tc>
        <w:tc>
          <w:tcPr>
            <w:tcW w:w="740" w:type="dxa"/>
            <w:vAlign w:val="bottom"/>
            <w:tcBorders>
              <w:bottom w:val="single" w:sz="8" w:color="CCEEFF"/>
            </w:tcBorders>
            <w:gridSpan w:val="3"/>
            <w:shd w:val="clear" w:color="auto" w:fill="CCEEFF"/>
          </w:tcPr>
          <w:p>
            <w:pPr>
              <w:spacing w:after="0" w:line="192"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3"/>
                <w:szCs w:val="13"/>
                <w:color w:val="auto"/>
              </w:rPr>
              <w:t>1,160,414</w:t>
            </w:r>
          </w:p>
        </w:tc>
        <w:tc>
          <w:tcPr>
            <w:tcW w:w="0" w:type="dxa"/>
            <w:vAlign w:val="bottom"/>
          </w:tcPr>
          <w:p>
            <w:pPr>
              <w:spacing w:after="0"/>
              <w:rPr>
                <w:sz w:val="1"/>
                <w:szCs w:val="1"/>
                <w:color w:val="auto"/>
              </w:rPr>
            </w:pPr>
          </w:p>
        </w:tc>
      </w:tr>
      <w:tr>
        <w:trPr>
          <w:trHeight w:val="135"/>
        </w:trPr>
        <w:tc>
          <w:tcPr>
            <w:tcW w:w="1800" w:type="dxa"/>
            <w:vAlign w:val="bottom"/>
            <w:gridSpan w:val="2"/>
          </w:tcPr>
          <w:p>
            <w:pPr>
              <w:ind w:left="160"/>
              <w:spacing w:after="0" w:line="135" w:lineRule="exact"/>
              <w:rPr>
                <w:sz w:val="20"/>
                <w:szCs w:val="20"/>
                <w:color w:val="auto"/>
              </w:rPr>
            </w:pPr>
            <w:r>
              <w:rPr>
                <w:rFonts w:ascii="Arial" w:cs="Arial" w:eastAsia="Arial" w:hAnsi="Arial"/>
                <w:sz w:val="15"/>
                <w:szCs w:val="15"/>
                <w:color w:val="auto"/>
              </w:rPr>
              <w:t>Senior Vice President,</w:t>
            </w:r>
          </w:p>
        </w:tc>
        <w:tc>
          <w:tcPr>
            <w:tcW w:w="34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120" w:type="dxa"/>
            <w:vAlign w:val="bottom"/>
            <w:gridSpan w:val="2"/>
          </w:tcPr>
          <w:p>
            <w:pPr>
              <w:ind w:left="20"/>
              <w:spacing w:after="0" w:line="135" w:lineRule="exact"/>
              <w:rPr>
                <w:sz w:val="20"/>
                <w:szCs w:val="20"/>
                <w:color w:val="auto"/>
              </w:rPr>
            </w:pPr>
            <w:r>
              <w:rPr>
                <w:rFonts w:ascii="Arial" w:cs="Arial" w:eastAsia="Arial" w:hAnsi="Arial"/>
                <w:sz w:val="15"/>
                <w:szCs w:val="15"/>
                <w:color w:val="auto"/>
              </w:rPr>
              <w:t>​​​</w:t>
            </w:r>
          </w:p>
        </w:tc>
        <w:tc>
          <w:tcPr>
            <w:tcW w:w="50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c>
          <w:tcPr>
            <w:tcW w:w="400" w:type="dxa"/>
            <w:vAlign w:val="bottom"/>
          </w:tcPr>
          <w:p>
            <w:pPr>
              <w:jc w:val="right"/>
              <w:ind w:right="189"/>
              <w:spacing w:after="0" w:line="135" w:lineRule="exact"/>
              <w:rPr>
                <w:sz w:val="20"/>
                <w:szCs w:val="20"/>
                <w:color w:val="auto"/>
              </w:rPr>
            </w:pPr>
            <w:r>
              <w:rPr>
                <w:rFonts w:ascii="Arial" w:cs="Arial" w:eastAsia="Arial" w:hAnsi="Arial"/>
                <w:sz w:val="15"/>
                <w:szCs w:val="15"/>
                <w:color w:val="auto"/>
              </w:rPr>
              <w:t>​</w:t>
            </w:r>
          </w:p>
        </w:tc>
        <w:tc>
          <w:tcPr>
            <w:tcW w:w="140" w:type="dxa"/>
            <w:vAlign w:val="bottom"/>
            <w:gridSpan w:val="2"/>
          </w:tcPr>
          <w:p>
            <w:pPr>
              <w:jc w:val="center"/>
              <w:ind w:right="20"/>
              <w:spacing w:after="0" w:line="135" w:lineRule="exact"/>
              <w:rPr>
                <w:sz w:val="20"/>
                <w:szCs w:val="20"/>
                <w:color w:val="auto"/>
              </w:rPr>
            </w:pPr>
            <w:r>
              <w:rPr>
                <w:rFonts w:ascii="Arial" w:cs="Arial" w:eastAsia="Arial" w:hAnsi="Arial"/>
                <w:sz w:val="15"/>
                <w:szCs w:val="15"/>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348,772</w:t>
            </w:r>
          </w:p>
        </w:tc>
        <w:tc>
          <w:tcPr>
            <w:tcW w:w="10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c>
          <w:tcPr>
            <w:tcW w:w="460" w:type="dxa"/>
            <w:vAlign w:val="bottom"/>
          </w:tcPr>
          <w:p>
            <w:pPr>
              <w:jc w:val="right"/>
              <w:ind w:right="228"/>
              <w:spacing w:after="0" w:line="135" w:lineRule="exact"/>
              <w:rPr>
                <w:sz w:val="20"/>
                <w:szCs w:val="20"/>
                <w:color w:val="auto"/>
              </w:rPr>
            </w:pPr>
            <w:r>
              <w:rPr>
                <w:rFonts w:ascii="Arial" w:cs="Arial" w:eastAsia="Arial" w:hAnsi="Arial"/>
                <w:sz w:val="15"/>
                <w:szCs w:val="15"/>
                <w:color w:val="auto"/>
              </w:rPr>
              <w:t>​</w:t>
            </w:r>
          </w:p>
        </w:tc>
        <w:tc>
          <w:tcPr>
            <w:tcW w:w="10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c>
          <w:tcPr>
            <w:tcW w:w="240" w:type="dxa"/>
            <w:vAlign w:val="bottom"/>
          </w:tcPr>
          <w:p>
            <w:pPr>
              <w:ind w:left="160"/>
              <w:spacing w:after="0" w:line="135" w:lineRule="exact"/>
              <w:rPr>
                <w:sz w:val="20"/>
                <w:szCs w:val="20"/>
                <w:color w:val="auto"/>
              </w:rPr>
            </w:pPr>
            <w:r>
              <w:rPr>
                <w:rFonts w:ascii="Arial" w:cs="Arial" w:eastAsia="Arial" w:hAnsi="Arial"/>
                <w:sz w:val="15"/>
                <w:szCs w:val="15"/>
                <w:color w:val="auto"/>
              </w:rPr>
              <w:t>​</w:t>
            </w:r>
          </w:p>
        </w:tc>
        <w:tc>
          <w:tcPr>
            <w:tcW w:w="64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c>
          <w:tcPr>
            <w:tcW w:w="900" w:type="dxa"/>
            <w:vAlign w:val="bottom"/>
          </w:tcPr>
          <w:p>
            <w:pPr>
              <w:ind w:left="360"/>
              <w:spacing w:after="0" w:line="135" w:lineRule="exact"/>
              <w:rPr>
                <w:sz w:val="20"/>
                <w:szCs w:val="20"/>
                <w:color w:val="auto"/>
              </w:rPr>
            </w:pPr>
            <w:r>
              <w:rPr>
                <w:rFonts w:ascii="Arial" w:cs="Arial" w:eastAsia="Arial" w:hAnsi="Arial"/>
                <w:sz w:val="15"/>
                <w:szCs w:val="15"/>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5"/>
                <w:szCs w:val="15"/>
                <w:color w:val="auto"/>
              </w:rPr>
              <w:t>​​​</w:t>
            </w:r>
          </w:p>
        </w:tc>
        <w:tc>
          <w:tcPr>
            <w:tcW w:w="200" w:type="dxa"/>
            <w:vAlign w:val="bottom"/>
          </w:tcPr>
          <w:p>
            <w:pPr>
              <w:ind w:left="120"/>
              <w:spacing w:after="0" w:line="135" w:lineRule="exact"/>
              <w:rPr>
                <w:sz w:val="20"/>
                <w:szCs w:val="20"/>
                <w:color w:val="auto"/>
              </w:rPr>
            </w:pPr>
            <w:r>
              <w:rPr>
                <w:rFonts w:ascii="Arial" w:cs="Arial" w:eastAsia="Arial" w:hAnsi="Arial"/>
                <w:sz w:val="15"/>
                <w:szCs w:val="15"/>
                <w:color w:val="auto"/>
              </w:rPr>
              <w:t>​</w:t>
            </w:r>
          </w:p>
        </w:tc>
        <w:tc>
          <w:tcPr>
            <w:tcW w:w="600" w:type="dxa"/>
            <w:vAlign w:val="bottom"/>
          </w:tcPr>
          <w:p>
            <w:pPr>
              <w:spacing w:after="0"/>
              <w:rPr>
                <w:sz w:val="11"/>
                <w:szCs w:val="11"/>
                <w:color w:val="auto"/>
              </w:rPr>
            </w:pPr>
          </w:p>
        </w:tc>
        <w:tc>
          <w:tcPr>
            <w:tcW w:w="180" w:type="dxa"/>
            <w:vAlign w:val="bottom"/>
            <w:gridSpan w:val="2"/>
          </w:tcPr>
          <w:p>
            <w:pPr>
              <w:spacing w:after="0" w:line="135" w:lineRule="exact"/>
              <w:rPr>
                <w:sz w:val="20"/>
                <w:szCs w:val="20"/>
                <w:color w:val="auto"/>
              </w:rPr>
            </w:pPr>
            <w:r>
              <w:rPr>
                <w:rFonts w:ascii="Arial" w:cs="Arial" w:eastAsia="Arial" w:hAnsi="Arial"/>
                <w:sz w:val="15"/>
                <w:szCs w:val="15"/>
                <w:color w:val="auto"/>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w w:val="93"/>
              </w:rPr>
              <w:t>959,681</w:t>
            </w:r>
          </w:p>
        </w:tc>
        <w:tc>
          <w:tcPr>
            <w:tcW w:w="0" w:type="dxa"/>
            <w:vAlign w:val="bottom"/>
          </w:tcPr>
          <w:p>
            <w:pPr>
              <w:spacing w:after="0"/>
              <w:rPr>
                <w:sz w:val="1"/>
                <w:szCs w:val="1"/>
                <w:color w:val="auto"/>
              </w:rPr>
            </w:pPr>
          </w:p>
        </w:tc>
      </w:tr>
      <w:tr>
        <w:trPr>
          <w:trHeight w:val="98"/>
        </w:trPr>
        <w:tc>
          <w:tcPr>
            <w:tcW w:w="1800" w:type="dxa"/>
            <w:vAlign w:val="bottom"/>
            <w:gridSpan w:val="2"/>
            <w:vMerge w:val="restart"/>
          </w:tcPr>
          <w:p>
            <w:pPr>
              <w:ind w:left="160"/>
              <w:spacing w:after="0" w:line="138" w:lineRule="exact"/>
              <w:rPr>
                <w:sz w:val="20"/>
                <w:szCs w:val="20"/>
                <w:color w:val="auto"/>
              </w:rPr>
            </w:pPr>
            <w:r>
              <w:rPr>
                <w:rFonts w:ascii="Arial" w:cs="Arial" w:eastAsia="Arial" w:hAnsi="Arial"/>
                <w:sz w:val="16"/>
                <w:szCs w:val="16"/>
                <w:color w:val="auto"/>
              </w:rPr>
              <w:t>General Counsel and</w:t>
            </w:r>
          </w:p>
        </w:tc>
        <w:tc>
          <w:tcPr>
            <w:tcW w:w="340" w:type="dxa"/>
            <w:vAlign w:val="bottom"/>
          </w:tcPr>
          <w:p>
            <w:pPr>
              <w:jc w:val="right"/>
              <w:spacing w:after="0" w:line="99" w:lineRule="exact"/>
              <w:rPr>
                <w:sz w:val="20"/>
                <w:szCs w:val="20"/>
                <w:color w:val="auto"/>
              </w:rPr>
            </w:pPr>
            <w:r>
              <w:rPr>
                <w:rFonts w:ascii="Arial" w:cs="Arial" w:eastAsia="Arial" w:hAnsi="Arial"/>
                <w:sz w:val="11"/>
                <w:szCs w:val="11"/>
                <w:color w:val="auto"/>
              </w:rPr>
              <w:t>2021</w:t>
            </w:r>
          </w:p>
        </w:tc>
        <w:tc>
          <w:tcPr>
            <w:tcW w:w="620" w:type="dxa"/>
            <w:vAlign w:val="bottom"/>
            <w:gridSpan w:val="3"/>
          </w:tcPr>
          <w:p>
            <w:pPr>
              <w:jc w:val="right"/>
              <w:spacing w:after="0" w:line="99" w:lineRule="exact"/>
              <w:rPr>
                <w:sz w:val="20"/>
                <w:szCs w:val="20"/>
                <w:color w:val="auto"/>
              </w:rPr>
            </w:pPr>
            <w:r>
              <w:rPr>
                <w:rFonts w:ascii="Arial" w:cs="Arial" w:eastAsia="Arial" w:hAnsi="Arial"/>
                <w:sz w:val="11"/>
                <w:szCs w:val="11"/>
                <w:color w:val="auto"/>
              </w:rPr>
              <w:t>323,991</w:t>
            </w:r>
          </w:p>
        </w:tc>
        <w:tc>
          <w:tcPr>
            <w:tcW w:w="80" w:type="dxa"/>
            <w:vAlign w:val="bottom"/>
          </w:tcPr>
          <w:p>
            <w:pPr>
              <w:spacing w:after="0"/>
              <w:rPr>
                <w:sz w:val="8"/>
                <w:szCs w:val="8"/>
                <w:color w:val="auto"/>
              </w:rPr>
            </w:pPr>
          </w:p>
        </w:tc>
        <w:tc>
          <w:tcPr>
            <w:tcW w:w="400" w:type="dxa"/>
            <w:vAlign w:val="bottom"/>
          </w:tcPr>
          <w:p>
            <w:pPr>
              <w:jc w:val="right"/>
              <w:ind w:right="49"/>
              <w:spacing w:after="0" w:line="9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right"/>
              <w:ind w:right="88"/>
              <w:spacing w:after="0" w:line="9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880" w:type="dxa"/>
            <w:vAlign w:val="bottom"/>
            <w:gridSpan w:val="2"/>
          </w:tcPr>
          <w:p>
            <w:pPr>
              <w:jc w:val="right"/>
              <w:ind w:right="101"/>
              <w:spacing w:after="0" w:line="99" w:lineRule="exact"/>
              <w:rPr>
                <w:sz w:val="20"/>
                <w:szCs w:val="20"/>
                <w:color w:val="auto"/>
              </w:rPr>
            </w:pPr>
            <w:r>
              <w:rPr>
                <w:rFonts w:ascii="Arial" w:cs="Arial" w:eastAsia="Arial" w:hAnsi="Arial"/>
                <w:sz w:val="11"/>
                <w:szCs w:val="11"/>
                <w:color w:val="auto"/>
              </w:rPr>
              <w:t>274,368</w:t>
            </w:r>
          </w:p>
        </w:tc>
        <w:tc>
          <w:tcPr>
            <w:tcW w:w="80" w:type="dxa"/>
            <w:vAlign w:val="bottom"/>
          </w:tcPr>
          <w:p>
            <w:pPr>
              <w:spacing w:after="0"/>
              <w:rPr>
                <w:sz w:val="8"/>
                <w:szCs w:val="8"/>
                <w:color w:val="auto"/>
              </w:rPr>
            </w:pPr>
          </w:p>
        </w:tc>
        <w:tc>
          <w:tcPr>
            <w:tcW w:w="900" w:type="dxa"/>
            <w:vAlign w:val="bottom"/>
          </w:tcPr>
          <w:p>
            <w:pPr>
              <w:ind w:left="360"/>
              <w:spacing w:after="0" w:line="9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right"/>
              <w:ind w:right="142"/>
              <w:spacing w:after="0" w:line="99" w:lineRule="exact"/>
              <w:rPr>
                <w:sz w:val="20"/>
                <w:szCs w:val="20"/>
                <w:color w:val="auto"/>
              </w:rPr>
            </w:pPr>
            <w:r>
              <w:rPr>
                <w:rFonts w:ascii="Arial" w:cs="Arial" w:eastAsia="Arial" w:hAnsi="Arial"/>
                <w:sz w:val="11"/>
                <w:szCs w:val="11"/>
                <w:color w:val="auto"/>
              </w:rPr>
              <w:t>12,550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800" w:type="dxa"/>
            <w:vAlign w:val="bottom"/>
            <w:gridSpan w:val="2"/>
            <w:vMerge w:val="continue"/>
          </w:tcPr>
          <w:p>
            <w:pPr>
              <w:spacing w:after="0"/>
              <w:rPr>
                <w:sz w:val="3"/>
                <w:szCs w:val="3"/>
                <w:color w:val="auto"/>
              </w:rPr>
            </w:pPr>
          </w:p>
        </w:tc>
        <w:tc>
          <w:tcPr>
            <w:tcW w:w="340" w:type="dxa"/>
            <w:vAlign w:val="bottom"/>
            <w:vMerge w:val="restart"/>
          </w:tcPr>
          <w:p>
            <w:pPr>
              <w:spacing w:after="0" w:line="280" w:lineRule="exact"/>
              <w:rPr>
                <w:sz w:val="20"/>
                <w:szCs w:val="20"/>
                <w:color w:val="auto"/>
              </w:rPr>
            </w:pPr>
            <w:r>
              <w:rPr>
                <w:rFonts w:ascii="Arial" w:cs="Arial" w:eastAsia="Arial" w:hAnsi="Arial"/>
                <w:sz w:val="32"/>
                <w:szCs w:val="32"/>
                <w:color w:val="auto"/>
                <w:w w:val="89"/>
                <w:vertAlign w:val="superscript"/>
              </w:rPr>
              <w:t>​​</w:t>
            </w:r>
            <w:r>
              <w:rPr>
                <w:rFonts w:ascii="Arial" w:cs="Arial" w:eastAsia="Arial" w:hAnsi="Arial"/>
                <w:sz w:val="16"/>
                <w:szCs w:val="16"/>
                <w:color w:val="auto"/>
                <w:w w:val="89"/>
              </w:rPr>
              <w:t>2020</w:t>
            </w:r>
          </w:p>
        </w:tc>
        <w:tc>
          <w:tcPr>
            <w:tcW w:w="700" w:type="dxa"/>
            <w:vAlign w:val="bottom"/>
            <w:gridSpan w:val="4"/>
            <w:vMerge w:val="restart"/>
          </w:tcPr>
          <w:p>
            <w:pPr>
              <w:ind w:left="20"/>
              <w:spacing w:after="0" w:line="280"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317,885 </w:t>
            </w:r>
            <w:r>
              <w:rPr>
                <w:rFonts w:ascii="Arial" w:cs="Arial" w:eastAsia="Arial" w:hAnsi="Arial"/>
                <w:sz w:val="32"/>
                <w:szCs w:val="32"/>
                <w:color w:val="auto"/>
                <w:vertAlign w:val="superscript"/>
              </w:rPr>
              <w:t>​​</w:t>
            </w:r>
          </w:p>
        </w:tc>
        <w:tc>
          <w:tcPr>
            <w:tcW w:w="400" w:type="dxa"/>
            <w:vAlign w:val="bottom"/>
            <w:vMerge w:val="restart"/>
          </w:tcPr>
          <w:p>
            <w:pPr>
              <w:jc w:val="right"/>
              <w:ind w:right="49"/>
              <w:spacing w:after="0" w:line="280"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140" w:type="dxa"/>
            <w:vAlign w:val="bottom"/>
            <w:gridSpan w:val="2"/>
            <w:vMerge w:val="restart"/>
          </w:tcPr>
          <w:p>
            <w:pPr>
              <w:jc w:val="center"/>
              <w:ind w:right="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3"/>
                <w:szCs w:val="3"/>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ind w:right="88"/>
              <w:spacing w:after="0" w:line="280"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ind w:left="160"/>
              <w:spacing w:after="0" w:line="280"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151,889</w:t>
            </w: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ind w:left="360"/>
              <w:spacing w:after="0" w:line="280"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ind w:left="120"/>
              <w:spacing w:after="0" w:line="280"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10,550</w:t>
            </w:r>
          </w:p>
        </w:tc>
        <w:tc>
          <w:tcPr>
            <w:tcW w:w="18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1800" w:type="dxa"/>
            <w:vAlign w:val="bottom"/>
            <w:gridSpan w:val="2"/>
          </w:tcPr>
          <w:p>
            <w:pPr>
              <w:ind w:left="160"/>
              <w:spacing w:after="0"/>
              <w:rPr>
                <w:sz w:val="20"/>
                <w:szCs w:val="20"/>
                <w:color w:val="auto"/>
              </w:rPr>
            </w:pPr>
            <w:r>
              <w:rPr>
                <w:rFonts w:ascii="Arial" w:cs="Arial" w:eastAsia="Arial" w:hAnsi="Arial"/>
                <w:sz w:val="16"/>
                <w:szCs w:val="16"/>
                <w:color w:val="auto"/>
              </w:rPr>
              <w:t>Corporate Secretary</w:t>
            </w:r>
          </w:p>
        </w:tc>
        <w:tc>
          <w:tcPr>
            <w:tcW w:w="340" w:type="dxa"/>
            <w:vAlign w:val="bottom"/>
            <w:vMerge w:val="continue"/>
          </w:tcPr>
          <w:p>
            <w:pPr>
              <w:spacing w:after="0"/>
              <w:rPr>
                <w:sz w:val="20"/>
                <w:szCs w:val="20"/>
                <w:color w:val="auto"/>
              </w:rPr>
            </w:pPr>
          </w:p>
        </w:tc>
        <w:tc>
          <w:tcPr>
            <w:tcW w:w="700" w:type="dxa"/>
            <w:vAlign w:val="bottom"/>
            <w:gridSpan w:val="4"/>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140" w:type="dxa"/>
            <w:vAlign w:val="bottom"/>
            <w:gridSpan w:val="2"/>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362,301</w:t>
            </w:r>
          </w:p>
        </w:tc>
        <w:tc>
          <w:tcPr>
            <w:tcW w:w="100" w:type="dxa"/>
            <w:vAlign w:val="bottom"/>
            <w:vMerge w:val="continue"/>
          </w:tcPr>
          <w:p>
            <w:pPr>
              <w:spacing w:after="0"/>
              <w:rPr>
                <w:sz w:val="20"/>
                <w:szCs w:val="20"/>
                <w:color w:val="auto"/>
              </w:rPr>
            </w:pPr>
          </w:p>
        </w:tc>
        <w:tc>
          <w:tcPr>
            <w:tcW w:w="46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842,625</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Borders>
              <w:left w:val="single" w:sz="8" w:color="CCEEFF"/>
              <w:bottom w:val="single" w:sz="8" w:color="CCEEFF"/>
              <w:right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CEEFF"/>
              <w:right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left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left w:val="single" w:sz="8" w:color="CCEEFF"/>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800" w:type="dxa"/>
            <w:vAlign w:val="bottom"/>
            <w:gridSpan w:val="2"/>
          </w:tcPr>
          <w:p>
            <w:pPr>
              <w:spacing w:after="0"/>
              <w:rPr>
                <w:sz w:val="20"/>
                <w:szCs w:val="20"/>
                <w:color w:val="auto"/>
              </w:rPr>
            </w:pPr>
            <w:r>
              <w:rPr>
                <w:rFonts w:ascii="Arial" w:cs="Arial" w:eastAsia="Arial" w:hAnsi="Arial"/>
                <w:sz w:val="16"/>
                <w:szCs w:val="16"/>
                <w:b w:val="1"/>
                <w:bCs w:val="1"/>
                <w:color w:val="auto"/>
              </w:rPr>
              <w:t>Chad Plotkin</w:t>
            </w:r>
            <w:r>
              <w:rPr>
                <w:rFonts w:ascii="Arial" w:cs="Arial" w:eastAsia="Arial" w:hAnsi="Arial"/>
                <w:sz w:val="19"/>
                <w:szCs w:val="19"/>
                <w:color w:val="auto"/>
                <w:vertAlign w:val="superscript"/>
              </w:rPr>
              <w:t>(5)</w:t>
            </w:r>
          </w:p>
        </w:tc>
        <w:tc>
          <w:tcPr>
            <w:tcW w:w="340" w:type="dxa"/>
            <w:vAlign w:val="bottom"/>
          </w:tcPr>
          <w:p>
            <w:pPr>
              <w:spacing w:after="0" w:line="22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2022</w:t>
            </w:r>
          </w:p>
        </w:tc>
        <w:tc>
          <w:tcPr>
            <w:tcW w:w="700" w:type="dxa"/>
            <w:vAlign w:val="bottom"/>
            <w:gridSpan w:val="4"/>
          </w:tcPr>
          <w:p>
            <w:pPr>
              <w:ind w:left="20"/>
              <w:spacing w:after="0" w:line="22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278,219 </w:t>
            </w:r>
            <w:r>
              <w:rPr>
                <w:rFonts w:ascii="Arial" w:cs="Arial" w:eastAsia="Arial" w:hAnsi="Arial"/>
                <w:sz w:val="25"/>
                <w:szCs w:val="25"/>
                <w:color w:val="auto"/>
                <w:vertAlign w:val="superscript"/>
              </w:rPr>
              <w:t>​​</w:t>
            </w:r>
          </w:p>
        </w:tc>
        <w:tc>
          <w:tcPr>
            <w:tcW w:w="400" w:type="dxa"/>
            <w:vAlign w:val="bottom"/>
          </w:tcPr>
          <w:p>
            <w:pPr>
              <w:jc w:val="right"/>
              <w:ind w:right="49"/>
              <w:spacing w:after="0" w:line="220"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bscript"/>
              </w:rPr>
              <w:t>—</w:t>
            </w:r>
          </w:p>
        </w:tc>
        <w:tc>
          <w:tcPr>
            <w:tcW w:w="140" w:type="dxa"/>
            <w:vAlign w:val="bottom"/>
            <w:gridSpan w:val="2"/>
          </w:tcPr>
          <w:p>
            <w:pPr>
              <w:jc w:val="center"/>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642,691</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88"/>
              <w:spacing w:after="0" w:line="220"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bscript"/>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ind w:left="1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360"/>
              <w:spacing w:after="0" w:line="220"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bscript"/>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120"/>
              <w:spacing w:after="0" w:line="22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77,372</w:t>
            </w:r>
          </w:p>
        </w:tc>
        <w:tc>
          <w:tcPr>
            <w:tcW w:w="180" w:type="dxa"/>
            <w:vAlign w:val="bottom"/>
            <w:gridSpan w:val="2"/>
          </w:tcPr>
          <w:p>
            <w:pPr>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998,282</w:t>
            </w:r>
          </w:p>
        </w:tc>
        <w:tc>
          <w:tcPr>
            <w:tcW w:w="0" w:type="dxa"/>
            <w:vAlign w:val="bottom"/>
          </w:tcPr>
          <w:p>
            <w:pPr>
              <w:spacing w:after="0"/>
              <w:rPr>
                <w:sz w:val="1"/>
                <w:szCs w:val="1"/>
                <w:color w:val="auto"/>
              </w:rPr>
            </w:pPr>
          </w:p>
        </w:tc>
      </w:tr>
      <w:tr>
        <w:trPr>
          <w:trHeight w:val="212"/>
        </w:trPr>
        <w:tc>
          <w:tcPr>
            <w:tcW w:w="1800" w:type="dxa"/>
            <w:vAlign w:val="bottom"/>
            <w:gridSpan w:val="2"/>
          </w:tcPr>
          <w:p>
            <w:pPr>
              <w:ind w:left="160"/>
              <w:spacing w:after="0"/>
              <w:rPr>
                <w:sz w:val="20"/>
                <w:szCs w:val="20"/>
                <w:color w:val="auto"/>
              </w:rPr>
            </w:pPr>
            <w:r>
              <w:rPr>
                <w:rFonts w:ascii="Arial" w:cs="Arial" w:eastAsia="Arial" w:hAnsi="Arial"/>
                <w:sz w:val="16"/>
                <w:szCs w:val="16"/>
                <w:color w:val="auto"/>
              </w:rPr>
              <w:t>Executive Vice</w:t>
            </w:r>
          </w:p>
        </w:tc>
        <w:tc>
          <w:tcPr>
            <w:tcW w:w="340" w:type="dxa"/>
            <w:vAlign w:val="bottom"/>
          </w:tcPr>
          <w:p>
            <w:pPr>
              <w:spacing w:after="0" w:line="212"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2021</w:t>
            </w:r>
          </w:p>
        </w:tc>
        <w:tc>
          <w:tcPr>
            <w:tcW w:w="700" w:type="dxa"/>
            <w:vAlign w:val="bottom"/>
            <w:gridSpan w:val="4"/>
          </w:tcPr>
          <w:p>
            <w:pPr>
              <w:ind w:left="20"/>
              <w:spacing w:after="0" w:line="212"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396,954 </w:t>
            </w:r>
            <w:r>
              <w:rPr>
                <w:rFonts w:ascii="Arial" w:cs="Arial" w:eastAsia="Arial" w:hAnsi="Arial"/>
                <w:sz w:val="24"/>
                <w:szCs w:val="24"/>
                <w:color w:val="auto"/>
                <w:vertAlign w:val="superscript"/>
              </w:rPr>
              <w:t>​​</w:t>
            </w:r>
          </w:p>
        </w:tc>
        <w:tc>
          <w:tcPr>
            <w:tcW w:w="400" w:type="dxa"/>
            <w:vAlign w:val="bottom"/>
          </w:tcPr>
          <w:p>
            <w:pPr>
              <w:jc w:val="right"/>
              <w:ind w:right="49"/>
              <w:spacing w:after="0" w:line="212"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bscript"/>
              </w:rPr>
              <w:t>—</w:t>
            </w:r>
          </w:p>
        </w:tc>
        <w:tc>
          <w:tcPr>
            <w:tcW w:w="140" w:type="dxa"/>
            <w:vAlign w:val="bottom"/>
            <w:gridSpan w:val="2"/>
          </w:tcPr>
          <w:p>
            <w:pPr>
              <w:jc w:val="center"/>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426,560</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88"/>
              <w:spacing w:after="0" w:line="212"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bscript"/>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160"/>
              <w:spacing w:after="0" w:line="212"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335,586</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360"/>
              <w:spacing w:after="0" w:line="212"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bscript"/>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120"/>
              <w:spacing w:after="0" w:line="212"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14,600</w:t>
            </w:r>
          </w:p>
        </w:tc>
        <w:tc>
          <w:tcPr>
            <w:tcW w:w="740" w:type="dxa"/>
            <w:vAlign w:val="bottom"/>
            <w:gridSpan w:val="3"/>
          </w:tcPr>
          <w:p>
            <w:pPr>
              <w:spacing w:after="0" w:line="212"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1,173,700</w:t>
            </w:r>
          </w:p>
        </w:tc>
        <w:tc>
          <w:tcPr>
            <w:tcW w:w="0" w:type="dxa"/>
            <w:vAlign w:val="bottom"/>
          </w:tcPr>
          <w:p>
            <w:pPr>
              <w:spacing w:after="0"/>
              <w:rPr>
                <w:sz w:val="1"/>
                <w:szCs w:val="1"/>
                <w:color w:val="auto"/>
              </w:rPr>
            </w:pPr>
          </w:p>
        </w:tc>
      </w:tr>
      <w:tr>
        <w:trPr>
          <w:trHeight w:val="112"/>
        </w:trPr>
        <w:tc>
          <w:tcPr>
            <w:tcW w:w="1800" w:type="dxa"/>
            <w:vAlign w:val="bottom"/>
            <w:gridSpan w:val="2"/>
          </w:tcPr>
          <w:p>
            <w:pPr>
              <w:ind w:left="160"/>
              <w:spacing w:after="0" w:line="112" w:lineRule="exact"/>
              <w:rPr>
                <w:sz w:val="20"/>
                <w:szCs w:val="20"/>
                <w:color w:val="auto"/>
              </w:rPr>
            </w:pPr>
            <w:r>
              <w:rPr>
                <w:rFonts w:ascii="Arial" w:cs="Arial" w:eastAsia="Arial" w:hAnsi="Arial"/>
                <w:sz w:val="12"/>
                <w:szCs w:val="12"/>
                <w:color w:val="auto"/>
              </w:rPr>
              <w:t>President and Chief</w:t>
            </w:r>
          </w:p>
        </w:tc>
        <w:tc>
          <w:tcPr>
            <w:tcW w:w="340" w:type="dxa"/>
            <w:vAlign w:val="bottom"/>
            <w:vMerge w:val="restart"/>
          </w:tcPr>
          <w:p>
            <w:pPr>
              <w:spacing w:after="0"/>
              <w:rPr>
                <w:sz w:val="20"/>
                <w:szCs w:val="20"/>
                <w:color w:val="auto"/>
              </w:rPr>
            </w:pPr>
            <w:r>
              <w:rPr>
                <w:rFonts w:ascii="Arial" w:cs="Arial" w:eastAsia="Arial" w:hAnsi="Arial"/>
                <w:sz w:val="32"/>
                <w:szCs w:val="32"/>
                <w:color w:val="auto"/>
                <w:w w:val="89"/>
                <w:vertAlign w:val="superscript"/>
              </w:rPr>
              <w:t>​​</w:t>
            </w:r>
            <w:r>
              <w:rPr>
                <w:rFonts w:ascii="Arial" w:cs="Arial" w:eastAsia="Arial" w:hAnsi="Arial"/>
                <w:sz w:val="16"/>
                <w:szCs w:val="16"/>
                <w:color w:val="auto"/>
                <w:w w:val="89"/>
              </w:rPr>
              <w:t>2020</w:t>
            </w:r>
          </w:p>
        </w:tc>
        <w:tc>
          <w:tcPr>
            <w:tcW w:w="700" w:type="dxa"/>
            <w:vAlign w:val="bottom"/>
            <w:gridSpan w:val="4"/>
            <w:vMerge w:val="restart"/>
          </w:tcPr>
          <w:p>
            <w:pPr>
              <w:ind w:left="2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394,615 </w:t>
            </w:r>
            <w:r>
              <w:rPr>
                <w:rFonts w:ascii="Arial" w:cs="Arial" w:eastAsia="Arial" w:hAnsi="Arial"/>
                <w:sz w:val="32"/>
                <w:szCs w:val="32"/>
                <w:color w:val="auto"/>
                <w:vertAlign w:val="superscript"/>
              </w:rPr>
              <w:t>​​</w:t>
            </w:r>
          </w:p>
        </w:tc>
        <w:tc>
          <w:tcPr>
            <w:tcW w:w="400" w:type="dxa"/>
            <w:vAlign w:val="bottom"/>
            <w:vMerge w:val="restart"/>
          </w:tcPr>
          <w:p>
            <w:pPr>
              <w:jc w:val="right"/>
              <w:ind w:right="49"/>
              <w:spacing w:after="0"/>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140" w:type="dxa"/>
            <w:vAlign w:val="bottom"/>
            <w:gridSpan w:val="2"/>
            <w:vMerge w:val="restart"/>
          </w:tcPr>
          <w:p>
            <w:pPr>
              <w:jc w:val="center"/>
              <w:ind w:right="2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559,631</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ind w:right="88"/>
              <w:spacing w:after="0"/>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ind w:left="16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281,551</w:t>
            </w: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ind w:left="12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14,169</w:t>
            </w:r>
          </w:p>
        </w:tc>
        <w:tc>
          <w:tcPr>
            <w:tcW w:w="740" w:type="dxa"/>
            <w:vAlign w:val="bottom"/>
            <w:gridSpan w:val="3"/>
            <w:vMerge w:val="restart"/>
          </w:tcPr>
          <w:p>
            <w:pPr>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1,249,966</w:t>
            </w:r>
          </w:p>
        </w:tc>
        <w:tc>
          <w:tcPr>
            <w:tcW w:w="0" w:type="dxa"/>
            <w:vAlign w:val="bottom"/>
          </w:tcPr>
          <w:p>
            <w:pPr>
              <w:spacing w:after="0"/>
              <w:rPr>
                <w:sz w:val="1"/>
                <w:szCs w:val="1"/>
                <w:color w:val="auto"/>
              </w:rPr>
            </w:pPr>
          </w:p>
        </w:tc>
      </w:tr>
      <w:tr>
        <w:trPr>
          <w:trHeight w:val="355"/>
        </w:trPr>
        <w:tc>
          <w:tcPr>
            <w:tcW w:w="1800" w:type="dxa"/>
            <w:vAlign w:val="bottom"/>
            <w:gridSpan w:val="2"/>
          </w:tcPr>
          <w:p>
            <w:pPr>
              <w:ind w:left="160"/>
              <w:spacing w:after="0"/>
              <w:rPr>
                <w:sz w:val="20"/>
                <w:szCs w:val="20"/>
                <w:color w:val="auto"/>
              </w:rPr>
            </w:pPr>
            <w:r>
              <w:rPr>
                <w:rFonts w:ascii="Arial" w:cs="Arial" w:eastAsia="Arial" w:hAnsi="Arial"/>
                <w:sz w:val="16"/>
                <w:szCs w:val="16"/>
                <w:color w:val="auto"/>
              </w:rPr>
              <w:t>Financial Officer</w:t>
            </w:r>
          </w:p>
        </w:tc>
        <w:tc>
          <w:tcPr>
            <w:tcW w:w="340" w:type="dxa"/>
            <w:vAlign w:val="bottom"/>
            <w:vMerge w:val="continue"/>
          </w:tcPr>
          <w:p>
            <w:pPr>
              <w:spacing w:after="0"/>
              <w:rPr>
                <w:sz w:val="24"/>
                <w:szCs w:val="24"/>
                <w:color w:val="auto"/>
              </w:rPr>
            </w:pPr>
          </w:p>
        </w:tc>
        <w:tc>
          <w:tcPr>
            <w:tcW w:w="700" w:type="dxa"/>
            <w:vAlign w:val="bottom"/>
            <w:gridSpan w:val="4"/>
            <w:vMerge w:val="continue"/>
          </w:tcPr>
          <w:p>
            <w:pPr>
              <w:spacing w:after="0"/>
              <w:rPr>
                <w:sz w:val="24"/>
                <w:szCs w:val="24"/>
                <w:color w:val="auto"/>
              </w:rPr>
            </w:pPr>
          </w:p>
        </w:tc>
        <w:tc>
          <w:tcPr>
            <w:tcW w:w="400" w:type="dxa"/>
            <w:vAlign w:val="bottom"/>
            <w:vMerge w:val="continue"/>
          </w:tcPr>
          <w:p>
            <w:pPr>
              <w:spacing w:after="0"/>
              <w:rPr>
                <w:sz w:val="24"/>
                <w:szCs w:val="24"/>
                <w:color w:val="auto"/>
              </w:rPr>
            </w:pPr>
          </w:p>
        </w:tc>
        <w:tc>
          <w:tcPr>
            <w:tcW w:w="140" w:type="dxa"/>
            <w:vAlign w:val="bottom"/>
            <w:gridSpan w:val="2"/>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160" w:type="dxa"/>
            <w:vAlign w:val="bottom"/>
            <w:gridSpan w:val="2"/>
            <w:vMerge w:val="continue"/>
          </w:tcPr>
          <w:p>
            <w:pPr>
              <w:spacing w:after="0"/>
              <w:rPr>
                <w:sz w:val="24"/>
                <w:szCs w:val="24"/>
                <w:color w:val="auto"/>
              </w:rPr>
            </w:pPr>
          </w:p>
        </w:tc>
        <w:tc>
          <w:tcPr>
            <w:tcW w:w="800" w:type="dxa"/>
            <w:vAlign w:val="bottom"/>
            <w:gridSpan w:val="2"/>
            <w:vMerge w:val="continue"/>
          </w:tcPr>
          <w:p>
            <w:pPr>
              <w:spacing w:after="0"/>
              <w:rPr>
                <w:sz w:val="24"/>
                <w:szCs w:val="24"/>
                <w:color w:val="auto"/>
              </w:rPr>
            </w:pPr>
          </w:p>
        </w:tc>
        <w:tc>
          <w:tcPr>
            <w:tcW w:w="74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-2181860</wp:posOffset>
            </wp:positionV>
            <wp:extent cx="5212080" cy="16116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2080" cy="161163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106045</wp:posOffset>
            </wp:positionV>
            <wp:extent cx="12344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9" w:lineRule="exact"/>
        <w:rPr>
          <w:sz w:val="20"/>
          <w:szCs w:val="20"/>
          <w:color w:val="auto"/>
        </w:rPr>
      </w:pPr>
    </w:p>
    <w:p>
      <w:pPr>
        <w:ind w:left="1620" w:hanging="360"/>
        <w:spacing w:after="0"/>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Reflects base salary earnings.</w:t>
      </w:r>
    </w:p>
    <w:p>
      <w:pPr>
        <w:spacing w:after="0" w:line="103" w:lineRule="exact"/>
        <w:rPr>
          <w:rFonts w:ascii="Arial" w:cs="Arial" w:eastAsia="Arial" w:hAnsi="Arial"/>
          <w:sz w:val="18"/>
          <w:szCs w:val="18"/>
          <w:color w:val="auto"/>
        </w:rPr>
      </w:pPr>
    </w:p>
    <w:p>
      <w:pPr>
        <w:ind w:left="1620" w:right="519" w:hanging="360"/>
        <w:spacing w:after="0" w:line="253"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Reflects the grant date fair value determined in accordance with the Financial Accounting Standards Board Accounting Standards Codification Topic 718, Comparison  —  Stock Compensation. Clearway Energy, Inc. uses the Company’s Class C common stock price on the date of grant as the fair value of the Company’s RSUs. The fair value of RPSUs is estimated on the date of grant using a Monte Carlo simulation model. Beginning with awards granted in 2020, the number of RPSUs granted is based on the 10-day average closing price of the Company’s Class C common stock ending on the date of grant, which is intended to more closely reflect the compensation practices of the Compensation Peer Group companies. For RPSUs granted in 2022, if the maximum level of performance is achieved, the fair value will be approximately $1,889,849 for Mr. Sotos, $366,500 for Ms. Rubenstein and $451,050 for Mr. Malcarney.</w:t>
      </w:r>
    </w:p>
    <w:p>
      <w:pPr>
        <w:spacing w:after="0" w:line="72" w:lineRule="exact"/>
        <w:rPr>
          <w:rFonts w:ascii="Arial" w:cs="Arial" w:eastAsia="Arial" w:hAnsi="Arial"/>
          <w:sz w:val="18"/>
          <w:szCs w:val="18"/>
          <w:color w:val="auto"/>
        </w:rPr>
      </w:pPr>
    </w:p>
    <w:p>
      <w:pPr>
        <w:ind w:left="1620" w:right="659" w:hanging="360"/>
        <w:spacing w:after="0" w:line="263"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amounts shown in this column represent the annual incentive bonuses paid to the NEOs. Further information regarding the annual incentive bonuses is included in the “2022 Annual Incentive Bonuses” section of this CD&amp;A.</w:t>
      </w:r>
    </w:p>
    <w:p>
      <w:pPr>
        <w:spacing w:after="0" w:line="62" w:lineRule="exact"/>
        <w:rPr>
          <w:rFonts w:ascii="Arial" w:cs="Arial" w:eastAsia="Arial" w:hAnsi="Arial"/>
          <w:sz w:val="18"/>
          <w:szCs w:val="18"/>
          <w:color w:val="auto"/>
        </w:rPr>
      </w:pPr>
    </w:p>
    <w:p>
      <w:pPr>
        <w:ind w:left="1620" w:right="459" w:hanging="360"/>
        <w:spacing w:after="0" w:line="271" w:lineRule="auto"/>
        <w:tabs>
          <w:tab w:leader="none" w:pos="1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amounts provided in the All Other Compensation column represent the additional benefits payable by the Company and include insurance benefits; the employer match under the Company’s 401(k) plan; financial counseling services up to $12,000 per year for Mr. Sotos and up to $3,000 per year for all other NEOs, not including the financial advisor’s travel or out-of-pocket expenses; legal fees incurred by Mr. Sotos in 2021 in connection with reviewing and finalizing his amended and restated employment agreement; and when applicable, the Company’s discretionary contribution to the 401(k) plan, as well as, a payout upon termination of accrued but unused paid time off for Mr. Plotkin. The following table identifies the additional compensation for each NEO.</w:t>
      </w:r>
    </w:p>
    <w:p>
      <w:pPr>
        <w:spacing w:after="0" w:line="56" w:lineRule="exact"/>
        <w:rPr>
          <w:rFonts w:ascii="Arial" w:cs="Arial" w:eastAsia="Arial" w:hAnsi="Arial"/>
          <w:sz w:val="17"/>
          <w:szCs w:val="17"/>
          <w:color w:val="auto"/>
        </w:rPr>
      </w:pPr>
    </w:p>
    <w:p>
      <w:pPr>
        <w:ind w:left="1620" w:hanging="360"/>
        <w:spacing w:after="0"/>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Mr. Plotkin voluntarily resigned from his employment with the Company in August 2022.</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center"/>
              <w:ind w:right="65"/>
              <w:spacing w:after="0"/>
              <w:rPr>
                <w:sz w:val="20"/>
                <w:szCs w:val="20"/>
                <w:color w:val="auto"/>
              </w:rPr>
            </w:pPr>
            <w:r>
              <w:rPr>
                <w:rFonts w:ascii="Arial" w:cs="Arial" w:eastAsia="Arial" w:hAnsi="Arial"/>
                <w:sz w:val="14"/>
                <w:szCs w:val="14"/>
                <w:b w:val="1"/>
                <w:bCs w:val="1"/>
                <w:color w:val="auto"/>
                <w:w w:val="93"/>
              </w:rPr>
              <w:t>401(k)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5"/>
          </w:tcPr>
          <w:p>
            <w:pPr>
              <w:jc w:val="right"/>
              <w:ind w:right="174"/>
              <w:spacing w:after="0"/>
              <w:rPr>
                <w:sz w:val="20"/>
                <w:szCs w:val="20"/>
                <w:color w:val="auto"/>
              </w:rPr>
            </w:pPr>
            <w:r>
              <w:rPr>
                <w:rFonts w:ascii="Arial" w:cs="Arial" w:eastAsia="Arial" w:hAnsi="Arial"/>
                <w:sz w:val="14"/>
                <w:szCs w:val="14"/>
                <w:b w:val="1"/>
                <w:bCs w:val="1"/>
                <w:color w:val="auto"/>
                <w:w w:val="88"/>
              </w:rPr>
              <w:t>Financial</w:t>
            </w:r>
          </w:p>
        </w:tc>
        <w:tc>
          <w:tcPr>
            <w:tcW w:w="6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Employer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7"/>
              </w:rPr>
              <w:t>PTO</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5"/>
          </w:tcPr>
          <w:p>
            <w:pPr>
              <w:jc w:val="right"/>
              <w:ind w:right="214"/>
              <w:spacing w:after="0"/>
              <w:rPr>
                <w:sz w:val="20"/>
                <w:szCs w:val="20"/>
                <w:color w:val="auto"/>
              </w:rPr>
            </w:pPr>
            <w:r>
              <w:rPr>
                <w:rFonts w:ascii="Arial" w:cs="Arial" w:eastAsia="Arial" w:hAnsi="Arial"/>
                <w:sz w:val="14"/>
                <w:szCs w:val="14"/>
                <w:b w:val="1"/>
                <w:bCs w:val="1"/>
                <w:color w:val="auto"/>
                <w:w w:val="95"/>
              </w:rPr>
              <w:t>Advisor</w:t>
            </w:r>
          </w:p>
        </w:tc>
        <w:tc>
          <w:tcPr>
            <w:tcW w:w="6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Matching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Supplemental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5"/>
          </w:tcPr>
          <w:p>
            <w:pPr>
              <w:jc w:val="right"/>
              <w:ind w:right="214"/>
              <w:spacing w:after="0"/>
              <w:rPr>
                <w:sz w:val="20"/>
                <w:szCs w:val="20"/>
                <w:color w:val="auto"/>
              </w:rPr>
            </w:pPr>
            <w:r>
              <w:rPr>
                <w:rFonts w:ascii="Arial" w:cs="Arial" w:eastAsia="Arial" w:hAnsi="Arial"/>
                <w:sz w:val="14"/>
                <w:szCs w:val="14"/>
                <w:b w:val="1"/>
                <w:bCs w:val="1"/>
                <w:color w:val="auto"/>
                <w:w w:val="86"/>
              </w:rPr>
              <w:t>Services</w:t>
            </w:r>
          </w:p>
        </w:tc>
        <w:tc>
          <w:tcPr>
            <w:tcW w:w="6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Contribution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4"/>
          </w:tcPr>
          <w:p>
            <w:pPr>
              <w:spacing w:after="0"/>
              <w:rPr>
                <w:sz w:val="20"/>
                <w:szCs w:val="20"/>
                <w:color w:val="auto"/>
              </w:rPr>
            </w:pPr>
            <w:r>
              <w:rPr>
                <w:rFonts w:ascii="Arial" w:cs="Arial" w:eastAsia="Arial" w:hAnsi="Arial"/>
                <w:sz w:val="14"/>
                <w:szCs w:val="14"/>
                <w:b w:val="1"/>
                <w:bCs w:val="1"/>
                <w:color w:val="auto"/>
              </w:rPr>
              <w:t>Legal</w:t>
            </w:r>
          </w:p>
        </w:tc>
        <w:tc>
          <w:tcPr>
            <w:tcW w:w="2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5"/>
              </w:rPr>
              <w:t>Payout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1820" w:type="dxa"/>
            <w:vAlign w:val="bottom"/>
            <w:gridSpan w:val="5"/>
          </w:tcPr>
          <w:p>
            <w:pPr>
              <w:spacing w:after="0"/>
              <w:rPr>
                <w:sz w:val="20"/>
                <w:szCs w:val="20"/>
                <w:color w:val="auto"/>
              </w:rPr>
            </w:pPr>
            <w:r>
              <w:rPr>
                <w:rFonts w:ascii="Arial" w:cs="Arial" w:eastAsia="Arial" w:hAnsi="Arial"/>
                <w:sz w:val="14"/>
                <w:szCs w:val="14"/>
                <w:b w:val="1"/>
                <w:bCs w:val="1"/>
                <w:color w:val="auto"/>
                <w:w w:val="95"/>
              </w:rPr>
              <w:t>Name and Principal Position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Year</w:t>
            </w:r>
          </w:p>
        </w:tc>
        <w:tc>
          <w:tcPr>
            <w:tcW w:w="480" w:type="dxa"/>
            <w:vAlign w:val="bottom"/>
            <w:gridSpan w:val="4"/>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center"/>
              <w:ind w:right="145"/>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rPr>
              <w:t>Fees</w:t>
            </w:r>
          </w:p>
        </w:tc>
        <w:tc>
          <w:tcPr>
            <w:tcW w:w="24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tcPr>
          <w:p>
            <w:pPr>
              <w:jc w:val="right"/>
              <w:ind w:right="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18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Christopher S. Sotos</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left w:val="single" w:sz="8" w:color="CCEEFF"/>
            </w:tcBorders>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spacing w:after="0" w:line="262"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2022</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ind w:right="114"/>
              <w:spacing w:after="0"/>
              <w:rPr>
                <w:sz w:val="20"/>
                <w:szCs w:val="20"/>
                <w:color w:val="auto"/>
              </w:rPr>
            </w:pPr>
            <w:r>
              <w:rPr>
                <w:rFonts w:ascii="Arial" w:cs="Arial" w:eastAsia="Arial" w:hAnsi="Arial"/>
                <w:sz w:val="1"/>
                <w:szCs w:val="1"/>
                <w:color w:val="auto"/>
                <w:w w:val="4294942296"/>
              </w:rPr>
              <w:t>​</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65"/>
              <w:spacing w:after="0" w:line="262"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12,200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gridSpan w:val="3"/>
            <w:shd w:val="clear" w:color="auto" w:fill="CCEEFF"/>
          </w:tcPr>
          <w:p>
            <w:pPr>
              <w:spacing w:after="0" w:line="262" w:lineRule="exact"/>
              <w:rPr>
                <w:sz w:val="20"/>
                <w:szCs w:val="20"/>
                <w:color w:val="auto"/>
              </w:rPr>
            </w:pPr>
            <w:r>
              <w:rPr>
                <w:rFonts w:ascii="Arial" w:cs="Arial" w:eastAsia="Arial" w:hAnsi="Arial"/>
                <w:sz w:val="30"/>
                <w:szCs w:val="30"/>
                <w:color w:val="auto"/>
                <w:w w:val="97"/>
                <w:vertAlign w:val="superscript"/>
              </w:rPr>
              <w:t>​</w:t>
            </w:r>
            <w:r>
              <w:rPr>
                <w:rFonts w:ascii="Arial" w:cs="Arial" w:eastAsia="Arial" w:hAnsi="Arial"/>
                <w:sz w:val="16"/>
                <w:szCs w:val="16"/>
                <w:color w:val="auto"/>
                <w:w w:val="97"/>
              </w:rPr>
              <w:t>12,200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left w:val="single" w:sz="8" w:color="CCEEFF"/>
            </w:tcBorders>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20" w:type="dxa"/>
            <w:vAlign w:val="bottom"/>
            <w:gridSpan w:val="3"/>
            <w:shd w:val="clear" w:color="auto" w:fill="CCEEFF"/>
          </w:tcPr>
          <w:p>
            <w:pPr>
              <w:jc w:val="right"/>
              <w:ind w:right="140"/>
              <w:spacing w:after="0" w:line="269" w:lineRule="exact"/>
              <w:rPr>
                <w:sz w:val="20"/>
                <w:szCs w:val="20"/>
                <w:color w:val="auto"/>
              </w:rPr>
            </w:pPr>
            <w:r>
              <w:rPr>
                <w:rFonts w:ascii="Arial" w:cs="Arial" w:eastAsia="Arial" w:hAnsi="Arial"/>
                <w:sz w:val="31"/>
                <w:szCs w:val="31"/>
                <w:color w:val="auto"/>
                <w:w w:val="95"/>
                <w:vertAlign w:val="superscript"/>
              </w:rPr>
              <w:t>​</w:t>
            </w:r>
            <w:r>
              <w:rPr>
                <w:rFonts w:ascii="Arial" w:cs="Arial" w:eastAsia="Arial" w:hAnsi="Arial"/>
                <w:sz w:val="17"/>
                <w:szCs w:val="17"/>
                <w:color w:val="auto"/>
                <w:w w:val="95"/>
              </w:rPr>
              <w:t>2021</w:t>
            </w:r>
          </w:p>
        </w:tc>
        <w:tc>
          <w:tcPr>
            <w:tcW w:w="80" w:type="dxa"/>
            <w:vAlign w:val="bottom"/>
            <w:shd w:val="clear" w:color="auto" w:fill="CCEEFF"/>
          </w:tcPr>
          <w:p>
            <w:pPr>
              <w:spacing w:after="0"/>
              <w:rPr>
                <w:sz w:val="23"/>
                <w:szCs w:val="23"/>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14"/>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3"/>
            <w:shd w:val="clear" w:color="auto" w:fill="CCEEFF"/>
          </w:tcPr>
          <w:p>
            <w:pPr>
              <w:jc w:val="right"/>
              <w:ind w:right="65"/>
              <w:spacing w:after="0" w:line="269" w:lineRule="exact"/>
              <w:rPr>
                <w:sz w:val="20"/>
                <w:szCs w:val="20"/>
                <w:color w:val="auto"/>
              </w:rPr>
            </w:pPr>
            <w:r>
              <w:rPr>
                <w:rFonts w:ascii="Arial" w:cs="Arial" w:eastAsia="Arial" w:hAnsi="Arial"/>
                <w:sz w:val="31"/>
                <w:szCs w:val="31"/>
                <w:color w:val="auto"/>
                <w:w w:val="99"/>
                <w:vertAlign w:val="superscript"/>
              </w:rPr>
              <w:t>​</w:t>
            </w:r>
            <w:r>
              <w:rPr>
                <w:rFonts w:ascii="Arial" w:cs="Arial" w:eastAsia="Arial" w:hAnsi="Arial"/>
                <w:sz w:val="17"/>
                <w:szCs w:val="17"/>
                <w:color w:val="auto"/>
                <w:w w:val="99"/>
              </w:rPr>
              <w:t>11,600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600" w:type="dxa"/>
            <w:vAlign w:val="bottom"/>
            <w:gridSpan w:val="5"/>
            <w:shd w:val="clear" w:color="auto" w:fill="CCEEFF"/>
          </w:tcPr>
          <w:p>
            <w:pPr>
              <w:jc w:val="right"/>
              <w:ind w:right="108"/>
              <w:spacing w:after="0" w:line="269" w:lineRule="exact"/>
              <w:rPr>
                <w:sz w:val="20"/>
                <w:szCs w:val="20"/>
                <w:color w:val="auto"/>
              </w:rPr>
            </w:pPr>
            <w:r>
              <w:rPr>
                <w:rFonts w:ascii="Arial" w:cs="Arial" w:eastAsia="Arial" w:hAnsi="Arial"/>
                <w:sz w:val="31"/>
                <w:szCs w:val="31"/>
                <w:color w:val="auto"/>
                <w:w w:val="93"/>
                <w:vertAlign w:val="superscript"/>
              </w:rPr>
              <w:t>​</w:t>
            </w:r>
            <w:r>
              <w:rPr>
                <w:rFonts w:ascii="Arial" w:cs="Arial" w:eastAsia="Arial" w:hAnsi="Arial"/>
                <w:sz w:val="17"/>
                <w:szCs w:val="17"/>
                <w:color w:val="auto"/>
                <w:w w:val="93"/>
              </w:rPr>
              <w:t>8,190</w:t>
            </w:r>
          </w:p>
        </w:tc>
        <w:tc>
          <w:tcPr>
            <w:tcW w:w="24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gridSpan w:val="3"/>
            <w:shd w:val="clear" w:color="auto" w:fill="CCEEFF"/>
          </w:tcPr>
          <w:p>
            <w:pPr>
              <w:spacing w:after="0" w:line="269" w:lineRule="exact"/>
              <w:rPr>
                <w:sz w:val="20"/>
                <w:szCs w:val="20"/>
                <w:color w:val="auto"/>
              </w:rPr>
            </w:pPr>
            <w:r>
              <w:rPr>
                <w:rFonts w:ascii="Arial" w:cs="Arial" w:eastAsia="Arial" w:hAnsi="Arial"/>
                <w:sz w:val="31"/>
                <w:szCs w:val="31"/>
                <w:color w:val="auto"/>
                <w:w w:val="92"/>
                <w:vertAlign w:val="superscript"/>
              </w:rPr>
              <w:t>​</w:t>
            </w:r>
            <w:r>
              <w:rPr>
                <w:rFonts w:ascii="Arial" w:cs="Arial" w:eastAsia="Arial" w:hAnsi="Arial"/>
                <w:sz w:val="17"/>
                <w:szCs w:val="17"/>
                <w:color w:val="auto"/>
                <w:w w:val="92"/>
              </w:rPr>
              <w:t>19,790</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760" w:type="dxa"/>
            <w:vAlign w:val="bottom"/>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left w:val="single" w:sz="8" w:color="CCEEFF"/>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gridSpan w:val="3"/>
            <w:shd w:val="clear" w:color="auto" w:fill="CCEEFF"/>
          </w:tcPr>
          <w:p>
            <w:pPr>
              <w:jc w:val="right"/>
              <w:ind w:right="140"/>
              <w:spacing w:after="0" w:line="297" w:lineRule="exact"/>
              <w:rPr>
                <w:sz w:val="20"/>
                <w:szCs w:val="20"/>
                <w:color w:val="auto"/>
              </w:rPr>
            </w:pPr>
            <w:r>
              <w:rPr>
                <w:rFonts w:ascii="Arial" w:cs="Arial" w:eastAsia="Arial" w:hAnsi="Arial"/>
                <w:sz w:val="34"/>
                <w:szCs w:val="34"/>
                <w:color w:val="auto"/>
                <w:w w:val="89"/>
                <w:vertAlign w:val="superscript"/>
              </w:rPr>
              <w:t>​</w:t>
            </w:r>
            <w:r>
              <w:rPr>
                <w:rFonts w:ascii="Arial" w:cs="Arial" w:eastAsia="Arial" w:hAnsi="Arial"/>
                <w:sz w:val="18"/>
                <w:szCs w:val="18"/>
                <w:color w:val="auto"/>
                <w:w w:val="89"/>
              </w:rPr>
              <w:t>2020</w:t>
            </w:r>
          </w:p>
        </w:tc>
        <w:tc>
          <w:tcPr>
            <w:tcW w:w="80" w:type="dxa"/>
            <w:vAlign w:val="bottom"/>
            <w:shd w:val="clear" w:color="auto" w:fill="CCEEFF"/>
          </w:tcPr>
          <w:p>
            <w:pPr>
              <w:spacing w:after="0"/>
              <w:rPr>
                <w:sz w:val="24"/>
                <w:szCs w:val="24"/>
                <w:color w:val="auto"/>
              </w:rPr>
            </w:pPr>
          </w:p>
        </w:tc>
        <w:tc>
          <w:tcPr>
            <w:tcW w:w="740" w:type="dxa"/>
            <w:vAlign w:val="bottom"/>
            <w:gridSpan w:val="5"/>
            <w:shd w:val="clear" w:color="auto" w:fill="CCEEFF"/>
          </w:tcPr>
          <w:p>
            <w:pPr>
              <w:jc w:val="right"/>
              <w:ind w:right="114"/>
              <w:spacing w:after="0" w:line="297" w:lineRule="exact"/>
              <w:rPr>
                <w:sz w:val="20"/>
                <w:szCs w:val="20"/>
                <w:color w:val="auto"/>
              </w:rPr>
            </w:pPr>
            <w:r>
              <w:rPr>
                <w:rFonts w:ascii="Arial" w:cs="Arial" w:eastAsia="Arial" w:hAnsi="Arial"/>
                <w:sz w:val="34"/>
                <w:szCs w:val="34"/>
                <w:color w:val="auto"/>
                <w:vertAlign w:val="superscript"/>
              </w:rPr>
              <w:t>​</w:t>
            </w:r>
            <w:r>
              <w:rPr>
                <w:rFonts w:ascii="Arial" w:cs="Arial" w:eastAsia="Arial" w:hAnsi="Arial"/>
                <w:sz w:val="18"/>
                <w:szCs w:val="18"/>
                <w:color w:val="auto"/>
              </w:rPr>
              <w:t xml:space="preserve">2,711 </w:t>
            </w:r>
            <w:r>
              <w:rPr>
                <w:rFonts w:ascii="Arial" w:cs="Arial" w:eastAsia="Arial" w:hAnsi="Arial"/>
                <w:sz w:val="34"/>
                <w:szCs w:val="34"/>
                <w:color w:val="auto"/>
                <w:vertAlign w:val="superscript"/>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ind w:right="65"/>
              <w:spacing w:after="0" w:line="297" w:lineRule="exact"/>
              <w:rPr>
                <w:sz w:val="20"/>
                <w:szCs w:val="20"/>
                <w:color w:val="auto"/>
              </w:rPr>
            </w:pPr>
            <w:r>
              <w:rPr>
                <w:rFonts w:ascii="Arial" w:cs="Arial" w:eastAsia="Arial" w:hAnsi="Arial"/>
                <w:sz w:val="34"/>
                <w:szCs w:val="34"/>
                <w:color w:val="auto"/>
                <w:w w:val="94"/>
                <w:vertAlign w:val="superscript"/>
              </w:rPr>
              <w:t>​</w:t>
            </w:r>
            <w:r>
              <w:rPr>
                <w:rFonts w:ascii="Arial" w:cs="Arial" w:eastAsia="Arial" w:hAnsi="Arial"/>
                <w:sz w:val="18"/>
                <w:szCs w:val="18"/>
                <w:color w:val="auto"/>
                <w:w w:val="94"/>
              </w:rPr>
              <w:t>11,400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gridSpan w:val="3"/>
            <w:shd w:val="clear" w:color="auto" w:fill="CCEEFF"/>
          </w:tcPr>
          <w:p>
            <w:pPr>
              <w:spacing w:after="0" w:line="297" w:lineRule="exact"/>
              <w:rPr>
                <w:sz w:val="20"/>
                <w:szCs w:val="20"/>
                <w:color w:val="auto"/>
              </w:rPr>
            </w:pPr>
            <w:r>
              <w:rPr>
                <w:rFonts w:ascii="Arial" w:cs="Arial" w:eastAsia="Arial" w:hAnsi="Arial"/>
                <w:sz w:val="34"/>
                <w:szCs w:val="34"/>
                <w:color w:val="auto"/>
                <w:w w:val="87"/>
                <w:vertAlign w:val="superscript"/>
              </w:rPr>
              <w:t>​</w:t>
            </w:r>
            <w:r>
              <w:rPr>
                <w:rFonts w:ascii="Arial" w:cs="Arial" w:eastAsia="Arial" w:hAnsi="Arial"/>
                <w:sz w:val="18"/>
                <w:szCs w:val="18"/>
                <w:color w:val="auto"/>
                <w:w w:val="87"/>
              </w:rPr>
              <w:t>14,111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1820" w:type="dxa"/>
            <w:vAlign w:val="bottom"/>
            <w:gridSpan w:val="5"/>
          </w:tcPr>
          <w:p>
            <w:pPr>
              <w:spacing w:after="0"/>
              <w:rPr>
                <w:sz w:val="20"/>
                <w:szCs w:val="20"/>
                <w:color w:val="auto"/>
              </w:rPr>
            </w:pPr>
            <w:r>
              <w:rPr>
                <w:rFonts w:ascii="Arial" w:cs="Arial" w:eastAsia="Arial" w:hAnsi="Arial"/>
                <w:sz w:val="18"/>
                <w:szCs w:val="18"/>
                <w:b w:val="1"/>
                <w:bCs w:val="1"/>
                <w:color w:val="auto"/>
              </w:rPr>
              <w:t>Sarah Rubenstein</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gridSpan w:val="3"/>
          </w:tcPr>
          <w:p>
            <w:pPr>
              <w:jc w:val="right"/>
              <w:ind w:right="140"/>
              <w:spacing w:after="0" w:line="269" w:lineRule="exact"/>
              <w:rPr>
                <w:sz w:val="20"/>
                <w:szCs w:val="20"/>
                <w:color w:val="auto"/>
              </w:rPr>
            </w:pPr>
            <w:r>
              <w:rPr>
                <w:rFonts w:ascii="Arial" w:cs="Arial" w:eastAsia="Arial" w:hAnsi="Arial"/>
                <w:sz w:val="31"/>
                <w:szCs w:val="31"/>
                <w:color w:val="auto"/>
                <w:w w:val="95"/>
                <w:vertAlign w:val="superscript"/>
              </w:rPr>
              <w:t>​</w:t>
            </w:r>
            <w:r>
              <w:rPr>
                <w:rFonts w:ascii="Arial" w:cs="Arial" w:eastAsia="Arial" w:hAnsi="Arial"/>
                <w:sz w:val="17"/>
                <w:szCs w:val="17"/>
                <w:color w:val="auto"/>
                <w:w w:val="95"/>
              </w:rPr>
              <w:t>2022</w:t>
            </w:r>
          </w:p>
        </w:tc>
        <w:tc>
          <w:tcPr>
            <w:tcW w:w="80" w:type="dxa"/>
            <w:vAlign w:val="bottom"/>
          </w:tcPr>
          <w:p>
            <w:pPr>
              <w:spacing w:after="0"/>
              <w:rPr>
                <w:sz w:val="23"/>
                <w:szCs w:val="23"/>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14"/>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ind w:right="65"/>
              <w:spacing w:after="0" w:line="269" w:lineRule="exact"/>
              <w:rPr>
                <w:sz w:val="20"/>
                <w:szCs w:val="20"/>
                <w:color w:val="auto"/>
              </w:rPr>
            </w:pPr>
            <w:r>
              <w:rPr>
                <w:rFonts w:ascii="Arial" w:cs="Arial" w:eastAsia="Arial" w:hAnsi="Arial"/>
                <w:sz w:val="31"/>
                <w:szCs w:val="31"/>
                <w:color w:val="auto"/>
                <w:w w:val="99"/>
                <w:vertAlign w:val="superscript"/>
              </w:rPr>
              <w:t>​</w:t>
            </w:r>
            <w:r>
              <w:rPr>
                <w:rFonts w:ascii="Arial" w:cs="Arial" w:eastAsia="Arial" w:hAnsi="Arial"/>
                <w:sz w:val="17"/>
                <w:szCs w:val="17"/>
                <w:color w:val="auto"/>
                <w:w w:val="99"/>
              </w:rPr>
              <w:t>12,200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0" w:type="dxa"/>
            <w:vAlign w:val="bottom"/>
            <w:gridSpan w:val="2"/>
          </w:tcPr>
          <w:p>
            <w:pPr>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240" w:type="dxa"/>
            <w:vAlign w:val="bottom"/>
          </w:tcPr>
          <w:p>
            <w:pPr>
              <w:ind w:left="1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3"/>
          </w:tcPr>
          <w:p>
            <w:pPr>
              <w:spacing w:after="0" w:line="269" w:lineRule="exact"/>
              <w:rPr>
                <w:sz w:val="20"/>
                <w:szCs w:val="20"/>
                <w:color w:val="auto"/>
              </w:rPr>
            </w:pPr>
            <w:r>
              <w:rPr>
                <w:rFonts w:ascii="Arial" w:cs="Arial" w:eastAsia="Arial" w:hAnsi="Arial"/>
                <w:sz w:val="31"/>
                <w:szCs w:val="31"/>
                <w:color w:val="auto"/>
                <w:w w:val="92"/>
                <w:vertAlign w:val="superscript"/>
              </w:rPr>
              <w:t>​</w:t>
            </w:r>
            <w:r>
              <w:rPr>
                <w:rFonts w:ascii="Arial" w:cs="Arial" w:eastAsia="Arial" w:hAnsi="Arial"/>
                <w:sz w:val="17"/>
                <w:szCs w:val="17"/>
                <w:color w:val="auto"/>
                <w:w w:val="92"/>
              </w:rPr>
              <w:t>12,200</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gridSpan w:val="3"/>
          </w:tcPr>
          <w:p>
            <w:pPr>
              <w:jc w:val="right"/>
              <w:ind w:right="140"/>
              <w:spacing w:after="0" w:line="269" w:lineRule="exact"/>
              <w:rPr>
                <w:sz w:val="20"/>
                <w:szCs w:val="20"/>
                <w:color w:val="auto"/>
              </w:rPr>
            </w:pPr>
            <w:r>
              <w:rPr>
                <w:rFonts w:ascii="Arial" w:cs="Arial" w:eastAsia="Arial" w:hAnsi="Arial"/>
                <w:sz w:val="31"/>
                <w:szCs w:val="31"/>
                <w:color w:val="auto"/>
                <w:w w:val="95"/>
                <w:vertAlign w:val="superscript"/>
              </w:rPr>
              <w:t>​</w:t>
            </w:r>
            <w:r>
              <w:rPr>
                <w:rFonts w:ascii="Arial" w:cs="Arial" w:eastAsia="Arial" w:hAnsi="Arial"/>
                <w:sz w:val="17"/>
                <w:szCs w:val="17"/>
                <w:color w:val="auto"/>
                <w:w w:val="95"/>
              </w:rPr>
              <w:t>2021</w:t>
            </w:r>
          </w:p>
        </w:tc>
        <w:tc>
          <w:tcPr>
            <w:tcW w:w="80" w:type="dxa"/>
            <w:vAlign w:val="bottom"/>
          </w:tcPr>
          <w:p>
            <w:pPr>
              <w:spacing w:after="0"/>
              <w:rPr>
                <w:sz w:val="23"/>
                <w:szCs w:val="23"/>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14"/>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320" w:type="dxa"/>
            <w:vAlign w:val="bottom"/>
          </w:tcPr>
          <w:p>
            <w:pPr>
              <w:jc w:val="right"/>
              <w:ind w:right="65"/>
              <w:spacing w:after="0"/>
              <w:rPr>
                <w:sz w:val="20"/>
                <w:szCs w:val="20"/>
                <w:color w:val="auto"/>
              </w:rPr>
            </w:pPr>
            <w:r>
              <w:rPr>
                <w:rFonts w:ascii="Arial" w:cs="Arial" w:eastAsia="Arial" w:hAnsi="Arial"/>
                <w:sz w:val="18"/>
                <w:szCs w:val="18"/>
                <w:color w:val="auto"/>
                <w:w w:val="88"/>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0" w:type="dxa"/>
            <w:vAlign w:val="bottom"/>
            <w:gridSpan w:val="2"/>
          </w:tcPr>
          <w:p>
            <w:pPr>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240" w:type="dxa"/>
            <w:vAlign w:val="bottom"/>
          </w:tcPr>
          <w:p>
            <w:pPr>
              <w:ind w:left="1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3"/>
          </w:tcPr>
          <w:p>
            <w:pPr>
              <w:jc w:val="right"/>
              <w:ind w:right="140"/>
              <w:spacing w:after="0" w:line="297" w:lineRule="exact"/>
              <w:rPr>
                <w:sz w:val="20"/>
                <w:szCs w:val="20"/>
                <w:color w:val="auto"/>
              </w:rPr>
            </w:pPr>
            <w:r>
              <w:rPr>
                <w:rFonts w:ascii="Arial" w:cs="Arial" w:eastAsia="Arial" w:hAnsi="Arial"/>
                <w:sz w:val="34"/>
                <w:szCs w:val="34"/>
                <w:color w:val="auto"/>
                <w:w w:val="89"/>
                <w:vertAlign w:val="superscript"/>
              </w:rPr>
              <w:t>​</w:t>
            </w:r>
            <w:r>
              <w:rPr>
                <w:rFonts w:ascii="Arial" w:cs="Arial" w:eastAsia="Arial" w:hAnsi="Arial"/>
                <w:sz w:val="18"/>
                <w:szCs w:val="18"/>
                <w:color w:val="auto"/>
                <w:w w:val="89"/>
              </w:rPr>
              <w:t>2020</w:t>
            </w:r>
          </w:p>
        </w:tc>
        <w:tc>
          <w:tcPr>
            <w:tcW w:w="80" w:type="dxa"/>
            <w:vAlign w:val="bottom"/>
          </w:tcPr>
          <w:p>
            <w:pPr>
              <w:spacing w:after="0"/>
              <w:rPr>
                <w:sz w:val="24"/>
                <w:szCs w:val="24"/>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14"/>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 xml:space="preserve"> ​</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 w:type="dxa"/>
            <w:vAlign w:val="bottom"/>
          </w:tcPr>
          <w:p>
            <w:pPr>
              <w:jc w:val="right"/>
              <w:ind w:right="65"/>
              <w:spacing w:after="0"/>
              <w:rPr>
                <w:sz w:val="20"/>
                <w:szCs w:val="20"/>
                <w:color w:val="auto"/>
              </w:rPr>
            </w:pPr>
            <w:r>
              <w:rPr>
                <w:rFonts w:ascii="Arial" w:cs="Arial" w:eastAsia="Arial" w:hAnsi="Arial"/>
                <w:sz w:val="18"/>
                <w:szCs w:val="18"/>
                <w:color w:val="auto"/>
                <w:w w:val="88"/>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gridSpan w:val="2"/>
          </w:tcPr>
          <w:p>
            <w:pPr>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240" w:type="dxa"/>
            <w:vAlign w:val="bottom"/>
          </w:tcPr>
          <w:p>
            <w:pPr>
              <w:ind w:left="1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18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Kevin P. Malcarney</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left w:val="single" w:sz="8" w:color="CCEEFF"/>
            </w:tcBorders>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20" w:type="dxa"/>
            <w:vAlign w:val="bottom"/>
            <w:gridSpan w:val="3"/>
            <w:shd w:val="clear" w:color="auto" w:fill="CCEEFF"/>
          </w:tcPr>
          <w:p>
            <w:pPr>
              <w:jc w:val="right"/>
              <w:ind w:right="140"/>
              <w:spacing w:after="0" w:line="269" w:lineRule="exact"/>
              <w:rPr>
                <w:sz w:val="20"/>
                <w:szCs w:val="20"/>
                <w:color w:val="auto"/>
              </w:rPr>
            </w:pPr>
            <w:r>
              <w:rPr>
                <w:rFonts w:ascii="Arial" w:cs="Arial" w:eastAsia="Arial" w:hAnsi="Arial"/>
                <w:sz w:val="31"/>
                <w:szCs w:val="31"/>
                <w:color w:val="auto"/>
                <w:w w:val="95"/>
                <w:vertAlign w:val="superscript"/>
              </w:rPr>
              <w:t>​</w:t>
            </w:r>
            <w:r>
              <w:rPr>
                <w:rFonts w:ascii="Arial" w:cs="Arial" w:eastAsia="Arial" w:hAnsi="Arial"/>
                <w:sz w:val="17"/>
                <w:szCs w:val="17"/>
                <w:color w:val="auto"/>
                <w:w w:val="95"/>
              </w:rPr>
              <w:t>2022</w:t>
            </w:r>
          </w:p>
        </w:tc>
        <w:tc>
          <w:tcPr>
            <w:tcW w:w="80" w:type="dxa"/>
            <w:vAlign w:val="bottom"/>
            <w:shd w:val="clear" w:color="auto" w:fill="CCEEFF"/>
          </w:tcPr>
          <w:p>
            <w:pPr>
              <w:spacing w:after="0"/>
              <w:rPr>
                <w:sz w:val="23"/>
                <w:szCs w:val="23"/>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14"/>
              <w:spacing w:after="0" w:line="269" w:lineRule="exact"/>
              <w:rPr>
                <w:sz w:val="20"/>
                <w:szCs w:val="20"/>
                <w:color w:val="auto"/>
              </w:rPr>
            </w:pPr>
            <w:r>
              <w:rPr>
                <w:rFonts w:ascii="Arial" w:cs="Arial" w:eastAsia="Arial" w:hAnsi="Arial"/>
                <w:sz w:val="17"/>
                <w:szCs w:val="17"/>
                <w:color w:val="auto"/>
              </w:rPr>
              <w:t xml:space="preserve">650 </w:t>
            </w:r>
            <w:r>
              <w:rPr>
                <w:rFonts w:ascii="Arial" w:cs="Arial" w:eastAsia="Arial" w:hAnsi="Arial"/>
                <w:sz w:val="31"/>
                <w:szCs w:val="31"/>
                <w:color w:val="auto"/>
                <w:vertAlign w:val="superscript"/>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3"/>
            <w:shd w:val="clear" w:color="auto" w:fill="CCEEFF"/>
          </w:tcPr>
          <w:p>
            <w:pPr>
              <w:jc w:val="right"/>
              <w:ind w:right="65"/>
              <w:spacing w:after="0" w:line="269" w:lineRule="exact"/>
              <w:rPr>
                <w:sz w:val="20"/>
                <w:szCs w:val="20"/>
                <w:color w:val="auto"/>
              </w:rPr>
            </w:pPr>
            <w:r>
              <w:rPr>
                <w:rFonts w:ascii="Arial" w:cs="Arial" w:eastAsia="Arial" w:hAnsi="Arial"/>
                <w:sz w:val="31"/>
                <w:szCs w:val="31"/>
                <w:color w:val="auto"/>
                <w:w w:val="99"/>
                <w:vertAlign w:val="superscript"/>
              </w:rPr>
              <w:t>​</w:t>
            </w:r>
            <w:r>
              <w:rPr>
                <w:rFonts w:ascii="Arial" w:cs="Arial" w:eastAsia="Arial" w:hAnsi="Arial"/>
                <w:sz w:val="17"/>
                <w:szCs w:val="17"/>
                <w:color w:val="auto"/>
                <w:w w:val="99"/>
              </w:rPr>
              <w:t>12,200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gridSpan w:val="3"/>
            <w:shd w:val="clear" w:color="auto" w:fill="CCEEFF"/>
          </w:tcPr>
          <w:p>
            <w:pPr>
              <w:spacing w:after="0" w:line="269" w:lineRule="exact"/>
              <w:rPr>
                <w:sz w:val="20"/>
                <w:szCs w:val="20"/>
                <w:color w:val="auto"/>
              </w:rPr>
            </w:pPr>
            <w:r>
              <w:rPr>
                <w:rFonts w:ascii="Arial" w:cs="Arial" w:eastAsia="Arial" w:hAnsi="Arial"/>
                <w:sz w:val="31"/>
                <w:szCs w:val="31"/>
                <w:color w:val="auto"/>
                <w:w w:val="92"/>
                <w:vertAlign w:val="superscript"/>
              </w:rPr>
              <w:t>​</w:t>
            </w:r>
            <w:r>
              <w:rPr>
                <w:rFonts w:ascii="Arial" w:cs="Arial" w:eastAsia="Arial" w:hAnsi="Arial"/>
                <w:sz w:val="17"/>
                <w:szCs w:val="17"/>
                <w:color w:val="auto"/>
                <w:w w:val="92"/>
              </w:rPr>
              <w:t>12,850</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left w:val="single" w:sz="8" w:color="CCEEFF"/>
            </w:tcBorders>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20" w:type="dxa"/>
            <w:vAlign w:val="bottom"/>
            <w:gridSpan w:val="3"/>
            <w:shd w:val="clear" w:color="auto" w:fill="CCEEFF"/>
          </w:tcPr>
          <w:p>
            <w:pPr>
              <w:jc w:val="right"/>
              <w:ind w:right="140"/>
              <w:spacing w:after="0" w:line="269" w:lineRule="exact"/>
              <w:rPr>
                <w:sz w:val="20"/>
                <w:szCs w:val="20"/>
                <w:color w:val="auto"/>
              </w:rPr>
            </w:pPr>
            <w:r>
              <w:rPr>
                <w:rFonts w:ascii="Arial" w:cs="Arial" w:eastAsia="Arial" w:hAnsi="Arial"/>
                <w:sz w:val="31"/>
                <w:szCs w:val="31"/>
                <w:color w:val="auto"/>
                <w:w w:val="95"/>
                <w:vertAlign w:val="superscript"/>
              </w:rPr>
              <w:t>​</w:t>
            </w:r>
            <w:r>
              <w:rPr>
                <w:rFonts w:ascii="Arial" w:cs="Arial" w:eastAsia="Arial" w:hAnsi="Arial"/>
                <w:sz w:val="17"/>
                <w:szCs w:val="17"/>
                <w:color w:val="auto"/>
                <w:w w:val="95"/>
              </w:rPr>
              <w:t>2021</w:t>
            </w:r>
          </w:p>
        </w:tc>
        <w:tc>
          <w:tcPr>
            <w:tcW w:w="80" w:type="dxa"/>
            <w:vAlign w:val="bottom"/>
            <w:shd w:val="clear" w:color="auto" w:fill="CCEEFF"/>
          </w:tcPr>
          <w:p>
            <w:pPr>
              <w:spacing w:after="0"/>
              <w:rPr>
                <w:sz w:val="23"/>
                <w:szCs w:val="23"/>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14"/>
              <w:spacing w:after="0" w:line="269" w:lineRule="exact"/>
              <w:rPr>
                <w:sz w:val="20"/>
                <w:szCs w:val="20"/>
                <w:color w:val="auto"/>
              </w:rPr>
            </w:pPr>
            <w:r>
              <w:rPr>
                <w:rFonts w:ascii="Arial" w:cs="Arial" w:eastAsia="Arial" w:hAnsi="Arial"/>
                <w:sz w:val="17"/>
                <w:szCs w:val="17"/>
                <w:color w:val="auto"/>
              </w:rPr>
              <w:t xml:space="preserve">950 </w:t>
            </w:r>
            <w:r>
              <w:rPr>
                <w:rFonts w:ascii="Arial" w:cs="Arial" w:eastAsia="Arial" w:hAnsi="Arial"/>
                <w:sz w:val="31"/>
                <w:szCs w:val="31"/>
                <w:color w:val="auto"/>
                <w:vertAlign w:val="superscript"/>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3"/>
            <w:shd w:val="clear" w:color="auto" w:fill="CCEEFF"/>
          </w:tcPr>
          <w:p>
            <w:pPr>
              <w:jc w:val="right"/>
              <w:ind w:right="65"/>
              <w:spacing w:after="0" w:line="269" w:lineRule="exact"/>
              <w:rPr>
                <w:sz w:val="20"/>
                <w:szCs w:val="20"/>
                <w:color w:val="auto"/>
              </w:rPr>
            </w:pPr>
            <w:r>
              <w:rPr>
                <w:rFonts w:ascii="Arial" w:cs="Arial" w:eastAsia="Arial" w:hAnsi="Arial"/>
                <w:sz w:val="31"/>
                <w:szCs w:val="31"/>
                <w:color w:val="auto"/>
                <w:w w:val="99"/>
                <w:vertAlign w:val="superscript"/>
              </w:rPr>
              <w:t>​</w:t>
            </w:r>
            <w:r>
              <w:rPr>
                <w:rFonts w:ascii="Arial" w:cs="Arial" w:eastAsia="Arial" w:hAnsi="Arial"/>
                <w:sz w:val="17"/>
                <w:szCs w:val="17"/>
                <w:color w:val="auto"/>
                <w:w w:val="99"/>
              </w:rPr>
              <w:t>11,600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gridSpan w:val="3"/>
            <w:shd w:val="clear" w:color="auto" w:fill="CCEEFF"/>
          </w:tcPr>
          <w:p>
            <w:pPr>
              <w:spacing w:after="0" w:line="269" w:lineRule="exact"/>
              <w:rPr>
                <w:sz w:val="20"/>
                <w:szCs w:val="20"/>
                <w:color w:val="auto"/>
              </w:rPr>
            </w:pPr>
            <w:r>
              <w:rPr>
                <w:rFonts w:ascii="Arial" w:cs="Arial" w:eastAsia="Arial" w:hAnsi="Arial"/>
                <w:sz w:val="31"/>
                <w:szCs w:val="31"/>
                <w:color w:val="auto"/>
                <w:w w:val="92"/>
                <w:vertAlign w:val="superscript"/>
              </w:rPr>
              <w:t>​</w:t>
            </w:r>
            <w:r>
              <w:rPr>
                <w:rFonts w:ascii="Arial" w:cs="Arial" w:eastAsia="Arial" w:hAnsi="Arial"/>
                <w:sz w:val="17"/>
                <w:szCs w:val="17"/>
                <w:color w:val="auto"/>
                <w:w w:val="92"/>
              </w:rPr>
              <w:t>12,550</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760" w:type="dxa"/>
            <w:vAlign w:val="bottom"/>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left w:val="single" w:sz="8" w:color="CCEEFF"/>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gridSpan w:val="3"/>
            <w:shd w:val="clear" w:color="auto" w:fill="CCEEFF"/>
          </w:tcPr>
          <w:p>
            <w:pPr>
              <w:jc w:val="right"/>
              <w:ind w:right="140"/>
              <w:spacing w:after="0" w:line="297" w:lineRule="exact"/>
              <w:rPr>
                <w:sz w:val="20"/>
                <w:szCs w:val="20"/>
                <w:color w:val="auto"/>
              </w:rPr>
            </w:pPr>
            <w:r>
              <w:rPr>
                <w:rFonts w:ascii="Arial" w:cs="Arial" w:eastAsia="Arial" w:hAnsi="Arial"/>
                <w:sz w:val="34"/>
                <w:szCs w:val="34"/>
                <w:color w:val="auto"/>
                <w:w w:val="89"/>
                <w:vertAlign w:val="superscript"/>
              </w:rPr>
              <w:t>​</w:t>
            </w:r>
            <w:r>
              <w:rPr>
                <w:rFonts w:ascii="Arial" w:cs="Arial" w:eastAsia="Arial" w:hAnsi="Arial"/>
                <w:sz w:val="18"/>
                <w:szCs w:val="18"/>
                <w:color w:val="auto"/>
                <w:w w:val="89"/>
              </w:rPr>
              <w:t>2020</w:t>
            </w:r>
          </w:p>
        </w:tc>
        <w:tc>
          <w:tcPr>
            <w:tcW w:w="80" w:type="dxa"/>
            <w:vAlign w:val="bottom"/>
            <w:shd w:val="clear" w:color="auto" w:fill="CCEEFF"/>
          </w:tcPr>
          <w:p>
            <w:pPr>
              <w:spacing w:after="0"/>
              <w:rPr>
                <w:sz w:val="24"/>
                <w:szCs w:val="24"/>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14"/>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 xml:space="preserve"> ​</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ind w:right="65"/>
              <w:spacing w:after="0" w:line="297" w:lineRule="exact"/>
              <w:rPr>
                <w:sz w:val="20"/>
                <w:szCs w:val="20"/>
                <w:color w:val="auto"/>
              </w:rPr>
            </w:pPr>
            <w:r>
              <w:rPr>
                <w:rFonts w:ascii="Arial" w:cs="Arial" w:eastAsia="Arial" w:hAnsi="Arial"/>
                <w:sz w:val="34"/>
                <w:szCs w:val="34"/>
                <w:color w:val="auto"/>
                <w:w w:val="94"/>
                <w:vertAlign w:val="superscript"/>
              </w:rPr>
              <w:t>​</w:t>
            </w:r>
            <w:r>
              <w:rPr>
                <w:rFonts w:ascii="Arial" w:cs="Arial" w:eastAsia="Arial" w:hAnsi="Arial"/>
                <w:sz w:val="18"/>
                <w:szCs w:val="18"/>
                <w:color w:val="auto"/>
                <w:w w:val="94"/>
              </w:rPr>
              <w:t>10,550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gridSpan w:val="3"/>
            <w:shd w:val="clear" w:color="auto" w:fill="CCEEFF"/>
          </w:tcPr>
          <w:p>
            <w:pPr>
              <w:spacing w:after="0" w:line="297" w:lineRule="exact"/>
              <w:rPr>
                <w:sz w:val="20"/>
                <w:szCs w:val="20"/>
                <w:color w:val="auto"/>
              </w:rPr>
            </w:pPr>
            <w:r>
              <w:rPr>
                <w:rFonts w:ascii="Arial" w:cs="Arial" w:eastAsia="Arial" w:hAnsi="Arial"/>
                <w:sz w:val="34"/>
                <w:szCs w:val="34"/>
                <w:color w:val="auto"/>
                <w:w w:val="87"/>
                <w:vertAlign w:val="superscript"/>
              </w:rPr>
              <w:t>​</w:t>
            </w:r>
            <w:r>
              <w:rPr>
                <w:rFonts w:ascii="Arial" w:cs="Arial" w:eastAsia="Arial" w:hAnsi="Arial"/>
                <w:sz w:val="18"/>
                <w:szCs w:val="18"/>
                <w:color w:val="auto"/>
                <w:w w:val="87"/>
              </w:rPr>
              <w:t>10,550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Chad Plotkin</w:t>
            </w: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gridSpan w:val="3"/>
          </w:tcPr>
          <w:p>
            <w:pPr>
              <w:jc w:val="right"/>
              <w:ind w:right="140"/>
              <w:spacing w:after="0" w:line="269" w:lineRule="exact"/>
              <w:rPr>
                <w:sz w:val="20"/>
                <w:szCs w:val="20"/>
                <w:color w:val="auto"/>
              </w:rPr>
            </w:pPr>
            <w:r>
              <w:rPr>
                <w:rFonts w:ascii="Arial" w:cs="Arial" w:eastAsia="Arial" w:hAnsi="Arial"/>
                <w:sz w:val="31"/>
                <w:szCs w:val="31"/>
                <w:color w:val="auto"/>
                <w:w w:val="95"/>
                <w:vertAlign w:val="superscript"/>
              </w:rPr>
              <w:t>​</w:t>
            </w:r>
            <w:r>
              <w:rPr>
                <w:rFonts w:ascii="Arial" w:cs="Arial" w:eastAsia="Arial" w:hAnsi="Arial"/>
                <w:sz w:val="17"/>
                <w:szCs w:val="17"/>
                <w:color w:val="auto"/>
                <w:w w:val="95"/>
              </w:rPr>
              <w:t>2022</w:t>
            </w:r>
          </w:p>
        </w:tc>
        <w:tc>
          <w:tcPr>
            <w:tcW w:w="80" w:type="dxa"/>
            <w:vAlign w:val="bottom"/>
          </w:tcPr>
          <w:p>
            <w:pPr>
              <w:spacing w:after="0"/>
              <w:rPr>
                <w:sz w:val="23"/>
                <w:szCs w:val="23"/>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14"/>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ind w:right="65"/>
              <w:spacing w:after="0" w:line="269" w:lineRule="exact"/>
              <w:rPr>
                <w:sz w:val="20"/>
                <w:szCs w:val="20"/>
                <w:color w:val="auto"/>
              </w:rPr>
            </w:pPr>
            <w:r>
              <w:rPr>
                <w:rFonts w:ascii="Arial" w:cs="Arial" w:eastAsia="Arial" w:hAnsi="Arial"/>
                <w:sz w:val="31"/>
                <w:szCs w:val="31"/>
                <w:color w:val="auto"/>
                <w:w w:val="99"/>
                <w:vertAlign w:val="superscript"/>
              </w:rPr>
              <w:t>​</w:t>
            </w:r>
            <w:r>
              <w:rPr>
                <w:rFonts w:ascii="Arial" w:cs="Arial" w:eastAsia="Arial" w:hAnsi="Arial"/>
                <w:sz w:val="17"/>
                <w:szCs w:val="17"/>
                <w:color w:val="auto"/>
                <w:w w:val="99"/>
              </w:rPr>
              <w:t>12,200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0" w:type="dxa"/>
            <w:vAlign w:val="bottom"/>
            <w:gridSpan w:val="2"/>
          </w:tcPr>
          <w:p>
            <w:pPr>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65,172</w:t>
            </w:r>
          </w:p>
        </w:tc>
        <w:tc>
          <w:tcPr>
            <w:tcW w:w="120" w:type="dxa"/>
            <w:vAlign w:val="bottom"/>
          </w:tcPr>
          <w:p>
            <w:pPr>
              <w:spacing w:after="0"/>
              <w:rPr>
                <w:sz w:val="23"/>
                <w:szCs w:val="23"/>
                <w:color w:val="auto"/>
              </w:rPr>
            </w:pP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3"/>
          </w:tcPr>
          <w:p>
            <w:pPr>
              <w:spacing w:after="0" w:line="269" w:lineRule="exact"/>
              <w:rPr>
                <w:sz w:val="20"/>
                <w:szCs w:val="20"/>
                <w:color w:val="auto"/>
              </w:rPr>
            </w:pPr>
            <w:r>
              <w:rPr>
                <w:rFonts w:ascii="Arial" w:cs="Arial" w:eastAsia="Arial" w:hAnsi="Arial"/>
                <w:sz w:val="31"/>
                <w:szCs w:val="31"/>
                <w:color w:val="auto"/>
                <w:w w:val="92"/>
                <w:vertAlign w:val="superscript"/>
              </w:rPr>
              <w:t>​</w:t>
            </w:r>
            <w:r>
              <w:rPr>
                <w:rFonts w:ascii="Arial" w:cs="Arial" w:eastAsia="Arial" w:hAnsi="Arial"/>
                <w:sz w:val="17"/>
                <w:szCs w:val="17"/>
                <w:color w:val="auto"/>
                <w:w w:val="92"/>
              </w:rPr>
              <w:t>77,372</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gridSpan w:val="3"/>
          </w:tcPr>
          <w:p>
            <w:pPr>
              <w:jc w:val="right"/>
              <w:ind w:right="140"/>
              <w:spacing w:after="0" w:line="269" w:lineRule="exact"/>
              <w:rPr>
                <w:sz w:val="20"/>
                <w:szCs w:val="20"/>
                <w:color w:val="auto"/>
              </w:rPr>
            </w:pPr>
            <w:r>
              <w:rPr>
                <w:rFonts w:ascii="Arial" w:cs="Arial" w:eastAsia="Arial" w:hAnsi="Arial"/>
                <w:sz w:val="31"/>
                <w:szCs w:val="31"/>
                <w:color w:val="auto"/>
                <w:w w:val="95"/>
                <w:vertAlign w:val="superscript"/>
              </w:rPr>
              <w:t>​</w:t>
            </w:r>
            <w:r>
              <w:rPr>
                <w:rFonts w:ascii="Arial" w:cs="Arial" w:eastAsia="Arial" w:hAnsi="Arial"/>
                <w:sz w:val="17"/>
                <w:szCs w:val="17"/>
                <w:color w:val="auto"/>
                <w:w w:val="95"/>
              </w:rPr>
              <w:t>2021</w:t>
            </w:r>
          </w:p>
        </w:tc>
        <w:tc>
          <w:tcPr>
            <w:tcW w:w="80" w:type="dxa"/>
            <w:vAlign w:val="bottom"/>
          </w:tcPr>
          <w:p>
            <w:pPr>
              <w:spacing w:after="0"/>
              <w:rPr>
                <w:sz w:val="23"/>
                <w:szCs w:val="23"/>
                <w:color w:val="auto"/>
              </w:rPr>
            </w:pPr>
          </w:p>
        </w:tc>
        <w:tc>
          <w:tcPr>
            <w:tcW w:w="740" w:type="dxa"/>
            <w:vAlign w:val="bottom"/>
            <w:gridSpan w:val="5"/>
          </w:tcPr>
          <w:p>
            <w:pPr>
              <w:jc w:val="right"/>
              <w:ind w:right="114"/>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3,000 </w:t>
            </w:r>
            <w:r>
              <w:rPr>
                <w:rFonts w:ascii="Arial" w:cs="Arial" w:eastAsia="Arial" w:hAnsi="Arial"/>
                <w:sz w:val="31"/>
                <w:szCs w:val="31"/>
                <w:color w:val="auto"/>
                <w:vertAlign w:val="superscript"/>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ind w:right="65"/>
              <w:spacing w:after="0" w:line="269" w:lineRule="exact"/>
              <w:rPr>
                <w:sz w:val="20"/>
                <w:szCs w:val="20"/>
                <w:color w:val="auto"/>
              </w:rPr>
            </w:pPr>
            <w:r>
              <w:rPr>
                <w:rFonts w:ascii="Arial" w:cs="Arial" w:eastAsia="Arial" w:hAnsi="Arial"/>
                <w:sz w:val="31"/>
                <w:szCs w:val="31"/>
                <w:color w:val="auto"/>
                <w:w w:val="99"/>
                <w:vertAlign w:val="superscript"/>
              </w:rPr>
              <w:t>​</w:t>
            </w:r>
            <w:r>
              <w:rPr>
                <w:rFonts w:ascii="Arial" w:cs="Arial" w:eastAsia="Arial" w:hAnsi="Arial"/>
                <w:sz w:val="17"/>
                <w:szCs w:val="17"/>
                <w:color w:val="auto"/>
                <w:w w:val="99"/>
              </w:rPr>
              <w:t>11,600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0" w:type="dxa"/>
            <w:vAlign w:val="bottom"/>
            <w:gridSpan w:val="2"/>
          </w:tcPr>
          <w:p>
            <w:pPr>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240" w:type="dxa"/>
            <w:vAlign w:val="bottom"/>
          </w:tcPr>
          <w:p>
            <w:pPr>
              <w:ind w:left="1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gridSpan w:val="4"/>
          </w:tcPr>
          <w:p>
            <w:pPr>
              <w:spacing w:after="0" w:line="269" w:lineRule="exact"/>
              <w:rPr>
                <w:sz w:val="20"/>
                <w:szCs w:val="20"/>
                <w:color w:val="auto"/>
              </w:rPr>
            </w:pPr>
            <w:r>
              <w:rPr>
                <w:rFonts w:ascii="Arial" w:cs="Arial" w:eastAsia="Arial" w:hAnsi="Arial"/>
                <w:sz w:val="31"/>
                <w:szCs w:val="31"/>
                <w:color w:val="auto"/>
                <w:w w:val="96"/>
                <w:vertAlign w:val="superscript"/>
              </w:rPr>
              <w:t>​</w:t>
            </w:r>
            <w:r>
              <w:rPr>
                <w:rFonts w:ascii="Arial" w:cs="Arial" w:eastAsia="Arial" w:hAnsi="Arial"/>
                <w:sz w:val="17"/>
                <w:szCs w:val="17"/>
                <w:color w:val="auto"/>
                <w:w w:val="96"/>
              </w:rPr>
              <w:t>14,600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1"/>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35"/>
                <w:szCs w:val="35"/>
                <w:color w:val="auto"/>
                <w:w w:val="89"/>
                <w:vertAlign w:val="superscript"/>
              </w:rPr>
              <w:t>​</w:t>
            </w:r>
            <w:r>
              <w:rPr>
                <w:rFonts w:ascii="Arial" w:cs="Arial" w:eastAsia="Arial" w:hAnsi="Arial"/>
                <w:sz w:val="18"/>
                <w:szCs w:val="18"/>
                <w:color w:val="auto"/>
                <w:w w:val="89"/>
              </w:rPr>
              <w:t>2020</w:t>
            </w:r>
          </w:p>
        </w:tc>
        <w:tc>
          <w:tcPr>
            <w:tcW w:w="80" w:type="dxa"/>
            <w:vAlign w:val="bottom"/>
          </w:tcPr>
          <w:p>
            <w:pPr>
              <w:spacing w:after="0"/>
              <w:rPr>
                <w:sz w:val="24"/>
                <w:szCs w:val="24"/>
                <w:color w:val="auto"/>
              </w:rPr>
            </w:pPr>
          </w:p>
        </w:tc>
        <w:tc>
          <w:tcPr>
            <w:tcW w:w="740" w:type="dxa"/>
            <w:vAlign w:val="bottom"/>
            <w:gridSpan w:val="5"/>
          </w:tcPr>
          <w:p>
            <w:pPr>
              <w:jc w:val="right"/>
              <w:ind w:right="114"/>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3,000 </w:t>
            </w:r>
            <w:r>
              <w:rPr>
                <w:rFonts w:ascii="Arial" w:cs="Arial" w:eastAsia="Arial" w:hAnsi="Arial"/>
                <w:sz w:val="35"/>
                <w:szCs w:val="35"/>
                <w:color w:val="auto"/>
                <w:vertAlign w:val="superscript"/>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3"/>
          </w:tcPr>
          <w:p>
            <w:pPr>
              <w:jc w:val="right"/>
              <w:ind w:right="65"/>
              <w:spacing w:after="0"/>
              <w:rPr>
                <w:sz w:val="20"/>
                <w:szCs w:val="20"/>
                <w:color w:val="auto"/>
              </w:rPr>
            </w:pPr>
            <w:r>
              <w:rPr>
                <w:rFonts w:ascii="Arial" w:cs="Arial" w:eastAsia="Arial" w:hAnsi="Arial"/>
                <w:sz w:val="35"/>
                <w:szCs w:val="35"/>
                <w:color w:val="auto"/>
                <w:w w:val="94"/>
                <w:vertAlign w:val="superscript"/>
              </w:rPr>
              <w:t>​</w:t>
            </w:r>
            <w:r>
              <w:rPr>
                <w:rFonts w:ascii="Arial" w:cs="Arial" w:eastAsia="Arial" w:hAnsi="Arial"/>
                <w:sz w:val="18"/>
                <w:szCs w:val="18"/>
                <w:color w:val="auto"/>
                <w:w w:val="94"/>
              </w:rPr>
              <w:t>11,169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gridSpan w:val="2"/>
          </w:tcPr>
          <w:p>
            <w:pPr>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240" w:type="dxa"/>
            <w:vAlign w:val="bottom"/>
          </w:tcPr>
          <w:p>
            <w:pPr>
              <w:ind w:left="1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4"/>
          </w:tcPr>
          <w:p>
            <w:pPr>
              <w:spacing w:after="0"/>
              <w:rPr>
                <w:sz w:val="20"/>
                <w:szCs w:val="20"/>
                <w:color w:val="auto"/>
              </w:rPr>
            </w:pPr>
            <w:r>
              <w:rPr>
                <w:rFonts w:ascii="Arial" w:cs="Arial" w:eastAsia="Arial" w:hAnsi="Arial"/>
                <w:sz w:val="35"/>
                <w:szCs w:val="35"/>
                <w:color w:val="auto"/>
                <w:w w:val="90"/>
                <w:vertAlign w:val="superscript"/>
              </w:rPr>
              <w:t>​</w:t>
            </w:r>
            <w:r>
              <w:rPr>
                <w:rFonts w:ascii="Arial" w:cs="Arial" w:eastAsia="Arial" w:hAnsi="Arial"/>
                <w:sz w:val="18"/>
                <w:szCs w:val="18"/>
                <w:color w:val="auto"/>
                <w:w w:val="90"/>
              </w:rPr>
              <w:t>14,169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16"/>
          </w:tcPr>
          <w:p>
            <w:pPr>
              <w:jc w:val="center"/>
              <w:ind w:left="55"/>
              <w:spacing w:after="0"/>
              <w:rPr>
                <w:sz w:val="20"/>
                <w:szCs w:val="20"/>
                <w:color w:val="auto"/>
              </w:rPr>
            </w:pPr>
            <w:r>
              <w:rPr>
                <w:rFonts w:ascii="Arial" w:cs="Arial" w:eastAsia="Arial" w:hAnsi="Arial"/>
                <w:sz w:val="18"/>
                <w:szCs w:val="18"/>
                <w:b w:val="1"/>
                <w:bCs w:val="1"/>
                <w:color w:val="auto"/>
                <w:w w:val="86"/>
              </w:rPr>
              <w:t>Grants of Plan-Based Awards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40" w:type="dxa"/>
            <w:vAlign w:val="bottom"/>
            <w:gridSpan w:val="19"/>
          </w:tcPr>
          <w:p>
            <w:pPr>
              <w:jc w:val="center"/>
              <w:ind w:right="185"/>
              <w:spacing w:after="0"/>
              <w:rPr>
                <w:sz w:val="20"/>
                <w:szCs w:val="20"/>
                <w:color w:val="auto"/>
              </w:rPr>
            </w:pPr>
            <w:r>
              <w:rPr>
                <w:rFonts w:ascii="Arial" w:cs="Arial" w:eastAsia="Arial" w:hAnsi="Arial"/>
                <w:sz w:val="18"/>
                <w:szCs w:val="18"/>
                <w:b w:val="1"/>
                <w:bCs w:val="1"/>
                <w:color w:val="auto"/>
                <w:w w:val="86"/>
              </w:rPr>
              <w:t>Fiscal Year Ended December 31, 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16"/>
            <w:vMerge w:val="restart"/>
          </w:tcPr>
          <w:p>
            <w:pPr>
              <w:ind w:left="120"/>
              <w:spacing w:after="0"/>
              <w:rPr>
                <w:sz w:val="20"/>
                <w:szCs w:val="20"/>
                <w:color w:val="auto"/>
              </w:rPr>
            </w:pPr>
            <w:r>
              <w:rPr>
                <w:rFonts w:ascii="Arial" w:cs="Arial" w:eastAsia="Arial" w:hAnsi="Arial"/>
                <w:sz w:val="14"/>
                <w:szCs w:val="14"/>
                <w:b w:val="1"/>
                <w:bCs w:val="1"/>
                <w:color w:val="auto"/>
                <w:w w:val="96"/>
              </w:rPr>
              <w:t>Estimated Possible Payouts Under</w:t>
            </w:r>
          </w:p>
        </w:tc>
        <w:tc>
          <w:tcPr>
            <w:tcW w:w="2100" w:type="dxa"/>
            <w:vAlign w:val="bottom"/>
            <w:gridSpan w:val="12"/>
            <w:vMerge w:val="restart"/>
          </w:tcPr>
          <w:p>
            <w:pPr>
              <w:jc w:val="right"/>
              <w:ind w:right="19"/>
              <w:spacing w:after="0"/>
              <w:rPr>
                <w:sz w:val="20"/>
                <w:szCs w:val="20"/>
                <w:color w:val="auto"/>
              </w:rPr>
            </w:pPr>
            <w:r>
              <w:rPr>
                <w:rFonts w:ascii="Arial" w:cs="Arial" w:eastAsia="Arial" w:hAnsi="Arial"/>
                <w:sz w:val="14"/>
                <w:szCs w:val="14"/>
                <w:b w:val="1"/>
                <w:bCs w:val="1"/>
                <w:color w:val="auto"/>
                <w:w w:val="91"/>
              </w:rPr>
              <w:t>Estimated Future Payouts Under</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4"/>
              </w:rPr>
              <w:t>All Other</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80" w:type="dxa"/>
            <w:vAlign w:val="bottom"/>
            <w:gridSpan w:val="16"/>
            <w:vMerge w:val="continue"/>
          </w:tcPr>
          <w:p>
            <w:pPr>
              <w:spacing w:after="0"/>
              <w:rPr>
                <w:sz w:val="5"/>
                <w:szCs w:val="5"/>
                <w:color w:val="auto"/>
              </w:rPr>
            </w:pPr>
          </w:p>
        </w:tc>
        <w:tc>
          <w:tcPr>
            <w:tcW w:w="2100" w:type="dxa"/>
            <w:vAlign w:val="bottom"/>
            <w:gridSpan w:val="12"/>
            <w:vMerge w:val="continue"/>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w:t>
            </w:r>
          </w:p>
        </w:tc>
        <w:tc>
          <w:tcPr>
            <w:tcW w:w="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w:t>
            </w:r>
          </w:p>
        </w:tc>
        <w:tc>
          <w:tcPr>
            <w:tcW w:w="160" w:type="dxa"/>
            <w:vAlign w:val="bottom"/>
          </w:tcPr>
          <w:p>
            <w:pPr>
              <w:spacing w:after="0"/>
              <w:rPr>
                <w:sz w:val="8"/>
                <w:szCs w:val="8"/>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w:t>
            </w:r>
          </w:p>
        </w:tc>
        <w:tc>
          <w:tcPr>
            <w:tcW w:w="5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w:t>
            </w:r>
          </w:p>
        </w:tc>
        <w:tc>
          <w:tcPr>
            <w:tcW w:w="2380" w:type="dxa"/>
            <w:vAlign w:val="bottom"/>
            <w:gridSpan w:val="16"/>
            <w:vMerge w:val="restart"/>
          </w:tcPr>
          <w:p>
            <w:pPr>
              <w:jc w:val="center"/>
              <w:ind w:left="35"/>
              <w:spacing w:after="0" w:line="212" w:lineRule="exact"/>
              <w:rPr>
                <w:sz w:val="20"/>
                <w:szCs w:val="20"/>
                <w:color w:val="auto"/>
              </w:rPr>
            </w:pPr>
            <w:r>
              <w:rPr>
                <w:rFonts w:ascii="Arial" w:cs="Arial" w:eastAsia="Arial" w:hAnsi="Arial"/>
                <w:sz w:val="13"/>
                <w:szCs w:val="13"/>
                <w:b w:val="1"/>
                <w:bCs w:val="1"/>
                <w:color w:val="auto"/>
              </w:rPr>
              <w:t xml:space="preserve">Non-Equity Incentive Plan Awards  </w:t>
            </w:r>
            <w:r>
              <w:rPr>
                <w:rFonts w:ascii="Arial" w:cs="Arial" w:eastAsia="Arial" w:hAnsi="Arial"/>
                <w:sz w:val="24"/>
                <w:szCs w:val="24"/>
                <w:b w:val="1"/>
                <w:bCs w:val="1"/>
                <w:color w:val="auto"/>
                <w:vertAlign w:val="subscript"/>
              </w:rPr>
              <w:t>​ ​</w:t>
            </w:r>
          </w:p>
        </w:tc>
        <w:tc>
          <w:tcPr>
            <w:tcW w:w="2100" w:type="dxa"/>
            <w:vAlign w:val="bottom"/>
            <w:gridSpan w:val="12"/>
            <w:vMerge w:val="restart"/>
          </w:tcPr>
          <w:p>
            <w:pPr>
              <w:ind w:left="180"/>
              <w:spacing w:after="0"/>
              <w:rPr>
                <w:sz w:val="20"/>
                <w:szCs w:val="20"/>
                <w:color w:val="auto"/>
              </w:rPr>
            </w:pPr>
            <w:r>
              <w:rPr>
                <w:rFonts w:ascii="Arial" w:cs="Arial" w:eastAsia="Arial" w:hAnsi="Arial"/>
                <w:sz w:val="14"/>
                <w:szCs w:val="14"/>
                <w:b w:val="1"/>
                <w:bCs w:val="1"/>
                <w:color w:val="auto"/>
                <w:w w:val="96"/>
              </w:rPr>
              <w:t>Equity Incentive Plan Awards</w:t>
            </w:r>
          </w:p>
        </w:tc>
        <w:tc>
          <w:tcPr>
            <w:tcW w:w="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44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380" w:type="dxa"/>
            <w:vAlign w:val="bottom"/>
            <w:gridSpan w:val="16"/>
            <w:vMerge w:val="continue"/>
          </w:tcPr>
          <w:p>
            <w:pPr>
              <w:spacing w:after="0"/>
              <w:rPr>
                <w:sz w:val="10"/>
                <w:szCs w:val="10"/>
                <w:color w:val="auto"/>
              </w:rPr>
            </w:pPr>
          </w:p>
        </w:tc>
        <w:tc>
          <w:tcPr>
            <w:tcW w:w="2100" w:type="dxa"/>
            <w:vAlign w:val="bottom"/>
            <w:gridSpan w:val="12"/>
            <w:vMerge w:val="continue"/>
          </w:tcPr>
          <w:p>
            <w:pPr>
              <w:spacing w:after="0"/>
              <w:rPr>
                <w:sz w:val="10"/>
                <w:szCs w:val="10"/>
                <w:color w:val="auto"/>
              </w:rPr>
            </w:pPr>
          </w:p>
        </w:tc>
        <w:tc>
          <w:tcPr>
            <w:tcW w:w="200" w:type="dxa"/>
            <w:vAlign w:val="bottom"/>
            <w:gridSpan w:val="3"/>
            <w:vMerge w:val="continue"/>
          </w:tcPr>
          <w:p>
            <w:pPr>
              <w:spacing w:after="0"/>
              <w:rPr>
                <w:sz w:val="10"/>
                <w:szCs w:val="10"/>
                <w:color w:val="auto"/>
              </w:rPr>
            </w:pPr>
          </w:p>
        </w:tc>
        <w:tc>
          <w:tcPr>
            <w:tcW w:w="5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93"/>
              </w:rPr>
              <w:t>Award</w:t>
            </w:r>
          </w:p>
        </w:tc>
        <w:tc>
          <w:tcPr>
            <w:tcW w:w="140" w:type="dxa"/>
            <w:vAlign w:val="bottom"/>
          </w:tcPr>
          <w:p>
            <w:pPr>
              <w:spacing w:after="0"/>
              <w:rPr>
                <w:sz w:val="14"/>
                <w:szCs w:val="14"/>
                <w:color w:val="auto"/>
              </w:rPr>
            </w:pP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Grant</w:t>
            </w:r>
          </w:p>
        </w:tc>
        <w:tc>
          <w:tcPr>
            <w:tcW w:w="1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Approval</w:t>
            </w: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Threshold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Target</w:t>
            </w:r>
          </w:p>
        </w:tc>
        <w:tc>
          <w:tcPr>
            <w:tcW w:w="840" w:type="dxa"/>
            <w:vAlign w:val="bottom"/>
            <w:gridSpan w:val="6"/>
          </w:tcPr>
          <w:p>
            <w:pPr>
              <w:ind w:left="40"/>
              <w:spacing w:after="0"/>
              <w:rPr>
                <w:sz w:val="20"/>
                <w:szCs w:val="20"/>
                <w:color w:val="auto"/>
              </w:rPr>
            </w:pPr>
            <w:r>
              <w:rPr>
                <w:rFonts w:ascii="Arial" w:cs="Arial" w:eastAsia="Arial" w:hAnsi="Arial"/>
                <w:sz w:val="14"/>
                <w:szCs w:val="14"/>
                <w:b w:val="1"/>
                <w:bCs w:val="1"/>
                <w:color w:val="auto"/>
              </w:rPr>
              <w:t>Maximum</w:t>
            </w:r>
          </w:p>
        </w:tc>
        <w:tc>
          <w:tcPr>
            <w:tcW w:w="660" w:type="dxa"/>
            <w:vAlign w:val="bottom"/>
            <w:gridSpan w:val="4"/>
          </w:tcPr>
          <w:p>
            <w:pPr>
              <w:jc w:val="right"/>
              <w:spacing w:after="0"/>
              <w:rPr>
                <w:sz w:val="20"/>
                <w:szCs w:val="20"/>
                <w:color w:val="auto"/>
              </w:rPr>
            </w:pPr>
            <w:r>
              <w:rPr>
                <w:rFonts w:ascii="Arial" w:cs="Arial" w:eastAsia="Arial" w:hAnsi="Arial"/>
                <w:sz w:val="14"/>
                <w:szCs w:val="14"/>
                <w:b w:val="1"/>
                <w:bCs w:val="1"/>
                <w:color w:val="auto"/>
                <w:w w:val="88"/>
              </w:rPr>
              <w:t>Threshold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4"/>
          </w:tcPr>
          <w:p>
            <w:pPr>
              <w:ind w:left="20"/>
              <w:spacing w:after="0"/>
              <w:rPr>
                <w:sz w:val="20"/>
                <w:szCs w:val="20"/>
                <w:color w:val="auto"/>
              </w:rPr>
            </w:pPr>
            <w:r>
              <w:rPr>
                <w:rFonts w:ascii="Arial" w:cs="Arial" w:eastAsia="Arial" w:hAnsi="Arial"/>
                <w:sz w:val="14"/>
                <w:szCs w:val="14"/>
                <w:b w:val="1"/>
                <w:bCs w:val="1"/>
                <w:color w:val="auto"/>
              </w:rPr>
              <w:t>Target</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Maximum</w:t>
            </w:r>
          </w:p>
        </w:tc>
        <w:tc>
          <w:tcPr>
            <w:tcW w:w="120" w:type="dxa"/>
            <w:vAlign w:val="bottom"/>
          </w:tcPr>
          <w:p>
            <w:pPr>
              <w:spacing w:after="0"/>
              <w:rPr>
                <w:sz w:val="14"/>
                <w:szCs w:val="14"/>
                <w:color w:val="auto"/>
              </w:rPr>
            </w:pPr>
          </w:p>
        </w:tc>
        <w:tc>
          <w:tcPr>
            <w:tcW w:w="78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1"/>
              </w:rPr>
              <w:t>Number of</w:t>
            </w:r>
          </w:p>
        </w:tc>
        <w:tc>
          <w:tcPr>
            <w:tcW w:w="20" w:type="dxa"/>
            <w:vAlign w:val="bottom"/>
          </w:tcPr>
          <w:p>
            <w:pPr>
              <w:spacing w:after="0"/>
              <w:rPr>
                <w:sz w:val="14"/>
                <w:szCs w:val="14"/>
                <w:color w:val="auto"/>
              </w:rPr>
            </w:pPr>
          </w:p>
        </w:tc>
        <w:tc>
          <w:tcPr>
            <w:tcW w:w="76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3"/>
        </w:trPr>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 ​</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5"/>
              </w:rPr>
              <w:t>Type</w:t>
            </w:r>
          </w:p>
        </w:tc>
        <w:tc>
          <w:tcPr>
            <w:tcW w:w="600" w:type="dxa"/>
            <w:vAlign w:val="bottom"/>
            <w:gridSpan w:val="2"/>
          </w:tcPr>
          <w:p>
            <w:pPr>
              <w:ind w:left="40"/>
              <w:spacing w:after="0" w:line="193"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Date</w:t>
            </w:r>
          </w:p>
        </w:tc>
        <w:tc>
          <w:tcPr>
            <w:tcW w:w="160" w:type="dxa"/>
            <w:vAlign w:val="bottom"/>
          </w:tcPr>
          <w:p>
            <w:pPr>
              <w:spacing w:after="0"/>
              <w:rPr>
                <w:sz w:val="16"/>
                <w:szCs w:val="16"/>
                <w:color w:val="auto"/>
              </w:rPr>
            </w:pPr>
          </w:p>
        </w:tc>
        <w:tc>
          <w:tcPr>
            <w:tcW w:w="2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 ​</w:t>
            </w:r>
          </w:p>
        </w:tc>
        <w:tc>
          <w:tcPr>
            <w:tcW w:w="620" w:type="dxa"/>
            <w:vAlign w:val="bottom"/>
            <w:gridSpan w:val="2"/>
          </w:tcPr>
          <w:p>
            <w:pPr>
              <w:ind w:left="60"/>
              <w:spacing w:after="0" w:line="193" w:lineRule="exact"/>
              <w:rPr>
                <w:sz w:val="20"/>
                <w:szCs w:val="20"/>
                <w:color w:val="auto"/>
              </w:rPr>
            </w:pPr>
            <w:r>
              <w:rPr>
                <w:rFonts w:ascii="Arial" w:cs="Arial" w:eastAsia="Arial" w:hAnsi="Arial"/>
                <w:sz w:val="12"/>
                <w:szCs w:val="12"/>
                <w:b w:val="1"/>
                <w:bCs w:val="1"/>
                <w:color w:val="auto"/>
              </w:rPr>
              <w:t xml:space="preserve">Date   </w:t>
            </w:r>
            <w:r>
              <w:rPr>
                <w:rFonts w:ascii="Arial" w:cs="Arial" w:eastAsia="Arial" w:hAnsi="Arial"/>
                <w:sz w:val="22"/>
                <w:szCs w:val="22"/>
                <w:b w:val="1"/>
                <w:bCs w:val="1"/>
                <w:color w:val="auto"/>
                <w:vertAlign w:val="subscript"/>
              </w:rPr>
              <w:t>​ ​</w:t>
            </w:r>
          </w:p>
        </w:tc>
        <w:tc>
          <w:tcPr>
            <w:tcW w:w="180" w:type="dxa"/>
            <w:vAlign w:val="bottom"/>
          </w:tcPr>
          <w:p>
            <w:pPr>
              <w:spacing w:after="0"/>
              <w:rPr>
                <w:sz w:val="16"/>
                <w:szCs w:val="16"/>
                <w:color w:val="auto"/>
              </w:rPr>
            </w:pPr>
          </w:p>
        </w:tc>
        <w:tc>
          <w:tcPr>
            <w:tcW w:w="320" w:type="dxa"/>
            <w:vAlign w:val="bottom"/>
          </w:tcPr>
          <w:p>
            <w:pPr>
              <w:ind w:left="20"/>
              <w:spacing w:after="0" w:line="193"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8"/>
                <w:szCs w:val="8"/>
                <w:b w:val="1"/>
                <w:bCs w:val="1"/>
                <w:color w:val="auto"/>
              </w:rPr>
              <w:t>(1)</w:t>
            </w:r>
          </w:p>
        </w:tc>
        <w:tc>
          <w:tcPr>
            <w:tcW w:w="160" w:type="dxa"/>
            <w:vAlign w:val="bottom"/>
          </w:tcPr>
          <w:p>
            <w:pPr>
              <w:spacing w:after="0"/>
              <w:rPr>
                <w:sz w:val="16"/>
                <w:szCs w:val="16"/>
                <w:color w:val="auto"/>
              </w:rPr>
            </w:pPr>
          </w:p>
        </w:tc>
        <w:tc>
          <w:tcPr>
            <w:tcW w:w="580" w:type="dxa"/>
            <w:vAlign w:val="bottom"/>
            <w:gridSpan w:val="4"/>
          </w:tcPr>
          <w:p>
            <w:pPr>
              <w:jc w:val="right"/>
              <w:spacing w:after="0" w:line="193"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w:t>
            </w:r>
            <w:r>
              <w:rPr>
                <w:rFonts w:ascii="Arial" w:cs="Arial" w:eastAsia="Arial" w:hAnsi="Arial"/>
                <w:sz w:val="14"/>
                <w:szCs w:val="14"/>
                <w:b w:val="1"/>
                <w:bCs w:val="1"/>
                <w:color w:val="auto"/>
                <w:vertAlign w:val="superscript"/>
              </w:rPr>
              <w:t>(2)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180" w:type="dxa"/>
            <w:vAlign w:val="bottom"/>
          </w:tcPr>
          <w:p>
            <w:pPr>
              <w:spacing w:after="0"/>
              <w:rPr>
                <w:sz w:val="16"/>
                <w:szCs w:val="16"/>
                <w:color w:val="auto"/>
              </w:rPr>
            </w:pPr>
          </w:p>
        </w:tc>
        <w:tc>
          <w:tcPr>
            <w:tcW w:w="340" w:type="dxa"/>
            <w:vAlign w:val="bottom"/>
            <w:gridSpan w:val="2"/>
          </w:tcPr>
          <w:p>
            <w:pPr>
              <w:jc w:val="right"/>
              <w:ind w:right="34"/>
              <w:spacing w:after="0" w:line="193"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8"/>
                <w:szCs w:val="8"/>
                <w:b w:val="1"/>
                <w:bCs w:val="1"/>
                <w:color w:val="auto"/>
              </w:rPr>
              <w:t>(3)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220" w:type="dxa"/>
            <w:vAlign w:val="bottom"/>
          </w:tcPr>
          <w:p>
            <w:pPr>
              <w:spacing w:after="0"/>
              <w:rPr>
                <w:sz w:val="16"/>
                <w:szCs w:val="16"/>
                <w:color w:val="auto"/>
              </w:rPr>
            </w:pPr>
          </w:p>
        </w:tc>
        <w:tc>
          <w:tcPr>
            <w:tcW w:w="320" w:type="dxa"/>
            <w:vAlign w:val="bottom"/>
          </w:tcPr>
          <w:p>
            <w:pPr>
              <w:jc w:val="right"/>
              <w:ind w:right="4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b w:val="1"/>
                <w:bCs w:val="1"/>
                <w:color w:val="auto"/>
              </w:rPr>
              <w:t>​ ​</w:t>
            </w:r>
          </w:p>
        </w:tc>
        <w:tc>
          <w:tcPr>
            <w:tcW w:w="520" w:type="dxa"/>
            <w:vAlign w:val="bottom"/>
            <w:gridSpan w:val="3"/>
          </w:tcPr>
          <w:p>
            <w:pPr>
              <w:jc w:val="right"/>
              <w:spacing w:after="0" w:line="193" w:lineRule="exact"/>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22"/>
                <w:szCs w:val="22"/>
                <w:b w:val="1"/>
                <w:bCs w:val="1"/>
                <w:color w:val="auto"/>
                <w:vertAlign w:val="subscript"/>
              </w:rPr>
              <w:t>​ ​</w:t>
            </w:r>
          </w:p>
        </w:tc>
        <w:tc>
          <w:tcPr>
            <w:tcW w:w="240" w:type="dxa"/>
            <w:vAlign w:val="bottom"/>
          </w:tcPr>
          <w:p>
            <w:pPr>
              <w:spacing w:after="0"/>
              <w:rPr>
                <w:sz w:val="16"/>
                <w:szCs w:val="16"/>
                <w:color w:val="auto"/>
              </w:rPr>
            </w:pPr>
          </w:p>
        </w:tc>
        <w:tc>
          <w:tcPr>
            <w:tcW w:w="480" w:type="dxa"/>
            <w:vAlign w:val="bottom"/>
          </w:tcPr>
          <w:p>
            <w:pPr>
              <w:jc w:val="right"/>
              <w:ind w:right="199"/>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3"/>
          </w:tcPr>
          <w:p>
            <w:pPr>
              <w:ind w:left="20"/>
              <w:spacing w:after="0"/>
              <w:rPr>
                <w:sz w:val="20"/>
                <w:szCs w:val="20"/>
                <w:color w:val="auto"/>
              </w:rPr>
            </w:pPr>
            <w:r>
              <w:rPr>
                <w:rFonts w:ascii="Arial" w:cs="Arial" w:eastAsia="Arial" w:hAnsi="Arial"/>
                <w:sz w:val="14"/>
                <w:szCs w:val="14"/>
                <w:b w:val="1"/>
                <w:bCs w:val="1"/>
                <w:color w:val="auto"/>
              </w:rPr>
              <w:t>​ ​</w:t>
            </w:r>
          </w:p>
        </w:tc>
        <w:tc>
          <w:tcPr>
            <w:tcW w:w="500" w:type="dxa"/>
            <w:vAlign w:val="bottom"/>
            <w:gridSpan w:val="3"/>
          </w:tcPr>
          <w:p>
            <w:pPr>
              <w:ind w:left="6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1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4"/>
          </w:tcPr>
          <w:p>
            <w:pPr>
              <w:jc w:val="right"/>
              <w:spacing w:after="0" w:line="193"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of Stock</w:t>
            </w:r>
            <w:r>
              <w:rPr>
                <w:rFonts w:ascii="Arial" w:cs="Arial" w:eastAsia="Arial" w:hAnsi="Arial"/>
                <w:sz w:val="14"/>
                <w:szCs w:val="14"/>
                <w:b w:val="1"/>
                <w:bCs w:val="1"/>
                <w:color w:val="auto"/>
                <w:vertAlign w:val="superscript"/>
              </w:rPr>
              <w:t>(4)</w:t>
            </w:r>
            <w:r>
              <w:rPr>
                <w:rFonts w:ascii="Arial" w:cs="Arial" w:eastAsia="Arial" w:hAnsi="Arial"/>
                <w:sz w:val="12"/>
                <w:szCs w:val="12"/>
                <w:b w:val="1"/>
                <w:bCs w:val="1"/>
                <w:color w:val="auto"/>
              </w:rPr>
              <w:t xml:space="preserve">  </w:t>
            </w:r>
            <w:r>
              <w:rPr>
                <w:rFonts w:ascii="Arial" w:cs="Arial" w:eastAsia="Arial" w:hAnsi="Arial"/>
                <w:sz w:val="22"/>
                <w:szCs w:val="22"/>
                <w:b w:val="1"/>
                <w:bCs w:val="1"/>
                <w:color w:val="auto"/>
                <w:vertAlign w:val="subscript"/>
              </w:rPr>
              <w:t>​</w:t>
            </w:r>
          </w:p>
        </w:tc>
        <w:tc>
          <w:tcPr>
            <w:tcW w:w="0" w:type="dxa"/>
            <w:vAlign w:val="bottom"/>
          </w:tcPr>
          <w:p>
            <w:pPr>
              <w:spacing w:after="0"/>
              <w:rPr>
                <w:sz w:val="1"/>
                <w:szCs w:val="1"/>
                <w:color w:val="auto"/>
              </w:rPr>
            </w:pPr>
          </w:p>
        </w:tc>
      </w:tr>
      <w:tr>
        <w:trPr>
          <w:trHeight w:val="32"/>
        </w:trPr>
        <w:tc>
          <w:tcPr>
            <w:tcW w:w="1440" w:type="dxa"/>
            <w:vAlign w:val="bottom"/>
            <w:gridSpan w:val="2"/>
            <w:shd w:val="clear" w:color="auto" w:fill="000000"/>
          </w:tcPr>
          <w:p>
            <w:pPr>
              <w:spacing w:after="0"/>
              <w:rPr>
                <w:sz w:val="2"/>
                <w:szCs w:val="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w:t>
            </w:r>
          </w:p>
        </w:tc>
        <w:tc>
          <w:tcPr>
            <w:tcW w:w="660" w:type="dxa"/>
            <w:vAlign w:val="bottom"/>
            <w:tcBorders>
              <w:left w:val="single" w:sz="8" w:color="auto"/>
            </w:tcBorders>
            <w:gridSpan w:val="3"/>
            <w:shd w:val="clear" w:color="auto" w:fill="000000"/>
          </w:tcPr>
          <w:p>
            <w:pPr>
              <w:spacing w:after="0"/>
              <w:rPr>
                <w:sz w:val="2"/>
                <w:szCs w:val="2"/>
                <w:color w:val="auto"/>
              </w:rPr>
            </w:pPr>
          </w:p>
        </w:tc>
        <w:tc>
          <w:tcPr>
            <w:tcW w:w="140" w:type="dxa"/>
            <w:vAlign w:val="bottom"/>
            <w:gridSpan w:val="2"/>
            <w:shd w:val="clear" w:color="auto" w:fill="CCEEFF"/>
          </w:tcPr>
          <w:p>
            <w:pPr>
              <w:spacing w:after="0"/>
              <w:rPr>
                <w:sz w:val="2"/>
                <w:szCs w:val="2"/>
                <w:color w:val="auto"/>
              </w:rPr>
            </w:pPr>
          </w:p>
        </w:tc>
        <w:tc>
          <w:tcPr>
            <w:tcW w:w="600" w:type="dxa"/>
            <w:vAlign w:val="bottom"/>
            <w:gridSpan w:val="4"/>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gridSpan w:val="5"/>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w:t>
            </w:r>
          </w:p>
        </w:tc>
        <w:tc>
          <w:tcPr>
            <w:tcW w:w="220" w:type="dxa"/>
            <w:vAlign w:val="bottom"/>
            <w:tcBorders>
              <w:lef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60" w:type="dxa"/>
            <w:vAlign w:val="bottom"/>
            <w:shd w:val="clear" w:color="auto" w:fill="000000"/>
          </w:tcPr>
          <w:p>
            <w:pPr>
              <w:spacing w:after="0"/>
              <w:rPr>
                <w:sz w:val="2"/>
                <w:szCs w:val="2"/>
                <w:color w:val="auto"/>
              </w:rPr>
            </w:pPr>
          </w:p>
        </w:tc>
        <w:tc>
          <w:tcPr>
            <w:tcW w:w="380" w:type="dxa"/>
            <w:vAlign w:val="bottom"/>
            <w:gridSpan w:val="2"/>
            <w:shd w:val="clear" w:color="auto" w:fill="000000"/>
          </w:tcPr>
          <w:p>
            <w:pPr>
              <w:spacing w:after="0"/>
              <w:rPr>
                <w:sz w:val="2"/>
                <w:szCs w:val="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240" w:type="dxa"/>
            <w:vAlign w:val="bottom"/>
            <w:tcBorders>
              <w:left w:val="single" w:sz="8" w:color="auto"/>
            </w:tcBorders>
            <w:shd w:val="clear" w:color="auto" w:fill="000000"/>
          </w:tcPr>
          <w:p>
            <w:pPr>
              <w:spacing w:after="0"/>
              <w:rPr>
                <w:sz w:val="2"/>
                <w:szCs w:val="2"/>
                <w:color w:val="auto"/>
              </w:rPr>
            </w:pPr>
          </w:p>
        </w:tc>
        <w:tc>
          <w:tcPr>
            <w:tcW w:w="480" w:type="dxa"/>
            <w:vAlign w:val="bottom"/>
            <w:tcBorders>
              <w:right w:val="single" w:sz="8" w:color="CCEEFF"/>
            </w:tcBorders>
            <w:shd w:val="clear" w:color="auto" w:fill="000000"/>
          </w:tcPr>
          <w:p>
            <w:pPr>
              <w:spacing w:after="0"/>
              <w:rPr>
                <w:sz w:val="2"/>
                <w:szCs w:val="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80" w:type="dxa"/>
            <w:vAlign w:val="bottom"/>
            <w:gridSpan w:val="2"/>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vMerge w:val="restart"/>
            <w:shd w:val="clear" w:color="auto" w:fill="CCEEFF"/>
          </w:tcPr>
          <w:p>
            <w:pPr>
              <w:spacing w:after="0"/>
              <w:rPr>
                <w:sz w:val="20"/>
                <w:szCs w:val="20"/>
                <w:color w:val="auto"/>
              </w:rPr>
            </w:pPr>
            <w:r>
              <w:rPr>
                <w:rFonts w:ascii="Arial" w:cs="Arial" w:eastAsia="Arial" w:hAnsi="Arial"/>
                <w:sz w:val="1"/>
                <w:szCs w:val="1"/>
                <w:color w:val="auto"/>
                <w:w w:val="4294942296"/>
              </w:rPr>
              <w:t>​</w:t>
            </w: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96"/>
        </w:trPr>
        <w:tc>
          <w:tcPr>
            <w:tcW w:w="1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Christopher S. Sotos</w:t>
            </w:r>
          </w:p>
        </w:tc>
        <w:tc>
          <w:tcPr>
            <w:tcW w:w="120" w:type="dxa"/>
            <w:vAlign w:val="bottom"/>
            <w:tcBorders>
              <w:bottom w:val="single" w:sz="8" w:color="CCEEFF"/>
            </w:tcBorders>
            <w:vMerge w:val="continue"/>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AIP</w:t>
            </w:r>
          </w:p>
        </w:tc>
        <w:tc>
          <w:tcPr>
            <w:tcW w:w="600" w:type="dxa"/>
            <w:vAlign w:val="bottom"/>
            <w:tcBorders>
              <w:bottom w:val="single" w:sz="8" w:color="CCEEFF"/>
            </w:tcBorders>
            <w:gridSpan w:val="2"/>
            <w:shd w:val="clear" w:color="auto" w:fill="CCEEFF"/>
          </w:tcPr>
          <w:p>
            <w:pPr>
              <w:ind w:left="40"/>
              <w:spacing w:after="0" w:line="184" w:lineRule="exact"/>
              <w:rPr>
                <w:sz w:val="20"/>
                <w:szCs w:val="20"/>
                <w:color w:val="auto"/>
              </w:rPr>
            </w:pPr>
            <w:r>
              <w:rPr>
                <w:rFonts w:ascii="Arial" w:cs="Arial" w:eastAsia="Arial" w:hAnsi="Arial"/>
                <w:sz w:val="12"/>
                <w:szCs w:val="12"/>
                <w:color w:val="auto"/>
              </w:rPr>
              <w:t>​ ​​</w:t>
            </w:r>
            <w:r>
              <w:rPr>
                <w:rFonts w:ascii="Arial" w:cs="Arial" w:eastAsia="Arial" w:hAnsi="Arial"/>
                <w:sz w:val="21"/>
                <w:szCs w:val="21"/>
                <w:color w:val="auto"/>
                <w:vertAlign w:val="subscript"/>
              </w:rPr>
              <w:t>​</w:t>
            </w:r>
          </w:p>
        </w:tc>
        <w:tc>
          <w:tcPr>
            <w:tcW w:w="400" w:type="dxa"/>
            <w:vAlign w:val="bottom"/>
            <w:tcBorders>
              <w:bottom w:val="single" w:sz="8" w:color="CCEEFF"/>
            </w:tcBorders>
            <w:gridSpan w:val="3"/>
            <w:shd w:val="clear" w:color="auto" w:fill="CCEEFF"/>
          </w:tcPr>
          <w:p>
            <w:pPr>
              <w:jc w:val="right"/>
              <w:spacing w:after="0" w:line="184"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w:t>
            </w:r>
            <w:r>
              <w:rPr>
                <w:rFonts w:ascii="Arial" w:cs="Arial" w:eastAsia="Arial" w:hAnsi="Arial"/>
                <w:sz w:val="21"/>
                <w:szCs w:val="21"/>
                <w:color w:val="auto"/>
                <w:vertAlign w:val="subscript"/>
              </w:rPr>
              <w:t>​</w:t>
            </w:r>
          </w:p>
        </w:tc>
        <w:tc>
          <w:tcPr>
            <w:tcW w:w="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120" w:type="dxa"/>
            <w:vAlign w:val="bottom"/>
            <w:tcBorders>
              <w:bottom w:val="single" w:sz="8" w:color="CCEEFF"/>
            </w:tcBorders>
            <w:vMerge w:val="continue"/>
            <w:shd w:val="clear" w:color="auto" w:fill="CCEEFF"/>
          </w:tcPr>
          <w:p>
            <w:pPr>
              <w:spacing w:after="0"/>
              <w:rPr>
                <w:sz w:val="17"/>
                <w:szCs w:val="17"/>
                <w:color w:val="auto"/>
              </w:rPr>
            </w:pPr>
          </w:p>
        </w:tc>
        <w:tc>
          <w:tcPr>
            <w:tcW w:w="2240" w:type="dxa"/>
            <w:vAlign w:val="bottom"/>
            <w:tcBorders>
              <w:left w:val="single" w:sz="8" w:color="CCEEFF"/>
              <w:bottom w:val="single" w:sz="8" w:color="CCEEFF"/>
            </w:tcBorders>
            <w:gridSpan w:val="15"/>
            <w:shd w:val="clear" w:color="auto" w:fill="CCEEFF"/>
          </w:tcPr>
          <w:p>
            <w:pPr>
              <w:ind w:left="60"/>
              <w:spacing w:after="0" w:line="184"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$332,601 </w:t>
            </w:r>
            <w:r>
              <w:rPr>
                <w:rFonts w:ascii="Arial" w:cs="Arial" w:eastAsia="Arial" w:hAnsi="Arial"/>
                <w:sz w:val="21"/>
                <w:szCs w:val="21"/>
                <w:color w:val="auto"/>
                <w:vertAlign w:val="superscript"/>
              </w:rPr>
              <w:t>​​ ​​</w:t>
            </w:r>
            <w:r>
              <w:rPr>
                <w:rFonts w:ascii="Arial" w:cs="Arial" w:eastAsia="Arial" w:hAnsi="Arial"/>
                <w:sz w:val="12"/>
                <w:szCs w:val="12"/>
                <w:color w:val="auto"/>
              </w:rPr>
              <w:t xml:space="preserve">$665,201 </w:t>
            </w:r>
            <w:r>
              <w:rPr>
                <w:rFonts w:ascii="Arial" w:cs="Arial" w:eastAsia="Arial" w:hAnsi="Arial"/>
                <w:sz w:val="21"/>
                <w:szCs w:val="21"/>
                <w:color w:val="auto"/>
                <w:vertAlign w:val="superscript"/>
              </w:rPr>
              <w:t>​​ ​​</w:t>
            </w:r>
            <w:r>
              <w:rPr>
                <w:rFonts w:ascii="Arial" w:cs="Arial" w:eastAsia="Arial" w:hAnsi="Arial"/>
                <w:sz w:val="12"/>
                <w:szCs w:val="12"/>
                <w:color w:val="auto"/>
              </w:rPr>
              <w:t>$1,330,402</w:t>
            </w:r>
          </w:p>
        </w:tc>
        <w:tc>
          <w:tcPr>
            <w:tcW w:w="140" w:type="dxa"/>
            <w:vAlign w:val="bottom"/>
            <w:tcBorders>
              <w:bottom w:val="single" w:sz="8" w:color="CCEEFF"/>
            </w:tcBorders>
            <w:vMerge w:val="continue"/>
            <w:shd w:val="clear" w:color="auto" w:fill="CCEEFF"/>
          </w:tcPr>
          <w:p>
            <w:pPr>
              <w:spacing w:after="0"/>
              <w:rPr>
                <w:sz w:val="17"/>
                <w:szCs w:val="17"/>
                <w:color w:val="auto"/>
              </w:rPr>
            </w:pPr>
          </w:p>
        </w:tc>
        <w:tc>
          <w:tcPr>
            <w:tcW w:w="220" w:type="dxa"/>
            <w:vAlign w:val="bottom"/>
            <w:tcBorders>
              <w:left w:val="single" w:sz="8" w:color="CCEEFF"/>
              <w:bottom w:val="single" w:sz="8" w:color="CCEEFF"/>
            </w:tcBorders>
            <w:shd w:val="clear" w:color="auto" w:fill="CCEEFF"/>
          </w:tcPr>
          <w:p>
            <w:pPr>
              <w:ind w:left="160"/>
              <w:spacing w:after="0" w:line="184"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gridSpan w:val="2"/>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jc w:val="right"/>
              <w:spacing w:after="0" w:line="184"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vMerge w:val="continue"/>
            <w:shd w:val="clear" w:color="auto" w:fill="CCEEFF"/>
          </w:tcPr>
          <w:p>
            <w:pPr>
              <w:spacing w:after="0"/>
              <w:rPr>
                <w:sz w:val="17"/>
                <w:szCs w:val="17"/>
                <w:color w:val="auto"/>
              </w:rPr>
            </w:pPr>
          </w:p>
        </w:tc>
        <w:tc>
          <w:tcPr>
            <w:tcW w:w="240" w:type="dxa"/>
            <w:vAlign w:val="bottom"/>
            <w:tcBorders>
              <w:left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right w:val="single" w:sz="8" w:color="CCEEFF"/>
            </w:tcBorders>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ind w:left="40"/>
              <w:spacing w:after="0" w:line="184"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gridSpan w:val="2"/>
            <w:vMerge w:val="continue"/>
            <w:shd w:val="clear" w:color="auto" w:fill="CCEEFF"/>
          </w:tcPr>
          <w:p>
            <w:pPr>
              <w:spacing w:after="0"/>
              <w:rPr>
                <w:sz w:val="17"/>
                <w:szCs w:val="17"/>
                <w:color w:val="auto"/>
              </w:rPr>
            </w:pPr>
          </w:p>
        </w:tc>
        <w:tc>
          <w:tcPr>
            <w:tcW w:w="20" w:type="dxa"/>
            <w:vAlign w:val="bottom"/>
            <w:tcBorders>
              <w:bottom w:val="single" w:sz="8" w:color="CCEEFF"/>
            </w:tcBorders>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ind w:left="40"/>
              <w:spacing w:after="0" w:line="184" w:lineRule="exact"/>
              <w:rPr>
                <w:sz w:val="20"/>
                <w:szCs w:val="20"/>
                <w:color w:val="auto"/>
              </w:rPr>
            </w:pPr>
            <w:r>
              <w:rPr>
                <w:rFonts w:ascii="Arial" w:cs="Arial" w:eastAsia="Arial" w:hAnsi="Arial"/>
                <w:sz w:val="12"/>
                <w:szCs w:val="12"/>
                <w:color w:val="auto"/>
              </w:rPr>
              <w:t xml:space="preserve">​ </w:t>
            </w:r>
            <w:r>
              <w:rPr>
                <w:rFonts w:ascii="Arial" w:cs="Arial" w:eastAsia="Arial" w:hAnsi="Arial"/>
                <w:sz w:val="21"/>
                <w:szCs w:val="21"/>
                <w:color w:val="auto"/>
                <w:vertAlign w:val="subscript"/>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440" w:type="dxa"/>
            <w:vAlign w:val="bottom"/>
            <w:gridSpan w:val="2"/>
          </w:tcPr>
          <w:p>
            <w:pPr>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0"/>
              <w:spacing w:after="0" w:line="198"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RPSU</w:t>
            </w:r>
          </w:p>
        </w:tc>
        <w:tc>
          <w:tcPr>
            <w:tcW w:w="1620" w:type="dxa"/>
            <w:vAlign w:val="bottom"/>
            <w:gridSpan w:val="7"/>
          </w:tcPr>
          <w:p>
            <w:pPr>
              <w:ind w:left="40"/>
              <w:spacing w:after="0" w:line="198"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​4/15/2022</w:t>
            </w:r>
            <w:r>
              <w:rPr>
                <w:rFonts w:ascii="Arial" w:cs="Arial" w:eastAsia="Arial" w:hAnsi="Arial"/>
                <w:sz w:val="22"/>
                <w:szCs w:val="22"/>
                <w:color w:val="auto"/>
                <w:vertAlign w:val="superscript"/>
              </w:rPr>
              <w:t>​​ ​​</w:t>
            </w:r>
            <w:r>
              <w:rPr>
                <w:rFonts w:ascii="Arial" w:cs="Arial" w:eastAsia="Arial" w:hAnsi="Arial"/>
                <w:sz w:val="12"/>
                <w:szCs w:val="12"/>
                <w:color w:val="auto"/>
              </w:rPr>
              <w:t>​2/22/2022</w:t>
            </w:r>
            <w:r>
              <w:rPr>
                <w:rFonts w:ascii="Arial" w:cs="Arial" w:eastAsia="Arial" w:hAnsi="Arial"/>
                <w:sz w:val="22"/>
                <w:szCs w:val="22"/>
                <w:color w:val="auto"/>
                <w:vertAlign w:val="superscript"/>
              </w:rPr>
              <w:t>​​ ​</w:t>
            </w:r>
          </w:p>
        </w:tc>
        <w:tc>
          <w:tcPr>
            <w:tcW w:w="180" w:type="dxa"/>
            <w:vAlign w:val="bottom"/>
          </w:tcPr>
          <w:p>
            <w:pPr>
              <w:ind w:left="60"/>
              <w:spacing w:after="0" w:line="198" w:lineRule="exact"/>
              <w:rPr>
                <w:sz w:val="20"/>
                <w:szCs w:val="20"/>
                <w:color w:val="auto"/>
              </w:rPr>
            </w:pPr>
            <w:r>
              <w:rPr>
                <w:rFonts w:ascii="Arial" w:cs="Arial" w:eastAsia="Arial" w:hAnsi="Arial"/>
                <w:sz w:val="12"/>
                <w:szCs w:val="12"/>
                <w:color w:val="auto"/>
              </w:rPr>
              <w:t xml:space="preserve">​ </w:t>
            </w:r>
            <w:r>
              <w:rPr>
                <w:rFonts w:ascii="Arial" w:cs="Arial" w:eastAsia="Arial" w:hAnsi="Arial"/>
                <w:sz w:val="22"/>
                <w:szCs w:val="22"/>
                <w:color w:val="auto"/>
                <w:vertAlign w:val="subscript"/>
              </w:rPr>
              <w:t>​</w:t>
            </w:r>
          </w:p>
        </w:tc>
        <w:tc>
          <w:tcPr>
            <w:tcW w:w="1060" w:type="dxa"/>
            <w:vAlign w:val="bottom"/>
            <w:gridSpan w:val="6"/>
          </w:tcPr>
          <w:p>
            <w:pPr>
              <w:jc w:val="right"/>
              <w:ind w:right="300"/>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 </w:t>
            </w:r>
            <w:r>
              <w:rPr>
                <w:rFonts w:ascii="Arial" w:cs="Arial" w:eastAsia="Arial" w:hAnsi="Arial"/>
                <w:sz w:val="22"/>
                <w:szCs w:val="22"/>
                <w:color w:val="auto"/>
                <w:vertAlign w:val="subscript"/>
              </w:rPr>
              <w:t>​</w:t>
            </w:r>
          </w:p>
        </w:tc>
        <w:tc>
          <w:tcPr>
            <w:tcW w:w="480" w:type="dxa"/>
            <w:vAlign w:val="bottom"/>
            <w:gridSpan w:val="4"/>
          </w:tcPr>
          <w:p>
            <w:pPr>
              <w:jc w:val="right"/>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 </w:t>
            </w:r>
            <w:r>
              <w:rPr>
                <w:rFonts w:ascii="Arial" w:cs="Arial" w:eastAsia="Arial" w:hAnsi="Arial"/>
                <w:sz w:val="22"/>
                <w:szCs w:val="22"/>
                <w:color w:val="auto"/>
                <w:vertAlign w:val="subscript"/>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gridSpan w:val="3"/>
          </w:tcPr>
          <w:p>
            <w:pPr>
              <w:jc w:val="right"/>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w:t>
            </w:r>
          </w:p>
        </w:tc>
        <w:tc>
          <w:tcPr>
            <w:tcW w:w="540" w:type="dxa"/>
            <w:vAlign w:val="bottom"/>
            <w:gridSpan w:val="2"/>
          </w:tcPr>
          <w:p>
            <w:pPr>
              <w:jc w:val="right"/>
              <w:spacing w:after="0" w:line="198"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​9,902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6"/>
          </w:tcPr>
          <w:p>
            <w:pPr>
              <w:jc w:val="right"/>
              <w:spacing w:after="0" w:line="198" w:lineRule="exact"/>
              <w:rPr>
                <w:sz w:val="20"/>
                <w:szCs w:val="20"/>
                <w:color w:val="auto"/>
              </w:rPr>
            </w:pPr>
            <w:r>
              <w:rPr>
                <w:rFonts w:ascii="Arial" w:cs="Arial" w:eastAsia="Arial" w:hAnsi="Arial"/>
                <w:sz w:val="22"/>
                <w:szCs w:val="22"/>
                <w:color w:val="auto"/>
                <w:vertAlign w:val="superscript"/>
              </w:rPr>
              <w:t>​​ ​ ​</w:t>
            </w:r>
            <w:r>
              <w:rPr>
                <w:rFonts w:ascii="Arial" w:cs="Arial" w:eastAsia="Arial" w:hAnsi="Arial"/>
                <w:sz w:val="12"/>
                <w:szCs w:val="12"/>
                <w:color w:val="auto"/>
              </w:rPr>
              <w:t xml:space="preserve">​39,607 </w:t>
            </w:r>
            <w:r>
              <w:rPr>
                <w:rFonts w:ascii="Arial" w:cs="Arial" w:eastAsia="Arial" w:hAnsi="Arial"/>
                <w:sz w:val="22"/>
                <w:szCs w:val="22"/>
                <w:color w:val="auto"/>
                <w:vertAlign w:val="superscript"/>
              </w:rPr>
              <w:t>​​ ​</w:t>
            </w:r>
          </w:p>
        </w:tc>
        <w:tc>
          <w:tcPr>
            <w:tcW w:w="720" w:type="dxa"/>
            <w:vAlign w:val="bottom"/>
            <w:gridSpan w:val="2"/>
          </w:tcPr>
          <w:p>
            <w:pPr>
              <w:jc w:val="right"/>
              <w:ind w:right="79"/>
              <w:spacing w:after="0"/>
              <w:rPr>
                <w:sz w:val="20"/>
                <w:szCs w:val="20"/>
                <w:color w:val="auto"/>
              </w:rPr>
            </w:pPr>
            <w:r>
              <w:rPr>
                <w:rFonts w:ascii="Arial" w:cs="Arial" w:eastAsia="Arial" w:hAnsi="Arial"/>
                <w:sz w:val="14"/>
                <w:szCs w:val="14"/>
                <w:color w:val="auto"/>
              </w:rPr>
              <w:t>​59,411</w:t>
            </w:r>
          </w:p>
        </w:tc>
        <w:tc>
          <w:tcPr>
            <w:tcW w:w="200" w:type="dxa"/>
            <w:vAlign w:val="bottom"/>
            <w:gridSpan w:val="3"/>
          </w:tcPr>
          <w:p>
            <w:pPr>
              <w:ind w:left="20"/>
              <w:spacing w:after="0"/>
              <w:rPr>
                <w:sz w:val="20"/>
                <w:szCs w:val="20"/>
                <w:color w:val="auto"/>
              </w:rPr>
            </w:pPr>
            <w:r>
              <w:rPr>
                <w:rFonts w:ascii="Arial" w:cs="Arial" w:eastAsia="Arial" w:hAnsi="Arial"/>
                <w:sz w:val="14"/>
                <w:szCs w:val="14"/>
                <w:color w:val="auto"/>
              </w:rPr>
              <w:t>​ ​</w:t>
            </w:r>
          </w:p>
        </w:tc>
        <w:tc>
          <w:tcPr>
            <w:tcW w:w="80" w:type="dxa"/>
            <w:vAlign w:val="bottom"/>
          </w:tcPr>
          <w:p>
            <w:pPr>
              <w:ind w:left="40"/>
              <w:spacing w:after="0" w:line="198"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line="198"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$1,259,899</w:t>
            </w:r>
          </w:p>
        </w:tc>
        <w:tc>
          <w:tcPr>
            <w:tcW w:w="40" w:type="dxa"/>
            <w:vAlign w:val="bottom"/>
          </w:tcPr>
          <w:p>
            <w:pPr>
              <w:jc w:val="right"/>
              <w:spacing w:after="0" w:line="150"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2"/>
        </w:trPr>
        <w:tc>
          <w:tcPr>
            <w:tcW w:w="1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4"/>
          </w:tcPr>
          <w:p>
            <w:pPr>
              <w:spacing w:after="0"/>
              <w:rPr>
                <w:sz w:val="2"/>
                <w:szCs w:val="2"/>
                <w:color w:val="auto"/>
              </w:rPr>
            </w:pPr>
          </w:p>
        </w:tc>
        <w:tc>
          <w:tcPr>
            <w:tcW w:w="44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210"/>
        </w:trPr>
        <w:tc>
          <w:tcPr>
            <w:tcW w:w="1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gridSpan w:val="2"/>
            <w:shd w:val="clear" w:color="auto" w:fill="CCEEFF"/>
          </w:tcPr>
          <w:p>
            <w:pPr>
              <w:ind w:left="20"/>
              <w:spacing w:after="0" w:line="198"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RSU</w:t>
            </w:r>
          </w:p>
        </w:tc>
        <w:tc>
          <w:tcPr>
            <w:tcW w:w="1620" w:type="dxa"/>
            <w:vAlign w:val="bottom"/>
            <w:tcBorders>
              <w:bottom w:val="single" w:sz="8" w:color="CCEEFF"/>
            </w:tcBorders>
            <w:gridSpan w:val="7"/>
            <w:shd w:val="clear" w:color="auto" w:fill="CCEEFF"/>
          </w:tcPr>
          <w:p>
            <w:pPr>
              <w:ind w:left="40"/>
              <w:spacing w:after="0" w:line="198"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​4/15/2022</w:t>
            </w:r>
            <w:r>
              <w:rPr>
                <w:rFonts w:ascii="Arial" w:cs="Arial" w:eastAsia="Arial" w:hAnsi="Arial"/>
                <w:sz w:val="22"/>
                <w:szCs w:val="22"/>
                <w:color w:val="auto"/>
                <w:vertAlign w:val="superscript"/>
              </w:rPr>
              <w:t>​​ ​​</w:t>
            </w:r>
            <w:r>
              <w:rPr>
                <w:rFonts w:ascii="Arial" w:cs="Arial" w:eastAsia="Arial" w:hAnsi="Arial"/>
                <w:sz w:val="12"/>
                <w:szCs w:val="12"/>
                <w:color w:val="auto"/>
              </w:rPr>
              <w:t>​2/22/2022</w:t>
            </w:r>
            <w:r>
              <w:rPr>
                <w:rFonts w:ascii="Arial" w:cs="Arial" w:eastAsia="Arial" w:hAnsi="Arial"/>
                <w:sz w:val="22"/>
                <w:szCs w:val="22"/>
                <w:color w:val="auto"/>
                <w:vertAlign w:val="superscript"/>
              </w:rPr>
              <w:t>​​ ​</w:t>
            </w:r>
          </w:p>
        </w:tc>
        <w:tc>
          <w:tcPr>
            <w:tcW w:w="180" w:type="dxa"/>
            <w:vAlign w:val="bottom"/>
            <w:tcBorders>
              <w:left w:val="single" w:sz="8" w:color="CCEEFF"/>
              <w:bottom w:val="single" w:sz="8" w:color="CCEEFF"/>
            </w:tcBorders>
            <w:shd w:val="clear" w:color="auto" w:fill="CCEEFF"/>
          </w:tcPr>
          <w:p>
            <w:pPr>
              <w:ind w:left="60"/>
              <w:spacing w:after="0" w:line="198" w:lineRule="exact"/>
              <w:rPr>
                <w:sz w:val="20"/>
                <w:szCs w:val="20"/>
                <w:color w:val="auto"/>
              </w:rPr>
            </w:pPr>
            <w:r>
              <w:rPr>
                <w:rFonts w:ascii="Arial" w:cs="Arial" w:eastAsia="Arial" w:hAnsi="Arial"/>
                <w:sz w:val="12"/>
                <w:szCs w:val="12"/>
                <w:color w:val="auto"/>
              </w:rPr>
              <w:t xml:space="preserve">​ </w:t>
            </w:r>
            <w:r>
              <w:rPr>
                <w:rFonts w:ascii="Arial" w:cs="Arial" w:eastAsia="Arial" w:hAnsi="Arial"/>
                <w:sz w:val="22"/>
                <w:szCs w:val="22"/>
                <w:color w:val="auto"/>
                <w:vertAlign w:val="subscript"/>
              </w:rPr>
              <w:t>​</w:t>
            </w:r>
          </w:p>
        </w:tc>
        <w:tc>
          <w:tcPr>
            <w:tcW w:w="1060" w:type="dxa"/>
            <w:vAlign w:val="bottom"/>
            <w:tcBorders>
              <w:bottom w:val="single" w:sz="8" w:color="CCEEFF"/>
            </w:tcBorders>
            <w:gridSpan w:val="6"/>
            <w:shd w:val="clear" w:color="auto" w:fill="CCEEFF"/>
          </w:tcPr>
          <w:p>
            <w:pPr>
              <w:jc w:val="right"/>
              <w:ind w:right="300"/>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 </w:t>
            </w:r>
            <w:r>
              <w:rPr>
                <w:rFonts w:ascii="Arial" w:cs="Arial" w:eastAsia="Arial" w:hAnsi="Arial"/>
                <w:sz w:val="22"/>
                <w:szCs w:val="22"/>
                <w:color w:val="auto"/>
                <w:vertAlign w:val="subscript"/>
              </w:rPr>
              <w:t>​</w:t>
            </w:r>
          </w:p>
        </w:tc>
        <w:tc>
          <w:tcPr>
            <w:tcW w:w="480" w:type="dxa"/>
            <w:vAlign w:val="bottom"/>
            <w:tcBorders>
              <w:bottom w:val="single" w:sz="8" w:color="CCEEFF"/>
            </w:tcBorders>
            <w:gridSpan w:val="4"/>
            <w:shd w:val="clear" w:color="auto" w:fill="CCEEFF"/>
          </w:tcPr>
          <w:p>
            <w:pPr>
              <w:jc w:val="right"/>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 </w:t>
            </w:r>
            <w:r>
              <w:rPr>
                <w:rFonts w:ascii="Arial" w:cs="Arial" w:eastAsia="Arial" w:hAnsi="Arial"/>
                <w:sz w:val="22"/>
                <w:szCs w:val="22"/>
                <w:color w:val="auto"/>
                <w:vertAlign w:val="subscript"/>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3"/>
            <w:shd w:val="clear" w:color="auto" w:fill="CCEEFF"/>
          </w:tcPr>
          <w:p>
            <w:pPr>
              <w:jc w:val="right"/>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w:t>
            </w:r>
          </w:p>
        </w:tc>
        <w:tc>
          <w:tcPr>
            <w:tcW w:w="220" w:type="dxa"/>
            <w:vAlign w:val="bottom"/>
            <w:tcBorders>
              <w:left w:val="single" w:sz="8" w:color="CCEEFF"/>
              <w:bottom w:val="single" w:sz="8" w:color="CCEEFF"/>
            </w:tcBorders>
            <w:shd w:val="clear" w:color="auto" w:fill="CCEEFF"/>
          </w:tcPr>
          <w:p>
            <w:pPr>
              <w:ind w:left="160"/>
              <w:spacing w:after="0" w:line="198"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gridSpan w:val="3"/>
            <w:shd w:val="clear" w:color="auto" w:fill="CCEEFF"/>
          </w:tcPr>
          <w:p>
            <w:pPr>
              <w:jc w:val="right"/>
              <w:spacing w:after="0" w:line="198" w:lineRule="exact"/>
              <w:rPr>
                <w:sz w:val="20"/>
                <w:szCs w:val="20"/>
                <w:color w:val="auto"/>
              </w:rPr>
            </w:pPr>
            <w:r>
              <w:rPr>
                <w:rFonts w:ascii="Arial" w:cs="Arial" w:eastAsia="Arial" w:hAnsi="Arial"/>
                <w:sz w:val="12"/>
                <w:szCs w:val="12"/>
                <w:color w:val="auto"/>
              </w:rPr>
              <w:t>​​ ​ ​</w:t>
            </w:r>
            <w:r>
              <w:rPr>
                <w:rFonts w:ascii="Arial" w:cs="Arial" w:eastAsia="Arial" w:hAnsi="Arial"/>
                <w:sz w:val="22"/>
                <w:szCs w:val="22"/>
                <w:color w:val="auto"/>
                <w:vertAlign w:val="subscript"/>
              </w:rPr>
              <w:t>​</w:t>
            </w:r>
          </w:p>
        </w:tc>
        <w:tc>
          <w:tcPr>
            <w:tcW w:w="520" w:type="dxa"/>
            <w:vAlign w:val="bottom"/>
            <w:tcBorders>
              <w:bottom w:val="single" w:sz="8" w:color="CCEEFF"/>
            </w:tcBorders>
            <w:gridSpan w:val="3"/>
            <w:shd w:val="clear" w:color="auto" w:fill="CCEEFF"/>
          </w:tcPr>
          <w:p>
            <w:pPr>
              <w:jc w:val="right"/>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w:t>
            </w:r>
          </w:p>
        </w:tc>
        <w:tc>
          <w:tcPr>
            <w:tcW w:w="240" w:type="dxa"/>
            <w:vAlign w:val="bottom"/>
            <w:tcBorders>
              <w:left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right w:val="single" w:sz="8" w:color="CCEEFF"/>
            </w:tcBorders>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500" w:type="dxa"/>
            <w:vAlign w:val="bottom"/>
            <w:tcBorders>
              <w:bottom w:val="single" w:sz="8" w:color="CCEEFF"/>
            </w:tcBorders>
            <w:gridSpan w:val="3"/>
            <w:shd w:val="clear" w:color="auto" w:fill="CCEEFF"/>
          </w:tcPr>
          <w:p>
            <w:pPr>
              <w:jc w:val="right"/>
              <w:spacing w:after="0" w:line="198"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​20,192</w:t>
            </w:r>
          </w:p>
        </w:tc>
        <w:tc>
          <w:tcPr>
            <w:tcW w:w="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spacing w:after="0" w:line="198"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691,374</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Sarah Rubenstein</w:t>
            </w:r>
          </w:p>
        </w:tc>
        <w:tc>
          <w:tcPr>
            <w:tcW w:w="540" w:type="dxa"/>
            <w:vAlign w:val="bottom"/>
            <w:gridSpan w:val="2"/>
          </w:tcPr>
          <w:p>
            <w:pPr>
              <w:ind w:left="20"/>
              <w:spacing w:after="0" w:line="198"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AIP</w:t>
            </w:r>
          </w:p>
        </w:tc>
        <w:tc>
          <w:tcPr>
            <w:tcW w:w="600" w:type="dxa"/>
            <w:vAlign w:val="bottom"/>
            <w:gridSpan w:val="2"/>
          </w:tcPr>
          <w:p>
            <w:pPr>
              <w:ind w:left="40"/>
              <w:spacing w:after="0" w:line="198"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400" w:type="dxa"/>
            <w:vAlign w:val="bottom"/>
            <w:gridSpan w:val="3"/>
          </w:tcPr>
          <w:p>
            <w:pPr>
              <w:jc w:val="right"/>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620" w:type="dxa"/>
            <w:vAlign w:val="bottom"/>
            <w:gridSpan w:val="2"/>
          </w:tcPr>
          <w:p>
            <w:pPr>
              <w:jc w:val="right"/>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w:t>
            </w:r>
          </w:p>
        </w:tc>
        <w:tc>
          <w:tcPr>
            <w:tcW w:w="180" w:type="dxa"/>
            <w:vAlign w:val="bottom"/>
          </w:tcPr>
          <w:p>
            <w:pPr>
              <w:ind w:left="60"/>
              <w:spacing w:after="0" w:line="198"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1540" w:type="dxa"/>
            <w:vAlign w:val="bottom"/>
            <w:gridSpan w:val="10"/>
          </w:tcPr>
          <w:p>
            <w:pPr>
              <w:ind w:left="40"/>
              <w:spacing w:after="0" w:line="198" w:lineRule="exact"/>
              <w:rPr>
                <w:sz w:val="20"/>
                <w:szCs w:val="20"/>
                <w:color w:val="auto"/>
              </w:rPr>
            </w:pPr>
            <w:r>
              <w:rPr>
                <w:rFonts w:ascii="Arial" w:cs="Arial" w:eastAsia="Arial" w:hAnsi="Arial"/>
                <w:sz w:val="12"/>
                <w:szCs w:val="12"/>
                <w:color w:val="auto"/>
              </w:rPr>
              <w:t xml:space="preserve">81,250 </w:t>
            </w:r>
            <w:r>
              <w:rPr>
                <w:rFonts w:ascii="Arial" w:cs="Arial" w:eastAsia="Arial" w:hAnsi="Arial"/>
                <w:sz w:val="22"/>
                <w:szCs w:val="22"/>
                <w:color w:val="auto"/>
                <w:vertAlign w:val="superscript"/>
              </w:rPr>
              <w:t>​​ ​​</w:t>
            </w:r>
            <w:r>
              <w:rPr>
                <w:rFonts w:ascii="Arial" w:cs="Arial" w:eastAsia="Arial" w:hAnsi="Arial"/>
                <w:sz w:val="12"/>
                <w:szCs w:val="12"/>
                <w:color w:val="auto"/>
              </w:rPr>
              <w:t xml:space="preserve">$162,500 </w:t>
            </w:r>
            <w:r>
              <w:rPr>
                <w:rFonts w:ascii="Arial" w:cs="Arial" w:eastAsia="Arial" w:hAnsi="Arial"/>
                <w:sz w:val="22"/>
                <w:szCs w:val="22"/>
                <w:color w:val="auto"/>
                <w:vertAlign w:val="superscript"/>
              </w:rPr>
              <w:t>​​ ​​</w:t>
            </w:r>
            <w:r>
              <w:rPr>
                <w:rFonts w:ascii="Arial" w:cs="Arial" w:eastAsia="Arial" w:hAnsi="Arial"/>
                <w:sz w:val="12"/>
                <w:szCs w:val="12"/>
                <w:color w:val="auto"/>
              </w:rPr>
              <w:t>$</w:t>
            </w:r>
          </w:p>
        </w:tc>
        <w:tc>
          <w:tcPr>
            <w:tcW w:w="660" w:type="dxa"/>
            <w:vAlign w:val="bottom"/>
            <w:gridSpan w:val="5"/>
          </w:tcPr>
          <w:p>
            <w:pPr>
              <w:jc w:val="right"/>
              <w:spacing w:after="0" w:line="198" w:lineRule="exact"/>
              <w:rPr>
                <w:sz w:val="20"/>
                <w:szCs w:val="20"/>
                <w:color w:val="auto"/>
              </w:rPr>
            </w:pPr>
            <w:r>
              <w:rPr>
                <w:rFonts w:ascii="Arial" w:cs="Arial" w:eastAsia="Arial" w:hAnsi="Arial"/>
                <w:sz w:val="12"/>
                <w:szCs w:val="12"/>
                <w:color w:val="auto"/>
              </w:rPr>
              <w:t xml:space="preserve">325,000 </w:t>
            </w:r>
            <w:r>
              <w:rPr>
                <w:rFonts w:ascii="Arial" w:cs="Arial" w:eastAsia="Arial" w:hAnsi="Arial"/>
                <w:sz w:val="22"/>
                <w:szCs w:val="22"/>
                <w:color w:val="auto"/>
                <w:vertAlign w:val="superscript"/>
              </w:rPr>
              <w:t>​​ ​</w:t>
            </w:r>
          </w:p>
        </w:tc>
        <w:tc>
          <w:tcPr>
            <w:tcW w:w="220" w:type="dxa"/>
            <w:vAlign w:val="bottom"/>
          </w:tcPr>
          <w:p>
            <w:pPr>
              <w:ind w:left="160"/>
              <w:spacing w:after="0" w:line="198"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3"/>
          </w:tcPr>
          <w:p>
            <w:pPr>
              <w:jc w:val="right"/>
              <w:spacing w:after="0" w:line="198" w:lineRule="exact"/>
              <w:rPr>
                <w:sz w:val="20"/>
                <w:szCs w:val="20"/>
                <w:color w:val="auto"/>
              </w:rPr>
            </w:pPr>
            <w:r>
              <w:rPr>
                <w:rFonts w:ascii="Arial" w:cs="Arial" w:eastAsia="Arial" w:hAnsi="Arial"/>
                <w:sz w:val="12"/>
                <w:szCs w:val="12"/>
                <w:color w:val="auto"/>
              </w:rPr>
              <w:t>​​ ​ ​</w:t>
            </w:r>
            <w:r>
              <w:rPr>
                <w:rFonts w:ascii="Arial" w:cs="Arial" w:eastAsia="Arial" w:hAnsi="Arial"/>
                <w:sz w:val="22"/>
                <w:szCs w:val="22"/>
                <w:color w:val="auto"/>
                <w:vertAlign w:val="subscript"/>
              </w:rPr>
              <w:t>​</w:t>
            </w:r>
          </w:p>
        </w:tc>
        <w:tc>
          <w:tcPr>
            <w:tcW w:w="520" w:type="dxa"/>
            <w:vAlign w:val="bottom"/>
            <w:gridSpan w:val="3"/>
          </w:tcPr>
          <w:p>
            <w:pPr>
              <w:jc w:val="right"/>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w:t>
            </w:r>
          </w:p>
        </w:tc>
        <w:tc>
          <w:tcPr>
            <w:tcW w:w="240" w:type="dxa"/>
            <w:vAlign w:val="bottom"/>
          </w:tcPr>
          <w:p>
            <w:pPr>
              <w:ind w:left="1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79"/>
              <w:spacing w:after="0"/>
              <w:rPr>
                <w:sz w:val="20"/>
                <w:szCs w:val="20"/>
                <w:color w:val="auto"/>
              </w:rPr>
            </w:pPr>
            <w:r>
              <w:rPr>
                <w:rFonts w:ascii="Arial" w:cs="Arial" w:eastAsia="Arial" w:hAnsi="Arial"/>
                <w:sz w:val="14"/>
                <w:szCs w:val="14"/>
                <w:color w:val="auto"/>
              </w:rPr>
              <w:t>—</w:t>
            </w:r>
          </w:p>
        </w:tc>
        <w:tc>
          <w:tcPr>
            <w:tcW w:w="200" w:type="dxa"/>
            <w:vAlign w:val="bottom"/>
            <w:gridSpan w:val="3"/>
          </w:tcPr>
          <w:p>
            <w:pPr>
              <w:ind w:left="20"/>
              <w:spacing w:after="0"/>
              <w:rPr>
                <w:sz w:val="20"/>
                <w:szCs w:val="20"/>
                <w:color w:val="auto"/>
              </w:rPr>
            </w:pPr>
            <w:r>
              <w:rPr>
                <w:rFonts w:ascii="Arial" w:cs="Arial" w:eastAsia="Arial" w:hAnsi="Arial"/>
                <w:sz w:val="14"/>
                <w:szCs w:val="14"/>
                <w:color w:val="auto"/>
              </w:rPr>
              <w:t>​ ​</w:t>
            </w:r>
          </w:p>
        </w:tc>
        <w:tc>
          <w:tcPr>
            <w:tcW w:w="80" w:type="dxa"/>
            <w:vAlign w:val="bottom"/>
          </w:tcPr>
          <w:p>
            <w:pPr>
              <w:ind w:left="40"/>
              <w:spacing w:after="0" w:line="198"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20" w:type="dxa"/>
            <w:vAlign w:val="bottom"/>
            <w:gridSpan w:val="2"/>
          </w:tcPr>
          <w:p>
            <w:pPr>
              <w:spacing w:after="0" w:line="198"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bscript"/>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50"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2"/>
        </w:trPr>
        <w:tc>
          <w:tcPr>
            <w:tcW w:w="1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4"/>
          </w:tcPr>
          <w:p>
            <w:pPr>
              <w:spacing w:after="0"/>
              <w:rPr>
                <w:sz w:val="2"/>
                <w:szCs w:val="2"/>
                <w:color w:val="auto"/>
              </w:rPr>
            </w:pPr>
          </w:p>
        </w:tc>
        <w:tc>
          <w:tcPr>
            <w:tcW w:w="44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210"/>
        </w:trPr>
        <w:tc>
          <w:tcPr>
            <w:tcW w:w="1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gridSpan w:val="2"/>
            <w:shd w:val="clear" w:color="auto" w:fill="CCEEFF"/>
          </w:tcPr>
          <w:p>
            <w:pPr>
              <w:ind w:left="20"/>
              <w:spacing w:after="0" w:line="198"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RPSU</w:t>
            </w:r>
          </w:p>
        </w:tc>
        <w:tc>
          <w:tcPr>
            <w:tcW w:w="1620" w:type="dxa"/>
            <w:vAlign w:val="bottom"/>
            <w:tcBorders>
              <w:bottom w:val="single" w:sz="8" w:color="CCEEFF"/>
            </w:tcBorders>
            <w:gridSpan w:val="7"/>
            <w:shd w:val="clear" w:color="auto" w:fill="CCEEFF"/>
          </w:tcPr>
          <w:p>
            <w:pPr>
              <w:ind w:left="40"/>
              <w:spacing w:after="0" w:line="198"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​4/15/2022</w:t>
            </w:r>
            <w:r>
              <w:rPr>
                <w:rFonts w:ascii="Arial" w:cs="Arial" w:eastAsia="Arial" w:hAnsi="Arial"/>
                <w:sz w:val="22"/>
                <w:szCs w:val="22"/>
                <w:color w:val="auto"/>
                <w:vertAlign w:val="superscript"/>
              </w:rPr>
              <w:t>​​ ​​</w:t>
            </w:r>
            <w:r>
              <w:rPr>
                <w:rFonts w:ascii="Arial" w:cs="Arial" w:eastAsia="Arial" w:hAnsi="Arial"/>
                <w:sz w:val="12"/>
                <w:szCs w:val="12"/>
                <w:color w:val="auto"/>
              </w:rPr>
              <w:t>​2/22/2022</w:t>
            </w:r>
            <w:r>
              <w:rPr>
                <w:rFonts w:ascii="Arial" w:cs="Arial" w:eastAsia="Arial" w:hAnsi="Arial"/>
                <w:sz w:val="22"/>
                <w:szCs w:val="22"/>
                <w:color w:val="auto"/>
                <w:vertAlign w:val="superscript"/>
              </w:rPr>
              <w:t>​​ ​</w:t>
            </w:r>
          </w:p>
        </w:tc>
        <w:tc>
          <w:tcPr>
            <w:tcW w:w="180" w:type="dxa"/>
            <w:vAlign w:val="bottom"/>
            <w:tcBorders>
              <w:left w:val="single" w:sz="8" w:color="CCEEFF"/>
              <w:bottom w:val="single" w:sz="8" w:color="CCEEFF"/>
            </w:tcBorders>
            <w:shd w:val="clear" w:color="auto" w:fill="CCEEFF"/>
          </w:tcPr>
          <w:p>
            <w:pPr>
              <w:ind w:left="60"/>
              <w:spacing w:after="0" w:line="198"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w:t>
            </w:r>
          </w:p>
        </w:tc>
        <w:tc>
          <w:tcPr>
            <w:tcW w:w="1060" w:type="dxa"/>
            <w:vAlign w:val="bottom"/>
            <w:tcBorders>
              <w:bottom w:val="single" w:sz="8" w:color="CCEEFF"/>
            </w:tcBorders>
            <w:gridSpan w:val="6"/>
            <w:shd w:val="clear" w:color="auto" w:fill="CCEEFF"/>
          </w:tcPr>
          <w:p>
            <w:pPr>
              <w:jc w:val="right"/>
              <w:ind w:right="300"/>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 </w:t>
            </w:r>
            <w:r>
              <w:rPr>
                <w:rFonts w:ascii="Arial" w:cs="Arial" w:eastAsia="Arial" w:hAnsi="Arial"/>
                <w:sz w:val="22"/>
                <w:szCs w:val="22"/>
                <w:color w:val="auto"/>
                <w:vertAlign w:val="subscript"/>
              </w:rPr>
              <w:t>​</w:t>
            </w:r>
          </w:p>
        </w:tc>
        <w:tc>
          <w:tcPr>
            <w:tcW w:w="480" w:type="dxa"/>
            <w:vAlign w:val="bottom"/>
            <w:tcBorders>
              <w:bottom w:val="single" w:sz="8" w:color="CCEEFF"/>
            </w:tcBorders>
            <w:gridSpan w:val="4"/>
            <w:shd w:val="clear" w:color="auto" w:fill="CCEEFF"/>
          </w:tcPr>
          <w:p>
            <w:pPr>
              <w:jc w:val="right"/>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 </w:t>
            </w:r>
            <w:r>
              <w:rPr>
                <w:rFonts w:ascii="Arial" w:cs="Arial" w:eastAsia="Arial" w:hAnsi="Arial"/>
                <w:sz w:val="22"/>
                <w:szCs w:val="22"/>
                <w:color w:val="auto"/>
                <w:vertAlign w:val="subscript"/>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3"/>
            <w:shd w:val="clear" w:color="auto" w:fill="CCEEFF"/>
          </w:tcPr>
          <w:p>
            <w:pPr>
              <w:jc w:val="right"/>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w:t>
            </w:r>
          </w:p>
        </w:tc>
        <w:tc>
          <w:tcPr>
            <w:tcW w:w="540" w:type="dxa"/>
            <w:vAlign w:val="bottom"/>
            <w:tcBorders>
              <w:left w:val="single" w:sz="8" w:color="CCEEFF"/>
              <w:bottom w:val="single" w:sz="8" w:color="CCEEFF"/>
            </w:tcBorders>
            <w:gridSpan w:val="2"/>
            <w:shd w:val="clear" w:color="auto" w:fill="CCEEFF"/>
          </w:tcPr>
          <w:p>
            <w:pPr>
              <w:jc w:val="right"/>
              <w:spacing w:after="0" w:line="198"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​1,920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6"/>
            <w:shd w:val="clear" w:color="auto" w:fill="CCEEFF"/>
          </w:tcPr>
          <w:p>
            <w:pPr>
              <w:jc w:val="right"/>
              <w:spacing w:after="0" w:line="198" w:lineRule="exact"/>
              <w:rPr>
                <w:sz w:val="20"/>
                <w:szCs w:val="20"/>
                <w:color w:val="auto"/>
              </w:rPr>
            </w:pPr>
            <w:r>
              <w:rPr>
                <w:rFonts w:ascii="Arial" w:cs="Arial" w:eastAsia="Arial" w:hAnsi="Arial"/>
                <w:sz w:val="12"/>
                <w:szCs w:val="12"/>
                <w:color w:val="auto"/>
              </w:rPr>
              <w:t>​​ ​ ​</w:t>
            </w:r>
            <w:r>
              <w:rPr>
                <w:rFonts w:ascii="Arial" w:cs="Arial" w:eastAsia="Arial" w:hAnsi="Arial"/>
                <w:sz w:val="22"/>
                <w:szCs w:val="22"/>
                <w:color w:val="auto"/>
                <w:vertAlign w:val="subscript"/>
              </w:rPr>
              <w:t>​ 7,681</w:t>
            </w:r>
            <w:r>
              <w:rPr>
                <w:rFonts w:ascii="Arial" w:cs="Arial" w:eastAsia="Arial" w:hAnsi="Arial"/>
                <w:sz w:val="12"/>
                <w:szCs w:val="12"/>
                <w:color w:val="auto"/>
              </w:rPr>
              <w:t xml:space="preserve"> ​​ ​</w:t>
            </w:r>
          </w:p>
        </w:tc>
        <w:tc>
          <w:tcPr>
            <w:tcW w:w="720" w:type="dxa"/>
            <w:vAlign w:val="bottom"/>
            <w:tcBorders>
              <w:left w:val="single" w:sz="8" w:color="CCEEFF"/>
              <w:bottom w:val="single" w:sz="8" w:color="CCEEFF"/>
              <w:right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​11,522</w:t>
            </w:r>
          </w:p>
        </w:tc>
        <w:tc>
          <w:tcPr>
            <w:tcW w:w="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CCEEFF"/>
            </w:tcBorders>
            <w:shd w:val="clear" w:color="auto" w:fill="CCEEFF"/>
          </w:tcPr>
          <w:p>
            <w:pPr>
              <w:ind w:left="40"/>
              <w:spacing w:after="0" w:line="198"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spacing w:after="0" w:line="198"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244,333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440" w:type="dxa"/>
            <w:vAlign w:val="bottom"/>
            <w:gridSpan w:val="2"/>
          </w:tcPr>
          <w:p>
            <w:pPr>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0"/>
              <w:spacing w:after="0" w:line="198"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RSU</w:t>
            </w:r>
          </w:p>
        </w:tc>
        <w:tc>
          <w:tcPr>
            <w:tcW w:w="1620" w:type="dxa"/>
            <w:vAlign w:val="bottom"/>
            <w:gridSpan w:val="7"/>
          </w:tcPr>
          <w:p>
            <w:pPr>
              <w:ind w:left="40"/>
              <w:spacing w:after="0" w:line="198"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​4/15/2022</w:t>
            </w:r>
            <w:r>
              <w:rPr>
                <w:rFonts w:ascii="Arial" w:cs="Arial" w:eastAsia="Arial" w:hAnsi="Arial"/>
                <w:sz w:val="22"/>
                <w:szCs w:val="22"/>
                <w:color w:val="auto"/>
                <w:vertAlign w:val="superscript"/>
              </w:rPr>
              <w:t>​​ ​​</w:t>
            </w:r>
            <w:r>
              <w:rPr>
                <w:rFonts w:ascii="Arial" w:cs="Arial" w:eastAsia="Arial" w:hAnsi="Arial"/>
                <w:sz w:val="12"/>
                <w:szCs w:val="12"/>
                <w:color w:val="auto"/>
              </w:rPr>
              <w:t>​2/22/2022</w:t>
            </w:r>
            <w:r>
              <w:rPr>
                <w:rFonts w:ascii="Arial" w:cs="Arial" w:eastAsia="Arial" w:hAnsi="Arial"/>
                <w:sz w:val="22"/>
                <w:szCs w:val="22"/>
                <w:color w:val="auto"/>
                <w:vertAlign w:val="superscript"/>
              </w:rPr>
              <w:t>​​ ​</w:t>
            </w:r>
          </w:p>
        </w:tc>
        <w:tc>
          <w:tcPr>
            <w:tcW w:w="180" w:type="dxa"/>
            <w:vAlign w:val="bottom"/>
          </w:tcPr>
          <w:p>
            <w:pPr>
              <w:ind w:left="60"/>
              <w:spacing w:after="0" w:line="198" w:lineRule="exact"/>
              <w:rPr>
                <w:sz w:val="20"/>
                <w:szCs w:val="20"/>
                <w:color w:val="auto"/>
              </w:rPr>
            </w:pPr>
            <w:r>
              <w:rPr>
                <w:rFonts w:ascii="Arial" w:cs="Arial" w:eastAsia="Arial" w:hAnsi="Arial"/>
                <w:sz w:val="12"/>
                <w:szCs w:val="12"/>
                <w:color w:val="auto"/>
              </w:rPr>
              <w:t xml:space="preserve">​ </w:t>
            </w:r>
            <w:r>
              <w:rPr>
                <w:rFonts w:ascii="Arial" w:cs="Arial" w:eastAsia="Arial" w:hAnsi="Arial"/>
                <w:sz w:val="22"/>
                <w:szCs w:val="22"/>
                <w:color w:val="auto"/>
                <w:vertAlign w:val="subscript"/>
              </w:rPr>
              <w:t>​</w:t>
            </w:r>
          </w:p>
        </w:tc>
        <w:tc>
          <w:tcPr>
            <w:tcW w:w="1060" w:type="dxa"/>
            <w:vAlign w:val="bottom"/>
            <w:gridSpan w:val="6"/>
          </w:tcPr>
          <w:p>
            <w:pPr>
              <w:jc w:val="right"/>
              <w:ind w:right="300"/>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 </w:t>
            </w:r>
            <w:r>
              <w:rPr>
                <w:rFonts w:ascii="Arial" w:cs="Arial" w:eastAsia="Arial" w:hAnsi="Arial"/>
                <w:sz w:val="22"/>
                <w:szCs w:val="22"/>
                <w:color w:val="auto"/>
                <w:vertAlign w:val="subscript"/>
              </w:rPr>
              <w:t>​</w:t>
            </w:r>
          </w:p>
        </w:tc>
        <w:tc>
          <w:tcPr>
            <w:tcW w:w="480" w:type="dxa"/>
            <w:vAlign w:val="bottom"/>
            <w:gridSpan w:val="4"/>
          </w:tcPr>
          <w:p>
            <w:pPr>
              <w:jc w:val="right"/>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 </w:t>
            </w:r>
            <w:r>
              <w:rPr>
                <w:rFonts w:ascii="Arial" w:cs="Arial" w:eastAsia="Arial" w:hAnsi="Arial"/>
                <w:sz w:val="22"/>
                <w:szCs w:val="22"/>
                <w:color w:val="auto"/>
                <w:vertAlign w:val="subscript"/>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gridSpan w:val="3"/>
          </w:tcPr>
          <w:p>
            <w:pPr>
              <w:jc w:val="right"/>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w:t>
            </w:r>
          </w:p>
        </w:tc>
        <w:tc>
          <w:tcPr>
            <w:tcW w:w="220" w:type="dxa"/>
            <w:vAlign w:val="bottom"/>
          </w:tcPr>
          <w:p>
            <w:pPr>
              <w:ind w:left="160"/>
              <w:spacing w:after="0" w:line="198"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3"/>
          </w:tcPr>
          <w:p>
            <w:pPr>
              <w:jc w:val="right"/>
              <w:spacing w:after="0" w:line="198" w:lineRule="exact"/>
              <w:rPr>
                <w:sz w:val="20"/>
                <w:szCs w:val="20"/>
                <w:color w:val="auto"/>
              </w:rPr>
            </w:pPr>
            <w:r>
              <w:rPr>
                <w:rFonts w:ascii="Arial" w:cs="Arial" w:eastAsia="Arial" w:hAnsi="Arial"/>
                <w:sz w:val="12"/>
                <w:szCs w:val="12"/>
                <w:color w:val="auto"/>
              </w:rPr>
              <w:t>​​ ​ ​</w:t>
            </w:r>
            <w:r>
              <w:rPr>
                <w:rFonts w:ascii="Arial" w:cs="Arial" w:eastAsia="Arial" w:hAnsi="Arial"/>
                <w:sz w:val="22"/>
                <w:szCs w:val="22"/>
                <w:color w:val="auto"/>
                <w:vertAlign w:val="subscript"/>
              </w:rPr>
              <w:t>​</w:t>
            </w:r>
          </w:p>
        </w:tc>
        <w:tc>
          <w:tcPr>
            <w:tcW w:w="520" w:type="dxa"/>
            <w:vAlign w:val="bottom"/>
            <w:gridSpan w:val="3"/>
          </w:tcPr>
          <w:p>
            <w:pPr>
              <w:jc w:val="right"/>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w:t>
            </w:r>
          </w:p>
        </w:tc>
        <w:tc>
          <w:tcPr>
            <w:tcW w:w="240" w:type="dxa"/>
            <w:vAlign w:val="bottom"/>
          </w:tcPr>
          <w:p>
            <w:pPr>
              <w:ind w:left="1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79"/>
              <w:spacing w:after="0"/>
              <w:rPr>
                <w:sz w:val="20"/>
                <w:szCs w:val="20"/>
                <w:color w:val="auto"/>
              </w:rPr>
            </w:pPr>
            <w:r>
              <w:rPr>
                <w:rFonts w:ascii="Arial" w:cs="Arial" w:eastAsia="Arial" w:hAnsi="Arial"/>
                <w:sz w:val="14"/>
                <w:szCs w:val="14"/>
                <w:color w:val="auto"/>
              </w:rPr>
              <w:t>—</w:t>
            </w:r>
          </w:p>
        </w:tc>
        <w:tc>
          <w:tcPr>
            <w:tcW w:w="200" w:type="dxa"/>
            <w:vAlign w:val="bottom"/>
            <w:gridSpan w:val="3"/>
          </w:tcPr>
          <w:p>
            <w:pPr>
              <w:ind w:left="20"/>
              <w:spacing w:after="0"/>
              <w:rPr>
                <w:sz w:val="20"/>
                <w:szCs w:val="20"/>
                <w:color w:val="auto"/>
              </w:rPr>
            </w:pPr>
            <w:r>
              <w:rPr>
                <w:rFonts w:ascii="Arial" w:cs="Arial" w:eastAsia="Arial" w:hAnsi="Arial"/>
                <w:sz w:val="14"/>
                <w:szCs w:val="14"/>
                <w:color w:val="auto"/>
              </w:rPr>
              <w:t>​ ​</w:t>
            </w:r>
          </w:p>
        </w:tc>
        <w:tc>
          <w:tcPr>
            <w:tcW w:w="500" w:type="dxa"/>
            <w:vAlign w:val="bottom"/>
            <w:gridSpan w:val="3"/>
          </w:tcPr>
          <w:p>
            <w:pPr>
              <w:jc w:val="right"/>
              <w:spacing w:after="0" w:line="198"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3,916</w:t>
            </w:r>
          </w:p>
        </w:tc>
        <w:tc>
          <w:tcPr>
            <w:tcW w:w="2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20" w:type="dxa"/>
            <w:vAlign w:val="bottom"/>
            <w:gridSpan w:val="2"/>
          </w:tcPr>
          <w:p>
            <w:pPr>
              <w:spacing w:after="0" w:line="198"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4"/>
              </w:rPr>
              <w:t>134,084</w:t>
            </w:r>
          </w:p>
        </w:tc>
        <w:tc>
          <w:tcPr>
            <w:tcW w:w="40" w:type="dxa"/>
            <w:vAlign w:val="bottom"/>
          </w:tcPr>
          <w:p>
            <w:pPr>
              <w:jc w:val="right"/>
              <w:spacing w:after="0" w:line="150"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2"/>
        </w:trPr>
        <w:tc>
          <w:tcPr>
            <w:tcW w:w="1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5"/>
          </w:tcPr>
          <w:p>
            <w:pPr>
              <w:spacing w:after="0"/>
              <w:rPr>
                <w:sz w:val="2"/>
                <w:szCs w:val="2"/>
                <w:color w:val="auto"/>
              </w:rPr>
            </w:pPr>
          </w:p>
        </w:tc>
        <w:tc>
          <w:tcPr>
            <w:tcW w:w="60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210"/>
        </w:trPr>
        <w:tc>
          <w:tcPr>
            <w:tcW w:w="1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Kevin P. Malcarney</w:t>
            </w:r>
          </w:p>
        </w:tc>
        <w:tc>
          <w:tcPr>
            <w:tcW w:w="540" w:type="dxa"/>
            <w:vAlign w:val="bottom"/>
            <w:tcBorders>
              <w:bottom w:val="single" w:sz="8" w:color="CCEEFF"/>
            </w:tcBorders>
            <w:gridSpan w:val="2"/>
            <w:shd w:val="clear" w:color="auto" w:fill="CCEEFF"/>
          </w:tcPr>
          <w:p>
            <w:pPr>
              <w:ind w:left="20"/>
              <w:spacing w:after="0" w:line="198"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AIP</w:t>
            </w:r>
          </w:p>
        </w:tc>
        <w:tc>
          <w:tcPr>
            <w:tcW w:w="600" w:type="dxa"/>
            <w:vAlign w:val="bottom"/>
            <w:tcBorders>
              <w:bottom w:val="single" w:sz="8" w:color="CCEEFF"/>
            </w:tcBorders>
            <w:gridSpan w:val="2"/>
            <w:shd w:val="clear" w:color="auto" w:fill="CCEEFF"/>
          </w:tcPr>
          <w:p>
            <w:pPr>
              <w:ind w:left="40"/>
              <w:spacing w:after="0" w:line="198"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400" w:type="dxa"/>
            <w:vAlign w:val="bottom"/>
            <w:tcBorders>
              <w:bottom w:val="single" w:sz="8" w:color="CCEEFF"/>
            </w:tcBorders>
            <w:gridSpan w:val="3"/>
            <w:shd w:val="clear" w:color="auto" w:fill="CCEEFF"/>
          </w:tcPr>
          <w:p>
            <w:pPr>
              <w:jc w:val="right"/>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620" w:type="dxa"/>
            <w:vAlign w:val="bottom"/>
            <w:tcBorders>
              <w:bottom w:val="single" w:sz="8" w:color="CCEEFF"/>
            </w:tcBorders>
            <w:gridSpan w:val="2"/>
            <w:shd w:val="clear" w:color="auto" w:fill="CCEEFF"/>
          </w:tcPr>
          <w:p>
            <w:pPr>
              <w:jc w:val="right"/>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w:t>
            </w:r>
          </w:p>
        </w:tc>
        <w:tc>
          <w:tcPr>
            <w:tcW w:w="1720" w:type="dxa"/>
            <w:vAlign w:val="bottom"/>
            <w:tcBorders>
              <w:left w:val="single" w:sz="8" w:color="CCEEFF"/>
              <w:bottom w:val="single" w:sz="8" w:color="CCEEFF"/>
            </w:tcBorders>
            <w:gridSpan w:val="11"/>
            <w:shd w:val="clear" w:color="auto" w:fill="CCEEFF"/>
          </w:tcPr>
          <w:p>
            <w:pPr>
              <w:ind w:left="60"/>
              <w:spacing w:after="0" w:line="198"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$130,000 </w:t>
            </w:r>
            <w:r>
              <w:rPr>
                <w:rFonts w:ascii="Arial" w:cs="Arial" w:eastAsia="Arial" w:hAnsi="Arial"/>
                <w:sz w:val="22"/>
                <w:szCs w:val="22"/>
                <w:color w:val="auto"/>
                <w:vertAlign w:val="superscript"/>
              </w:rPr>
              <w:t>​​ ​​</w:t>
            </w:r>
            <w:r>
              <w:rPr>
                <w:rFonts w:ascii="Arial" w:cs="Arial" w:eastAsia="Arial" w:hAnsi="Arial"/>
                <w:sz w:val="12"/>
                <w:szCs w:val="12"/>
                <w:color w:val="auto"/>
              </w:rPr>
              <w:t xml:space="preserve">$260,000 </w:t>
            </w:r>
            <w:r>
              <w:rPr>
                <w:rFonts w:ascii="Arial" w:cs="Arial" w:eastAsia="Arial" w:hAnsi="Arial"/>
                <w:sz w:val="22"/>
                <w:szCs w:val="22"/>
                <w:color w:val="auto"/>
                <w:vertAlign w:val="superscript"/>
              </w:rPr>
              <w:t>​​ ​​</w:t>
            </w:r>
            <w:r>
              <w:rPr>
                <w:rFonts w:ascii="Arial" w:cs="Arial" w:eastAsia="Arial" w:hAnsi="Arial"/>
                <w:sz w:val="12"/>
                <w:szCs w:val="12"/>
                <w:color w:val="auto"/>
              </w:rPr>
              <w:t>$</w:t>
            </w:r>
          </w:p>
        </w:tc>
        <w:tc>
          <w:tcPr>
            <w:tcW w:w="660" w:type="dxa"/>
            <w:vAlign w:val="bottom"/>
            <w:tcBorders>
              <w:bottom w:val="single" w:sz="8" w:color="CCEEFF"/>
            </w:tcBorders>
            <w:gridSpan w:val="5"/>
            <w:shd w:val="clear" w:color="auto" w:fill="CCEEFF"/>
          </w:tcPr>
          <w:p>
            <w:pPr>
              <w:jc w:val="right"/>
              <w:spacing w:after="0" w:line="198" w:lineRule="exact"/>
              <w:rPr>
                <w:sz w:val="20"/>
                <w:szCs w:val="20"/>
                <w:color w:val="auto"/>
              </w:rPr>
            </w:pPr>
            <w:r>
              <w:rPr>
                <w:rFonts w:ascii="Arial" w:cs="Arial" w:eastAsia="Arial" w:hAnsi="Arial"/>
                <w:sz w:val="12"/>
                <w:szCs w:val="12"/>
                <w:color w:val="auto"/>
              </w:rPr>
              <w:t xml:space="preserve">520,000 </w:t>
            </w:r>
            <w:r>
              <w:rPr>
                <w:rFonts w:ascii="Arial" w:cs="Arial" w:eastAsia="Arial" w:hAnsi="Arial"/>
                <w:sz w:val="22"/>
                <w:szCs w:val="22"/>
                <w:color w:val="auto"/>
                <w:vertAlign w:val="superscript"/>
              </w:rPr>
              <w:t>​​ ​</w:t>
            </w:r>
          </w:p>
        </w:tc>
        <w:tc>
          <w:tcPr>
            <w:tcW w:w="220" w:type="dxa"/>
            <w:vAlign w:val="bottom"/>
            <w:tcBorders>
              <w:left w:val="single" w:sz="8" w:color="CCEEFF"/>
              <w:bottom w:val="single" w:sz="8" w:color="CCEEFF"/>
            </w:tcBorders>
            <w:shd w:val="clear" w:color="auto" w:fill="CCEEFF"/>
          </w:tcPr>
          <w:p>
            <w:pPr>
              <w:ind w:left="160"/>
              <w:spacing w:after="0" w:line="198"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gridSpan w:val="3"/>
            <w:shd w:val="clear" w:color="auto" w:fill="CCEEFF"/>
          </w:tcPr>
          <w:p>
            <w:pPr>
              <w:jc w:val="right"/>
              <w:spacing w:after="0" w:line="198" w:lineRule="exact"/>
              <w:rPr>
                <w:sz w:val="20"/>
                <w:szCs w:val="20"/>
                <w:color w:val="auto"/>
              </w:rPr>
            </w:pPr>
            <w:r>
              <w:rPr>
                <w:rFonts w:ascii="Arial" w:cs="Arial" w:eastAsia="Arial" w:hAnsi="Arial"/>
                <w:sz w:val="12"/>
                <w:szCs w:val="12"/>
                <w:color w:val="auto"/>
              </w:rPr>
              <w:t>​​ ​ ​</w:t>
            </w:r>
            <w:r>
              <w:rPr>
                <w:rFonts w:ascii="Arial" w:cs="Arial" w:eastAsia="Arial" w:hAnsi="Arial"/>
                <w:sz w:val="22"/>
                <w:szCs w:val="22"/>
                <w:color w:val="auto"/>
                <w:vertAlign w:val="subscript"/>
              </w:rPr>
              <w:t>​</w:t>
            </w:r>
          </w:p>
        </w:tc>
        <w:tc>
          <w:tcPr>
            <w:tcW w:w="520" w:type="dxa"/>
            <w:vAlign w:val="bottom"/>
            <w:tcBorders>
              <w:bottom w:val="single" w:sz="8" w:color="CCEEFF"/>
            </w:tcBorders>
            <w:gridSpan w:val="3"/>
            <w:shd w:val="clear" w:color="auto" w:fill="CCEEFF"/>
          </w:tcPr>
          <w:p>
            <w:pPr>
              <w:jc w:val="right"/>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w:t>
            </w:r>
          </w:p>
        </w:tc>
        <w:tc>
          <w:tcPr>
            <w:tcW w:w="240" w:type="dxa"/>
            <w:vAlign w:val="bottom"/>
            <w:tcBorders>
              <w:left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right w:val="single" w:sz="8" w:color="CCEEFF"/>
            </w:tcBorders>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CCEEFF"/>
            </w:tcBorders>
            <w:shd w:val="clear" w:color="auto" w:fill="CCEEFF"/>
          </w:tcPr>
          <w:p>
            <w:pPr>
              <w:ind w:left="40"/>
              <w:spacing w:after="0" w:line="198"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spacing w:after="0" w:line="198"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bscript"/>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440" w:type="dxa"/>
            <w:vAlign w:val="bottom"/>
            <w:gridSpan w:val="2"/>
          </w:tcPr>
          <w:p>
            <w:pPr>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0"/>
              <w:spacing w:after="0" w:line="198"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RPSU</w:t>
            </w:r>
          </w:p>
        </w:tc>
        <w:tc>
          <w:tcPr>
            <w:tcW w:w="1620" w:type="dxa"/>
            <w:vAlign w:val="bottom"/>
            <w:gridSpan w:val="7"/>
          </w:tcPr>
          <w:p>
            <w:pPr>
              <w:ind w:left="40"/>
              <w:spacing w:after="0" w:line="198"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​4/15/2022</w:t>
            </w:r>
            <w:r>
              <w:rPr>
                <w:rFonts w:ascii="Arial" w:cs="Arial" w:eastAsia="Arial" w:hAnsi="Arial"/>
                <w:sz w:val="22"/>
                <w:szCs w:val="22"/>
                <w:color w:val="auto"/>
                <w:vertAlign w:val="superscript"/>
              </w:rPr>
              <w:t>​​ ​​</w:t>
            </w:r>
            <w:r>
              <w:rPr>
                <w:rFonts w:ascii="Arial" w:cs="Arial" w:eastAsia="Arial" w:hAnsi="Arial"/>
                <w:sz w:val="12"/>
                <w:szCs w:val="12"/>
                <w:color w:val="auto"/>
              </w:rPr>
              <w:t>​2/22/2022</w:t>
            </w:r>
            <w:r>
              <w:rPr>
                <w:rFonts w:ascii="Arial" w:cs="Arial" w:eastAsia="Arial" w:hAnsi="Arial"/>
                <w:sz w:val="22"/>
                <w:szCs w:val="22"/>
                <w:color w:val="auto"/>
                <w:vertAlign w:val="superscript"/>
              </w:rPr>
              <w:t>​​ ​</w:t>
            </w:r>
          </w:p>
        </w:tc>
        <w:tc>
          <w:tcPr>
            <w:tcW w:w="180" w:type="dxa"/>
            <w:vAlign w:val="bottom"/>
          </w:tcPr>
          <w:p>
            <w:pPr>
              <w:ind w:left="60"/>
              <w:spacing w:after="0" w:line="198"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w:t>
            </w:r>
          </w:p>
        </w:tc>
        <w:tc>
          <w:tcPr>
            <w:tcW w:w="1060" w:type="dxa"/>
            <w:vAlign w:val="bottom"/>
            <w:gridSpan w:val="6"/>
          </w:tcPr>
          <w:p>
            <w:pPr>
              <w:jc w:val="right"/>
              <w:ind w:right="300"/>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 </w:t>
            </w:r>
            <w:r>
              <w:rPr>
                <w:rFonts w:ascii="Arial" w:cs="Arial" w:eastAsia="Arial" w:hAnsi="Arial"/>
                <w:sz w:val="22"/>
                <w:szCs w:val="22"/>
                <w:color w:val="auto"/>
                <w:vertAlign w:val="subscript"/>
              </w:rPr>
              <w:t>​</w:t>
            </w:r>
          </w:p>
        </w:tc>
        <w:tc>
          <w:tcPr>
            <w:tcW w:w="480" w:type="dxa"/>
            <w:vAlign w:val="bottom"/>
            <w:gridSpan w:val="4"/>
          </w:tcPr>
          <w:p>
            <w:pPr>
              <w:jc w:val="right"/>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 </w:t>
            </w:r>
            <w:r>
              <w:rPr>
                <w:rFonts w:ascii="Arial" w:cs="Arial" w:eastAsia="Arial" w:hAnsi="Arial"/>
                <w:sz w:val="22"/>
                <w:szCs w:val="22"/>
                <w:color w:val="auto"/>
                <w:vertAlign w:val="subscript"/>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gridSpan w:val="3"/>
          </w:tcPr>
          <w:p>
            <w:pPr>
              <w:jc w:val="right"/>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w:t>
            </w:r>
          </w:p>
        </w:tc>
        <w:tc>
          <w:tcPr>
            <w:tcW w:w="540" w:type="dxa"/>
            <w:vAlign w:val="bottom"/>
            <w:gridSpan w:val="2"/>
          </w:tcPr>
          <w:p>
            <w:pPr>
              <w:jc w:val="right"/>
              <w:spacing w:after="0" w:line="198"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​2,363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6"/>
          </w:tcPr>
          <w:p>
            <w:pPr>
              <w:jc w:val="right"/>
              <w:spacing w:after="0" w:line="198" w:lineRule="exact"/>
              <w:rPr>
                <w:sz w:val="20"/>
                <w:szCs w:val="20"/>
                <w:color w:val="auto"/>
              </w:rPr>
            </w:pPr>
            <w:r>
              <w:rPr>
                <w:rFonts w:ascii="Arial" w:cs="Arial" w:eastAsia="Arial" w:hAnsi="Arial"/>
                <w:sz w:val="12"/>
                <w:szCs w:val="12"/>
                <w:color w:val="auto"/>
              </w:rPr>
              <w:t>​​ ​ ​</w:t>
            </w:r>
            <w:r>
              <w:rPr>
                <w:rFonts w:ascii="Arial" w:cs="Arial" w:eastAsia="Arial" w:hAnsi="Arial"/>
                <w:sz w:val="22"/>
                <w:szCs w:val="22"/>
                <w:color w:val="auto"/>
                <w:vertAlign w:val="subscript"/>
              </w:rPr>
              <w:t>​ 9,453</w:t>
            </w:r>
            <w:r>
              <w:rPr>
                <w:rFonts w:ascii="Arial" w:cs="Arial" w:eastAsia="Arial" w:hAnsi="Arial"/>
                <w:sz w:val="12"/>
                <w:szCs w:val="12"/>
                <w:color w:val="auto"/>
              </w:rPr>
              <w:t xml:space="preserve"> ​​ ​</w:t>
            </w:r>
          </w:p>
        </w:tc>
        <w:tc>
          <w:tcPr>
            <w:tcW w:w="720" w:type="dxa"/>
            <w:vAlign w:val="bottom"/>
            <w:gridSpan w:val="2"/>
          </w:tcPr>
          <w:p>
            <w:pPr>
              <w:jc w:val="right"/>
              <w:ind w:right="79"/>
              <w:spacing w:after="0"/>
              <w:rPr>
                <w:sz w:val="20"/>
                <w:szCs w:val="20"/>
                <w:color w:val="auto"/>
              </w:rPr>
            </w:pPr>
            <w:r>
              <w:rPr>
                <w:rFonts w:ascii="Arial" w:cs="Arial" w:eastAsia="Arial" w:hAnsi="Arial"/>
                <w:sz w:val="14"/>
                <w:szCs w:val="14"/>
                <w:color w:val="auto"/>
              </w:rPr>
              <w:t>​14,180</w:t>
            </w:r>
          </w:p>
        </w:tc>
        <w:tc>
          <w:tcPr>
            <w:tcW w:w="200" w:type="dxa"/>
            <w:vAlign w:val="bottom"/>
            <w:gridSpan w:val="3"/>
          </w:tcPr>
          <w:p>
            <w:pPr>
              <w:ind w:left="20"/>
              <w:spacing w:after="0"/>
              <w:rPr>
                <w:sz w:val="20"/>
                <w:szCs w:val="20"/>
                <w:color w:val="auto"/>
              </w:rPr>
            </w:pPr>
            <w:r>
              <w:rPr>
                <w:rFonts w:ascii="Arial" w:cs="Arial" w:eastAsia="Arial" w:hAnsi="Arial"/>
                <w:sz w:val="14"/>
                <w:szCs w:val="14"/>
                <w:color w:val="auto"/>
              </w:rPr>
              <w:t>​ ​</w:t>
            </w:r>
          </w:p>
        </w:tc>
        <w:tc>
          <w:tcPr>
            <w:tcW w:w="80" w:type="dxa"/>
            <w:vAlign w:val="bottom"/>
          </w:tcPr>
          <w:p>
            <w:pPr>
              <w:ind w:left="40"/>
              <w:spacing w:after="0" w:line="198"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20" w:type="dxa"/>
            <w:vAlign w:val="bottom"/>
            <w:gridSpan w:val="2"/>
          </w:tcPr>
          <w:p>
            <w:pPr>
              <w:spacing w:after="0" w:line="198"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4"/>
              </w:rPr>
              <w:t>300,700</w:t>
            </w:r>
          </w:p>
        </w:tc>
        <w:tc>
          <w:tcPr>
            <w:tcW w:w="40" w:type="dxa"/>
            <w:vAlign w:val="bottom"/>
          </w:tcPr>
          <w:p>
            <w:pPr>
              <w:jc w:val="right"/>
              <w:spacing w:after="0" w:line="150"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2"/>
        </w:trPr>
        <w:tc>
          <w:tcPr>
            <w:tcW w:w="1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4"/>
          </w:tcPr>
          <w:p>
            <w:pPr>
              <w:spacing w:after="0"/>
              <w:rPr>
                <w:sz w:val="2"/>
                <w:szCs w:val="2"/>
                <w:color w:val="auto"/>
              </w:rPr>
            </w:pPr>
          </w:p>
        </w:tc>
        <w:tc>
          <w:tcPr>
            <w:tcW w:w="44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210"/>
        </w:trPr>
        <w:tc>
          <w:tcPr>
            <w:tcW w:w="1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gridSpan w:val="2"/>
            <w:shd w:val="clear" w:color="auto" w:fill="CCEEFF"/>
          </w:tcPr>
          <w:p>
            <w:pPr>
              <w:ind w:left="20"/>
              <w:spacing w:after="0" w:line="198"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RSU</w:t>
            </w:r>
          </w:p>
        </w:tc>
        <w:tc>
          <w:tcPr>
            <w:tcW w:w="1620" w:type="dxa"/>
            <w:vAlign w:val="bottom"/>
            <w:tcBorders>
              <w:bottom w:val="single" w:sz="8" w:color="CCEEFF"/>
            </w:tcBorders>
            <w:gridSpan w:val="7"/>
            <w:shd w:val="clear" w:color="auto" w:fill="CCEEFF"/>
          </w:tcPr>
          <w:p>
            <w:pPr>
              <w:ind w:left="40"/>
              <w:spacing w:after="0" w:line="198"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​4/15/2022</w:t>
            </w:r>
            <w:r>
              <w:rPr>
                <w:rFonts w:ascii="Arial" w:cs="Arial" w:eastAsia="Arial" w:hAnsi="Arial"/>
                <w:sz w:val="22"/>
                <w:szCs w:val="22"/>
                <w:color w:val="auto"/>
                <w:vertAlign w:val="superscript"/>
              </w:rPr>
              <w:t>​​ ​​</w:t>
            </w:r>
            <w:r>
              <w:rPr>
                <w:rFonts w:ascii="Arial" w:cs="Arial" w:eastAsia="Arial" w:hAnsi="Arial"/>
                <w:sz w:val="12"/>
                <w:szCs w:val="12"/>
                <w:color w:val="auto"/>
              </w:rPr>
              <w:t>​2/22/2022</w:t>
            </w:r>
            <w:r>
              <w:rPr>
                <w:rFonts w:ascii="Arial" w:cs="Arial" w:eastAsia="Arial" w:hAnsi="Arial"/>
                <w:sz w:val="22"/>
                <w:szCs w:val="22"/>
                <w:color w:val="auto"/>
                <w:vertAlign w:val="superscript"/>
              </w:rPr>
              <w:t>​​ ​</w:t>
            </w:r>
          </w:p>
        </w:tc>
        <w:tc>
          <w:tcPr>
            <w:tcW w:w="180" w:type="dxa"/>
            <w:vAlign w:val="bottom"/>
            <w:tcBorders>
              <w:left w:val="single" w:sz="8" w:color="CCEEFF"/>
              <w:bottom w:val="single" w:sz="8" w:color="CCEEFF"/>
            </w:tcBorders>
            <w:shd w:val="clear" w:color="auto" w:fill="CCEEFF"/>
          </w:tcPr>
          <w:p>
            <w:pPr>
              <w:ind w:left="60"/>
              <w:spacing w:after="0" w:line="198" w:lineRule="exact"/>
              <w:rPr>
                <w:sz w:val="20"/>
                <w:szCs w:val="20"/>
                <w:color w:val="auto"/>
              </w:rPr>
            </w:pPr>
            <w:r>
              <w:rPr>
                <w:rFonts w:ascii="Arial" w:cs="Arial" w:eastAsia="Arial" w:hAnsi="Arial"/>
                <w:sz w:val="12"/>
                <w:szCs w:val="12"/>
                <w:color w:val="auto"/>
              </w:rPr>
              <w:t xml:space="preserve">​ </w:t>
            </w:r>
            <w:r>
              <w:rPr>
                <w:rFonts w:ascii="Arial" w:cs="Arial" w:eastAsia="Arial" w:hAnsi="Arial"/>
                <w:sz w:val="22"/>
                <w:szCs w:val="22"/>
                <w:color w:val="auto"/>
                <w:vertAlign w:val="subscript"/>
              </w:rPr>
              <w:t>​</w:t>
            </w:r>
          </w:p>
        </w:tc>
        <w:tc>
          <w:tcPr>
            <w:tcW w:w="1060" w:type="dxa"/>
            <w:vAlign w:val="bottom"/>
            <w:tcBorders>
              <w:bottom w:val="single" w:sz="8" w:color="CCEEFF"/>
            </w:tcBorders>
            <w:gridSpan w:val="6"/>
            <w:shd w:val="clear" w:color="auto" w:fill="CCEEFF"/>
          </w:tcPr>
          <w:p>
            <w:pPr>
              <w:jc w:val="right"/>
              <w:ind w:right="300"/>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 </w:t>
            </w:r>
            <w:r>
              <w:rPr>
                <w:rFonts w:ascii="Arial" w:cs="Arial" w:eastAsia="Arial" w:hAnsi="Arial"/>
                <w:sz w:val="22"/>
                <w:szCs w:val="22"/>
                <w:color w:val="auto"/>
                <w:vertAlign w:val="subscript"/>
              </w:rPr>
              <w:t>​</w:t>
            </w:r>
          </w:p>
        </w:tc>
        <w:tc>
          <w:tcPr>
            <w:tcW w:w="480" w:type="dxa"/>
            <w:vAlign w:val="bottom"/>
            <w:tcBorders>
              <w:bottom w:val="single" w:sz="8" w:color="CCEEFF"/>
            </w:tcBorders>
            <w:gridSpan w:val="4"/>
            <w:shd w:val="clear" w:color="auto" w:fill="CCEEFF"/>
          </w:tcPr>
          <w:p>
            <w:pPr>
              <w:jc w:val="right"/>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 </w:t>
            </w:r>
            <w:r>
              <w:rPr>
                <w:rFonts w:ascii="Arial" w:cs="Arial" w:eastAsia="Arial" w:hAnsi="Arial"/>
                <w:sz w:val="22"/>
                <w:szCs w:val="22"/>
                <w:color w:val="auto"/>
                <w:vertAlign w:val="subscript"/>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3"/>
            <w:shd w:val="clear" w:color="auto" w:fill="CCEEFF"/>
          </w:tcPr>
          <w:p>
            <w:pPr>
              <w:jc w:val="right"/>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w:t>
            </w:r>
          </w:p>
        </w:tc>
        <w:tc>
          <w:tcPr>
            <w:tcW w:w="220" w:type="dxa"/>
            <w:vAlign w:val="bottom"/>
            <w:tcBorders>
              <w:left w:val="single" w:sz="8" w:color="CCEEFF"/>
              <w:bottom w:val="single" w:sz="8" w:color="CCEEFF"/>
            </w:tcBorders>
            <w:shd w:val="clear" w:color="auto" w:fill="CCEEFF"/>
          </w:tcPr>
          <w:p>
            <w:pPr>
              <w:ind w:left="160"/>
              <w:spacing w:after="0" w:line="198"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gridSpan w:val="3"/>
            <w:shd w:val="clear" w:color="auto" w:fill="CCEEFF"/>
          </w:tcPr>
          <w:p>
            <w:pPr>
              <w:jc w:val="right"/>
              <w:spacing w:after="0" w:line="198" w:lineRule="exact"/>
              <w:rPr>
                <w:sz w:val="20"/>
                <w:szCs w:val="20"/>
                <w:color w:val="auto"/>
              </w:rPr>
            </w:pPr>
            <w:r>
              <w:rPr>
                <w:rFonts w:ascii="Arial" w:cs="Arial" w:eastAsia="Arial" w:hAnsi="Arial"/>
                <w:sz w:val="12"/>
                <w:szCs w:val="12"/>
                <w:color w:val="auto"/>
              </w:rPr>
              <w:t>​​ ​ ​</w:t>
            </w:r>
            <w:r>
              <w:rPr>
                <w:rFonts w:ascii="Arial" w:cs="Arial" w:eastAsia="Arial" w:hAnsi="Arial"/>
                <w:sz w:val="22"/>
                <w:szCs w:val="22"/>
                <w:color w:val="auto"/>
                <w:vertAlign w:val="subscript"/>
              </w:rPr>
              <w:t>​</w:t>
            </w:r>
          </w:p>
        </w:tc>
        <w:tc>
          <w:tcPr>
            <w:tcW w:w="520" w:type="dxa"/>
            <w:vAlign w:val="bottom"/>
            <w:tcBorders>
              <w:bottom w:val="single" w:sz="8" w:color="CCEEFF"/>
            </w:tcBorders>
            <w:gridSpan w:val="3"/>
            <w:shd w:val="clear" w:color="auto" w:fill="CCEEFF"/>
          </w:tcPr>
          <w:p>
            <w:pPr>
              <w:jc w:val="right"/>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w:t>
            </w:r>
          </w:p>
        </w:tc>
        <w:tc>
          <w:tcPr>
            <w:tcW w:w="240" w:type="dxa"/>
            <w:vAlign w:val="bottom"/>
            <w:tcBorders>
              <w:left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right w:val="single" w:sz="8" w:color="CCEEFF"/>
            </w:tcBorders>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500" w:type="dxa"/>
            <w:vAlign w:val="bottom"/>
            <w:tcBorders>
              <w:bottom w:val="single" w:sz="8" w:color="CCEEFF"/>
            </w:tcBorders>
            <w:gridSpan w:val="3"/>
            <w:shd w:val="clear" w:color="auto" w:fill="CCEEFF"/>
          </w:tcPr>
          <w:p>
            <w:pPr>
              <w:jc w:val="right"/>
              <w:spacing w:after="0" w:line="198"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4,819</w:t>
            </w:r>
          </w:p>
        </w:tc>
        <w:tc>
          <w:tcPr>
            <w:tcW w:w="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spacing w:after="0" w:line="198"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165,003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Chad Plotkin</w:t>
            </w:r>
            <w:r>
              <w:rPr>
                <w:rFonts w:ascii="Arial" w:cs="Arial" w:eastAsia="Arial" w:hAnsi="Arial"/>
                <w:sz w:val="17"/>
                <w:szCs w:val="17"/>
                <w:b w:val="1"/>
                <w:bCs w:val="1"/>
                <w:color w:val="auto"/>
                <w:vertAlign w:val="superscript"/>
              </w:rPr>
              <w:t>(5)</w:t>
            </w:r>
          </w:p>
        </w:tc>
        <w:tc>
          <w:tcPr>
            <w:tcW w:w="540" w:type="dxa"/>
            <w:vAlign w:val="bottom"/>
            <w:gridSpan w:val="2"/>
          </w:tcPr>
          <w:p>
            <w:pPr>
              <w:ind w:left="20"/>
              <w:spacing w:after="0" w:line="211"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3"/>
                <w:szCs w:val="13"/>
                <w:color w:val="auto"/>
              </w:rPr>
              <w:t>AIP</w:t>
            </w:r>
          </w:p>
        </w:tc>
        <w:tc>
          <w:tcPr>
            <w:tcW w:w="600" w:type="dxa"/>
            <w:vAlign w:val="bottom"/>
            <w:gridSpan w:val="2"/>
          </w:tcPr>
          <w:p>
            <w:pPr>
              <w:ind w:left="40"/>
              <w:spacing w:after="0" w:line="211" w:lineRule="exact"/>
              <w:rPr>
                <w:sz w:val="20"/>
                <w:szCs w:val="20"/>
                <w:color w:val="auto"/>
              </w:rPr>
            </w:pPr>
            <w:r>
              <w:rPr>
                <w:rFonts w:ascii="Arial" w:cs="Arial" w:eastAsia="Arial" w:hAnsi="Arial"/>
                <w:sz w:val="13"/>
                <w:szCs w:val="13"/>
                <w:color w:val="auto"/>
              </w:rPr>
              <w:t>​ ​​</w:t>
            </w:r>
            <w:r>
              <w:rPr>
                <w:rFonts w:ascii="Arial" w:cs="Arial" w:eastAsia="Arial" w:hAnsi="Arial"/>
                <w:sz w:val="24"/>
                <w:szCs w:val="24"/>
                <w:color w:val="auto"/>
                <w:vertAlign w:val="subscript"/>
              </w:rPr>
              <w:t>​</w:t>
            </w:r>
          </w:p>
        </w:tc>
        <w:tc>
          <w:tcPr>
            <w:tcW w:w="400" w:type="dxa"/>
            <w:vAlign w:val="bottom"/>
            <w:gridSpan w:val="3"/>
          </w:tcPr>
          <w:p>
            <w:pPr>
              <w:jc w:val="right"/>
              <w:spacing w:after="0" w:line="211"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w:t>
            </w:r>
            <w:r>
              <w:rPr>
                <w:rFonts w:ascii="Arial" w:cs="Arial" w:eastAsia="Arial" w:hAnsi="Arial"/>
                <w:sz w:val="24"/>
                <w:szCs w:val="24"/>
                <w:color w:val="auto"/>
                <w:vertAlign w:val="subscript"/>
              </w:rPr>
              <w:t>​</w:t>
            </w:r>
          </w:p>
        </w:tc>
        <w:tc>
          <w:tcPr>
            <w:tcW w:w="620" w:type="dxa"/>
            <w:vAlign w:val="bottom"/>
            <w:gridSpan w:val="2"/>
          </w:tcPr>
          <w:p>
            <w:pPr>
              <w:jc w:val="right"/>
              <w:spacing w:after="0" w:line="211"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w:t>
            </w:r>
          </w:p>
        </w:tc>
        <w:tc>
          <w:tcPr>
            <w:tcW w:w="1720" w:type="dxa"/>
            <w:vAlign w:val="bottom"/>
            <w:gridSpan w:val="11"/>
          </w:tcPr>
          <w:p>
            <w:pPr>
              <w:ind w:left="60"/>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$161,000 </w:t>
            </w:r>
            <w:r>
              <w:rPr>
                <w:rFonts w:ascii="Arial" w:cs="Arial" w:eastAsia="Arial" w:hAnsi="Arial"/>
                <w:sz w:val="24"/>
                <w:szCs w:val="24"/>
                <w:color w:val="auto"/>
                <w:vertAlign w:val="superscript"/>
              </w:rPr>
              <w:t>​​ ​​</w:t>
            </w:r>
            <w:r>
              <w:rPr>
                <w:rFonts w:ascii="Arial" w:cs="Arial" w:eastAsia="Arial" w:hAnsi="Arial"/>
                <w:sz w:val="13"/>
                <w:szCs w:val="13"/>
                <w:color w:val="auto"/>
              </w:rPr>
              <w:t xml:space="preserve">$322,000 </w:t>
            </w:r>
            <w:r>
              <w:rPr>
                <w:rFonts w:ascii="Arial" w:cs="Arial" w:eastAsia="Arial" w:hAnsi="Arial"/>
                <w:sz w:val="24"/>
                <w:szCs w:val="24"/>
                <w:color w:val="auto"/>
                <w:vertAlign w:val="superscript"/>
              </w:rPr>
              <w:t>​​ ​​</w:t>
            </w:r>
            <w:r>
              <w:rPr>
                <w:rFonts w:ascii="Arial" w:cs="Arial" w:eastAsia="Arial" w:hAnsi="Arial"/>
                <w:sz w:val="13"/>
                <w:szCs w:val="13"/>
                <w:color w:val="auto"/>
              </w:rPr>
              <w:t>$</w:t>
            </w:r>
          </w:p>
        </w:tc>
        <w:tc>
          <w:tcPr>
            <w:tcW w:w="660" w:type="dxa"/>
            <w:vAlign w:val="bottom"/>
            <w:gridSpan w:val="5"/>
          </w:tcPr>
          <w:p>
            <w:pPr>
              <w:jc w:val="right"/>
              <w:spacing w:after="0" w:line="211" w:lineRule="exact"/>
              <w:rPr>
                <w:sz w:val="20"/>
                <w:szCs w:val="20"/>
                <w:color w:val="auto"/>
              </w:rPr>
            </w:pPr>
            <w:r>
              <w:rPr>
                <w:rFonts w:ascii="Arial" w:cs="Arial" w:eastAsia="Arial" w:hAnsi="Arial"/>
                <w:sz w:val="13"/>
                <w:szCs w:val="13"/>
                <w:color w:val="auto"/>
              </w:rPr>
              <w:t xml:space="preserve">644,000 </w:t>
            </w:r>
            <w:r>
              <w:rPr>
                <w:rFonts w:ascii="Arial" w:cs="Arial" w:eastAsia="Arial" w:hAnsi="Arial"/>
                <w:sz w:val="24"/>
                <w:szCs w:val="24"/>
                <w:color w:val="auto"/>
                <w:vertAlign w:val="superscript"/>
              </w:rPr>
              <w:t>​​ ​</w:t>
            </w:r>
          </w:p>
        </w:tc>
        <w:tc>
          <w:tcPr>
            <w:tcW w:w="220" w:type="dxa"/>
            <w:vAlign w:val="bottom"/>
          </w:tcPr>
          <w:p>
            <w:pPr>
              <w:ind w:left="160"/>
              <w:spacing w:after="0" w:line="211"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bscript"/>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3"/>
          </w:tcPr>
          <w:p>
            <w:pPr>
              <w:jc w:val="right"/>
              <w:spacing w:after="0" w:line="211" w:lineRule="exact"/>
              <w:rPr>
                <w:sz w:val="20"/>
                <w:szCs w:val="20"/>
                <w:color w:val="auto"/>
              </w:rPr>
            </w:pPr>
            <w:r>
              <w:rPr>
                <w:rFonts w:ascii="Arial" w:cs="Arial" w:eastAsia="Arial" w:hAnsi="Arial"/>
                <w:sz w:val="13"/>
                <w:szCs w:val="13"/>
                <w:color w:val="auto"/>
              </w:rPr>
              <w:t>​​ ​ ​</w:t>
            </w:r>
            <w:r>
              <w:rPr>
                <w:rFonts w:ascii="Arial" w:cs="Arial" w:eastAsia="Arial" w:hAnsi="Arial"/>
                <w:sz w:val="24"/>
                <w:szCs w:val="24"/>
                <w:color w:val="auto"/>
                <w:vertAlign w:val="subscript"/>
              </w:rPr>
              <w:t>​</w:t>
            </w:r>
          </w:p>
        </w:tc>
        <w:tc>
          <w:tcPr>
            <w:tcW w:w="520" w:type="dxa"/>
            <w:vAlign w:val="bottom"/>
            <w:gridSpan w:val="3"/>
          </w:tcPr>
          <w:p>
            <w:pPr>
              <w:jc w:val="right"/>
              <w:spacing w:after="0" w:line="211"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xml:space="preserve"> ​​ ​</w:t>
            </w:r>
          </w:p>
        </w:tc>
        <w:tc>
          <w:tcPr>
            <w:tcW w:w="240" w:type="dxa"/>
            <w:vAlign w:val="bottom"/>
          </w:tcPr>
          <w:p>
            <w:pPr>
              <w:ind w:left="1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79"/>
              <w:spacing w:after="0"/>
              <w:rPr>
                <w:sz w:val="20"/>
                <w:szCs w:val="20"/>
                <w:color w:val="auto"/>
              </w:rPr>
            </w:pPr>
            <w:r>
              <w:rPr>
                <w:rFonts w:ascii="Arial" w:cs="Arial" w:eastAsia="Arial" w:hAnsi="Arial"/>
                <w:sz w:val="14"/>
                <w:szCs w:val="14"/>
                <w:color w:val="auto"/>
              </w:rPr>
              <w:t>—</w:t>
            </w:r>
          </w:p>
        </w:tc>
        <w:tc>
          <w:tcPr>
            <w:tcW w:w="200" w:type="dxa"/>
            <w:vAlign w:val="bottom"/>
            <w:gridSpan w:val="3"/>
          </w:tcPr>
          <w:p>
            <w:pPr>
              <w:ind w:left="20"/>
              <w:spacing w:after="0"/>
              <w:rPr>
                <w:sz w:val="20"/>
                <w:szCs w:val="20"/>
                <w:color w:val="auto"/>
              </w:rPr>
            </w:pPr>
            <w:r>
              <w:rPr>
                <w:rFonts w:ascii="Arial" w:cs="Arial" w:eastAsia="Arial" w:hAnsi="Arial"/>
                <w:sz w:val="14"/>
                <w:szCs w:val="14"/>
                <w:color w:val="auto"/>
              </w:rPr>
              <w:t>​ ​</w:t>
            </w:r>
          </w:p>
        </w:tc>
        <w:tc>
          <w:tcPr>
            <w:tcW w:w="80" w:type="dxa"/>
            <w:vAlign w:val="bottom"/>
          </w:tcPr>
          <w:p>
            <w:pPr>
              <w:ind w:left="40"/>
              <w:spacing w:after="0" w:line="211"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bscript"/>
              </w:rPr>
              <w:t>​</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20" w:type="dxa"/>
            <w:vAlign w:val="bottom"/>
            <w:gridSpan w:val="2"/>
          </w:tcPr>
          <w:p>
            <w:pPr>
              <w:spacing w:after="0" w:line="211"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4"/>
                <w:szCs w:val="24"/>
                <w:color w:val="auto"/>
                <w:vertAlign w:val="subscript"/>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50"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2"/>
        </w:trPr>
        <w:tc>
          <w:tcPr>
            <w:tcW w:w="1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4"/>
          </w:tcPr>
          <w:p>
            <w:pPr>
              <w:spacing w:after="0"/>
              <w:rPr>
                <w:sz w:val="2"/>
                <w:szCs w:val="2"/>
                <w:color w:val="auto"/>
              </w:rPr>
            </w:pPr>
          </w:p>
        </w:tc>
        <w:tc>
          <w:tcPr>
            <w:tcW w:w="44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210"/>
        </w:trPr>
        <w:tc>
          <w:tcPr>
            <w:tcW w:w="1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gridSpan w:val="2"/>
            <w:shd w:val="clear" w:color="auto" w:fill="CCEEFF"/>
          </w:tcPr>
          <w:p>
            <w:pPr>
              <w:ind w:left="20"/>
              <w:spacing w:after="0" w:line="198"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RPSU</w:t>
            </w:r>
          </w:p>
        </w:tc>
        <w:tc>
          <w:tcPr>
            <w:tcW w:w="1620" w:type="dxa"/>
            <w:vAlign w:val="bottom"/>
            <w:tcBorders>
              <w:bottom w:val="single" w:sz="8" w:color="CCEEFF"/>
            </w:tcBorders>
            <w:gridSpan w:val="7"/>
            <w:shd w:val="clear" w:color="auto" w:fill="CCEEFF"/>
          </w:tcPr>
          <w:p>
            <w:pPr>
              <w:ind w:left="40"/>
              <w:spacing w:after="0" w:line="198"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​4/15/2022</w:t>
            </w:r>
            <w:r>
              <w:rPr>
                <w:rFonts w:ascii="Arial" w:cs="Arial" w:eastAsia="Arial" w:hAnsi="Arial"/>
                <w:sz w:val="22"/>
                <w:szCs w:val="22"/>
                <w:color w:val="auto"/>
                <w:vertAlign w:val="superscript"/>
              </w:rPr>
              <w:t>​​ ​​</w:t>
            </w:r>
            <w:r>
              <w:rPr>
                <w:rFonts w:ascii="Arial" w:cs="Arial" w:eastAsia="Arial" w:hAnsi="Arial"/>
                <w:sz w:val="12"/>
                <w:szCs w:val="12"/>
                <w:color w:val="auto"/>
              </w:rPr>
              <w:t>​2/22/2022</w:t>
            </w:r>
            <w:r>
              <w:rPr>
                <w:rFonts w:ascii="Arial" w:cs="Arial" w:eastAsia="Arial" w:hAnsi="Arial"/>
                <w:sz w:val="22"/>
                <w:szCs w:val="22"/>
                <w:color w:val="auto"/>
                <w:vertAlign w:val="superscript"/>
              </w:rPr>
              <w:t>​​ ​</w:t>
            </w:r>
          </w:p>
        </w:tc>
        <w:tc>
          <w:tcPr>
            <w:tcW w:w="180" w:type="dxa"/>
            <w:vAlign w:val="bottom"/>
            <w:tcBorders>
              <w:left w:val="single" w:sz="8" w:color="CCEEFF"/>
              <w:bottom w:val="single" w:sz="8" w:color="CCEEFF"/>
            </w:tcBorders>
            <w:shd w:val="clear" w:color="auto" w:fill="CCEEFF"/>
          </w:tcPr>
          <w:p>
            <w:pPr>
              <w:ind w:left="60"/>
              <w:spacing w:after="0" w:line="198" w:lineRule="exact"/>
              <w:rPr>
                <w:sz w:val="20"/>
                <w:szCs w:val="20"/>
                <w:color w:val="auto"/>
              </w:rPr>
            </w:pPr>
            <w:r>
              <w:rPr>
                <w:rFonts w:ascii="Arial" w:cs="Arial" w:eastAsia="Arial" w:hAnsi="Arial"/>
                <w:sz w:val="12"/>
                <w:szCs w:val="12"/>
                <w:color w:val="auto"/>
              </w:rPr>
              <w:t xml:space="preserve">​ </w:t>
            </w:r>
            <w:r>
              <w:rPr>
                <w:rFonts w:ascii="Arial" w:cs="Arial" w:eastAsia="Arial" w:hAnsi="Arial"/>
                <w:sz w:val="22"/>
                <w:szCs w:val="22"/>
                <w:color w:val="auto"/>
                <w:vertAlign w:val="subscript"/>
              </w:rPr>
              <w:t>​</w:t>
            </w:r>
          </w:p>
        </w:tc>
        <w:tc>
          <w:tcPr>
            <w:tcW w:w="1060" w:type="dxa"/>
            <w:vAlign w:val="bottom"/>
            <w:tcBorders>
              <w:bottom w:val="single" w:sz="8" w:color="CCEEFF"/>
            </w:tcBorders>
            <w:gridSpan w:val="6"/>
            <w:shd w:val="clear" w:color="auto" w:fill="CCEEFF"/>
          </w:tcPr>
          <w:p>
            <w:pPr>
              <w:jc w:val="right"/>
              <w:ind w:right="300"/>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 </w:t>
            </w:r>
            <w:r>
              <w:rPr>
                <w:rFonts w:ascii="Arial" w:cs="Arial" w:eastAsia="Arial" w:hAnsi="Arial"/>
                <w:sz w:val="22"/>
                <w:szCs w:val="22"/>
                <w:color w:val="auto"/>
                <w:vertAlign w:val="subscript"/>
              </w:rPr>
              <w:t>​</w:t>
            </w:r>
          </w:p>
        </w:tc>
        <w:tc>
          <w:tcPr>
            <w:tcW w:w="480" w:type="dxa"/>
            <w:vAlign w:val="bottom"/>
            <w:tcBorders>
              <w:bottom w:val="single" w:sz="8" w:color="CCEEFF"/>
            </w:tcBorders>
            <w:gridSpan w:val="4"/>
            <w:shd w:val="clear" w:color="auto" w:fill="CCEEFF"/>
          </w:tcPr>
          <w:p>
            <w:pPr>
              <w:jc w:val="right"/>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 </w:t>
            </w:r>
            <w:r>
              <w:rPr>
                <w:rFonts w:ascii="Arial" w:cs="Arial" w:eastAsia="Arial" w:hAnsi="Arial"/>
                <w:sz w:val="22"/>
                <w:szCs w:val="22"/>
                <w:color w:val="auto"/>
                <w:vertAlign w:val="subscript"/>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3"/>
            <w:shd w:val="clear" w:color="auto" w:fill="CCEEFF"/>
          </w:tcPr>
          <w:p>
            <w:pPr>
              <w:jc w:val="right"/>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w:t>
            </w:r>
          </w:p>
        </w:tc>
        <w:tc>
          <w:tcPr>
            <w:tcW w:w="540" w:type="dxa"/>
            <w:vAlign w:val="bottom"/>
            <w:tcBorders>
              <w:left w:val="single" w:sz="8" w:color="CCEEFF"/>
              <w:bottom w:val="single" w:sz="8" w:color="CCEEFF"/>
            </w:tcBorders>
            <w:gridSpan w:val="2"/>
            <w:shd w:val="clear" w:color="auto" w:fill="CCEEFF"/>
          </w:tcPr>
          <w:p>
            <w:pPr>
              <w:jc w:val="right"/>
              <w:spacing w:after="0" w:line="198"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​3,261</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6"/>
            <w:shd w:val="clear" w:color="auto" w:fill="CCEEFF"/>
          </w:tcPr>
          <w:p>
            <w:pPr>
              <w:jc w:val="right"/>
              <w:spacing w:after="0" w:line="198" w:lineRule="exact"/>
              <w:rPr>
                <w:sz w:val="20"/>
                <w:szCs w:val="20"/>
                <w:color w:val="auto"/>
              </w:rPr>
            </w:pPr>
            <w:r>
              <w:rPr>
                <w:rFonts w:ascii="Arial" w:cs="Arial" w:eastAsia="Arial" w:hAnsi="Arial"/>
                <w:sz w:val="22"/>
                <w:szCs w:val="22"/>
                <w:color w:val="auto"/>
                <w:vertAlign w:val="superscript"/>
              </w:rPr>
              <w:t>​​ ​ ​</w:t>
            </w:r>
            <w:r>
              <w:rPr>
                <w:rFonts w:ascii="Arial" w:cs="Arial" w:eastAsia="Arial" w:hAnsi="Arial"/>
                <w:sz w:val="12"/>
                <w:szCs w:val="12"/>
                <w:color w:val="auto"/>
              </w:rPr>
              <w:t xml:space="preserve">​13,045 </w:t>
            </w:r>
            <w:r>
              <w:rPr>
                <w:rFonts w:ascii="Arial" w:cs="Arial" w:eastAsia="Arial" w:hAnsi="Arial"/>
                <w:sz w:val="22"/>
                <w:szCs w:val="22"/>
                <w:color w:val="auto"/>
                <w:vertAlign w:val="superscript"/>
              </w:rPr>
              <w:t>​​ ​</w:t>
            </w:r>
          </w:p>
        </w:tc>
        <w:tc>
          <w:tcPr>
            <w:tcW w:w="720" w:type="dxa"/>
            <w:vAlign w:val="bottom"/>
            <w:tcBorders>
              <w:left w:val="single" w:sz="8" w:color="CCEEFF"/>
              <w:bottom w:val="single" w:sz="8" w:color="CCEEFF"/>
              <w:right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​19,568</w:t>
            </w:r>
          </w:p>
        </w:tc>
        <w:tc>
          <w:tcPr>
            <w:tcW w:w="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CCEEFF"/>
            </w:tcBorders>
            <w:shd w:val="clear" w:color="auto" w:fill="CCEEFF"/>
          </w:tcPr>
          <w:p>
            <w:pPr>
              <w:ind w:left="40"/>
              <w:spacing w:after="0" w:line="198"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spacing w:after="0" w:line="198"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414,961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1440" w:type="dxa"/>
            <w:vAlign w:val="bottom"/>
            <w:gridSpan w:val="2"/>
          </w:tcPr>
          <w:p>
            <w:pPr>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0"/>
              <w:spacing w:after="0"/>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RSU</w:t>
            </w:r>
          </w:p>
        </w:tc>
        <w:tc>
          <w:tcPr>
            <w:tcW w:w="1620" w:type="dxa"/>
            <w:vAlign w:val="bottom"/>
            <w:gridSpan w:val="7"/>
          </w:tcPr>
          <w:p>
            <w:pPr>
              <w:ind w:left="40"/>
              <w:spacing w:after="0"/>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​4/15/2022</w:t>
            </w:r>
            <w:r>
              <w:rPr>
                <w:rFonts w:ascii="Arial" w:cs="Arial" w:eastAsia="Arial" w:hAnsi="Arial"/>
                <w:sz w:val="28"/>
                <w:szCs w:val="28"/>
                <w:color w:val="auto"/>
                <w:vertAlign w:val="superscript"/>
              </w:rPr>
              <w:t>​​ ​​</w:t>
            </w:r>
            <w:r>
              <w:rPr>
                <w:rFonts w:ascii="Arial" w:cs="Arial" w:eastAsia="Arial" w:hAnsi="Arial"/>
                <w:sz w:val="14"/>
                <w:szCs w:val="14"/>
                <w:color w:val="auto"/>
              </w:rPr>
              <w:t>​2/22/2022</w:t>
            </w:r>
            <w:r>
              <w:rPr>
                <w:rFonts w:ascii="Arial" w:cs="Arial" w:eastAsia="Arial" w:hAnsi="Arial"/>
                <w:sz w:val="28"/>
                <w:szCs w:val="28"/>
                <w:color w:val="auto"/>
                <w:vertAlign w:val="superscript"/>
              </w:rPr>
              <w:t>​​ ​</w:t>
            </w:r>
          </w:p>
        </w:tc>
        <w:tc>
          <w:tcPr>
            <w:tcW w:w="180" w:type="dxa"/>
            <w:vAlign w:val="bottom"/>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bscript"/>
              </w:rPr>
              <w:t>​</w:t>
            </w:r>
          </w:p>
        </w:tc>
        <w:tc>
          <w:tcPr>
            <w:tcW w:w="1060" w:type="dxa"/>
            <w:vAlign w:val="bottom"/>
            <w:gridSpan w:val="6"/>
          </w:tcPr>
          <w:p>
            <w:pPr>
              <w:jc w:val="right"/>
              <w:ind w:right="3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 </w:t>
            </w:r>
            <w:r>
              <w:rPr>
                <w:rFonts w:ascii="Arial" w:cs="Arial" w:eastAsia="Arial" w:hAnsi="Arial"/>
                <w:sz w:val="28"/>
                <w:szCs w:val="28"/>
                <w:color w:val="auto"/>
                <w:vertAlign w:val="subscript"/>
              </w:rPr>
              <w:t>​</w:t>
            </w:r>
          </w:p>
        </w:tc>
        <w:tc>
          <w:tcPr>
            <w:tcW w:w="480" w:type="dxa"/>
            <w:vAlign w:val="bottom"/>
            <w:gridSpan w:val="4"/>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 </w:t>
            </w:r>
            <w:r>
              <w:rPr>
                <w:rFonts w:ascii="Arial" w:cs="Arial" w:eastAsia="Arial" w:hAnsi="Arial"/>
                <w:sz w:val="28"/>
                <w:szCs w:val="28"/>
                <w:color w:val="auto"/>
                <w:vertAlign w:val="subscript"/>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w:t>
            </w:r>
          </w:p>
        </w:tc>
        <w:tc>
          <w:tcPr>
            <w:tcW w:w="220" w:type="dxa"/>
            <w:vAlign w:val="bottom"/>
          </w:tcPr>
          <w:p>
            <w:pPr>
              <w:ind w:left="16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bscript"/>
              </w:rPr>
              <w:t>​</w:t>
            </w:r>
          </w:p>
        </w:tc>
        <w:tc>
          <w:tcPr>
            <w:tcW w:w="520" w:type="dxa"/>
            <w:vAlign w:val="bottom"/>
            <w:gridSpan w:val="3"/>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w:t>
            </w:r>
          </w:p>
        </w:tc>
        <w:tc>
          <w:tcPr>
            <w:tcW w:w="240" w:type="dxa"/>
            <w:vAlign w:val="bottom"/>
          </w:tcPr>
          <w:p>
            <w:pPr>
              <w:ind w:left="1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79"/>
              <w:spacing w:after="0"/>
              <w:rPr>
                <w:sz w:val="20"/>
                <w:szCs w:val="20"/>
                <w:color w:val="auto"/>
              </w:rPr>
            </w:pPr>
            <w:r>
              <w:rPr>
                <w:rFonts w:ascii="Arial" w:cs="Arial" w:eastAsia="Arial" w:hAnsi="Arial"/>
                <w:sz w:val="14"/>
                <w:szCs w:val="14"/>
                <w:color w:val="auto"/>
              </w:rPr>
              <w:t>—</w:t>
            </w:r>
          </w:p>
        </w:tc>
        <w:tc>
          <w:tcPr>
            <w:tcW w:w="200" w:type="dxa"/>
            <w:vAlign w:val="bottom"/>
            <w:gridSpan w:val="3"/>
          </w:tcPr>
          <w:p>
            <w:pPr>
              <w:ind w:left="20"/>
              <w:spacing w:after="0"/>
              <w:rPr>
                <w:sz w:val="20"/>
                <w:szCs w:val="20"/>
                <w:color w:val="auto"/>
              </w:rPr>
            </w:pPr>
            <w:r>
              <w:rPr>
                <w:rFonts w:ascii="Arial" w:cs="Arial" w:eastAsia="Arial" w:hAnsi="Arial"/>
                <w:sz w:val="14"/>
                <w:szCs w:val="14"/>
                <w:color w:val="auto"/>
              </w:rPr>
              <w:t>​ ​</w:t>
            </w:r>
          </w:p>
        </w:tc>
        <w:tc>
          <w:tcPr>
            <w:tcW w:w="500" w:type="dxa"/>
            <w:vAlign w:val="bottom"/>
            <w:gridSpan w:val="3"/>
          </w:tcPr>
          <w:p>
            <w:pPr>
              <w:jc w:val="right"/>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6,651</w:t>
            </w:r>
          </w:p>
        </w:tc>
        <w:tc>
          <w:tcPr>
            <w:tcW w:w="2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20" w:type="dxa"/>
            <w:vAlign w:val="bottom"/>
            <w:gridSpan w:val="2"/>
          </w:tcPr>
          <w:p>
            <w:pPr>
              <w:spacing w:after="0"/>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4"/>
              </w:rPr>
              <w:t>227,730</w:t>
            </w:r>
          </w:p>
        </w:tc>
        <w:tc>
          <w:tcPr>
            <w:tcW w:w="40" w:type="dxa"/>
            <w:vAlign w:val="bottom"/>
          </w:tcPr>
          <w:p>
            <w:pPr>
              <w:jc w:val="right"/>
              <w:spacing w:after="0" w:line="150"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-5106670</wp:posOffset>
            </wp:positionV>
            <wp:extent cx="137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-5106670</wp:posOffset>
            </wp:positionV>
            <wp:extent cx="137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-5106670</wp:posOffset>
            </wp:positionV>
            <wp:extent cx="137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-5106670</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-5106670</wp:posOffset>
            </wp:positionV>
            <wp:extent cx="137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-5106670</wp:posOffset>
            </wp:positionV>
            <wp:extent cx="137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-1849120</wp:posOffset>
            </wp:positionV>
            <wp:extent cx="857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-1849120</wp:posOffset>
            </wp:positionV>
            <wp:extent cx="857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-1849120</wp:posOffset>
            </wp:positionV>
            <wp:extent cx="857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-1849120</wp:posOffset>
            </wp:positionV>
            <wp:extent cx="857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-1849120</wp:posOffset>
            </wp:positionV>
            <wp:extent cx="857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-1849120</wp:posOffset>
            </wp:positionV>
            <wp:extent cx="857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-1849120</wp:posOffset>
            </wp:positionV>
            <wp:extent cx="857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1579880</wp:posOffset>
            </wp:positionH>
            <wp:positionV relativeFrom="paragraph">
              <wp:posOffset>-1849120</wp:posOffset>
            </wp:positionV>
            <wp:extent cx="857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-1849120</wp:posOffset>
            </wp:positionV>
            <wp:extent cx="768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5951855</wp:posOffset>
            </wp:positionH>
            <wp:positionV relativeFrom="paragraph">
              <wp:posOffset>-1849120</wp:posOffset>
            </wp:positionV>
            <wp:extent cx="857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-1849120</wp:posOffset>
            </wp:positionV>
            <wp:extent cx="857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53340</wp:posOffset>
            </wp:positionV>
            <wp:extent cx="12344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2" w:lineRule="exact"/>
        <w:rPr>
          <w:sz w:val="20"/>
          <w:szCs w:val="20"/>
          <w:color w:val="auto"/>
        </w:rPr>
      </w:pPr>
    </w:p>
    <w:p>
      <w:pPr>
        <w:ind w:left="1620" w:right="1280" w:hanging="360"/>
        <w:spacing w:after="0" w:line="277" w:lineRule="auto"/>
        <w:tabs>
          <w:tab w:leader="none" w:pos="1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Threshold non-equity incentive plan awards include annual incentive plan threshold payments, as presented in the CD&amp;A.</w:t>
      </w:r>
    </w:p>
    <w:p>
      <w:pPr>
        <w:spacing w:after="0" w:line="21" w:lineRule="exact"/>
        <w:rPr>
          <w:rFonts w:ascii="Arial" w:cs="Arial" w:eastAsia="Arial" w:hAnsi="Arial"/>
          <w:sz w:val="18"/>
          <w:szCs w:val="18"/>
          <w:color w:val="auto"/>
        </w:rPr>
      </w:pPr>
    </w:p>
    <w:p>
      <w:pPr>
        <w:ind w:left="1620" w:right="880" w:hanging="360"/>
        <w:spacing w:after="0" w:line="277" w:lineRule="auto"/>
        <w:tabs>
          <w:tab w:leader="none" w:pos="1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Target non-equity incentive plan awards include annual incentive plan target payments, as presented in the CD&amp;A.</w:t>
      </w:r>
    </w:p>
    <w:p>
      <w:pPr>
        <w:spacing w:after="0" w:line="35" w:lineRule="exact"/>
        <w:rPr>
          <w:rFonts w:ascii="Arial" w:cs="Arial" w:eastAsia="Arial" w:hAnsi="Arial"/>
          <w:sz w:val="18"/>
          <w:szCs w:val="18"/>
          <w:color w:val="auto"/>
        </w:rPr>
      </w:pPr>
    </w:p>
    <w:p>
      <w:pPr>
        <w:ind w:left="1620" w:right="1220" w:hanging="360"/>
        <w:spacing w:after="0" w:line="277" w:lineRule="auto"/>
        <w:tabs>
          <w:tab w:leader="none" w:pos="1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Maximum non-equity incentive plan awards include annual incentive plan maximum payments, as presented in the CD&amp;A.</w:t>
      </w:r>
    </w:p>
    <w:p>
      <w:pPr>
        <w:spacing w:after="0" w:line="35" w:lineRule="exact"/>
        <w:rPr>
          <w:rFonts w:ascii="Arial" w:cs="Arial" w:eastAsia="Arial" w:hAnsi="Arial"/>
          <w:sz w:val="18"/>
          <w:szCs w:val="18"/>
          <w:color w:val="auto"/>
        </w:rPr>
      </w:pPr>
    </w:p>
    <w:p>
      <w:pPr>
        <w:ind w:left="1620" w:right="900" w:hanging="360"/>
        <w:spacing w:after="0" w:line="293" w:lineRule="auto"/>
        <w:tabs>
          <w:tab w:leader="none" w:pos="16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Reflects the grant date fair value determined in accordance with the Financial Accounting Standards Board Accounting Standards Codification Topic 718, Comparison — Stock Compensation. The Company uses the Class C common stock price on the date of grant as the fair value of the Company’s RSUs. The fair value of RPSUs is estimated on the date of grant using a Monte Carlo simulation model. For years preceding 2020, the number of RPSUs granted was based on the fair value of RPSUs estimated on the date of grant using a Monte Carlo simulation model. Beginning with awards granted</w:t>
      </w:r>
    </w:p>
    <w:p>
      <w:pPr>
        <w:sectPr>
          <w:pgSz w:w="11900" w:h="16838" w:orient="portrait"/>
          <w:cols w:equalWidth="0" w:num="1">
            <w:col w:w="10260"/>
          </w:cols>
          <w:pgMar w:left="580" w:top="132" w:right="1059" w:bottom="1440" w:gutter="0" w:footer="0" w:header="0"/>
        </w:sectPr>
      </w:pPr>
    </w:p>
    <w:p>
      <w:pPr>
        <w:spacing w:after="0" w:line="34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132" w:right="105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59"/>
        <w:spacing w:after="0" w:line="286" w:lineRule="auto"/>
        <w:rPr>
          <w:sz w:val="20"/>
          <w:szCs w:val="20"/>
          <w:color w:val="auto"/>
        </w:rPr>
      </w:pPr>
      <w:r>
        <w:rPr>
          <w:rFonts w:ascii="Arial" w:cs="Arial" w:eastAsia="Arial" w:hAnsi="Arial"/>
          <w:sz w:val="17"/>
          <w:szCs w:val="17"/>
          <w:color w:val="auto"/>
        </w:rPr>
        <w:t>in 2020, the number of RPSUs granted is based on the 10-day average closing price of the Company’s Class C common stock ending on the date of grant. This change in determining fair value of the RPSUs was implemented after reviewing the compensation practices of Compensation Peer Group companies.</w:t>
      </w:r>
    </w:p>
    <w:p>
      <w:pPr>
        <w:spacing w:after="0" w:line="30"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Mr. Plotkin voluntarily resigned from his employment with the Company in August 2022.</w:t>
      </w:r>
    </w:p>
    <w:p>
      <w:pPr>
        <w:spacing w:after="0" w:line="22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Fiscal Year Ended December 31, 2022</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1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ind w:left="220"/>
              <w:spacing w:after="0"/>
              <w:rPr>
                <w:sz w:val="20"/>
                <w:szCs w:val="20"/>
                <w:color w:val="auto"/>
              </w:rPr>
            </w:pPr>
            <w:r>
              <w:rPr>
                <w:rFonts w:ascii="Arial" w:cs="Arial" w:eastAsia="Arial" w:hAnsi="Arial"/>
                <w:sz w:val="14"/>
                <w:szCs w:val="14"/>
                <w:b w:val="1"/>
                <w:bCs w:val="1"/>
                <w:color w:val="auto"/>
              </w:rPr>
              <w:t>Option Awards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gridSpan w:val="4"/>
          </w:tcPr>
          <w:p>
            <w:pPr>
              <w:ind w:left="360"/>
              <w:spacing w:after="0"/>
              <w:rPr>
                <w:sz w:val="20"/>
                <w:szCs w:val="20"/>
                <w:color w:val="auto"/>
              </w:rPr>
            </w:pPr>
            <w:r>
              <w:rPr>
                <w:rFonts w:ascii="Arial" w:cs="Arial" w:eastAsia="Arial" w:hAnsi="Arial"/>
                <w:sz w:val="14"/>
                <w:szCs w:val="14"/>
                <w:b w:val="1"/>
                <w:bCs w:val="1"/>
                <w:color w:val="auto"/>
              </w:rPr>
              <w:t>Stock Awards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5"/>
          </w:tcPr>
          <w:p>
            <w:pPr>
              <w:jc w:val="center"/>
              <w:ind w:right="44"/>
              <w:spacing w:after="0"/>
              <w:rPr>
                <w:sz w:val="20"/>
                <w:szCs w:val="20"/>
                <w:color w:val="auto"/>
              </w:rPr>
            </w:pPr>
            <w:r>
              <w:rPr>
                <w:rFonts w:ascii="Arial" w:cs="Arial" w:eastAsia="Arial" w:hAnsi="Arial"/>
                <w:sz w:val="14"/>
                <w:szCs w:val="14"/>
                <w:b w:val="1"/>
                <w:bCs w:val="1"/>
                <w:color w:val="auto"/>
                <w:w w:val="91"/>
              </w:rPr>
              <w:t>Equity Incentive</w:t>
            </w:r>
          </w:p>
        </w:tc>
        <w:tc>
          <w:tcPr>
            <w:tcW w:w="0" w:type="dxa"/>
            <w:vAlign w:val="bottom"/>
          </w:tcPr>
          <w:p>
            <w:pPr>
              <w:spacing w:after="0"/>
              <w:rPr>
                <w:sz w:val="1"/>
                <w:szCs w:val="1"/>
                <w:color w:val="auto"/>
              </w:rPr>
            </w:pPr>
          </w:p>
        </w:tc>
      </w:tr>
      <w:tr>
        <w:trPr>
          <w:trHeight w:val="212"/>
        </w:trPr>
        <w:tc>
          <w:tcPr>
            <w:tcW w:w="1780" w:type="dxa"/>
            <w:vAlign w:val="bottom"/>
          </w:tcPr>
          <w:p>
            <w:pPr>
              <w:spacing w:after="0"/>
              <w:rPr>
                <w:sz w:val="18"/>
                <w:szCs w:val="18"/>
                <w:color w:val="auto"/>
              </w:rPr>
            </w:pPr>
          </w:p>
        </w:tc>
        <w:tc>
          <w:tcPr>
            <w:tcW w:w="76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8"/>
                <w:szCs w:val="18"/>
                <w:color w:val="auto"/>
              </w:rPr>
            </w:pPr>
          </w:p>
        </w:tc>
        <w:tc>
          <w:tcPr>
            <w:tcW w:w="200" w:type="dxa"/>
            <w:vAlign w:val="bottom"/>
            <w:gridSpan w:val="3"/>
          </w:tcPr>
          <w:p>
            <w:pPr>
              <w:jc w:val="center"/>
              <w:spacing w:after="0"/>
              <w:rPr>
                <w:sz w:val="20"/>
                <w:szCs w:val="20"/>
                <w:color w:val="auto"/>
              </w:rPr>
            </w:pPr>
            <w:r>
              <w:rPr>
                <w:rFonts w:ascii="Arial" w:cs="Arial" w:eastAsia="Arial" w:hAnsi="Arial"/>
                <w:sz w:val="14"/>
                <w:szCs w:val="14"/>
                <w:b w:val="1"/>
                <w:bCs w:val="1"/>
                <w:color w:val="auto"/>
              </w:rPr>
              <w:t>​​ ​​</w:t>
            </w:r>
          </w:p>
        </w:tc>
        <w:tc>
          <w:tcPr>
            <w:tcW w:w="7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auto"/>
              </w:rPr>
              <w:t>​ ​</w:t>
            </w:r>
          </w:p>
        </w:tc>
        <w:tc>
          <w:tcPr>
            <w:tcW w:w="100" w:type="dxa"/>
            <w:vAlign w:val="bottom"/>
          </w:tcPr>
          <w:p>
            <w:pPr>
              <w:spacing w:after="0"/>
              <w:rPr>
                <w:sz w:val="18"/>
                <w:szCs w:val="18"/>
                <w:color w:val="auto"/>
              </w:rPr>
            </w:pPr>
          </w:p>
        </w:tc>
        <w:tc>
          <w:tcPr>
            <w:tcW w:w="1460" w:type="dxa"/>
            <w:vAlign w:val="bottom"/>
            <w:gridSpan w:val="5"/>
          </w:tcPr>
          <w:p>
            <w:pPr>
              <w:jc w:val="center"/>
              <w:ind w:right="24"/>
              <w:spacing w:after="0"/>
              <w:rPr>
                <w:sz w:val="20"/>
                <w:szCs w:val="20"/>
                <w:color w:val="auto"/>
              </w:rPr>
            </w:pPr>
            <w:r>
              <w:rPr>
                <w:rFonts w:ascii="Arial" w:cs="Arial" w:eastAsia="Arial" w:hAnsi="Arial"/>
                <w:sz w:val="14"/>
                <w:szCs w:val="14"/>
                <w:b w:val="1"/>
                <w:bCs w:val="1"/>
                <w:color w:val="auto"/>
                <w:w w:val="90"/>
              </w:rPr>
              <w:t>Plan Awards</w:t>
            </w: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jc w:val="center"/>
              <w:ind w:right="23"/>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center"/>
              <w:ind w:right="43"/>
              <w:spacing w:after="0"/>
              <w:rPr>
                <w:sz w:val="20"/>
                <w:szCs w:val="20"/>
                <w:color w:val="auto"/>
              </w:rPr>
            </w:pPr>
            <w:r>
              <w:rPr>
                <w:rFonts w:ascii="Arial" w:cs="Arial" w:eastAsia="Arial" w:hAnsi="Arial"/>
                <w:sz w:val="14"/>
                <w:szCs w:val="14"/>
                <w:b w:val="1"/>
                <w:bCs w:val="1"/>
                <w:color w:val="auto"/>
                <w:w w:val="88"/>
              </w:rPr>
              <w:t>Value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center"/>
              <w:ind w:right="4"/>
              <w:spacing w:after="0"/>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6"/>
              </w:rPr>
              <w:t>Securities</w:t>
            </w:r>
          </w:p>
        </w:tc>
        <w:tc>
          <w:tcPr>
            <w:tcW w:w="120" w:type="dxa"/>
            <w:vAlign w:val="bottom"/>
          </w:tcPr>
          <w:p>
            <w:pPr>
              <w:spacing w:after="0"/>
              <w:rPr>
                <w:sz w:val="14"/>
                <w:szCs w:val="14"/>
                <w:color w:val="auto"/>
              </w:rPr>
            </w:pPr>
          </w:p>
        </w:tc>
        <w:tc>
          <w:tcPr>
            <w:tcW w:w="820" w:type="dxa"/>
            <w:vAlign w:val="bottom"/>
          </w:tcPr>
          <w:p>
            <w:pPr>
              <w:jc w:val="center"/>
              <w:ind w:right="12"/>
              <w:spacing w:after="0"/>
              <w:rPr>
                <w:sz w:val="20"/>
                <w:szCs w:val="20"/>
                <w:color w:val="auto"/>
              </w:rPr>
            </w:pPr>
            <w:r>
              <w:rPr>
                <w:rFonts w:ascii="Arial" w:cs="Arial" w:eastAsia="Arial" w:hAnsi="Arial"/>
                <w:sz w:val="14"/>
                <w:szCs w:val="14"/>
                <w:b w:val="1"/>
                <w:bCs w:val="1"/>
                <w:color w:val="auto"/>
                <w:w w:val="86"/>
              </w:rPr>
              <w:t>Securities</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Shares or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center"/>
              <w:ind w:right="43"/>
              <w:spacing w:after="0"/>
              <w:rPr>
                <w:sz w:val="20"/>
                <w:szCs w:val="20"/>
                <w:color w:val="auto"/>
              </w:rPr>
            </w:pPr>
            <w:r>
              <w:rPr>
                <w:rFonts w:ascii="Arial" w:cs="Arial" w:eastAsia="Arial" w:hAnsi="Arial"/>
                <w:sz w:val="14"/>
                <w:szCs w:val="14"/>
                <w:b w:val="1"/>
                <w:bCs w:val="1"/>
                <w:color w:val="auto"/>
                <w:w w:val="86"/>
              </w:rPr>
              <w:t>Shares or</w:t>
            </w:r>
          </w:p>
        </w:tc>
        <w:tc>
          <w:tcPr>
            <w:tcW w:w="1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center"/>
              <w:ind w:right="4"/>
              <w:spacing w:after="0"/>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Units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center"/>
              <w:ind w:right="23"/>
              <w:spacing w:after="0"/>
              <w:rPr>
                <w:sz w:val="20"/>
                <w:szCs w:val="20"/>
                <w:color w:val="auto"/>
              </w:rPr>
            </w:pPr>
            <w:r>
              <w:rPr>
                <w:rFonts w:ascii="Arial" w:cs="Arial" w:eastAsia="Arial" w:hAnsi="Arial"/>
                <w:sz w:val="14"/>
                <w:szCs w:val="14"/>
                <w:b w:val="1"/>
                <w:bCs w:val="1"/>
                <w:color w:val="auto"/>
                <w:w w:val="88"/>
              </w:rPr>
              <w:t>Units of</w:t>
            </w:r>
          </w:p>
        </w:tc>
        <w:tc>
          <w:tcPr>
            <w:tcW w:w="1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Unearned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center"/>
              <w:ind w:right="4"/>
              <w:spacing w:after="0"/>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Unexercised</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Unexercised</w:t>
            </w:r>
          </w:p>
        </w:tc>
        <w:tc>
          <w:tcPr>
            <w:tcW w:w="1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Stock that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center"/>
              <w:ind w:right="23"/>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Shares that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center"/>
              <w:ind w:right="4"/>
              <w:spacing w:after="0"/>
              <w:rPr>
                <w:sz w:val="20"/>
                <w:szCs w:val="20"/>
                <w:color w:val="auto"/>
              </w:rPr>
            </w:pPr>
            <w:r>
              <w:rPr>
                <w:rFonts w:ascii="Arial" w:cs="Arial" w:eastAsia="Arial" w:hAnsi="Arial"/>
                <w:sz w:val="14"/>
                <w:szCs w:val="14"/>
                <w:b w:val="1"/>
                <w:bCs w:val="1"/>
                <w:color w:val="auto"/>
                <w:w w:val="93"/>
              </w:rPr>
              <w:t>that</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79"/>
              </w:rPr>
              <w:t>Exercise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Have Not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center"/>
              <w:ind w:right="23"/>
              <w:spacing w:after="0"/>
              <w:rPr>
                <w:sz w:val="20"/>
                <w:szCs w:val="20"/>
                <w:color w:val="auto"/>
              </w:rPr>
            </w:pPr>
            <w:r>
              <w:rPr>
                <w:rFonts w:ascii="Arial" w:cs="Arial" w:eastAsia="Arial" w:hAnsi="Arial"/>
                <w:sz w:val="14"/>
                <w:szCs w:val="14"/>
                <w:b w:val="1"/>
                <w:bCs w:val="1"/>
                <w:color w:val="auto"/>
                <w:w w:val="91"/>
              </w:rPr>
              <w:t>that Have</w:t>
            </w:r>
          </w:p>
        </w:tc>
        <w:tc>
          <w:tcPr>
            <w:tcW w:w="1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Have Not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center"/>
              <w:ind w:right="4"/>
              <w:spacing w:after="0"/>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76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2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Expiration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62"/>
              <w:spacing w:after="0"/>
              <w:rPr>
                <w:sz w:val="20"/>
                <w:szCs w:val="20"/>
                <w:color w:val="auto"/>
              </w:rPr>
            </w:pPr>
            <w:r>
              <w:rPr>
                <w:rFonts w:ascii="Arial" w:cs="Arial" w:eastAsia="Arial" w:hAnsi="Arial"/>
                <w:sz w:val="14"/>
                <w:szCs w:val="14"/>
                <w:b w:val="1"/>
                <w:bCs w:val="1"/>
                <w:color w:val="auto"/>
                <w:w w:val="87"/>
              </w:rPr>
              <w:t>Vested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3"/>
              <w:spacing w:after="0"/>
              <w:rPr>
                <w:sz w:val="20"/>
                <w:szCs w:val="20"/>
                <w:color w:val="auto"/>
              </w:rPr>
            </w:pPr>
            <w:r>
              <w:rPr>
                <w:rFonts w:ascii="Arial" w:cs="Arial" w:eastAsia="Arial" w:hAnsi="Arial"/>
                <w:sz w:val="14"/>
                <w:szCs w:val="14"/>
                <w:b w:val="1"/>
                <w:bCs w:val="1"/>
                <w:color w:val="auto"/>
                <w:w w:val="87"/>
              </w:rPr>
              <w:t>Not Vested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40"/>
              <w:spacing w:after="0"/>
              <w:rPr>
                <w:sz w:val="20"/>
                <w:szCs w:val="20"/>
                <w:color w:val="auto"/>
              </w:rPr>
            </w:pPr>
            <w:r>
              <w:rPr>
                <w:rFonts w:ascii="Arial" w:cs="Arial" w:eastAsia="Arial" w:hAnsi="Arial"/>
                <w:sz w:val="14"/>
                <w:szCs w:val="14"/>
                <w:b w:val="1"/>
                <w:bCs w:val="1"/>
                <w:color w:val="auto"/>
                <w:w w:val="82"/>
              </w:rPr>
              <w:t>Vested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center"/>
              <w:ind w:right="4"/>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212"/>
        </w:trPr>
        <w:tc>
          <w:tcPr>
            <w:tcW w:w="17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820" w:type="dxa"/>
            <w:vAlign w:val="bottom"/>
            <w:gridSpan w:val="4"/>
          </w:tcPr>
          <w:p>
            <w:pPr>
              <w:ind w:left="40"/>
              <w:spacing w:after="0" w:line="212" w:lineRule="exact"/>
              <w:rPr>
                <w:sz w:val="20"/>
                <w:szCs w:val="20"/>
                <w:color w:val="auto"/>
              </w:rPr>
            </w:pPr>
            <w:r>
              <w:rPr>
                <w:rFonts w:ascii="Arial" w:cs="Arial" w:eastAsia="Arial" w:hAnsi="Arial"/>
                <w:sz w:val="13"/>
                <w:szCs w:val="13"/>
                <w:b w:val="1"/>
                <w:bCs w:val="1"/>
                <w:color w:val="auto"/>
              </w:rPr>
              <w:t xml:space="preserve">Exercisable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Unexercisable </w:t>
            </w:r>
            <w:r>
              <w:rPr>
                <w:rFonts w:ascii="Arial" w:cs="Arial" w:eastAsia="Arial" w:hAnsi="Arial"/>
                <w:sz w:val="24"/>
                <w:szCs w:val="24"/>
                <w:b w:val="1"/>
                <w:bCs w:val="1"/>
                <w:color w:val="auto"/>
                <w:vertAlign w:val="subscript"/>
              </w:rPr>
              <w:t>​​</w:t>
            </w:r>
          </w:p>
        </w:tc>
        <w:tc>
          <w:tcPr>
            <w:tcW w:w="50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54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8"/>
                <w:szCs w:val="18"/>
                <w:color w:val="auto"/>
              </w:rPr>
            </w:pPr>
          </w:p>
        </w:tc>
        <w:tc>
          <w:tcPr>
            <w:tcW w:w="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 ​</w:t>
            </w:r>
          </w:p>
        </w:tc>
        <w:tc>
          <w:tcPr>
            <w:tcW w:w="720" w:type="dxa"/>
            <w:vAlign w:val="bottom"/>
          </w:tcPr>
          <w:p>
            <w:pPr>
              <w:jc w:val="center"/>
              <w:ind w:right="3"/>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 ​</w:t>
            </w: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(1)</w:t>
            </w:r>
          </w:p>
        </w:tc>
        <w:tc>
          <w:tcPr>
            <w:tcW w:w="2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4"/>
                <w:szCs w:val="14"/>
                <w:b w:val="1"/>
                <w:bCs w:val="1"/>
                <w:color w:val="auto"/>
              </w:rPr>
              <w:t>​ ​</w:t>
            </w:r>
          </w:p>
        </w:tc>
        <w:tc>
          <w:tcPr>
            <w:tcW w:w="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(1)</w:t>
            </w:r>
          </w:p>
        </w:tc>
        <w:tc>
          <w:tcPr>
            <w:tcW w:w="0" w:type="dxa"/>
            <w:vAlign w:val="bottom"/>
          </w:tcPr>
          <w:p>
            <w:pPr>
              <w:spacing w:after="0"/>
              <w:rPr>
                <w:sz w:val="1"/>
                <w:szCs w:val="1"/>
                <w:color w:val="auto"/>
              </w:rPr>
            </w:pPr>
          </w:p>
        </w:tc>
      </w:tr>
      <w:tr>
        <w:trPr>
          <w:trHeight w:val="20"/>
        </w:trPr>
        <w:tc>
          <w:tcPr>
            <w:tcW w:w="1780" w:type="dxa"/>
            <w:vAlign w:val="bottom"/>
            <w:tcBorders>
              <w:right w:val="single" w:sz="8" w:color="CCEEFF"/>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7"/>
              </w:rPr>
              <w:t>Christopher S. Sotos</w:t>
            </w:r>
          </w:p>
        </w:tc>
        <w:tc>
          <w:tcPr>
            <w:tcW w:w="760" w:type="dxa"/>
            <w:vAlign w:val="bottom"/>
            <w:tcBorders>
              <w:right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w:t>
            </w:r>
          </w:p>
        </w:tc>
        <w:tc>
          <w:tcPr>
            <w:tcW w:w="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right w:val="single" w:sz="8" w:color="CCEEFF"/>
            </w:tcBorders>
            <w:shd w:val="clear" w:color="auto" w:fill="CCEEFF"/>
          </w:tcPr>
          <w:p>
            <w:pPr>
              <w:spacing w:after="0"/>
              <w:rPr>
                <w:sz w:val="17"/>
                <w:szCs w:val="17"/>
                <w:color w:val="auto"/>
              </w:rPr>
            </w:pPr>
          </w:p>
        </w:tc>
        <w:tc>
          <w:tcPr>
            <w:tcW w:w="1560" w:type="dxa"/>
            <w:vAlign w:val="bottom"/>
            <w:tcBorders>
              <w:right w:val="single" w:sz="8" w:color="CCEEFF"/>
            </w:tcBorders>
            <w:gridSpan w:val="6"/>
            <w:shd w:val="clear" w:color="auto" w:fill="CCEEFF"/>
          </w:tcPr>
          <w:p>
            <w:pPr>
              <w:jc w:val="right"/>
              <w:spacing w:after="0" w:line="195" w:lineRule="exact"/>
              <w:rPr>
                <w:sz w:val="20"/>
                <w:szCs w:val="20"/>
                <w:color w:val="auto"/>
              </w:rPr>
            </w:pPr>
            <w:r>
              <w:rPr>
                <w:rFonts w:ascii="Arial" w:cs="Arial" w:eastAsia="Arial" w:hAnsi="Arial"/>
                <w:sz w:val="17"/>
                <w:szCs w:val="17"/>
                <w:color w:val="auto"/>
                <w:w w:val="98"/>
              </w:rPr>
              <w:t>45,836</w:t>
            </w:r>
            <w:r>
              <w:rPr>
                <w:rFonts w:ascii="Arial" w:cs="Arial" w:eastAsia="Arial" w:hAnsi="Arial"/>
                <w:sz w:val="22"/>
                <w:szCs w:val="22"/>
                <w:color w:val="auto"/>
                <w:w w:val="98"/>
                <w:vertAlign w:val="superscript"/>
              </w:rPr>
              <w:t>(2)</w:t>
            </w:r>
            <w:r>
              <w:rPr>
                <w:rFonts w:ascii="Arial" w:cs="Arial" w:eastAsia="Arial" w:hAnsi="Arial"/>
                <w:sz w:val="17"/>
                <w:szCs w:val="17"/>
                <w:color w:val="auto"/>
                <w:w w:val="98"/>
              </w:rPr>
              <w:t xml:space="preserve">  1,460,793</w:t>
            </w:r>
          </w:p>
        </w:tc>
        <w:tc>
          <w:tcPr>
            <w:tcW w:w="120" w:type="dxa"/>
            <w:vAlign w:val="bottom"/>
            <w:tcBorders>
              <w:right w:val="single" w:sz="8" w:color="CCEEFF"/>
            </w:tcBorders>
            <w:shd w:val="clear" w:color="auto" w:fill="CCEEFF"/>
          </w:tcPr>
          <w:p>
            <w:pPr>
              <w:spacing w:after="0"/>
              <w:rPr>
                <w:sz w:val="17"/>
                <w:szCs w:val="17"/>
                <w:color w:val="auto"/>
              </w:rPr>
            </w:pPr>
          </w:p>
        </w:tc>
        <w:tc>
          <w:tcPr>
            <w:tcW w:w="840" w:type="dxa"/>
            <w:vAlign w:val="bottom"/>
            <w:tcBorders>
              <w:right w:val="single" w:sz="8" w:color="CCEEFF"/>
            </w:tcBorders>
            <w:gridSpan w:val="4"/>
            <w:shd w:val="clear" w:color="auto" w:fill="CCEEFF"/>
          </w:tcPr>
          <w:p>
            <w:pPr>
              <w:jc w:val="right"/>
              <w:spacing w:after="0" w:line="195" w:lineRule="exact"/>
              <w:rPr>
                <w:sz w:val="20"/>
                <w:szCs w:val="20"/>
                <w:color w:val="auto"/>
              </w:rPr>
            </w:pPr>
            <w:r>
              <w:rPr>
                <w:rFonts w:ascii="Arial" w:cs="Arial" w:eastAsia="Arial" w:hAnsi="Arial"/>
                <w:sz w:val="17"/>
                <w:szCs w:val="17"/>
                <w:color w:val="auto"/>
                <w:w w:val="95"/>
              </w:rPr>
              <w:t>149,062</w:t>
            </w:r>
            <w:r>
              <w:rPr>
                <w:rFonts w:ascii="Arial" w:cs="Arial" w:eastAsia="Arial" w:hAnsi="Arial"/>
                <w:sz w:val="22"/>
                <w:szCs w:val="22"/>
                <w:color w:val="auto"/>
                <w:w w:val="95"/>
                <w:vertAlign w:val="superscript"/>
              </w:rPr>
              <w:t>(3)</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4,750,606</w:t>
            </w:r>
          </w:p>
        </w:tc>
        <w:tc>
          <w:tcPr>
            <w:tcW w:w="0" w:type="dxa"/>
            <w:vAlign w:val="bottom"/>
          </w:tcPr>
          <w:p>
            <w:pPr>
              <w:spacing w:after="0"/>
              <w:rPr>
                <w:sz w:val="1"/>
                <w:szCs w:val="1"/>
                <w:color w:val="auto"/>
              </w:rPr>
            </w:pPr>
          </w:p>
        </w:tc>
      </w:tr>
      <w:tr>
        <w:trPr>
          <w:trHeight w:val="54"/>
        </w:trPr>
        <w:tc>
          <w:tcPr>
            <w:tcW w:w="1780" w:type="dxa"/>
            <w:vAlign w:val="bottom"/>
            <w:tcBorders>
              <w:right w:val="single" w:sz="8" w:color="CCEEFF"/>
            </w:tcBorders>
            <w:shd w:val="clear" w:color="auto" w:fill="CCEEFF"/>
          </w:tcPr>
          <w:p>
            <w:pPr>
              <w:spacing w:after="0"/>
              <w:rPr>
                <w:sz w:val="4"/>
                <w:szCs w:val="4"/>
                <w:color w:val="auto"/>
              </w:rPr>
            </w:pPr>
          </w:p>
        </w:tc>
        <w:tc>
          <w:tcPr>
            <w:tcW w:w="760" w:type="dxa"/>
            <w:vAlign w:val="bottom"/>
            <w:tcBorders>
              <w:right w:val="single" w:sz="8" w:color="CCEEFF"/>
            </w:tcBorders>
            <w:shd w:val="clear" w:color="auto" w:fill="CCEEFF"/>
          </w:tcPr>
          <w:p>
            <w:pPr>
              <w:ind w:left="280"/>
              <w:spacing w:after="0" w:line="54" w:lineRule="exact"/>
              <w:rPr>
                <w:sz w:val="20"/>
                <w:szCs w:val="20"/>
                <w:color w:val="auto"/>
              </w:rPr>
            </w:pPr>
            <w:r>
              <w:rPr>
                <w:rFonts w:ascii="Arial" w:cs="Arial" w:eastAsia="Arial" w:hAnsi="Arial"/>
                <w:sz w:val="6"/>
                <w:szCs w:val="6"/>
                <w:color w:val="auto"/>
              </w:rPr>
              <w:t>​</w:t>
            </w:r>
          </w:p>
        </w:tc>
        <w:tc>
          <w:tcPr>
            <w:tcW w:w="120" w:type="dxa"/>
            <w:vAlign w:val="bottom"/>
            <w:tcBorders>
              <w:right w:val="single" w:sz="8" w:color="CCEEFF"/>
            </w:tcBorders>
            <w:vMerge w:val="continue"/>
            <w:shd w:val="clear" w:color="auto" w:fill="CCEEFF"/>
          </w:tcPr>
          <w:p>
            <w:pPr>
              <w:spacing w:after="0"/>
              <w:rPr>
                <w:sz w:val="4"/>
                <w:szCs w:val="4"/>
                <w:color w:val="auto"/>
              </w:rPr>
            </w:pPr>
          </w:p>
        </w:tc>
        <w:tc>
          <w:tcPr>
            <w:tcW w:w="820" w:type="dxa"/>
            <w:vAlign w:val="bottom"/>
            <w:tcBorders>
              <w:right w:val="single" w:sz="8" w:color="CCEEFF"/>
            </w:tcBorders>
            <w:shd w:val="clear" w:color="auto" w:fill="CCEEFF"/>
          </w:tcPr>
          <w:p>
            <w:pPr>
              <w:ind w:left="300"/>
              <w:spacing w:after="0" w:line="54" w:lineRule="exact"/>
              <w:rPr>
                <w:sz w:val="20"/>
                <w:szCs w:val="20"/>
                <w:color w:val="auto"/>
              </w:rPr>
            </w:pPr>
            <w:r>
              <w:rPr>
                <w:rFonts w:ascii="Arial" w:cs="Arial" w:eastAsia="Arial" w:hAnsi="Arial"/>
                <w:sz w:val="6"/>
                <w:szCs w:val="6"/>
                <w:color w:val="auto"/>
              </w:rPr>
              <w:t>​</w:t>
            </w:r>
          </w:p>
        </w:tc>
        <w:tc>
          <w:tcPr>
            <w:tcW w:w="120" w:type="dxa"/>
            <w:vAlign w:val="bottom"/>
            <w:tcBorders>
              <w:right w:val="single" w:sz="8" w:color="CCEEFF"/>
            </w:tcBorders>
            <w:vMerge w:val="continue"/>
            <w:shd w:val="clear" w:color="auto" w:fill="CCEEFF"/>
          </w:tcPr>
          <w:p>
            <w:pPr>
              <w:spacing w:after="0"/>
              <w:rPr>
                <w:sz w:val="4"/>
                <w:szCs w:val="4"/>
                <w:color w:val="auto"/>
              </w:rPr>
            </w:pPr>
          </w:p>
        </w:tc>
        <w:tc>
          <w:tcPr>
            <w:tcW w:w="500" w:type="dxa"/>
            <w:vAlign w:val="bottom"/>
            <w:tcBorders>
              <w:right w:val="single" w:sz="8" w:color="CCEEFF"/>
            </w:tcBorders>
            <w:shd w:val="clear" w:color="auto" w:fill="CCEEFF"/>
          </w:tcPr>
          <w:p>
            <w:pPr>
              <w:ind w:left="140"/>
              <w:spacing w:after="0" w:line="54" w:lineRule="exact"/>
              <w:rPr>
                <w:sz w:val="20"/>
                <w:szCs w:val="20"/>
                <w:color w:val="auto"/>
              </w:rPr>
            </w:pPr>
            <w:r>
              <w:rPr>
                <w:rFonts w:ascii="Arial" w:cs="Arial" w:eastAsia="Arial" w:hAnsi="Arial"/>
                <w:sz w:val="6"/>
                <w:szCs w:val="6"/>
                <w:color w:val="auto"/>
              </w:rPr>
              <w:t>​</w:t>
            </w:r>
          </w:p>
        </w:tc>
        <w:tc>
          <w:tcPr>
            <w:tcW w:w="160" w:type="dxa"/>
            <w:vAlign w:val="bottom"/>
            <w:gridSpan w:val="2"/>
            <w:vMerge w:val="continue"/>
            <w:shd w:val="clear" w:color="auto" w:fill="CCEEFF"/>
          </w:tcPr>
          <w:p>
            <w:pPr>
              <w:spacing w:after="0"/>
              <w:rPr>
                <w:sz w:val="4"/>
                <w:szCs w:val="4"/>
                <w:color w:val="auto"/>
              </w:rPr>
            </w:pPr>
          </w:p>
        </w:tc>
        <w:tc>
          <w:tcPr>
            <w:tcW w:w="600" w:type="dxa"/>
            <w:vAlign w:val="bottom"/>
            <w:tcBorders>
              <w:right w:val="single" w:sz="8" w:color="CCEEFF"/>
            </w:tcBorders>
            <w:shd w:val="clear" w:color="auto" w:fill="CCEEFF"/>
          </w:tcPr>
          <w:p>
            <w:pPr>
              <w:ind w:left="160"/>
              <w:spacing w:after="0" w:line="54" w:lineRule="exact"/>
              <w:rPr>
                <w:sz w:val="20"/>
                <w:szCs w:val="20"/>
                <w:color w:val="auto"/>
              </w:rPr>
            </w:pPr>
            <w:r>
              <w:rPr>
                <w:rFonts w:ascii="Arial" w:cs="Arial" w:eastAsia="Arial" w:hAnsi="Arial"/>
                <w:sz w:val="6"/>
                <w:szCs w:val="6"/>
                <w:color w:val="auto"/>
              </w:rPr>
              <w:t>​</w:t>
            </w:r>
          </w:p>
        </w:tc>
        <w:tc>
          <w:tcPr>
            <w:tcW w:w="200" w:type="dxa"/>
            <w:vAlign w:val="bottom"/>
            <w:gridSpan w:val="2"/>
            <w:shd w:val="clear" w:color="auto" w:fill="CCEEFF"/>
          </w:tcPr>
          <w:p>
            <w:pPr>
              <w:spacing w:after="0" w:line="54" w:lineRule="exact"/>
              <w:rPr>
                <w:sz w:val="20"/>
                <w:szCs w:val="20"/>
                <w:color w:val="auto"/>
              </w:rPr>
            </w:pPr>
            <w:r>
              <w:rPr>
                <w:rFonts w:ascii="Arial" w:cs="Arial" w:eastAsia="Arial" w:hAnsi="Arial"/>
                <w:sz w:val="6"/>
                <w:szCs w:val="6"/>
                <w:color w:val="auto"/>
              </w:rPr>
              <w:t>​​​ ​</w:t>
            </w:r>
          </w:p>
        </w:tc>
        <w:tc>
          <w:tcPr>
            <w:tcW w:w="540" w:type="dxa"/>
            <w:vAlign w:val="bottom"/>
            <w:shd w:val="clear" w:color="auto" w:fill="CCEEFF"/>
          </w:tcPr>
          <w:p>
            <w:pPr>
              <w:spacing w:after="0"/>
              <w:rPr>
                <w:sz w:val="4"/>
                <w:szCs w:val="4"/>
                <w:color w:val="auto"/>
              </w:rPr>
            </w:pPr>
          </w:p>
        </w:tc>
        <w:tc>
          <w:tcPr>
            <w:tcW w:w="200" w:type="dxa"/>
            <w:vAlign w:val="bottom"/>
            <w:gridSpan w:val="3"/>
            <w:shd w:val="clear" w:color="auto" w:fill="CCEEFF"/>
          </w:tcPr>
          <w:p>
            <w:pPr>
              <w:jc w:val="center"/>
              <w:spacing w:after="0" w:line="54" w:lineRule="exact"/>
              <w:rPr>
                <w:sz w:val="20"/>
                <w:szCs w:val="20"/>
                <w:color w:val="auto"/>
              </w:rPr>
            </w:pPr>
            <w:r>
              <w:rPr>
                <w:rFonts w:ascii="Arial" w:cs="Arial" w:eastAsia="Arial" w:hAnsi="Arial"/>
                <w:sz w:val="6"/>
                <w:szCs w:val="6"/>
                <w:color w:val="auto"/>
              </w:rPr>
              <w:t>​​​​</w:t>
            </w:r>
          </w:p>
        </w:tc>
        <w:tc>
          <w:tcPr>
            <w:tcW w:w="720" w:type="dxa"/>
            <w:vAlign w:val="bottom"/>
            <w:tcBorders>
              <w:right w:val="single" w:sz="8" w:color="CCEEFF"/>
            </w:tcBorders>
            <w:shd w:val="clear" w:color="auto" w:fill="CCEEFF"/>
          </w:tcPr>
          <w:p>
            <w:pPr>
              <w:spacing w:after="0"/>
              <w:rPr>
                <w:sz w:val="4"/>
                <w:szCs w:val="4"/>
                <w:color w:val="auto"/>
              </w:rPr>
            </w:pPr>
          </w:p>
        </w:tc>
        <w:tc>
          <w:tcPr>
            <w:tcW w:w="220" w:type="dxa"/>
            <w:vAlign w:val="bottom"/>
            <w:gridSpan w:val="2"/>
            <w:shd w:val="clear" w:color="auto" w:fill="CCEEFF"/>
          </w:tcPr>
          <w:p>
            <w:pPr>
              <w:spacing w:after="0" w:line="54" w:lineRule="exact"/>
              <w:rPr>
                <w:sz w:val="20"/>
                <w:szCs w:val="20"/>
                <w:color w:val="auto"/>
              </w:rPr>
            </w:pPr>
            <w:r>
              <w:rPr>
                <w:rFonts w:ascii="Arial" w:cs="Arial" w:eastAsia="Arial" w:hAnsi="Arial"/>
                <w:sz w:val="6"/>
                <w:szCs w:val="6"/>
                <w:color w:val="auto"/>
              </w:rPr>
              <w:t>​​ ​</w:t>
            </w:r>
          </w:p>
        </w:tc>
        <w:tc>
          <w:tcPr>
            <w:tcW w:w="580" w:type="dxa"/>
            <w:vAlign w:val="bottom"/>
            <w:shd w:val="clear" w:color="auto" w:fill="CCEEFF"/>
          </w:tcPr>
          <w:p>
            <w:pPr>
              <w:spacing w:after="0"/>
              <w:rPr>
                <w:sz w:val="4"/>
                <w:szCs w:val="4"/>
                <w:color w:val="auto"/>
              </w:rPr>
            </w:pPr>
          </w:p>
        </w:tc>
        <w:tc>
          <w:tcPr>
            <w:tcW w:w="200" w:type="dxa"/>
            <w:vAlign w:val="bottom"/>
            <w:gridSpan w:val="3"/>
            <w:shd w:val="clear" w:color="auto" w:fill="CCEEFF"/>
          </w:tcPr>
          <w:p>
            <w:pPr>
              <w:jc w:val="right"/>
              <w:spacing w:after="0" w:line="54" w:lineRule="exact"/>
              <w:rPr>
                <w:sz w:val="20"/>
                <w:szCs w:val="20"/>
                <w:color w:val="auto"/>
              </w:rPr>
            </w:pPr>
            <w:r>
              <w:rPr>
                <w:rFonts w:ascii="Arial" w:cs="Arial" w:eastAsia="Arial" w:hAnsi="Arial"/>
                <w:sz w:val="6"/>
                <w:szCs w:val="6"/>
                <w:color w:val="auto"/>
              </w:rPr>
              <w:t>​​​​</w:t>
            </w:r>
          </w:p>
        </w:tc>
        <w:tc>
          <w:tcPr>
            <w:tcW w:w="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b w:val="1"/>
                <w:bCs w:val="1"/>
                <w:color w:val="auto"/>
              </w:rPr>
              <w:t>Sarah Rubenstein</w:t>
            </w:r>
          </w:p>
        </w:tc>
        <w:tc>
          <w:tcPr>
            <w:tcW w:w="7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50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800" w:type="dxa"/>
            <w:vAlign w:val="bottom"/>
            <w:gridSpan w:val="4"/>
          </w:tcPr>
          <w:p>
            <w:pPr>
              <w:jc w:val="right"/>
              <w:ind w:right="28"/>
              <w:spacing w:after="0" w:line="202" w:lineRule="exact"/>
              <w:rPr>
                <w:sz w:val="20"/>
                <w:szCs w:val="20"/>
                <w:color w:val="auto"/>
              </w:rPr>
            </w:pPr>
            <w:r>
              <w:rPr>
                <w:rFonts w:ascii="Arial" w:cs="Arial" w:eastAsia="Arial" w:hAnsi="Arial"/>
                <w:sz w:val="18"/>
                <w:szCs w:val="18"/>
                <w:color w:val="auto"/>
                <w:w w:val="92"/>
              </w:rPr>
              <w:t>12,735</w:t>
            </w:r>
            <w:r>
              <w:rPr>
                <w:rFonts w:ascii="Arial" w:cs="Arial" w:eastAsia="Arial" w:hAnsi="Arial"/>
                <w:sz w:val="23"/>
                <w:szCs w:val="23"/>
                <w:color w:val="auto"/>
                <w:w w:val="92"/>
                <w:vertAlign w:val="superscript"/>
              </w:rPr>
              <w:t>(4)</w:t>
            </w:r>
          </w:p>
        </w:tc>
        <w:tc>
          <w:tcPr>
            <w:tcW w:w="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405,864</w:t>
            </w:r>
          </w:p>
        </w:tc>
        <w:tc>
          <w:tcPr>
            <w:tcW w:w="220" w:type="dxa"/>
            <w:vAlign w:val="bottom"/>
            <w:gridSpan w:val="2"/>
            <w:vMerge w:val="restart"/>
          </w:tcPr>
          <w:p>
            <w:pPr>
              <w:spacing w:after="0"/>
              <w:rPr>
                <w:sz w:val="20"/>
                <w:szCs w:val="20"/>
                <w:color w:val="auto"/>
              </w:rPr>
            </w:pPr>
            <w:r>
              <w:rPr>
                <w:rFonts w:ascii="Arial" w:cs="Arial" w:eastAsia="Arial" w:hAnsi="Arial"/>
                <w:sz w:val="18"/>
                <w:szCs w:val="18"/>
                <w:color w:val="auto"/>
              </w:rPr>
              <w:t>​​ ​</w:t>
            </w: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7,916</w:t>
            </w:r>
            <w:r>
              <w:rPr>
                <w:rFonts w:ascii="Arial" w:cs="Arial" w:eastAsia="Arial" w:hAnsi="Arial"/>
                <w:sz w:val="23"/>
                <w:szCs w:val="23"/>
                <w:color w:val="auto"/>
                <w:vertAlign w:val="superscript"/>
              </w:rPr>
              <w:t>(5)</w:t>
            </w:r>
          </w:p>
        </w:tc>
        <w:tc>
          <w:tcPr>
            <w:tcW w:w="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252,283</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760" w:type="dxa"/>
            <w:vAlign w:val="bottom"/>
          </w:tcPr>
          <w:p>
            <w:pPr>
              <w:ind w:left="280"/>
              <w:spacing w:after="0" w:line="54" w:lineRule="exact"/>
              <w:rPr>
                <w:sz w:val="20"/>
                <w:szCs w:val="20"/>
                <w:color w:val="auto"/>
              </w:rPr>
            </w:pPr>
            <w:r>
              <w:rPr>
                <w:rFonts w:ascii="Arial" w:cs="Arial" w:eastAsia="Arial" w:hAnsi="Arial"/>
                <w:sz w:val="6"/>
                <w:szCs w:val="6"/>
                <w:color w:val="auto"/>
              </w:rPr>
              <w:t>​</w:t>
            </w:r>
          </w:p>
        </w:tc>
        <w:tc>
          <w:tcPr>
            <w:tcW w:w="120" w:type="dxa"/>
            <w:vAlign w:val="bottom"/>
            <w:vMerge w:val="continue"/>
          </w:tcPr>
          <w:p>
            <w:pPr>
              <w:spacing w:after="0"/>
              <w:rPr>
                <w:sz w:val="4"/>
                <w:szCs w:val="4"/>
                <w:color w:val="auto"/>
              </w:rPr>
            </w:pPr>
          </w:p>
        </w:tc>
        <w:tc>
          <w:tcPr>
            <w:tcW w:w="820" w:type="dxa"/>
            <w:vAlign w:val="bottom"/>
          </w:tcPr>
          <w:p>
            <w:pPr>
              <w:ind w:left="300"/>
              <w:spacing w:after="0" w:line="54" w:lineRule="exact"/>
              <w:rPr>
                <w:sz w:val="20"/>
                <w:szCs w:val="20"/>
                <w:color w:val="auto"/>
              </w:rPr>
            </w:pPr>
            <w:r>
              <w:rPr>
                <w:rFonts w:ascii="Arial" w:cs="Arial" w:eastAsia="Arial" w:hAnsi="Arial"/>
                <w:sz w:val="6"/>
                <w:szCs w:val="6"/>
                <w:color w:val="auto"/>
              </w:rPr>
              <w:t>​</w:t>
            </w:r>
          </w:p>
        </w:tc>
        <w:tc>
          <w:tcPr>
            <w:tcW w:w="120" w:type="dxa"/>
            <w:vAlign w:val="bottom"/>
            <w:vMerge w:val="continue"/>
          </w:tcPr>
          <w:p>
            <w:pPr>
              <w:spacing w:after="0"/>
              <w:rPr>
                <w:sz w:val="4"/>
                <w:szCs w:val="4"/>
                <w:color w:val="auto"/>
              </w:rPr>
            </w:pPr>
          </w:p>
        </w:tc>
        <w:tc>
          <w:tcPr>
            <w:tcW w:w="500" w:type="dxa"/>
            <w:vAlign w:val="bottom"/>
          </w:tcPr>
          <w:p>
            <w:pPr>
              <w:ind w:left="140"/>
              <w:spacing w:after="0" w:line="54" w:lineRule="exact"/>
              <w:rPr>
                <w:sz w:val="20"/>
                <w:szCs w:val="20"/>
                <w:color w:val="auto"/>
              </w:rPr>
            </w:pPr>
            <w:r>
              <w:rPr>
                <w:rFonts w:ascii="Arial" w:cs="Arial" w:eastAsia="Arial" w:hAnsi="Arial"/>
                <w:sz w:val="6"/>
                <w:szCs w:val="6"/>
                <w:color w:val="auto"/>
              </w:rPr>
              <w:t>​</w:t>
            </w:r>
          </w:p>
        </w:tc>
        <w:tc>
          <w:tcPr>
            <w:tcW w:w="160" w:type="dxa"/>
            <w:vAlign w:val="bottom"/>
            <w:gridSpan w:val="2"/>
            <w:vMerge w:val="continue"/>
          </w:tcPr>
          <w:p>
            <w:pPr>
              <w:spacing w:after="0"/>
              <w:rPr>
                <w:sz w:val="4"/>
                <w:szCs w:val="4"/>
                <w:color w:val="auto"/>
              </w:rPr>
            </w:pPr>
          </w:p>
        </w:tc>
        <w:tc>
          <w:tcPr>
            <w:tcW w:w="600" w:type="dxa"/>
            <w:vAlign w:val="bottom"/>
          </w:tcPr>
          <w:p>
            <w:pPr>
              <w:ind w:left="160"/>
              <w:spacing w:after="0" w:line="54" w:lineRule="exact"/>
              <w:rPr>
                <w:sz w:val="20"/>
                <w:szCs w:val="20"/>
                <w:color w:val="auto"/>
              </w:rPr>
            </w:pPr>
            <w:r>
              <w:rPr>
                <w:rFonts w:ascii="Arial" w:cs="Arial" w:eastAsia="Arial" w:hAnsi="Arial"/>
                <w:sz w:val="6"/>
                <w:szCs w:val="6"/>
                <w:color w:val="auto"/>
              </w:rPr>
              <w:t>​</w:t>
            </w:r>
          </w:p>
        </w:tc>
        <w:tc>
          <w:tcPr>
            <w:tcW w:w="200" w:type="dxa"/>
            <w:vAlign w:val="bottom"/>
            <w:gridSpan w:val="2"/>
          </w:tcPr>
          <w:p>
            <w:pPr>
              <w:spacing w:after="0" w:line="54" w:lineRule="exact"/>
              <w:rPr>
                <w:sz w:val="20"/>
                <w:szCs w:val="20"/>
                <w:color w:val="auto"/>
              </w:rPr>
            </w:pPr>
            <w:r>
              <w:rPr>
                <w:rFonts w:ascii="Arial" w:cs="Arial" w:eastAsia="Arial" w:hAnsi="Arial"/>
                <w:sz w:val="6"/>
                <w:szCs w:val="6"/>
                <w:color w:val="auto"/>
              </w:rPr>
              <w:t>​​​ ​</w:t>
            </w:r>
          </w:p>
        </w:tc>
        <w:tc>
          <w:tcPr>
            <w:tcW w:w="540" w:type="dxa"/>
            <w:vAlign w:val="bottom"/>
          </w:tcPr>
          <w:p>
            <w:pPr>
              <w:spacing w:after="0"/>
              <w:rPr>
                <w:sz w:val="4"/>
                <w:szCs w:val="4"/>
                <w:color w:val="auto"/>
              </w:rPr>
            </w:pPr>
          </w:p>
        </w:tc>
        <w:tc>
          <w:tcPr>
            <w:tcW w:w="200" w:type="dxa"/>
            <w:vAlign w:val="bottom"/>
            <w:gridSpan w:val="3"/>
          </w:tcPr>
          <w:p>
            <w:pPr>
              <w:jc w:val="center"/>
              <w:spacing w:after="0" w:line="54" w:lineRule="exact"/>
              <w:rPr>
                <w:sz w:val="20"/>
                <w:szCs w:val="20"/>
                <w:color w:val="auto"/>
              </w:rPr>
            </w:pPr>
            <w:r>
              <w:rPr>
                <w:rFonts w:ascii="Arial" w:cs="Arial" w:eastAsia="Arial" w:hAnsi="Arial"/>
                <w:sz w:val="6"/>
                <w:szCs w:val="6"/>
                <w:color w:val="auto"/>
              </w:rPr>
              <w:t>​​​​</w:t>
            </w:r>
          </w:p>
        </w:tc>
        <w:tc>
          <w:tcPr>
            <w:tcW w:w="72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gridSpan w:val="3"/>
          </w:tcPr>
          <w:p>
            <w:pPr>
              <w:jc w:val="right"/>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78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Kevin P. Malcarney</w:t>
            </w:r>
          </w:p>
        </w:tc>
        <w:tc>
          <w:tcPr>
            <w:tcW w:w="760" w:type="dxa"/>
            <w:vAlign w:val="bottom"/>
            <w:tcBorders>
              <w:right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4"/>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w w:val="92"/>
              </w:rPr>
              <w:t>10,115</w:t>
            </w:r>
            <w:r>
              <w:rPr>
                <w:rFonts w:ascii="Arial" w:cs="Arial" w:eastAsia="Arial" w:hAnsi="Arial"/>
                <w:sz w:val="23"/>
                <w:szCs w:val="23"/>
                <w:color w:val="auto"/>
                <w:w w:val="92"/>
                <w:vertAlign w:val="superscript"/>
              </w:rPr>
              <w:t>(6)</w:t>
            </w:r>
          </w:p>
        </w:tc>
        <w:tc>
          <w:tcPr>
            <w:tcW w:w="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322,365</w:t>
            </w:r>
          </w:p>
        </w:tc>
        <w:tc>
          <w:tcPr>
            <w:tcW w:w="2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74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32,001</w:t>
            </w:r>
            <w:r>
              <w:rPr>
                <w:rFonts w:ascii="Arial" w:cs="Arial" w:eastAsia="Arial" w:hAnsi="Arial"/>
                <w:sz w:val="23"/>
                <w:szCs w:val="23"/>
                <w:color w:val="auto"/>
                <w:w w:val="89"/>
                <w:vertAlign w:val="superscript"/>
              </w:rPr>
              <w:t>(7)</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1,019,872</w:t>
            </w:r>
          </w:p>
        </w:tc>
        <w:tc>
          <w:tcPr>
            <w:tcW w:w="0" w:type="dxa"/>
            <w:vAlign w:val="bottom"/>
          </w:tcPr>
          <w:p>
            <w:pPr>
              <w:spacing w:after="0"/>
              <w:rPr>
                <w:sz w:val="1"/>
                <w:szCs w:val="1"/>
                <w:color w:val="auto"/>
              </w:rPr>
            </w:pPr>
          </w:p>
        </w:tc>
      </w:tr>
      <w:tr>
        <w:trPr>
          <w:trHeight w:val="54"/>
        </w:trPr>
        <w:tc>
          <w:tcPr>
            <w:tcW w:w="1780" w:type="dxa"/>
            <w:vAlign w:val="bottom"/>
            <w:tcBorders>
              <w:right w:val="single" w:sz="8" w:color="CCEEFF"/>
            </w:tcBorders>
            <w:shd w:val="clear" w:color="auto" w:fill="CCEEFF"/>
          </w:tcPr>
          <w:p>
            <w:pPr>
              <w:spacing w:after="0"/>
              <w:rPr>
                <w:sz w:val="4"/>
                <w:szCs w:val="4"/>
                <w:color w:val="auto"/>
              </w:rPr>
            </w:pPr>
          </w:p>
        </w:tc>
        <w:tc>
          <w:tcPr>
            <w:tcW w:w="760" w:type="dxa"/>
            <w:vAlign w:val="bottom"/>
            <w:tcBorders>
              <w:right w:val="single" w:sz="8" w:color="CCEEFF"/>
            </w:tcBorders>
            <w:shd w:val="clear" w:color="auto" w:fill="CCEEFF"/>
          </w:tcPr>
          <w:p>
            <w:pPr>
              <w:ind w:left="280"/>
              <w:spacing w:after="0" w:line="54" w:lineRule="exact"/>
              <w:rPr>
                <w:sz w:val="20"/>
                <w:szCs w:val="20"/>
                <w:color w:val="auto"/>
              </w:rPr>
            </w:pPr>
            <w:r>
              <w:rPr>
                <w:rFonts w:ascii="Arial" w:cs="Arial" w:eastAsia="Arial" w:hAnsi="Arial"/>
                <w:sz w:val="6"/>
                <w:szCs w:val="6"/>
                <w:color w:val="auto"/>
              </w:rPr>
              <w:t>​</w:t>
            </w:r>
          </w:p>
        </w:tc>
        <w:tc>
          <w:tcPr>
            <w:tcW w:w="120" w:type="dxa"/>
            <w:vAlign w:val="bottom"/>
            <w:tcBorders>
              <w:right w:val="single" w:sz="8" w:color="CCEEFF"/>
            </w:tcBorders>
            <w:vMerge w:val="continue"/>
            <w:shd w:val="clear" w:color="auto" w:fill="CCEEFF"/>
          </w:tcPr>
          <w:p>
            <w:pPr>
              <w:spacing w:after="0"/>
              <w:rPr>
                <w:sz w:val="4"/>
                <w:szCs w:val="4"/>
                <w:color w:val="auto"/>
              </w:rPr>
            </w:pPr>
          </w:p>
        </w:tc>
        <w:tc>
          <w:tcPr>
            <w:tcW w:w="820" w:type="dxa"/>
            <w:vAlign w:val="bottom"/>
            <w:tcBorders>
              <w:right w:val="single" w:sz="8" w:color="CCEEFF"/>
            </w:tcBorders>
            <w:shd w:val="clear" w:color="auto" w:fill="CCEEFF"/>
          </w:tcPr>
          <w:p>
            <w:pPr>
              <w:ind w:left="300"/>
              <w:spacing w:after="0" w:line="54" w:lineRule="exact"/>
              <w:rPr>
                <w:sz w:val="20"/>
                <w:szCs w:val="20"/>
                <w:color w:val="auto"/>
              </w:rPr>
            </w:pPr>
            <w:r>
              <w:rPr>
                <w:rFonts w:ascii="Arial" w:cs="Arial" w:eastAsia="Arial" w:hAnsi="Arial"/>
                <w:sz w:val="6"/>
                <w:szCs w:val="6"/>
                <w:color w:val="auto"/>
              </w:rPr>
              <w:t>​</w:t>
            </w:r>
          </w:p>
        </w:tc>
        <w:tc>
          <w:tcPr>
            <w:tcW w:w="120" w:type="dxa"/>
            <w:vAlign w:val="bottom"/>
            <w:tcBorders>
              <w:right w:val="single" w:sz="8" w:color="CCEEFF"/>
            </w:tcBorders>
            <w:vMerge w:val="continue"/>
            <w:shd w:val="clear" w:color="auto" w:fill="CCEEFF"/>
          </w:tcPr>
          <w:p>
            <w:pPr>
              <w:spacing w:after="0"/>
              <w:rPr>
                <w:sz w:val="4"/>
                <w:szCs w:val="4"/>
                <w:color w:val="auto"/>
              </w:rPr>
            </w:pPr>
          </w:p>
        </w:tc>
        <w:tc>
          <w:tcPr>
            <w:tcW w:w="500" w:type="dxa"/>
            <w:vAlign w:val="bottom"/>
            <w:tcBorders>
              <w:right w:val="single" w:sz="8" w:color="CCEEFF"/>
            </w:tcBorders>
            <w:shd w:val="clear" w:color="auto" w:fill="CCEEFF"/>
          </w:tcPr>
          <w:p>
            <w:pPr>
              <w:ind w:left="140"/>
              <w:spacing w:after="0" w:line="54" w:lineRule="exact"/>
              <w:rPr>
                <w:sz w:val="20"/>
                <w:szCs w:val="20"/>
                <w:color w:val="auto"/>
              </w:rPr>
            </w:pPr>
            <w:r>
              <w:rPr>
                <w:rFonts w:ascii="Arial" w:cs="Arial" w:eastAsia="Arial" w:hAnsi="Arial"/>
                <w:sz w:val="6"/>
                <w:szCs w:val="6"/>
                <w:color w:val="auto"/>
              </w:rPr>
              <w:t>​</w:t>
            </w:r>
          </w:p>
        </w:tc>
        <w:tc>
          <w:tcPr>
            <w:tcW w:w="160" w:type="dxa"/>
            <w:vAlign w:val="bottom"/>
            <w:gridSpan w:val="2"/>
            <w:vMerge w:val="continue"/>
            <w:shd w:val="clear" w:color="auto" w:fill="CCEEFF"/>
          </w:tcPr>
          <w:p>
            <w:pPr>
              <w:spacing w:after="0"/>
              <w:rPr>
                <w:sz w:val="4"/>
                <w:szCs w:val="4"/>
                <w:color w:val="auto"/>
              </w:rPr>
            </w:pPr>
          </w:p>
        </w:tc>
        <w:tc>
          <w:tcPr>
            <w:tcW w:w="600" w:type="dxa"/>
            <w:vAlign w:val="bottom"/>
            <w:tcBorders>
              <w:right w:val="single" w:sz="8" w:color="CCEEFF"/>
            </w:tcBorders>
            <w:shd w:val="clear" w:color="auto" w:fill="CCEEFF"/>
          </w:tcPr>
          <w:p>
            <w:pPr>
              <w:ind w:left="160"/>
              <w:spacing w:after="0" w:line="54" w:lineRule="exact"/>
              <w:rPr>
                <w:sz w:val="20"/>
                <w:szCs w:val="20"/>
                <w:color w:val="auto"/>
              </w:rPr>
            </w:pPr>
            <w:r>
              <w:rPr>
                <w:rFonts w:ascii="Arial" w:cs="Arial" w:eastAsia="Arial" w:hAnsi="Arial"/>
                <w:sz w:val="6"/>
                <w:szCs w:val="6"/>
                <w:color w:val="auto"/>
              </w:rPr>
              <w:t>​</w:t>
            </w:r>
          </w:p>
        </w:tc>
        <w:tc>
          <w:tcPr>
            <w:tcW w:w="200" w:type="dxa"/>
            <w:vAlign w:val="bottom"/>
            <w:gridSpan w:val="2"/>
            <w:shd w:val="clear" w:color="auto" w:fill="CCEEFF"/>
          </w:tcPr>
          <w:p>
            <w:pPr>
              <w:spacing w:after="0" w:line="54" w:lineRule="exact"/>
              <w:rPr>
                <w:sz w:val="20"/>
                <w:szCs w:val="20"/>
                <w:color w:val="auto"/>
              </w:rPr>
            </w:pPr>
            <w:r>
              <w:rPr>
                <w:rFonts w:ascii="Arial" w:cs="Arial" w:eastAsia="Arial" w:hAnsi="Arial"/>
                <w:sz w:val="6"/>
                <w:szCs w:val="6"/>
                <w:color w:val="auto"/>
              </w:rPr>
              <w:t>​​​ ​</w:t>
            </w:r>
          </w:p>
        </w:tc>
        <w:tc>
          <w:tcPr>
            <w:tcW w:w="540" w:type="dxa"/>
            <w:vAlign w:val="bottom"/>
            <w:shd w:val="clear" w:color="auto" w:fill="CCEEFF"/>
          </w:tcPr>
          <w:p>
            <w:pPr>
              <w:spacing w:after="0"/>
              <w:rPr>
                <w:sz w:val="4"/>
                <w:szCs w:val="4"/>
                <w:color w:val="auto"/>
              </w:rPr>
            </w:pPr>
          </w:p>
        </w:tc>
        <w:tc>
          <w:tcPr>
            <w:tcW w:w="200" w:type="dxa"/>
            <w:vAlign w:val="bottom"/>
            <w:gridSpan w:val="3"/>
            <w:shd w:val="clear" w:color="auto" w:fill="CCEEFF"/>
          </w:tcPr>
          <w:p>
            <w:pPr>
              <w:jc w:val="center"/>
              <w:spacing w:after="0" w:line="54" w:lineRule="exact"/>
              <w:rPr>
                <w:sz w:val="20"/>
                <w:szCs w:val="20"/>
                <w:color w:val="auto"/>
              </w:rPr>
            </w:pPr>
            <w:r>
              <w:rPr>
                <w:rFonts w:ascii="Arial" w:cs="Arial" w:eastAsia="Arial" w:hAnsi="Arial"/>
                <w:sz w:val="6"/>
                <w:szCs w:val="6"/>
                <w:color w:val="auto"/>
              </w:rPr>
              <w:t>​​​​</w:t>
            </w:r>
          </w:p>
        </w:tc>
        <w:tc>
          <w:tcPr>
            <w:tcW w:w="720" w:type="dxa"/>
            <w:vAlign w:val="bottom"/>
            <w:tcBorders>
              <w:right w:val="single" w:sz="8" w:color="CCEEFF"/>
            </w:tcBorders>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00" w:type="dxa"/>
            <w:vAlign w:val="bottom"/>
            <w:gridSpan w:val="3"/>
            <w:shd w:val="clear" w:color="auto" w:fill="CCEEFF"/>
          </w:tcPr>
          <w:p>
            <w:pPr>
              <w:jc w:val="right"/>
              <w:spacing w:after="0" w:line="54" w:lineRule="exact"/>
              <w:rPr>
                <w:sz w:val="20"/>
                <w:szCs w:val="20"/>
                <w:color w:val="auto"/>
              </w:rPr>
            </w:pPr>
            <w:r>
              <w:rPr>
                <w:rFonts w:ascii="Arial" w:cs="Arial" w:eastAsia="Arial" w:hAnsi="Arial"/>
                <w:sz w:val="6"/>
                <w:szCs w:val="6"/>
                <w:color w:val="auto"/>
              </w:rPr>
              <w:t>​​​​</w:t>
            </w:r>
          </w:p>
        </w:tc>
        <w:tc>
          <w:tcPr>
            <w:tcW w:w="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1780" w:type="dxa"/>
            <w:vAlign w:val="bottom"/>
          </w:tcPr>
          <w:p>
            <w:pPr>
              <w:spacing w:after="0"/>
              <w:rPr>
                <w:sz w:val="20"/>
                <w:szCs w:val="20"/>
                <w:color w:val="auto"/>
              </w:rPr>
            </w:pPr>
            <w:r>
              <w:rPr>
                <w:rFonts w:ascii="Arial" w:cs="Arial" w:eastAsia="Arial" w:hAnsi="Arial"/>
                <w:sz w:val="18"/>
                <w:szCs w:val="18"/>
                <w:b w:val="1"/>
                <w:bCs w:val="1"/>
                <w:color w:val="auto"/>
              </w:rPr>
              <w:t>Chad Plotkin</w:t>
            </w:r>
            <w:r>
              <w:rPr>
                <w:rFonts w:ascii="Arial" w:cs="Arial" w:eastAsia="Arial" w:hAnsi="Arial"/>
                <w:sz w:val="23"/>
                <w:szCs w:val="23"/>
                <w:color w:val="auto"/>
                <w:vertAlign w:val="superscript"/>
              </w:rPr>
              <w:t>(8)</w:t>
            </w:r>
          </w:p>
        </w:tc>
        <w:tc>
          <w:tcPr>
            <w:tcW w:w="760" w:type="dxa"/>
            <w:vAlign w:val="bottom"/>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ind w:lef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54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520"/>
              <w:spacing w:after="0"/>
              <w:rPr>
                <w:sz w:val="20"/>
                <w:szCs w:val="20"/>
                <w:color w:val="auto"/>
              </w:rPr>
            </w:pPr>
            <w:r>
              <w:rPr>
                <w:rFonts w:ascii="Arial" w:cs="Arial" w:eastAsia="Arial" w:hAnsi="Arial"/>
                <w:sz w:val="18"/>
                <w:szCs w:val="18"/>
                <w:color w:val="auto"/>
              </w:rPr>
              <w:t>— ​​ ​</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5454650</wp:posOffset>
            </wp:positionH>
            <wp:positionV relativeFrom="paragraph">
              <wp:posOffset>-694690</wp:posOffset>
            </wp:positionV>
            <wp:extent cx="857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-694690</wp:posOffset>
            </wp:positionV>
            <wp:extent cx="857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-694690</wp:posOffset>
            </wp:positionV>
            <wp:extent cx="857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-694690</wp:posOffset>
            </wp:positionV>
            <wp:extent cx="514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-694690</wp:posOffset>
            </wp:positionV>
            <wp:extent cx="514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-694690</wp:posOffset>
            </wp:positionV>
            <wp:extent cx="514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-694690</wp:posOffset>
            </wp:positionV>
            <wp:extent cx="514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-694690</wp:posOffset>
            </wp:positionV>
            <wp:extent cx="342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127635</wp:posOffset>
            </wp:positionV>
            <wp:extent cx="12344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9" w:lineRule="exact"/>
        <w:rPr>
          <w:sz w:val="20"/>
          <w:szCs w:val="20"/>
          <w:color w:val="auto"/>
        </w:rPr>
      </w:pPr>
    </w:p>
    <w:p>
      <w:pPr>
        <w:ind w:left="1620" w:right="559" w:hanging="360"/>
        <w:spacing w:after="0" w:line="277" w:lineRule="auto"/>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Assumes achievement at target award level for 2020, 2021 and 2022 RPSU awards as discussed in the CD&amp;A.</w:t>
      </w:r>
    </w:p>
    <w:p>
      <w:pPr>
        <w:spacing w:after="0" w:line="21" w:lineRule="exact"/>
        <w:rPr>
          <w:rFonts w:ascii="Arial" w:cs="Arial" w:eastAsia="Arial" w:hAnsi="Arial"/>
          <w:sz w:val="18"/>
          <w:szCs w:val="18"/>
          <w:color w:val="auto"/>
        </w:rPr>
      </w:pPr>
    </w:p>
    <w:p>
      <w:pPr>
        <w:ind w:left="1620" w:right="659" w:hanging="360"/>
        <w:spacing w:after="0" w:line="263" w:lineRule="auto"/>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amount represents 22,819 RSUs and 1,868 DERs that will vest on April 15, 2023, 13,482 RSUs and 715 DERs that will vest on April 15, 2024, and 6,745 RSUs and 207 DERs that will vest on April 15, 2025.</w:t>
      </w:r>
    </w:p>
    <w:p>
      <w:pPr>
        <w:spacing w:after="0" w:line="35" w:lineRule="exact"/>
        <w:rPr>
          <w:rFonts w:ascii="Arial" w:cs="Arial" w:eastAsia="Arial" w:hAnsi="Arial"/>
          <w:sz w:val="18"/>
          <w:szCs w:val="18"/>
          <w:color w:val="auto"/>
        </w:rPr>
      </w:pPr>
    </w:p>
    <w:p>
      <w:pPr>
        <w:ind w:left="1620" w:right="459" w:hanging="360"/>
        <w:spacing w:after="0" w:line="263" w:lineRule="auto"/>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amount represents 56,792 RPSUs and 7,014 DERs that will vest on April 15, 2023, 41,319 RPSUs and 3,114 DERs that will vest on April 15, 2024, and 39,607 RPSUs and 1,216 DERs that will vest on April 15, 2025.</w:t>
      </w:r>
    </w:p>
    <w:p>
      <w:pPr>
        <w:spacing w:after="0" w:line="48" w:lineRule="exact"/>
        <w:rPr>
          <w:rFonts w:ascii="Arial" w:cs="Arial" w:eastAsia="Arial" w:hAnsi="Arial"/>
          <w:sz w:val="18"/>
          <w:szCs w:val="18"/>
          <w:color w:val="auto"/>
        </w:rPr>
      </w:pPr>
    </w:p>
    <w:p>
      <w:pPr>
        <w:jc w:val="both"/>
        <w:ind w:left="1620" w:right="639" w:hanging="360"/>
        <w:spacing w:after="0" w:line="263" w:lineRule="auto"/>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amount represents 5,115 RSUs and 391 DERs that will vest on April 15, 2023, 1,711 RSUs and 169 DERs that will vest on November 2, 2023, 3,775 RSUs and 226 DERs that will vest on April 15, 2024, and 1,308 RSUs and 40 DERs that will vest on April 15, 2025.</w:t>
      </w:r>
    </w:p>
    <w:p>
      <w:pPr>
        <w:spacing w:after="0" w:line="35" w:lineRule="exact"/>
        <w:rPr>
          <w:rFonts w:ascii="Arial" w:cs="Arial" w:eastAsia="Arial" w:hAnsi="Arial"/>
          <w:sz w:val="18"/>
          <w:szCs w:val="18"/>
          <w:color w:val="auto"/>
        </w:rPr>
      </w:pPr>
    </w:p>
    <w:p>
      <w:pPr>
        <w:ind w:left="1620" w:hanging="360"/>
        <w:spacing w:after="0"/>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amount represents 7,681 RPSUs and 235 DERs that will vest on April 15, 2025.</w:t>
      </w:r>
    </w:p>
    <w:p>
      <w:pPr>
        <w:spacing w:after="0" w:line="76" w:lineRule="exact"/>
        <w:rPr>
          <w:rFonts w:ascii="Arial" w:cs="Arial" w:eastAsia="Arial" w:hAnsi="Arial"/>
          <w:sz w:val="18"/>
          <w:szCs w:val="18"/>
          <w:color w:val="auto"/>
        </w:rPr>
      </w:pPr>
    </w:p>
    <w:p>
      <w:pPr>
        <w:jc w:val="both"/>
        <w:ind w:left="1620" w:right="659" w:hanging="360"/>
        <w:spacing w:after="0" w:line="286" w:lineRule="auto"/>
        <w:tabs>
          <w:tab w:leader="none" w:pos="1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This amount represents 4,778 RSUs and 373 DERs that will vest on April 15, 2023, 3,141 RSUs and 164 DERs that will vest on April 15, 2024, and 1,610 RSUs and 49 DERs that will vest on April 15, 2025. Amounts do not include shares withheld for payment of taxes due to retirement eligibility.</w:t>
      </w:r>
    </w:p>
    <w:p>
      <w:pPr>
        <w:spacing w:after="0" w:line="30" w:lineRule="exact"/>
        <w:rPr>
          <w:rFonts w:ascii="Arial" w:cs="Arial" w:eastAsia="Arial" w:hAnsi="Arial"/>
          <w:sz w:val="17"/>
          <w:szCs w:val="17"/>
          <w:color w:val="auto"/>
        </w:rPr>
      </w:pPr>
    </w:p>
    <w:p>
      <w:pPr>
        <w:ind w:left="1620" w:right="539" w:hanging="360"/>
        <w:spacing w:after="0" w:line="263" w:lineRule="auto"/>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amount represents 10,827 RPSUs and 1,337 DERs that will vest on April 15, 2023, 9,387 RPSUs and 707 DERs that will vest on April 15, 2024, and 9,453 RPSUs and 290 DERs that will vest on April 15, 2025.</w:t>
      </w:r>
    </w:p>
    <w:p>
      <w:pPr>
        <w:spacing w:after="0" w:line="35" w:lineRule="exact"/>
        <w:rPr>
          <w:rFonts w:ascii="Arial" w:cs="Arial" w:eastAsia="Arial" w:hAnsi="Arial"/>
          <w:sz w:val="18"/>
          <w:szCs w:val="18"/>
          <w:color w:val="auto"/>
        </w:rPr>
      </w:pPr>
    </w:p>
    <w:p>
      <w:pPr>
        <w:ind w:left="1620" w:hanging="360"/>
        <w:spacing w:after="0"/>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Mr. Plotkin voluntarily resigned from his employment with the Company in August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Option Exercises and Stock Vested</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Fiscal Year Ended December 31, 2022</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7"/>
              </w:rPr>
              <w:t>Value Realized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6"/>
              </w:rPr>
              <w:t>on Exercise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38"/>
              <w:spacing w:after="0"/>
              <w:rPr>
                <w:sz w:val="20"/>
                <w:szCs w:val="20"/>
                <w:color w:val="auto"/>
              </w:rPr>
            </w:pPr>
            <w:r>
              <w:rPr>
                <w:rFonts w:ascii="Arial" w:cs="Arial" w:eastAsia="Arial" w:hAnsi="Arial"/>
                <w:sz w:val="14"/>
                <w:szCs w:val="14"/>
                <w:b w:val="1"/>
                <w:bCs w:val="1"/>
                <w:color w:val="auto"/>
                <w:w w:val="96"/>
              </w:rPr>
              <w:t>on Exercise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Acquired on Vesting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Value Realized on</w:t>
            </w:r>
          </w:p>
        </w:tc>
        <w:tc>
          <w:tcPr>
            <w:tcW w:w="40" w:type="dxa"/>
            <w:vAlign w:val="bottom"/>
          </w:tcPr>
          <w:p>
            <w:pPr>
              <w:spacing w:after="0"/>
              <w:rPr>
                <w:sz w:val="14"/>
                <w:szCs w:val="14"/>
                <w:color w:val="auto"/>
              </w:rPr>
            </w:pPr>
          </w:p>
        </w:tc>
      </w:tr>
      <w:tr>
        <w:trPr>
          <w:trHeight w:val="212"/>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line="212" w:lineRule="exact"/>
              <w:rPr>
                <w:sz w:val="20"/>
                <w:szCs w:val="20"/>
                <w:color w:val="auto"/>
              </w:rPr>
            </w:pPr>
            <w:r>
              <w:rPr>
                <w:rFonts w:ascii="Arial" w:cs="Arial" w:eastAsia="Arial" w:hAnsi="Arial"/>
                <w:sz w:val="24"/>
                <w:szCs w:val="24"/>
                <w:b w:val="1"/>
                <w:bCs w:val="1"/>
                <w:color w:val="auto"/>
                <w:w w:val="88"/>
                <w:vertAlign w:val="subscript"/>
              </w:rPr>
              <w:t>(#)</w:t>
            </w:r>
            <w:r>
              <w:rPr>
                <w:rFonts w:ascii="Arial" w:cs="Arial" w:eastAsia="Arial" w:hAnsi="Arial"/>
                <w:sz w:val="8"/>
                <w:szCs w:val="8"/>
                <w:b w:val="1"/>
                <w:bCs w:val="1"/>
                <w:color w:val="auto"/>
                <w:w w:val="88"/>
              </w:rPr>
              <w:t>(1)</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Vesting ($)</w:t>
            </w:r>
            <w:r>
              <w:rPr>
                <w:rFonts w:ascii="Arial" w:cs="Arial" w:eastAsia="Arial" w:hAnsi="Arial"/>
                <w:sz w:val="17"/>
                <w:szCs w:val="17"/>
                <w:b w:val="1"/>
                <w:bCs w:val="1"/>
                <w:color w:val="auto"/>
                <w:vertAlign w:val="superscript"/>
              </w:rPr>
              <w:t>(2)</w:t>
            </w:r>
          </w:p>
        </w:tc>
        <w:tc>
          <w:tcPr>
            <w:tcW w:w="40" w:type="dxa"/>
            <w:vAlign w:val="bottom"/>
          </w:tcPr>
          <w:p>
            <w:pPr>
              <w:spacing w:after="0"/>
              <w:rPr>
                <w:sz w:val="18"/>
                <w:szCs w:val="18"/>
                <w:color w:val="auto"/>
              </w:rPr>
            </w:pPr>
          </w:p>
        </w:tc>
      </w:tr>
      <w:tr>
        <w:trPr>
          <w:trHeight w:val="277"/>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Christopher S. Sotos</w:t>
            </w:r>
          </w:p>
        </w:tc>
        <w:tc>
          <w:tcPr>
            <w:tcW w:w="70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spacing w:after="0" w:line="276" w:lineRule="exact"/>
              <w:rPr>
                <w:sz w:val="20"/>
                <w:szCs w:val="20"/>
                <w:color w:val="auto"/>
              </w:rPr>
            </w:pPr>
            <w:r>
              <w:rPr>
                <w:rFonts w:ascii="Arial" w:cs="Arial" w:eastAsia="Arial" w:hAnsi="Arial"/>
                <w:sz w:val="32"/>
                <w:szCs w:val="32"/>
                <w:color w:val="auto"/>
                <w:w w:val="94"/>
                <w:vertAlign w:val="subscript"/>
              </w:rPr>
              <w:t>​</w:t>
            </w:r>
            <w:r>
              <w:rPr>
                <w:rFonts w:ascii="Arial" w:cs="Arial" w:eastAsia="Arial" w:hAnsi="Arial"/>
                <w:sz w:val="17"/>
                <w:szCs w:val="17"/>
                <w:color w:val="auto"/>
                <w:w w:val="94"/>
              </w:rPr>
              <w:t>122,092</w:t>
            </w:r>
            <w:r>
              <w:rPr>
                <w:rFonts w:ascii="Arial" w:cs="Arial" w:eastAsia="Arial" w:hAnsi="Arial"/>
                <w:sz w:val="21"/>
                <w:szCs w:val="21"/>
                <w:color w:val="auto"/>
                <w:w w:val="94"/>
                <w:vertAlign w:val="superscript"/>
              </w:rPr>
              <w:t>(3)</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​4,368,298</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83"/>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Sarah Rubenstein</w:t>
            </w:r>
          </w:p>
        </w:tc>
        <w:tc>
          <w:tcPr>
            <w:tcW w:w="700" w:type="dxa"/>
            <w:vAlign w:val="bottom"/>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cente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6,668</w:t>
            </w:r>
            <w:r>
              <w:rPr>
                <w:rFonts w:ascii="Arial" w:cs="Arial" w:eastAsia="Arial" w:hAnsi="Arial"/>
                <w:sz w:val="21"/>
                <w:szCs w:val="21"/>
                <w:color w:val="auto"/>
                <w:vertAlign w:val="superscript"/>
              </w:rPr>
              <w:t>(4)</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w w:val="95"/>
              </w:rPr>
              <w:t>227,324</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83"/>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Kevin P. Malcarney</w:t>
            </w:r>
          </w:p>
        </w:tc>
        <w:tc>
          <w:tcPr>
            <w:tcW w:w="70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24,283</w:t>
            </w:r>
            <w:r>
              <w:rPr>
                <w:rFonts w:ascii="Arial" w:cs="Arial" w:eastAsia="Arial" w:hAnsi="Arial"/>
                <w:sz w:val="21"/>
                <w:szCs w:val="21"/>
                <w:color w:val="auto"/>
                <w:vertAlign w:val="superscript"/>
              </w:rPr>
              <w:t>(5)</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5"/>
              </w:rPr>
              <w:t>868,759</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471"/>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Chad Plotkin</w:t>
            </w:r>
            <w:r>
              <w:rPr>
                <w:rFonts w:ascii="Arial" w:cs="Arial" w:eastAsia="Arial" w:hAnsi="Arial"/>
                <w:sz w:val="23"/>
                <w:szCs w:val="23"/>
                <w:color w:val="auto"/>
                <w:vertAlign w:val="superscript"/>
              </w:rPr>
              <w:t>(7)</w:t>
            </w:r>
          </w:p>
        </w:tc>
        <w:tc>
          <w:tcPr>
            <w:tcW w:w="700" w:type="dxa"/>
            <w:vAlign w:val="bottom"/>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center"/>
              <w:spacing w:after="0"/>
              <w:rPr>
                <w:sz w:val="20"/>
                <w:szCs w:val="20"/>
                <w:color w:val="auto"/>
              </w:rPr>
            </w:pPr>
            <w:r>
              <w:rPr>
                <w:rFonts w:ascii="Arial" w:cs="Arial" w:eastAsia="Arial" w:hAnsi="Arial"/>
                <w:sz w:val="35"/>
                <w:szCs w:val="35"/>
                <w:color w:val="auto"/>
                <w:w w:val="93"/>
                <w:vertAlign w:val="subscript"/>
              </w:rPr>
              <w:t>​</w:t>
            </w:r>
            <w:r>
              <w:rPr>
                <w:rFonts w:ascii="Arial" w:cs="Arial" w:eastAsia="Arial" w:hAnsi="Arial"/>
                <w:sz w:val="18"/>
                <w:szCs w:val="18"/>
                <w:color w:val="auto"/>
                <w:w w:val="93"/>
              </w:rPr>
              <w:t xml:space="preserve"> 37,567</w:t>
            </w:r>
            <w:r>
              <w:rPr>
                <w:rFonts w:ascii="Arial" w:cs="Arial" w:eastAsia="Arial" w:hAnsi="Arial"/>
                <w:sz w:val="23"/>
                <w:szCs w:val="23"/>
                <w:color w:val="auto"/>
                <w:w w:val="93"/>
                <w:vertAlign w:val="superscript"/>
              </w:rPr>
              <w:t>(6)</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​1,344,742</w:t>
            </w:r>
          </w:p>
        </w:tc>
        <w:tc>
          <w:tcPr>
            <w:tcW w:w="4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5180330</wp:posOffset>
            </wp:positionH>
            <wp:positionV relativeFrom="paragraph">
              <wp:posOffset>-847090</wp:posOffset>
            </wp:positionV>
            <wp:extent cx="1371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-847090</wp:posOffset>
            </wp:positionV>
            <wp:extent cx="137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-847090</wp:posOffset>
            </wp:positionV>
            <wp:extent cx="1371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-847090</wp:posOffset>
            </wp:positionV>
            <wp:extent cx="1371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26670</wp:posOffset>
            </wp:positionV>
            <wp:extent cx="12344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6" w:lineRule="exact"/>
        <w:rPr>
          <w:sz w:val="20"/>
          <w:szCs w:val="20"/>
          <w:color w:val="auto"/>
        </w:rPr>
      </w:pPr>
    </w:p>
    <w:p>
      <w:pPr>
        <w:ind w:left="1620" w:right="459" w:hanging="360"/>
        <w:spacing w:after="0" w:line="277"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shares and DERs that vested pursuant to underlying awards and converted to Class C common stock in 2022.</w:t>
      </w:r>
    </w:p>
    <w:p>
      <w:pPr>
        <w:spacing w:after="0" w:line="8" w:lineRule="exact"/>
        <w:rPr>
          <w:rFonts w:ascii="Arial" w:cs="Arial" w:eastAsia="Arial" w:hAnsi="Arial"/>
          <w:sz w:val="18"/>
          <w:szCs w:val="18"/>
          <w:color w:val="auto"/>
        </w:rPr>
      </w:pPr>
    </w:p>
    <w:p>
      <w:pPr>
        <w:ind w:left="1620" w:right="439" w:hanging="360"/>
        <w:spacing w:after="0" w:line="271" w:lineRule="auto"/>
        <w:tabs>
          <w:tab w:leader="none" w:pos="16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values are based on the December 31, 2021 Class C common stock closing share price of $36.03 for awards and DERs that vested on January 2, 2022, the April 14, 2022 Class C common stock closing share price of $34.24 for awards and DERs that vested on April 15, 2022, the October 14, 2022 Class C common stock closing share price of $31.26 for awards and DERs that vested on October 15, 2022, the November 2, 2022 Class C common stock closing share price of $34.91 for awards and DERs that vested on November 2, 2022. The values for retirement eligible NEOs are based on the Class C common stock closing share price on the dates the awards became eligible for continued vesting and shares and DERs were withheld to cover certain tax withholding obligations.</w:t>
      </w:r>
    </w:p>
    <w:p>
      <w:pPr>
        <w:spacing w:after="0" w:line="29" w:lineRule="exact"/>
        <w:rPr>
          <w:rFonts w:ascii="Arial" w:cs="Arial" w:eastAsia="Arial" w:hAnsi="Arial"/>
          <w:sz w:val="17"/>
          <w:szCs w:val="17"/>
          <w:color w:val="auto"/>
        </w:rPr>
      </w:pPr>
    </w:p>
    <w:p>
      <w:pPr>
        <w:ind w:left="1620" w:right="459" w:hanging="360"/>
        <w:spacing w:after="0" w:line="257"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9,789 RSUs, 82,007 RPSUs and 13,100 DERs that vested on January 2, 2022 pursuant to the stock compensation awards granted on January 2, 2019. Represents 9,329 RSUs and 839 DERs that vested on April 15, 2022 pursuant to the stock compensation award granted on April 15, 2020. Represents 6,737 RSUs and 291 DERs that vested on April 15, 2022 pursuant to the stock compensation award granted on April 15, 2021.</w:t>
      </w:r>
    </w:p>
    <w:p>
      <w:pPr>
        <w:spacing w:after="0" w:line="25" w:lineRule="exact"/>
        <w:rPr>
          <w:rFonts w:ascii="Arial" w:cs="Arial" w:eastAsia="Arial" w:hAnsi="Arial"/>
          <w:sz w:val="18"/>
          <w:szCs w:val="18"/>
          <w:color w:val="auto"/>
        </w:rPr>
      </w:pPr>
    </w:p>
    <w:p>
      <w:pPr>
        <w:ind w:left="1620" w:right="459" w:hanging="360"/>
        <w:spacing w:after="0" w:line="255"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689 RSUs and 92 DERs that vested on October 15, 2022 pursuant to the stock compensation award granted on October 15, 2019. Represents 1,343 RSUs and 120 DERs that vested on April 15, 2022 pursuant to the stock compensation award granted on April 15, 2020. Represents 1,706 RSUs and 149 DERs that vested on November 2, 2022 pursuant to the stock compensation award granted on November 2, 2020. Represents 2,463 RSUs and 106 DERs that vested on April 15, 2022 pursuant to the stock compensation award granted on April 15, 2021.</w:t>
      </w:r>
    </w:p>
    <w:p>
      <w:pPr>
        <w:spacing w:after="0" w:line="43" w:lineRule="exact"/>
        <w:rPr>
          <w:rFonts w:ascii="Arial" w:cs="Arial" w:eastAsia="Arial" w:hAnsi="Arial"/>
          <w:sz w:val="18"/>
          <w:szCs w:val="18"/>
          <w:color w:val="auto"/>
        </w:rPr>
      </w:pPr>
    </w:p>
    <w:p>
      <w:pPr>
        <w:ind w:left="1620" w:right="479" w:hanging="360"/>
        <w:spacing w:after="0" w:line="254"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1,923 RSUs, 16,107 RPSUs and 2,572 DERs that vested on January 2, 2022 pursuant to the stock compensation awards granted on January 2, 2019. Represents 1,615 RSUs and 145 DERs that vested on April 15, 2022 pursuant to the stock compensation award granted on April 15, 2020. Represents 1,530 RSUs and 66 DERs that vested on April 15, 2022 pursuant to the stock compensation award granted on April 15, 2021. Represents 305 shares and 20 DERs that were withheld to cover certain tax obligations in 2022 due to awards becoming eligible for continued vesting in the event of the NEO’s retirement.</w:t>
      </w:r>
    </w:p>
    <w:p>
      <w:pPr>
        <w:spacing w:after="0" w:line="46" w:lineRule="exact"/>
        <w:rPr>
          <w:rFonts w:ascii="Arial" w:cs="Arial" w:eastAsia="Arial" w:hAnsi="Arial"/>
          <w:sz w:val="18"/>
          <w:szCs w:val="18"/>
          <w:color w:val="auto"/>
        </w:rPr>
      </w:pPr>
    </w:p>
    <w:p>
      <w:pPr>
        <w:ind w:left="1620" w:right="479" w:hanging="360"/>
        <w:spacing w:after="0" w:line="257"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3,045 RSUs, 25,502 RPSUs and 4,073 DERs that vested on January 2, 2022 pursuant to the stock compensation awards granted on January 2, 2019. Represents 2,747 RSUs and 247 DERs that vested on April 15, 2022 pursuant to the stock compensation award granted on April 15, 2020. Represents 1,872 RSUs and 81 DERs that vested on April 15, 2022 pursuant to the stock compensation award granted on April 15, 2021.</w:t>
      </w:r>
    </w:p>
    <w:p>
      <w:pPr>
        <w:spacing w:after="0" w:line="25" w:lineRule="exact"/>
        <w:rPr>
          <w:rFonts w:ascii="Arial" w:cs="Arial" w:eastAsia="Arial" w:hAnsi="Arial"/>
          <w:sz w:val="18"/>
          <w:szCs w:val="18"/>
          <w:color w:val="auto"/>
        </w:rPr>
      </w:pPr>
    </w:p>
    <w:p>
      <w:pPr>
        <w:ind w:left="1620" w:hanging="360"/>
        <w:spacing w:after="0"/>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Mr. Plotkin voluntarily resigned from his employment with the Company in August 2022.</w:t>
      </w:r>
    </w:p>
    <w:p>
      <w:pPr>
        <w:spacing w:after="0" w:line="22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EMPLOYMENT AGREEMENTS</w:t>
      </w:r>
    </w:p>
    <w:p>
      <w:pPr>
        <w:spacing w:after="0" w:line="162" w:lineRule="exact"/>
        <w:rPr>
          <w:sz w:val="20"/>
          <w:szCs w:val="20"/>
          <w:color w:val="auto"/>
        </w:rPr>
      </w:pPr>
    </w:p>
    <w:p>
      <w:pPr>
        <w:ind w:left="1260" w:right="879" w:firstLine="360"/>
        <w:spacing w:after="0" w:line="261" w:lineRule="auto"/>
        <w:rPr>
          <w:sz w:val="20"/>
          <w:szCs w:val="20"/>
          <w:color w:val="auto"/>
        </w:rPr>
      </w:pPr>
      <w:r>
        <w:rPr>
          <w:rFonts w:ascii="Arial" w:cs="Arial" w:eastAsia="Arial" w:hAnsi="Arial"/>
          <w:sz w:val="18"/>
          <w:szCs w:val="18"/>
          <w:color w:val="auto"/>
        </w:rPr>
        <w:t>The Company has not entered into employment agreements with any executive officers other than Mr. Sotos.</w:t>
      </w:r>
    </w:p>
    <w:p>
      <w:pPr>
        <w:spacing w:after="0" w:line="103" w:lineRule="exact"/>
        <w:rPr>
          <w:sz w:val="20"/>
          <w:szCs w:val="20"/>
          <w:color w:val="auto"/>
        </w:rPr>
      </w:pPr>
    </w:p>
    <w:p>
      <w:pPr>
        <w:ind w:left="1260" w:right="459" w:firstLine="360"/>
        <w:spacing w:after="0" w:line="291" w:lineRule="auto"/>
        <w:rPr>
          <w:sz w:val="20"/>
          <w:szCs w:val="20"/>
          <w:color w:val="auto"/>
        </w:rPr>
      </w:pPr>
      <w:r>
        <w:rPr>
          <w:rFonts w:ascii="Arial" w:cs="Arial" w:eastAsia="Arial" w:hAnsi="Arial"/>
          <w:sz w:val="17"/>
          <w:szCs w:val="17"/>
          <w:color w:val="auto"/>
        </w:rPr>
        <w:t>On September 23, 2021, the Company and Mr. Sotos entered into an agreement amending and restating Mr. Sotos’ employment agreement, dated as of May 6, 2016, as previously amended, pursuant to</w:t>
      </w:r>
    </w:p>
    <w:p>
      <w:pPr>
        <w:sectPr>
          <w:pgSz w:w="11900" w:h="16838" w:orient="portrait"/>
          <w:cols w:equalWidth="0" w:num="1">
            <w:col w:w="9879"/>
          </w:cols>
          <w:pgMar w:left="580" w:top="132"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5" w:lineRule="auto"/>
        <w:rPr>
          <w:sz w:val="20"/>
          <w:szCs w:val="20"/>
          <w:color w:val="auto"/>
        </w:rPr>
      </w:pPr>
      <w:r>
        <w:rPr>
          <w:rFonts w:ascii="Arial" w:cs="Arial" w:eastAsia="Arial" w:hAnsi="Arial"/>
          <w:sz w:val="17"/>
          <w:szCs w:val="17"/>
          <w:color w:val="auto"/>
        </w:rPr>
        <w:t>which Mr. Sotos continues to serve as the Company’s President and CEO for a new term that began on September 23, 2021 (the “Effective Date”). Under this amended and restated employment agreement, the term of Mr. Sotos’ employment will continue until the earlier of the date that his employment is terminated by either party or December 31, 2024; provided that such employment period will automatically renew on the same terms and conditions for additional one-year terms unless either party provides the other party with written notice of its election not to renew the then-current employment period at least 90 days before such period’s expiration date. The amended and restated employment agreement entitled Mr. Sotos to an annual base salary of $629,330 for the period beginning on the Effective Date and ending on December 31, 2021. For each annual period thereafter, our Board will determine whether to increase Mr. Sotos’ annual base salary. For the 2022 fiscal year, the Board increased Mr. Sotos’ annual base salary to $665,201. The amended and restated employment agreement further provides that Mr. Sotos is eligible to receive an annual bonus at a target amount equal to 100% of base salary (i.e., AIP bonus), with it being understood that</w:t>
      </w:r>
    </w:p>
    <w:p>
      <w:pPr>
        <w:spacing w:after="0" w:line="8" w:lineRule="exact"/>
        <w:rPr>
          <w:sz w:val="20"/>
          <w:szCs w:val="20"/>
          <w:color w:val="auto"/>
        </w:rPr>
      </w:pPr>
    </w:p>
    <w:p>
      <w:pPr>
        <w:ind w:left="1260" w:right="479"/>
        <w:spacing w:after="0" w:line="254" w:lineRule="auto"/>
        <w:rPr>
          <w:sz w:val="20"/>
          <w:szCs w:val="20"/>
          <w:color w:val="auto"/>
        </w:rPr>
      </w:pPr>
      <w:r>
        <w:rPr>
          <w:rFonts w:ascii="Arial" w:cs="Arial" w:eastAsia="Arial" w:hAnsi="Arial"/>
          <w:sz w:val="17"/>
          <w:szCs w:val="17"/>
          <w:color w:val="auto"/>
        </w:rPr>
        <w:t>such percentage may be increased by the Company from time to time, in each case based on achievement of criteria determined by the Board with input from Mr. Sotos. The maximum award opportunity each year is 200% of the target amount. The amended and restated employment agreement further provides that</w:t>
      </w:r>
    </w:p>
    <w:p>
      <w:pPr>
        <w:ind w:left="1260" w:right="659"/>
        <w:spacing w:after="0" w:line="258" w:lineRule="auto"/>
        <w:rPr>
          <w:sz w:val="20"/>
          <w:szCs w:val="20"/>
          <w:color w:val="auto"/>
        </w:rPr>
      </w:pPr>
      <w:r>
        <w:rPr>
          <w:rFonts w:ascii="Arial" w:cs="Arial" w:eastAsia="Arial" w:hAnsi="Arial"/>
          <w:sz w:val="18"/>
          <w:szCs w:val="18"/>
          <w:color w:val="auto"/>
        </w:rPr>
        <w:t>Mr. Sotos is eligible to participate in the LTIP, on such terms as are set forth in the plan. Mr. Sotos’ target LTIP award for the 2022 fiscal year was approximately 315% of base salary.</w:t>
      </w:r>
    </w:p>
    <w:p>
      <w:pPr>
        <w:spacing w:after="0" w:line="106"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In addition to the compensation and benefits described above, as well as paid vacation and director and officer liability insurance, the amended and restated employment agreement provides that Mr. Sotos will receive the following:</w:t>
      </w:r>
    </w:p>
    <w:p>
      <w:pPr>
        <w:spacing w:after="0" w:line="74" w:lineRule="exact"/>
        <w:rPr>
          <w:sz w:val="20"/>
          <w:szCs w:val="20"/>
          <w:color w:val="auto"/>
        </w:rPr>
      </w:pPr>
    </w:p>
    <w:p>
      <w:pPr>
        <w:ind w:left="1800" w:right="499" w:hanging="180"/>
        <w:spacing w:after="0" w:line="277"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Reimbursement for annual tax return preparation expenses and tax advice and financial planning, up to a maximum of $12,000 per year;</w:t>
      </w:r>
    </w:p>
    <w:p>
      <w:pPr>
        <w:spacing w:after="0" w:line="62"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Eligibility to participate in the Company’s retirement plans, health and welfare plans, and disability insurance plans under the same terms, and to the same extent, as other senior management of the Company; and</w:t>
      </w:r>
    </w:p>
    <w:p>
      <w:pPr>
        <w:spacing w:after="0" w:line="75" w:lineRule="exact"/>
        <w:rPr>
          <w:rFonts w:ascii="Arial" w:cs="Arial" w:eastAsia="Arial" w:hAnsi="Arial"/>
          <w:sz w:val="18"/>
          <w:szCs w:val="18"/>
          <w:color w:val="auto"/>
        </w:rPr>
      </w:pPr>
    </w:p>
    <w:p>
      <w:pPr>
        <w:ind w:left="1800" w:right="459" w:hanging="180"/>
        <w:spacing w:after="0" w:line="308" w:lineRule="auto"/>
        <w:tabs>
          <w:tab w:leader="none" w:pos="18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Reimbursement for the costs of litigation or other disputes incurred in asserting any claims under the amended and restated employment agreement, unless the court finds in favor of the Company.</w:t>
      </w:r>
    </w:p>
    <w:p>
      <w:pPr>
        <w:spacing w:after="0" w:line="79" w:lineRule="exact"/>
        <w:rPr>
          <w:sz w:val="20"/>
          <w:szCs w:val="20"/>
          <w:color w:val="auto"/>
        </w:rPr>
      </w:pPr>
    </w:p>
    <w:p>
      <w:pPr>
        <w:ind w:left="1260" w:right="539" w:firstLine="360"/>
        <w:spacing w:after="0" w:line="249" w:lineRule="auto"/>
        <w:rPr>
          <w:sz w:val="20"/>
          <w:szCs w:val="20"/>
          <w:color w:val="auto"/>
        </w:rPr>
      </w:pPr>
      <w:r>
        <w:rPr>
          <w:rFonts w:ascii="Arial" w:cs="Arial" w:eastAsia="Arial" w:hAnsi="Arial"/>
          <w:sz w:val="18"/>
          <w:szCs w:val="18"/>
          <w:color w:val="auto"/>
        </w:rPr>
        <w:t>The amended and restated employment agreement also provided Mr. Sotos with a reimbursement for legal fees incurred in connection with reviewing and finalizing his amended and restated employment agreement, up to a maximum of $12,000 (as noted above, Mr. Sotos received a reimbursement of $8,190 in 2021 under this provision of his employment agreement).</w:t>
      </w:r>
    </w:p>
    <w:p>
      <w:pPr>
        <w:spacing w:after="0" w:line="113"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The amended and restated employment agreement further entitles Mr. Sotos to certain severance payments and benefits in the event his employment terminates under certain circumstances. These severance payments and benefits are described and quantified under the section “Severance and Change-in-Control” below. In addition, under the amended and restated employment agreement, the Company has agreed to indemnify Mr. Sotos against any claims arising as a result of his position with the Company to the fullest extent permitted by the Company’s certificate of incorporation, bylaws or Board resolutions or, if greater, Delaware law.</w:t>
      </w:r>
    </w:p>
    <w:p>
      <w:pPr>
        <w:spacing w:after="0" w:line="120" w:lineRule="exact"/>
        <w:rPr>
          <w:sz w:val="20"/>
          <w:szCs w:val="20"/>
          <w:color w:val="auto"/>
        </w:rPr>
      </w:pPr>
    </w:p>
    <w:p>
      <w:pPr>
        <w:ind w:left="1260" w:right="539" w:firstLine="360"/>
        <w:spacing w:after="0" w:line="244" w:lineRule="auto"/>
        <w:rPr>
          <w:sz w:val="20"/>
          <w:szCs w:val="20"/>
          <w:color w:val="auto"/>
        </w:rPr>
      </w:pPr>
      <w:r>
        <w:rPr>
          <w:rFonts w:ascii="Arial" w:cs="Arial" w:eastAsia="Arial" w:hAnsi="Arial"/>
          <w:sz w:val="18"/>
          <w:szCs w:val="18"/>
          <w:color w:val="auto"/>
        </w:rPr>
        <w:t>The amended and restated employment agreement includes non -competition and non-solicitation restrictions on Mr. Sotos during the term of his employment and for one year after his termination of employment. The amended and restated employment agreement also includes confidentiality, indemnification obligations and intellectual property restrictions and an obligation for Mr. Sotos to cooperate with the Company in the event of any internal, administrative, regulatory, or judicial proceeding. The provisions of the amended and restated employment agreement may only be waived with the written consent of the Company and Mr. Sotos.</w:t>
      </w:r>
    </w:p>
    <w:p>
      <w:pPr>
        <w:spacing w:after="0" w:line="18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SEVERANCE AND CHANGE-IN-CONTROL</w:t>
      </w:r>
    </w:p>
    <w:p>
      <w:pPr>
        <w:spacing w:after="0" w:line="162" w:lineRule="exact"/>
        <w:rPr>
          <w:sz w:val="20"/>
          <w:szCs w:val="20"/>
          <w:color w:val="auto"/>
        </w:rPr>
      </w:pPr>
    </w:p>
    <w:p>
      <w:pPr>
        <w:ind w:left="1260" w:right="599" w:firstLine="360"/>
        <w:spacing w:after="0" w:line="268" w:lineRule="auto"/>
        <w:rPr>
          <w:sz w:val="20"/>
          <w:szCs w:val="20"/>
          <w:color w:val="auto"/>
        </w:rPr>
      </w:pPr>
      <w:r>
        <w:rPr>
          <w:rFonts w:ascii="Arial" w:cs="Arial" w:eastAsia="Arial" w:hAnsi="Arial"/>
          <w:sz w:val="17"/>
          <w:szCs w:val="17"/>
          <w:color w:val="auto"/>
        </w:rPr>
        <w:t>Each NEO’s RPSU and RSU award agreements under the LTIP provide for special treatment in the event of such NEO’s termination of employment under certain circumstances. Upon death or disability, an NEO’s RSUs and RPSUs will vest in full and the performance metrics with respect to the RPSUs will be deemed to be achieved at target levels. Upon retirement, an NEO’s RSUs and RPSUs will remain eligible</w:t>
      </w:r>
    </w:p>
    <w:p>
      <w:pPr>
        <w:spacing w:after="0" w:line="34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4" w:name="page65"/>
    <w:bookmarkEnd w:id="6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5" w:lineRule="auto"/>
        <w:rPr>
          <w:sz w:val="20"/>
          <w:szCs w:val="20"/>
          <w:color w:val="auto"/>
        </w:rPr>
      </w:pPr>
      <w:r>
        <w:rPr>
          <w:rFonts w:ascii="Arial" w:cs="Arial" w:eastAsia="Arial" w:hAnsi="Arial"/>
          <w:sz w:val="17"/>
          <w:szCs w:val="17"/>
          <w:color w:val="auto"/>
        </w:rPr>
        <w:t>for vesting pursuant to the award agreement as though the NEO was continuously employed by the Company throughout the relevant period; provided that retirement occurs more than 12 months following the applicable award’s grant date. Further, if an NEO’s employment is involuntarily terminated by the Company without cause (as defined in Mr. Sotos’ amended and restated employment agreement with respect to Mr. Sotos, and as defined in the LTIP with respect to the other NEOs) during the “Change in Control Period” (as​ defined below), (i) such NEO’s RSUs will vest in full immediately upon the later of such change in control or such termination of employment and (ii) the Compensation Committee will, pursuant to the terms and conditions of the LTIP and RPSU award agreement(s), determine the final amount payable to the NEO, if any, pursuant to his or her RPSUs. In general, no RPSU or RSU that is granted to an NEO provides for accelerated vesting upon any other involuntary termination. RSUs granted to Ms. Rubenstein prior to her promotion to Senior Vice President and Chief Accounting Officer provide pro-rated vesting for certain involuntary terminations of service that occur in connection with certain significant business events.</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Mr. Plotkin’s outstanding RPSUs and RSUs were forfeited as of the time of his resignation in August 2022.</w:t>
      </w:r>
    </w:p>
    <w:p>
      <w:pPr>
        <w:spacing w:after="0" w:line="140"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color w:val="auto"/>
        </w:rPr>
        <w:t>The “Change in Control Period” is the period commencing six months immediately prior to, and ending 24 months immediately following, a change in control of the Company (as defined in the LTIP and</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Mr. Sotos’ employment agreement as applicable).</w:t>
      </w:r>
    </w:p>
    <w:p>
      <w:pPr>
        <w:spacing w:after="0" w:line="128" w:lineRule="exact"/>
        <w:rPr>
          <w:sz w:val="20"/>
          <w:szCs w:val="20"/>
          <w:color w:val="auto"/>
        </w:rPr>
      </w:pPr>
    </w:p>
    <w:p>
      <w:pPr>
        <w:ind w:left="1260" w:right="579" w:firstLine="360"/>
        <w:spacing w:after="0" w:line="268" w:lineRule="auto"/>
        <w:rPr>
          <w:sz w:val="20"/>
          <w:szCs w:val="20"/>
          <w:color w:val="auto"/>
        </w:rPr>
      </w:pPr>
      <w:r>
        <w:rPr>
          <w:rFonts w:ascii="Arial" w:cs="Arial" w:eastAsia="Arial" w:hAnsi="Arial"/>
          <w:sz w:val="17"/>
          <w:szCs w:val="17"/>
          <w:color w:val="auto"/>
        </w:rPr>
        <w:t>In addition to the above described treatment of the equity awards, Mr. Sotos, pursuant to his amended and restated employment agreement, and the other NEOs, pursuant to the CIC Plan and in some cases, the AIP, are entitled to certain additional severance payments and benefits in the event of termination of employment under certain circumstances, including following a change-in-control.</w:t>
      </w:r>
    </w:p>
    <w:p>
      <w:pPr>
        <w:spacing w:after="0" w:line="16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MR. SOTOS’ BENEFITS</w:t>
      </w:r>
    </w:p>
    <w:p>
      <w:pPr>
        <w:spacing w:after="0" w:line="162" w:lineRule="exact"/>
        <w:rPr>
          <w:sz w:val="20"/>
          <w:szCs w:val="20"/>
          <w:color w:val="auto"/>
        </w:rPr>
      </w:pPr>
    </w:p>
    <w:p>
      <w:pPr>
        <w:jc w:val="both"/>
        <w:ind w:left="1260" w:right="439" w:firstLine="360"/>
        <w:spacing w:after="0" w:line="256" w:lineRule="auto"/>
        <w:rPr>
          <w:sz w:val="20"/>
          <w:szCs w:val="20"/>
          <w:color w:val="auto"/>
        </w:rPr>
      </w:pPr>
      <w:r>
        <w:rPr>
          <w:rFonts w:ascii="Arial" w:cs="Arial" w:eastAsia="Arial" w:hAnsi="Arial"/>
          <w:sz w:val="18"/>
          <w:szCs w:val="18"/>
          <w:color w:val="auto"/>
        </w:rPr>
        <w:t>If Mr. Sotos’ employment is involuntarily terminated by the Company without cause or if he terminates his employment for good reason, subject to Mr. Sotos executing a release of claims, the Company agrees to provide Mr. Sotos with the following severance benefits:</w:t>
      </w:r>
    </w:p>
    <w:p>
      <w:pPr>
        <w:spacing w:after="0" w:line="67" w:lineRule="exact"/>
        <w:rPr>
          <w:sz w:val="20"/>
          <w:szCs w:val="20"/>
          <w:color w:val="auto"/>
        </w:rPr>
      </w:pPr>
    </w:p>
    <w:p>
      <w:pPr>
        <w:ind w:left="1800" w:right="719" w:hanging="180"/>
        <w:spacing w:after="0" w:line="277" w:lineRule="auto"/>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lump sum payment equal to no less than 1.5 times Mr. Sotos’ annual base salary in effect at the time of Mr. Sotos’ termination of employment;</w:t>
      </w:r>
    </w:p>
    <w:p>
      <w:pPr>
        <w:spacing w:after="0" w:line="35" w:lineRule="exact"/>
        <w:rPr>
          <w:rFonts w:ascii="Arial" w:cs="Arial" w:eastAsia="Arial" w:hAnsi="Arial"/>
          <w:sz w:val="18"/>
          <w:szCs w:val="18"/>
          <w:color w:val="auto"/>
        </w:rPr>
      </w:pPr>
    </w:p>
    <w:p>
      <w:pPr>
        <w:ind w:left="1800" w:right="419" w:hanging="180"/>
        <w:spacing w:after="0" w:line="257" w:lineRule="auto"/>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lump sum payment equal to the bonus that Mr. Sotos would have earned if his employment had not terminated (i.e., contingent on satisfaction of the performance goals applicable to such bonus) under the then-current bonus plan, which amount will be pro-rated based on the number of days during the year that he was employed by the Company and paid at the time annual bonus payments are generally made to the Company’s executive officers;</w:t>
      </w:r>
    </w:p>
    <w:p>
      <w:pPr>
        <w:spacing w:after="0" w:line="66"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unpaid bonus amount for the prior fiscal year to the extent not paid prior to the termination date; and</w:t>
      </w:r>
    </w:p>
    <w:p>
      <w:pPr>
        <w:spacing w:after="0" w:line="35" w:lineRule="exact"/>
        <w:rPr>
          <w:rFonts w:ascii="Arial" w:cs="Arial" w:eastAsia="Arial" w:hAnsi="Arial"/>
          <w:sz w:val="18"/>
          <w:szCs w:val="18"/>
          <w:color w:val="auto"/>
        </w:rPr>
      </w:pPr>
    </w:p>
    <w:p>
      <w:pPr>
        <w:ind w:left="1800" w:right="539" w:hanging="180"/>
        <w:spacing w:after="0" w:line="279" w:lineRule="auto"/>
        <w:tabs>
          <w:tab w:leader="none" w:pos="18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Reimbursement of the portion of COBRA premiums based on the monthly premium cost that would have been paid by the Company immediately prior to Mr. Sotos’ termination of employment for a period of 18 months after the date of termination, except that such coverage will be discontinued if Mr. Sotos becomes eligible for medical benefits from a subsequent employer or otherwise.</w:t>
      </w:r>
    </w:p>
    <w:p>
      <w:pPr>
        <w:spacing w:after="0" w:line="104" w:lineRule="exact"/>
        <w:rPr>
          <w:sz w:val="20"/>
          <w:szCs w:val="20"/>
          <w:color w:val="auto"/>
        </w:rPr>
      </w:pPr>
    </w:p>
    <w:p>
      <w:pPr>
        <w:ind w:left="1260" w:right="439" w:firstLine="360"/>
        <w:spacing w:after="0" w:line="260" w:lineRule="auto"/>
        <w:rPr>
          <w:sz w:val="20"/>
          <w:szCs w:val="20"/>
          <w:color w:val="auto"/>
        </w:rPr>
      </w:pPr>
      <w:r>
        <w:rPr>
          <w:rFonts w:ascii="Arial" w:cs="Arial" w:eastAsia="Arial" w:hAnsi="Arial"/>
          <w:sz w:val="17"/>
          <w:szCs w:val="17"/>
          <w:color w:val="auto"/>
        </w:rPr>
        <w:t>If Mr. Sotos’ employment is involuntarily terminated by the Company without cause or if he terminates his employment for good reason within the six months immediately prior to, or the 24 months immediately following, a change in control of the Company (i.e., the Change in Control Period with respect to</w:t>
      </w:r>
    </w:p>
    <w:p>
      <w:pPr>
        <w:ind w:left="1260" w:right="639"/>
        <w:spacing w:after="0" w:line="245" w:lineRule="auto"/>
        <w:rPr>
          <w:sz w:val="20"/>
          <w:szCs w:val="20"/>
          <w:color w:val="auto"/>
        </w:rPr>
      </w:pPr>
      <w:r>
        <w:rPr>
          <w:rFonts w:ascii="Arial" w:cs="Arial" w:eastAsia="Arial" w:hAnsi="Arial"/>
          <w:sz w:val="18"/>
          <w:szCs w:val="18"/>
          <w:color w:val="auto"/>
        </w:rPr>
        <w:t>Mr. Sotos), in lieu of the severance benefits set forth above, the Company will provide Mr. Sotos with the following severance benefits:</w:t>
      </w:r>
    </w:p>
    <w:p>
      <w:pPr>
        <w:spacing w:after="0" w:line="76" w:lineRule="exact"/>
        <w:rPr>
          <w:sz w:val="20"/>
          <w:szCs w:val="20"/>
          <w:color w:val="auto"/>
        </w:rPr>
      </w:pPr>
    </w:p>
    <w:p>
      <w:pPr>
        <w:ind w:left="1800" w:right="459" w:hanging="180"/>
        <w:spacing w:after="0" w:line="259" w:lineRule="auto"/>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lump sum payment of no less than three times the sum of (a) Mr. Sotos’ base salary in effect at the time of Mr. Sotos’ termination of employment, or if greater, at such time that is immediately prior to the change in control and (b) Mr. Sotos’ target bonus opportunity under the then-current bonus plan for the year of termination;</w:t>
      </w:r>
    </w:p>
    <w:p>
      <w:pPr>
        <w:spacing w:after="0" w:line="51"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lump sum payment equal to the target bonus opportunity under the then-current bonus plan, which amount will be pro-rated based on the number of days during the year that he was employed by the Company;</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5" w:name="page66"/>
    <w:bookmarkEnd w:id="6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hanging="180"/>
        <w:spacing w:after="0" w:line="277"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unpaid bonus amount for the prior fiscal year to the extent not paid prior to the termination date; and</w:t>
      </w:r>
    </w:p>
    <w:p>
      <w:pPr>
        <w:spacing w:after="0" w:line="62" w:lineRule="exact"/>
        <w:rPr>
          <w:rFonts w:ascii="Arial" w:cs="Arial" w:eastAsia="Arial" w:hAnsi="Arial"/>
          <w:sz w:val="18"/>
          <w:szCs w:val="18"/>
          <w:color w:val="auto"/>
        </w:rPr>
      </w:pPr>
    </w:p>
    <w:p>
      <w:pPr>
        <w:ind w:left="1800" w:right="539" w:hanging="180"/>
        <w:spacing w:after="0" w:line="279" w:lineRule="auto"/>
        <w:tabs>
          <w:tab w:leader="none" w:pos="18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Reimbursement of the portion of COBRA premiums based on the monthly premium cost that would have been paid by the Company immediately prior to Mr. Sotos’ termination of employment for a period of 18 months after the date of termination, except that such coverage will be discontinued if Mr. Sotos becomes eligible for medical benefits from a subsequent employer or otherwise.</w:t>
      </w:r>
    </w:p>
    <w:p>
      <w:pPr>
        <w:spacing w:after="0" w:line="104"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color w:val="auto"/>
        </w:rPr>
        <w:t>If Mr. Sotos’ employment is terminated as a result of his death or disability, the Company agrees to pay him an amount equal to the target bonus opportunity for the year of termination, which amount will be pro-rated based on the number of days during the year that Mr. Sotos was employed by the Company. In addition, the Company will pay Mr. Sotos any unpaid bonus amount for the prior fiscal year to the extent not paid prior to the termination date.</w:t>
      </w:r>
    </w:p>
    <w:p>
      <w:pPr>
        <w:spacing w:after="0" w:line="118"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If an excise tax under Section 4999 of the Code would be triggered by any payments under Mr. Sotos’ amended and restated employment agreement or otherwise upon a change-in-control, the Company will reduce such payments so that no amounts are subject to Section 4999 of the Code, if such reduction would cause the amount to be retained by Mr. Sotos to be greater than if Mr. Sotos were required to pay such excise tax.</w:t>
      </w:r>
    </w:p>
    <w:p>
      <w:pPr>
        <w:spacing w:after="0" w:line="18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NEO BENEFITS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Eligible NEOs may receive a discretionary payment of the pro-rated target bonus under the AIP in the event of such NEO’s termination of employment under certain circumstances, including upon his or her termination due to retirement or involuntary termination without cause. Such amount, if payable in the Compensation Committee’s discretion, will be pro-rated based on the number of days during the year that he or she was employed by the Company. In addition, under the CIC Plan, in the event of involuntary termination without cause, eligible NEOs are entitled to a general severance benefit equal to 1.5 times base salary payable in a lump sum amount and reimbursement for COBRA benefits continuation cost for a period of 18 months.</w:t>
      </w:r>
    </w:p>
    <w:p>
      <w:pPr>
        <w:spacing w:after="0" w:line="111"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The CIC Plan also provides a change-in-control benefit in the event that, within six months prior to, as well as 24 months following, a change-in-control, an eligible NEO’s employment is either involuntarily terminated by the Company without cause or voluntarily terminated by such NEO for good reason.</w:t>
      </w:r>
    </w:p>
    <w:p>
      <w:pPr>
        <w:ind w:left="1260" w:right="419"/>
        <w:spacing w:after="0" w:line="251" w:lineRule="auto"/>
        <w:rPr>
          <w:sz w:val="20"/>
          <w:szCs w:val="20"/>
          <w:color w:val="auto"/>
        </w:rPr>
      </w:pPr>
      <w:r>
        <w:rPr>
          <w:rFonts w:ascii="Arial" w:cs="Arial" w:eastAsia="Arial" w:hAnsi="Arial"/>
          <w:sz w:val="18"/>
          <w:szCs w:val="18"/>
          <w:color w:val="auto"/>
        </w:rPr>
        <w:t>Mr. Plotkin’s change-in-control benefit consisted of an amount equal to 2.99 times the sum of his base salary plus the annual target incentive for the year of termination, payable in a lump sum amount. The change-in-control benefit for Mr. Malcarney consists of an amount equal to 2.99 times the sum of his base salary plus the annual target incentive for the year of termination. Ms. Rubenstein became eligible to participate in the CIC Plan upon her promotion to Senior Vice President and Chief Accounting Officer in January 2022. The change-in-control benefit for Ms. Rubenstein consists of an amount equal to 2.0 times the sum of her base salary plus the annual target incentive for the year of termination. Prior to her promotion, Ms. Rubenstein was eligible for change-in-control and severance benefits under the Key Management Change-in-Control and General Severance Plan. All such NEOs are also eligible for an amount equal to their target bonus for the year of termination, pro-rated for the number of days during the performance period that such NEO was employed by the Company and reimbursement for all or a portion of such NEO’s COBRA benefits continuation cost for a period of 18 months, such that the NEO maintains the same coverage level and cost, on an after-tax basis, as in effect immediately prior to his or her termination of employment.</w:t>
      </w:r>
    </w:p>
    <w:p>
      <w:pPr>
        <w:spacing w:after="0" w:line="128" w:lineRule="exact"/>
        <w:rPr>
          <w:sz w:val="20"/>
          <w:szCs w:val="20"/>
          <w:color w:val="auto"/>
        </w:rPr>
      </w:pPr>
    </w:p>
    <w:p>
      <w:pPr>
        <w:ind w:left="1260" w:right="559" w:firstLine="360"/>
        <w:spacing w:after="0" w:line="275" w:lineRule="auto"/>
        <w:rPr>
          <w:sz w:val="20"/>
          <w:szCs w:val="20"/>
          <w:color w:val="auto"/>
        </w:rPr>
      </w:pPr>
      <w:r>
        <w:rPr>
          <w:rFonts w:ascii="Arial" w:cs="Arial" w:eastAsia="Arial" w:hAnsi="Arial"/>
          <w:sz w:val="17"/>
          <w:szCs w:val="17"/>
          <w:color w:val="auto"/>
        </w:rPr>
        <w:t>As a condition of receiving severance or change-in-control benefits, an eligible NEO must execute a release of claims and acknowledge the restrictive covenants in the CIC Plan. Such restrictive covenants include non-competition, non-solicitation and non-disparagement covenants applicable for one year after termination, confidentiality and intellectual property obligations. The provisions of the CIC Plan may only be waived by the written consent of the Compensation Committee and the applicable NEO.</w:t>
      </w:r>
    </w:p>
    <w:p>
      <w:pPr>
        <w:spacing w:after="0" w:line="109" w:lineRule="exact"/>
        <w:rPr>
          <w:sz w:val="20"/>
          <w:szCs w:val="20"/>
          <w:color w:val="auto"/>
        </w:rPr>
      </w:pPr>
    </w:p>
    <w:p>
      <w:pPr>
        <w:ind w:left="1260" w:right="719" w:firstLine="360"/>
        <w:spacing w:after="0" w:line="279" w:lineRule="auto"/>
        <w:rPr>
          <w:sz w:val="20"/>
          <w:szCs w:val="20"/>
          <w:color w:val="auto"/>
        </w:rPr>
      </w:pPr>
      <w:r>
        <w:rPr>
          <w:rFonts w:ascii="Arial" w:cs="Arial" w:eastAsia="Arial" w:hAnsi="Arial"/>
          <w:sz w:val="17"/>
          <w:szCs w:val="17"/>
          <w:color w:val="auto"/>
        </w:rPr>
        <w:t>If an excise tax under Section 4999 of the Code would be triggered for an eligible NEO by any payments under the CIC Plan or otherwise upon a change-in-control, the Company will reduce such payments so that no amounts are subject to Section 4999 of the Code, if such reduction would cause the amount to be retained by such NEO to be greater than if such NEO were required to pay such excise tax.</w:t>
      </w:r>
    </w:p>
    <w:p>
      <w:pPr>
        <w:sectPr>
          <w:pgSz w:w="11900" w:h="16838" w:orient="portrait"/>
          <w:cols w:equalWidth="0" w:num="1">
            <w:col w:w="9879"/>
          </w:cols>
          <w:pgMar w:left="580" w:top="132" w:right="1440" w:bottom="1440" w:gutter="0" w:footer="0" w:header="0"/>
        </w:sect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DEFINITION OF CHANGE-IN-CONTROL, ETC.</w:t>
      </w:r>
    </w:p>
    <w:p>
      <w:pPr>
        <w:spacing w:after="0" w:line="162" w:lineRule="exact"/>
        <w:rPr>
          <w:sz w:val="20"/>
          <w:szCs w:val="20"/>
          <w:color w:val="auto"/>
        </w:rPr>
      </w:pPr>
    </w:p>
    <w:p>
      <w:pPr>
        <w:ind w:left="1260" w:right="479" w:firstLine="360"/>
        <w:spacing w:after="0" w:line="278" w:lineRule="auto"/>
        <w:rPr>
          <w:sz w:val="20"/>
          <w:szCs w:val="20"/>
          <w:color w:val="auto"/>
        </w:rPr>
      </w:pPr>
      <w:r>
        <w:rPr>
          <w:rFonts w:ascii="Arial" w:cs="Arial" w:eastAsia="Arial" w:hAnsi="Arial"/>
          <w:sz w:val="17"/>
          <w:szCs w:val="17"/>
          <w:color w:val="auto"/>
        </w:rPr>
        <w:t>In general, under Mr. Sotos’ amended and restated employment agreement and the CIC Plan, a “change-in-control” occurs in the event: (a) any person or entity (with certain exceptions), becomes the direct or indirect beneficial owner of 50% or more of the Company’s then-outstanding voting or common stock or obtains the power to, directly or indirectly, vote or cause to be voted 50% or more of the Company’s capital stock entitled to vote in the election of directors, including by contract or through proxy,</w:t>
      </w:r>
    </w:p>
    <w:p>
      <w:pPr>
        <w:spacing w:after="0" w:line="3" w:lineRule="exact"/>
        <w:rPr>
          <w:sz w:val="20"/>
          <w:szCs w:val="20"/>
          <w:color w:val="auto"/>
        </w:rPr>
      </w:pPr>
    </w:p>
    <w:p>
      <w:pPr>
        <w:ind w:left="1260" w:right="539"/>
        <w:spacing w:after="0" w:line="280" w:lineRule="auto"/>
        <w:tabs>
          <w:tab w:leader="none" w:pos="1529" w:val="left"/>
        </w:tabs>
        <w:numPr>
          <w:ilvl w:val="0"/>
          <w:numId w:val="66"/>
        </w:numPr>
        <w:rPr>
          <w:rFonts w:ascii="Arial" w:cs="Arial" w:eastAsia="Arial" w:hAnsi="Arial"/>
          <w:sz w:val="17"/>
          <w:szCs w:val="17"/>
          <w:color w:val="auto"/>
        </w:rPr>
      </w:pPr>
      <w:r>
        <w:rPr>
          <w:rFonts w:ascii="Arial" w:cs="Arial" w:eastAsia="Arial" w:hAnsi="Arial"/>
          <w:sz w:val="17"/>
          <w:szCs w:val="17"/>
          <w:color w:val="auto"/>
        </w:rPr>
        <w:t>directors serving on the Board as of a specified date cease to constitute at least a majority of the Board unless such directors are approved by a vote of at least a majority of the incumbent directors; provided that a person whose assumption of office is in connection with an actual or threatened election contest or actual or threatened solicitation of proxies including by reason of agreement intended to avoid or settle such contest shall not be considered to be an incumbent director, (c) any reorganization, merger, consolidation, sale of all or substantially all of the assets of the Company or other transaction is consummated unless the previous stockholders of the Company own more than 50% of the then-outstanding common stock and combined voting power of the company resulting from such change-in-control transaction, or (d) the stockholders approve a plan or proposal to liquidate or dissolve the Company.</w:t>
      </w:r>
    </w:p>
    <w:p>
      <w:pPr>
        <w:spacing w:after="0" w:line="107" w:lineRule="exact"/>
        <w:rPr>
          <w:sz w:val="20"/>
          <w:szCs w:val="20"/>
          <w:color w:val="auto"/>
        </w:rPr>
      </w:pPr>
    </w:p>
    <w:p>
      <w:pPr>
        <w:ind w:left="1260" w:right="479" w:firstLine="360"/>
        <w:spacing w:after="0" w:line="280" w:lineRule="auto"/>
        <w:rPr>
          <w:sz w:val="20"/>
          <w:szCs w:val="20"/>
          <w:color w:val="auto"/>
        </w:rPr>
      </w:pPr>
      <w:r>
        <w:rPr>
          <w:rFonts w:ascii="Arial" w:cs="Arial" w:eastAsia="Arial" w:hAnsi="Arial"/>
          <w:sz w:val="17"/>
          <w:szCs w:val="17"/>
          <w:color w:val="auto"/>
        </w:rPr>
        <w:t>An involuntary termination without “cause” means the NEO’s termination by the Company for any reason other than the NEO’s (a) conviction of, or agreement to a plea of nolo contendere to, a felony or other crime involving moral turpitude (including an indictment therefore under the CIC Plan), (b) willful failure to perform his or her duties (or in Mr. Sotos’ case, his material duties pursuant to his amended and restated employment agreement), (c) willful gross neglect or willful misconduct (including a material act of theft, fraud, malfeasance or dishonesty in connection with his or her performance of duties under the CIC Plan), or (d) breach of any written agreement between the Company or NEO, a violation of the Company’s Code of Conduct or other written policy (or in Mr. Sotos’ case, a material breach of such a written agreement or material violation of the Company’s Code of Conduct).</w:t>
      </w:r>
    </w:p>
    <w:p>
      <w:pPr>
        <w:spacing w:after="0" w:line="108" w:lineRule="exact"/>
        <w:rPr>
          <w:sz w:val="20"/>
          <w:szCs w:val="20"/>
          <w:color w:val="auto"/>
        </w:rPr>
      </w:pPr>
    </w:p>
    <w:p>
      <w:pPr>
        <w:ind w:left="1260" w:right="419" w:firstLine="360"/>
        <w:spacing w:after="0" w:line="278" w:lineRule="auto"/>
        <w:rPr>
          <w:sz w:val="20"/>
          <w:szCs w:val="20"/>
          <w:color w:val="auto"/>
        </w:rPr>
      </w:pPr>
      <w:r>
        <w:rPr>
          <w:rFonts w:ascii="Arial" w:cs="Arial" w:eastAsia="Arial" w:hAnsi="Arial"/>
          <w:sz w:val="17"/>
          <w:szCs w:val="17"/>
          <w:color w:val="auto"/>
        </w:rPr>
        <w:t>A voluntary termination for “good reason” means the resignation of the NEO in the event of (a) a reduction in his or her base salary or target total compensation by more than 15%, excluding across-the-board reductions to his or her base salary or annual bonus target, or if during the Change in Control Period, any reduction of base salary or target total compensation (without regard to whether the reduction applies on an across-the-board basis), (b) a material reduction in his or her benefits under or relative level of participation in the Company’s employee benefit plans, (c) a material diminution in his or her title, authority, duties or responsibilities, (d) a relocation of his or her principal place of employment by more than 50 miles or (e) the failure of a successor to the Company to agree, in writing, to assume the CIC Plan, or in the case of Mr. Sotos, his amended and restated employment agreement, within 15 days after a merger, consolidation, sale or similar transaction. In Mr. Sotos’ case only, “good reason” also includes (i) in lieu of the event described in the preceding subclause (a), a reduction in his base salary, annual bonus target, or target long-term incentive awards by more than 15%, excluding across-the-board reductions to his base salary, annual bonus target, and/or target long-term incentive awards, or if during the period that is within the six months immediately prior to, or 24 months immediately following a change in control of the Company, any reduction of base salary, annual bonus target, or target long-term incentive awards (without regard to whether the reduction applies on an across-the-board basis), (ii) any material failure by the Company to comply with his amended and restated employment agreement, (iii) his removal from the Board, (iv) the failure to elect him to the Board during any regular election, or (v) a change in reporting structure of the Company requiring Mr. Sotos to report to anyone other than the Board.</w:t>
      </w:r>
    </w:p>
    <w:p>
      <w:pPr>
        <w:spacing w:after="0" w:line="189"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62" w:lineRule="exact"/>
        <w:rPr>
          <w:sz w:val="20"/>
          <w:szCs w:val="20"/>
          <w:color w:val="auto"/>
        </w:rPr>
      </w:pPr>
    </w:p>
    <w:p>
      <w:pPr>
        <w:jc w:val="both"/>
        <w:ind w:left="1260" w:right="599" w:firstLine="360"/>
        <w:spacing w:after="0" w:line="264" w:lineRule="auto"/>
        <w:rPr>
          <w:sz w:val="20"/>
          <w:szCs w:val="20"/>
          <w:color w:val="auto"/>
        </w:rPr>
      </w:pPr>
      <w:r>
        <w:rPr>
          <w:rFonts w:ascii="Arial" w:cs="Arial" w:eastAsia="Arial" w:hAnsi="Arial"/>
          <w:sz w:val="18"/>
          <w:szCs w:val="18"/>
          <w:color w:val="auto"/>
        </w:rPr>
        <w:t>The amount of compensation payable to each NEO in each circumstance is shown in the table below, assuming that termination of employment occurred as of December 31, 2022, and including payments that would have been earned as of such date. The amounts shown below do not include benefits payable under the Company’s 401(k) plan.</w:t>
      </w: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7" w:name="page68"/>
    <w:bookmarkEnd w:id="6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Involuntary</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Not for</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Cause or</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Voluntary</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for Good</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Involuntary</w:t>
            </w:r>
          </w:p>
        </w:tc>
        <w:tc>
          <w:tcPr>
            <w:tcW w:w="6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Voluntary</w:t>
            </w:r>
          </w:p>
        </w:tc>
        <w:tc>
          <w:tcPr>
            <w:tcW w:w="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Reason</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Following a</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Not for</w:t>
            </w:r>
          </w:p>
        </w:tc>
        <w:tc>
          <w:tcPr>
            <w:tcW w:w="6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for Good</w:t>
            </w:r>
          </w:p>
        </w:tc>
        <w:tc>
          <w:tcPr>
            <w:tcW w:w="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Change in</w:t>
            </w:r>
          </w:p>
        </w:tc>
        <w:tc>
          <w:tcPr>
            <w:tcW w:w="6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Death or</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Cause</w:t>
            </w:r>
          </w:p>
        </w:tc>
        <w:tc>
          <w:tcPr>
            <w:tcW w:w="6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Reason</w:t>
            </w:r>
          </w:p>
        </w:tc>
        <w:tc>
          <w:tcPr>
            <w:tcW w:w="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Control</w:t>
            </w:r>
          </w:p>
        </w:tc>
        <w:tc>
          <w:tcPr>
            <w:tcW w:w="6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Disability</w:t>
            </w:r>
          </w:p>
        </w:tc>
        <w:tc>
          <w:tcPr>
            <w:tcW w:w="80" w:type="dxa"/>
            <w:vAlign w:val="bottom"/>
          </w:tcPr>
          <w:p>
            <w:pPr>
              <w:spacing w:after="0"/>
              <w:rPr>
                <w:sz w:val="14"/>
                <w:szCs w:val="14"/>
                <w:color w:val="auto"/>
              </w:rPr>
            </w:pPr>
          </w:p>
        </w:tc>
        <w:tc>
          <w:tcPr>
            <w:tcW w:w="660" w:type="dxa"/>
            <w:vAlign w:val="bottom"/>
          </w:tcPr>
          <w:p>
            <w:pPr>
              <w:jc w:val="right"/>
              <w:ind w:right="15"/>
              <w:spacing w:after="0"/>
              <w:rPr>
                <w:sz w:val="20"/>
                <w:szCs w:val="20"/>
                <w:color w:val="auto"/>
              </w:rPr>
            </w:pPr>
            <w:r>
              <w:rPr>
                <w:rFonts w:ascii="Arial" w:cs="Arial" w:eastAsia="Arial" w:hAnsi="Arial"/>
                <w:sz w:val="14"/>
                <w:szCs w:val="14"/>
                <w:b w:val="1"/>
                <w:bCs w:val="1"/>
                <w:color w:val="auto"/>
                <w:w w:val="90"/>
              </w:rPr>
              <w:t>Qualified</w:t>
            </w:r>
          </w:p>
        </w:tc>
      </w:tr>
      <w:tr>
        <w:trPr>
          <w:trHeight w:val="186"/>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100" w:type="dxa"/>
            <w:vAlign w:val="bottom"/>
          </w:tcPr>
          <w:p>
            <w:pPr>
              <w:spacing w:after="0"/>
              <w:rPr>
                <w:sz w:val="16"/>
                <w:szCs w:val="16"/>
                <w:color w:val="auto"/>
              </w:rPr>
            </w:pPr>
          </w:p>
        </w:tc>
        <w:tc>
          <w:tcPr>
            <w:tcW w:w="66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Retirement</w:t>
            </w:r>
          </w:p>
        </w:tc>
      </w:tr>
      <w:tr>
        <w:trPr>
          <w:trHeight w:val="26"/>
        </w:trPr>
        <w:tc>
          <w:tcPr>
            <w:tcW w:w="3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0"/>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Christopher S. Sotos</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​1,683,534​</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​1,683,534​</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0"/>
              </w:rPr>
              <w:t>​10,888,490</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​6,876,752</w:t>
            </w:r>
          </w:p>
        </w:tc>
        <w:tc>
          <w:tcPr>
            <w:tcW w:w="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Sarah Rubenstein</w:t>
            </w:r>
            <w:r>
              <w:rPr>
                <w:rFonts w:ascii="Arial" w:cs="Arial" w:eastAsia="Arial" w:hAnsi="Arial"/>
                <w:sz w:val="23"/>
                <w:szCs w:val="23"/>
                <w:b w:val="1"/>
                <w:bCs w:val="1"/>
                <w:color w:val="auto"/>
                <w:vertAlign w:val="superscript"/>
              </w:rPr>
              <w:t>(1)</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789,655​</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w w:val="96"/>
              </w:rPr>
              <w:t>​ 1,830,963</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820,750</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Kevin P. Malcarney</w:t>
            </w:r>
            <w:r>
              <w:rPr>
                <w:rFonts w:ascii="Arial" w:cs="Arial" w:eastAsia="Arial" w:hAnsi="Arial"/>
                <w:sz w:val="23"/>
                <w:szCs w:val="23"/>
                <w:b w:val="1"/>
                <w:bCs w:val="1"/>
                <w:color w:val="auto"/>
                <w:vertAlign w:val="superscript"/>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897,351​</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6"/>
              </w:rPr>
              <w:t>​ 3,613,118</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​1,602,367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​1,133,550</w:t>
            </w:r>
          </w:p>
        </w:tc>
      </w:tr>
      <w:tr>
        <w:trPr>
          <w:trHeight w:val="325"/>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Chad Plotkin</w:t>
            </w:r>
            <w:r>
              <w:rPr>
                <w:rFonts w:ascii="Arial" w:cs="Arial" w:eastAsia="Arial" w:hAnsi="Arial"/>
                <w:sz w:val="23"/>
                <w:szCs w:val="23"/>
                <w:b w:val="1"/>
                <w:bCs w:val="1"/>
                <w:color w:val="auto"/>
                <w:vertAlign w:val="superscript"/>
              </w:rPr>
              <w:t>(3)</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-737235</wp:posOffset>
            </wp:positionV>
            <wp:extent cx="137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-737235</wp:posOffset>
            </wp:positionV>
            <wp:extent cx="137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-737235</wp:posOffset>
            </wp:positionV>
            <wp:extent cx="137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-737235</wp:posOffset>
            </wp:positionV>
            <wp:extent cx="137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-737235</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119380</wp:posOffset>
            </wp:positionV>
            <wp:extent cx="12344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5" w:lineRule="exact"/>
        <w:rPr>
          <w:sz w:val="20"/>
          <w:szCs w:val="20"/>
          <w:color w:val="auto"/>
        </w:rPr>
      </w:pPr>
    </w:p>
    <w:p>
      <w:pPr>
        <w:ind w:left="1620" w:right="539" w:hanging="360"/>
        <w:spacing w:after="0" w:line="277"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Ms. Rubenstein was promoted to Senior Vice President and Chief Accounting Officer in January 2022 and appointed as the principal financial officer for the Company in August 2022.</w:t>
      </w:r>
    </w:p>
    <w:p>
      <w:pPr>
        <w:spacing w:after="0" w:line="21" w:lineRule="exact"/>
        <w:rPr>
          <w:rFonts w:ascii="Arial" w:cs="Arial" w:eastAsia="Arial" w:hAnsi="Arial"/>
          <w:sz w:val="18"/>
          <w:szCs w:val="18"/>
          <w:color w:val="auto"/>
        </w:rPr>
      </w:pPr>
    </w:p>
    <w:p>
      <w:pPr>
        <w:jc w:val="both"/>
        <w:ind w:left="1620" w:right="479" w:hanging="360"/>
        <w:spacing w:after="0" w:line="263"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Malcarney was promoted to Executive Vice President, General Counsel and Corporate Secretary in January 2022. He met the definition of Qualified Retirement in 2022 and is therefore entitled to certain payments and vesting of awards in the event he retires before they vest.</w:t>
      </w:r>
    </w:p>
    <w:p>
      <w:pPr>
        <w:spacing w:after="0" w:line="48" w:lineRule="exact"/>
        <w:rPr>
          <w:rFonts w:ascii="Arial" w:cs="Arial" w:eastAsia="Arial" w:hAnsi="Arial"/>
          <w:sz w:val="18"/>
          <w:szCs w:val="18"/>
          <w:color w:val="auto"/>
        </w:rPr>
      </w:pPr>
    </w:p>
    <w:p>
      <w:pPr>
        <w:ind w:left="1620" w:right="459" w:hanging="360"/>
        <w:spacing w:after="0" w:line="257"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Plotkin was promoted to Executive Vice President and Chief Financial Officer in January 2022. Mr. Plotkin voluntarily resigned from his employment with the Company in August 2022. Accordingly, disclosure is limited to the voluntary termination event (without good reason) that actually occurred, such that, no termination benefits were due or owing to Mr. Plotkin in connection with such voluntary termination event.</w:t>
      </w:r>
    </w:p>
    <w:p>
      <w:pPr>
        <w:spacing w:after="0" w:line="18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CEO PAY RATIO</w:t>
      </w:r>
    </w:p>
    <w:p>
      <w:pPr>
        <w:spacing w:after="0" w:line="148"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As a result of the rules under the Dodd Frank Act, the SEC requires disclosure of the CEO to median employee pay ratio. The following is a reasonable estimate, prepared under applicable SEC rules, of the ratio of the annual total compensation of our CEO, Mr. Sotos, to the annual total compensation of our median employee.</w:t>
      </w:r>
    </w:p>
    <w:p>
      <w:pPr>
        <w:spacing w:after="0" w:line="119"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In light of the Thermal sale that occurred in 2022, a new median employee was identified in 2022. To reasonably identify the median employee, we extracted and ranked IRS Form W2 wages of all employees employed as of December 31, 2022 (excluding the CEO) from our HRIS system of record. Our median employee’s annual total compensation for 2022 was determined using the same rules that apply to reporting the compensation of our NEOs (including our CEO) in the “Total” column of the “Summary Compensation Table — 2020 — 2022” above. The following total compensation amounts were determined based on that methodology:</w:t>
      </w:r>
    </w:p>
    <w:p>
      <w:pPr>
        <w:spacing w:after="0" w:line="87" w:lineRule="exact"/>
        <w:rPr>
          <w:sz w:val="20"/>
          <w:szCs w:val="20"/>
          <w:color w:val="auto"/>
        </w:rPr>
      </w:pPr>
    </w:p>
    <w:p>
      <w:pPr>
        <w:ind w:left="1800" w:hanging="180"/>
        <w:spacing w:after="0"/>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annual total compensation of the median employee for 2022 was $136,464.</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annual total compensation of Mr. Sotos for 2022 was $3,348,224.</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 a result, we estimate that Mr. Sotos’ 2022 annual total compensation was approximately 25 times that of our median employee.</w:t>
      </w:r>
    </w:p>
    <w:p>
      <w:pPr>
        <w:spacing w:after="0" w:line="103"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Given the different methodologies, exemptions, estimates and assumptions that various public companies use to determine an estimate of their pay ratio, the estimated ratio reported above should not be solely used as a basis for comparison between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COMPENSATION COMMITTEE REPORT ON EXECUTIVE COMPENSATION</w:t>
      </w:r>
    </w:p>
    <w:p>
      <w:pPr>
        <w:spacing w:after="0" w:line="148"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7"/>
          <w:szCs w:val="17"/>
          <w:color w:val="auto"/>
        </w:rPr>
        <w:t>The Compensation Committee has reviewed and discussed the Compensation Discussion and Analysis included in this Proxy Statement required by Item 402(b) of Regulation S-K with management and, based upon such review and discussion, the Compensation Committee has recommended to the Board that the Compensation Discussion and Analysis be included in this Proxy Statement.</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Compensation Committee:</w:t>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 Stanley O’Neal, Chair</w:t>
      </w:r>
    </w:p>
    <w:p>
      <w:pPr>
        <w:spacing w:after="0" w:line="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Jonathan Bram</w:t>
      </w:r>
    </w:p>
    <w:p>
      <w:pPr>
        <w:ind w:left="5580"/>
        <w:spacing w:after="0" w:line="234" w:lineRule="auto"/>
        <w:rPr>
          <w:sz w:val="20"/>
          <w:szCs w:val="20"/>
          <w:color w:val="auto"/>
        </w:rPr>
      </w:pPr>
      <w:r>
        <w:rPr>
          <w:rFonts w:ascii="Arial" w:cs="Arial" w:eastAsia="Arial" w:hAnsi="Arial"/>
          <w:sz w:val="18"/>
          <w:szCs w:val="18"/>
          <w:color w:val="auto"/>
        </w:rPr>
        <w:t>Brian R. Ford</w:t>
      </w:r>
    </w:p>
    <w:p>
      <w:pPr>
        <w:spacing w:after="0" w:line="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Jennifer Lowry</w:t>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Daniel B. More</w:t>
      </w:r>
    </w:p>
    <w:p>
      <w:pPr>
        <w:spacing w:after="0" w:line="153"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48" w:lineRule="exact"/>
        <w:rPr>
          <w:sz w:val="20"/>
          <w:szCs w:val="20"/>
          <w:color w:val="auto"/>
        </w:rPr>
      </w:pPr>
    </w:p>
    <w:p>
      <w:pPr>
        <w:ind w:left="1260" w:right="459" w:firstLine="360"/>
        <w:spacing w:after="0" w:line="245" w:lineRule="auto"/>
        <w:rPr>
          <w:sz w:val="20"/>
          <w:szCs w:val="20"/>
          <w:color w:val="auto"/>
        </w:rPr>
      </w:pPr>
      <w:r>
        <w:rPr>
          <w:rFonts w:ascii="Arial" w:cs="Arial" w:eastAsia="Arial" w:hAnsi="Arial"/>
          <w:sz w:val="18"/>
          <w:szCs w:val="18"/>
          <w:color w:val="auto"/>
        </w:rPr>
        <w:t>No member of our Compensation Committee has served as one of our officers or employees at any time. None of our executive officers serves as a member of the compensation committee of any other company that has an executive officer serving as a member of the Board. None of our executive officers serves as a member of the board of directors of any other company that has an executive officer serving as a member of our Compensation Committee.</w:t>
      </w:r>
    </w:p>
    <w:p>
      <w:pPr>
        <w:spacing w:after="0" w:line="182"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DELINQUENT SECTION 16(a) REPORTS</w:t>
      </w:r>
    </w:p>
    <w:p>
      <w:pPr>
        <w:spacing w:after="0" w:line="148"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Section 16(a) of the Exchange Act requires our directors, executive officers and persons who beneficially own more than 10% of a registered class of our equity securities to file reports of ownership and changes in ownership of our equity securities with the Securities and Exchange Commission.</w:t>
      </w:r>
    </w:p>
    <w:p>
      <w:pPr>
        <w:spacing w:after="0" w:line="96" w:lineRule="exact"/>
        <w:rPr>
          <w:sz w:val="20"/>
          <w:szCs w:val="20"/>
          <w:color w:val="auto"/>
        </w:rPr>
      </w:pPr>
    </w:p>
    <w:p>
      <w:pPr>
        <w:ind w:left="1260" w:right="459" w:firstLine="360"/>
        <w:spacing w:after="0" w:line="249" w:lineRule="auto"/>
        <w:rPr>
          <w:sz w:val="20"/>
          <w:szCs w:val="20"/>
          <w:color w:val="auto"/>
        </w:rPr>
      </w:pPr>
      <w:r>
        <w:rPr>
          <w:rFonts w:ascii="Arial" w:cs="Arial" w:eastAsia="Arial" w:hAnsi="Arial"/>
          <w:sz w:val="18"/>
          <w:szCs w:val="18"/>
          <w:color w:val="auto"/>
        </w:rPr>
        <w:t>Based solely on a review of the copies of such reports furnished to us and any written representations of our executive officers and directors that no Forms 5 were required, we believe that all such Section 16(a) filing requirements were timely met during the year ended December 31, 2022, except for one late report on a Form 3 that was filed by Michael Murphy, Senior Vice President and Chief Investment Officer, on June 3, 2022 due to an administrative error.</w:t>
      </w:r>
    </w:p>
    <w:p>
      <w:pPr>
        <w:spacing w:after="0" w:line="17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PAY VERSUS PERFORMANCE</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accordance with SEC disclosure rules, the following table sets forth information regarding the</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Company’s performance and executive compensation for our NEOs for the fiscal years listed below:</w:t>
      </w:r>
    </w:p>
    <w:p>
      <w:pPr>
        <w:spacing w:after="0" w:line="14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89"/>
              <w:spacing w:after="0"/>
              <w:rPr>
                <w:sz w:val="20"/>
                <w:szCs w:val="20"/>
                <w:color w:val="auto"/>
              </w:rPr>
            </w:pPr>
            <w:r>
              <w:rPr>
                <w:rFonts w:ascii="Arial" w:cs="Arial" w:eastAsia="Arial" w:hAnsi="Arial"/>
                <w:sz w:val="14"/>
                <w:szCs w:val="14"/>
                <w:b w:val="1"/>
                <w:bCs w:val="1"/>
                <w:color w:val="auto"/>
                <w:w w:val="86"/>
              </w:rPr>
              <w:t>Average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89"/>
              <w:spacing w:after="0"/>
              <w:rPr>
                <w:sz w:val="20"/>
                <w:szCs w:val="20"/>
                <w:color w:val="auto"/>
              </w:rPr>
            </w:pPr>
            <w:r>
              <w:rPr>
                <w:rFonts w:ascii="Arial" w:cs="Arial" w:eastAsia="Arial" w:hAnsi="Arial"/>
                <w:sz w:val="14"/>
                <w:szCs w:val="14"/>
                <w:b w:val="1"/>
                <w:bCs w:val="1"/>
                <w:color w:val="auto"/>
                <w:w w:val="93"/>
              </w:rPr>
              <w:t>Summary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89"/>
              <w:spacing w:after="0"/>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8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Compensation</w:t>
            </w:r>
          </w:p>
        </w:tc>
        <w:tc>
          <w:tcPr>
            <w:tcW w:w="80" w:type="dxa"/>
            <w:vAlign w:val="bottom"/>
          </w:tcPr>
          <w:p>
            <w:pPr>
              <w:spacing w:after="0"/>
              <w:rPr>
                <w:sz w:val="17"/>
                <w:szCs w:val="17"/>
                <w:color w:val="auto"/>
              </w:rPr>
            </w:pPr>
          </w:p>
        </w:tc>
        <w:tc>
          <w:tcPr>
            <w:tcW w:w="2060" w:type="dxa"/>
            <w:vAlign w:val="bottom"/>
            <w:gridSpan w:val="5"/>
          </w:tcPr>
          <w:p>
            <w:pPr>
              <w:ind w:left="460"/>
              <w:spacing w:after="0"/>
              <w:rPr>
                <w:sz w:val="20"/>
                <w:szCs w:val="20"/>
                <w:color w:val="auto"/>
              </w:rPr>
            </w:pPr>
            <w:r>
              <w:rPr>
                <w:rFonts w:ascii="Arial" w:cs="Arial" w:eastAsia="Arial" w:hAnsi="Arial"/>
                <w:sz w:val="14"/>
                <w:szCs w:val="14"/>
                <w:b w:val="1"/>
                <w:bCs w:val="1"/>
                <w:color w:val="auto"/>
                <w:w w:val="92"/>
              </w:rPr>
              <w:t>Value of Initial Fixed $100</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89"/>
              <w:spacing w:after="0"/>
              <w:rPr>
                <w:sz w:val="20"/>
                <w:szCs w:val="20"/>
                <w:color w:val="auto"/>
              </w:rPr>
            </w:pPr>
            <w:r>
              <w:rPr>
                <w:rFonts w:ascii="Arial" w:cs="Arial" w:eastAsia="Arial" w:hAnsi="Arial"/>
                <w:sz w:val="14"/>
                <w:szCs w:val="14"/>
                <w:b w:val="1"/>
                <w:bCs w:val="1"/>
                <w:color w:val="auto"/>
                <w:w w:val="87"/>
              </w:rPr>
              <w:t>Table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89"/>
              <w:spacing w:after="0"/>
              <w:rPr>
                <w:sz w:val="20"/>
                <w:szCs w:val="20"/>
                <w:color w:val="auto"/>
              </w:rPr>
            </w:pPr>
            <w:r>
              <w:rPr>
                <w:rFonts w:ascii="Arial" w:cs="Arial" w:eastAsia="Arial" w:hAnsi="Arial"/>
                <w:sz w:val="14"/>
                <w:szCs w:val="14"/>
                <w:b w:val="1"/>
                <w:bCs w:val="1"/>
                <w:color w:val="auto"/>
                <w:w w:val="91"/>
              </w:rPr>
              <w:t>Actually</w:t>
            </w:r>
          </w:p>
        </w:tc>
        <w:tc>
          <w:tcPr>
            <w:tcW w:w="80" w:type="dxa"/>
            <w:vAlign w:val="bottom"/>
          </w:tcPr>
          <w:p>
            <w:pPr>
              <w:spacing w:after="0"/>
              <w:rPr>
                <w:sz w:val="14"/>
                <w:szCs w:val="14"/>
                <w:color w:val="auto"/>
              </w:rPr>
            </w:pPr>
          </w:p>
        </w:tc>
        <w:tc>
          <w:tcPr>
            <w:tcW w:w="2060" w:type="dxa"/>
            <w:vAlign w:val="bottom"/>
            <w:gridSpan w:val="5"/>
          </w:tcPr>
          <w:p>
            <w:pPr>
              <w:jc w:val="center"/>
              <w:ind w:left="342"/>
              <w:spacing w:after="0" w:line="162" w:lineRule="exact"/>
              <w:rPr>
                <w:sz w:val="20"/>
                <w:szCs w:val="20"/>
                <w:color w:val="auto"/>
              </w:rPr>
            </w:pPr>
            <w:r>
              <w:rPr>
                <w:rFonts w:ascii="Arial" w:cs="Arial" w:eastAsia="Arial" w:hAnsi="Arial"/>
                <w:sz w:val="14"/>
                <w:szCs w:val="14"/>
                <w:b w:val="1"/>
                <w:bCs w:val="1"/>
                <w:color w:val="auto"/>
                <w:w w:val="86"/>
              </w:rPr>
              <w:t>Investment Based On:</w:t>
            </w:r>
            <w:r>
              <w:rPr>
                <w:rFonts w:ascii="Arial" w:cs="Arial" w:eastAsia="Arial" w:hAnsi="Arial"/>
                <w:sz w:val="17"/>
                <w:szCs w:val="17"/>
                <w:b w:val="1"/>
                <w:bCs w:val="1"/>
                <w:color w:val="auto"/>
                <w:w w:val="86"/>
                <w:vertAlign w:val="superscript"/>
              </w:rPr>
              <w:t>(4)</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vMerge w:val="restart"/>
          </w:tcPr>
          <w:p>
            <w:pPr>
              <w:jc w:val="center"/>
              <w:ind w:right="34"/>
              <w:spacing w:after="0" w:line="126" w:lineRule="exact"/>
              <w:rPr>
                <w:sz w:val="20"/>
                <w:szCs w:val="20"/>
                <w:color w:val="auto"/>
              </w:rPr>
            </w:pPr>
            <w:r>
              <w:rPr>
                <w:rFonts w:ascii="Arial" w:cs="Arial" w:eastAsia="Arial" w:hAnsi="Arial"/>
                <w:sz w:val="14"/>
                <w:szCs w:val="14"/>
                <w:b w:val="1"/>
                <w:bCs w:val="1"/>
                <w:color w:val="auto"/>
                <w:w w:val="93"/>
              </w:rPr>
              <w:t>Summary</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restart"/>
          </w:tcPr>
          <w:p>
            <w:pPr>
              <w:jc w:val="center"/>
              <w:ind w:right="89"/>
              <w:spacing w:after="0" w:line="126" w:lineRule="exact"/>
              <w:rPr>
                <w:sz w:val="20"/>
                <w:szCs w:val="20"/>
                <w:color w:val="auto"/>
              </w:rPr>
            </w:pPr>
            <w:r>
              <w:rPr>
                <w:rFonts w:ascii="Arial" w:cs="Arial" w:eastAsia="Arial" w:hAnsi="Arial"/>
                <w:sz w:val="14"/>
                <w:szCs w:val="14"/>
                <w:b w:val="1"/>
                <w:bCs w:val="1"/>
                <w:color w:val="auto"/>
                <w:w w:val="92"/>
              </w:rPr>
              <w:t>Total for</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restart"/>
          </w:tcPr>
          <w:p>
            <w:pPr>
              <w:jc w:val="center"/>
              <w:ind w:right="89"/>
              <w:spacing w:after="0" w:line="126" w:lineRule="exact"/>
              <w:rPr>
                <w:sz w:val="20"/>
                <w:szCs w:val="20"/>
                <w:color w:val="auto"/>
              </w:rPr>
            </w:pPr>
            <w:r>
              <w:rPr>
                <w:rFonts w:ascii="Arial" w:cs="Arial" w:eastAsia="Arial" w:hAnsi="Arial"/>
                <w:sz w:val="14"/>
                <w:szCs w:val="14"/>
                <w:b w:val="1"/>
                <w:bCs w:val="1"/>
                <w:color w:val="auto"/>
                <w:w w:val="89"/>
              </w:rPr>
              <w:t>Paid to</w:t>
            </w:r>
          </w:p>
        </w:tc>
        <w:tc>
          <w:tcPr>
            <w:tcW w:w="8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Compensation</w:t>
            </w: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Compensation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89"/>
              <w:spacing w:after="0"/>
              <w:rPr>
                <w:sz w:val="20"/>
                <w:szCs w:val="20"/>
                <w:color w:val="auto"/>
              </w:rPr>
            </w:pPr>
            <w:r>
              <w:rPr>
                <w:rFonts w:ascii="Arial" w:cs="Arial" w:eastAsia="Arial" w:hAnsi="Arial"/>
                <w:sz w:val="14"/>
                <w:szCs w:val="14"/>
                <w:b w:val="1"/>
                <w:bCs w:val="1"/>
                <w:color w:val="auto"/>
                <w:w w:val="97"/>
              </w:rPr>
              <w:t>Non-PEO</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89"/>
              <w:spacing w:after="0"/>
              <w:rPr>
                <w:sz w:val="20"/>
                <w:szCs w:val="20"/>
                <w:color w:val="auto"/>
              </w:rPr>
            </w:pPr>
            <w:r>
              <w:rPr>
                <w:rFonts w:ascii="Arial" w:cs="Arial" w:eastAsia="Arial" w:hAnsi="Arial"/>
                <w:sz w:val="14"/>
                <w:szCs w:val="14"/>
                <w:b w:val="1"/>
                <w:bCs w:val="1"/>
                <w:color w:val="auto"/>
                <w:w w:val="94"/>
              </w:rPr>
              <w:t>Non-PEO</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Peer Group</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34"/>
              <w:spacing w:after="0"/>
              <w:rPr>
                <w:sz w:val="20"/>
                <w:szCs w:val="20"/>
                <w:color w:val="auto"/>
              </w:rPr>
            </w:pPr>
            <w:r>
              <w:rPr>
                <w:rFonts w:ascii="Arial" w:cs="Arial" w:eastAsia="Arial" w:hAnsi="Arial"/>
                <w:sz w:val="14"/>
                <w:szCs w:val="14"/>
                <w:b w:val="1"/>
                <w:bCs w:val="1"/>
                <w:color w:val="auto"/>
                <w:w w:val="87"/>
              </w:rPr>
              <w:t>Table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Actually</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89"/>
              <w:spacing w:after="0"/>
              <w:rPr>
                <w:sz w:val="20"/>
                <w:szCs w:val="20"/>
                <w:color w:val="auto"/>
              </w:rPr>
            </w:pPr>
            <w:r>
              <w:rPr>
                <w:rFonts w:ascii="Arial" w:cs="Arial" w:eastAsia="Arial" w:hAnsi="Arial"/>
                <w:sz w:val="14"/>
                <w:szCs w:val="14"/>
                <w:b w:val="1"/>
                <w:bCs w:val="1"/>
                <w:color w:val="auto"/>
                <w:w w:val="94"/>
              </w:rPr>
              <w:t>Named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89"/>
              <w:spacing w:after="0"/>
              <w:rPr>
                <w:sz w:val="20"/>
                <w:szCs w:val="20"/>
                <w:color w:val="auto"/>
              </w:rPr>
            </w:pPr>
            <w:r>
              <w:rPr>
                <w:rFonts w:ascii="Arial" w:cs="Arial" w:eastAsia="Arial" w:hAnsi="Arial"/>
                <w:sz w:val="14"/>
                <w:szCs w:val="14"/>
                <w:b w:val="1"/>
                <w:bCs w:val="1"/>
                <w:color w:val="auto"/>
                <w:w w:val="89"/>
              </w:rPr>
              <w:t>Named</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Total for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Paid to</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89"/>
              <w:spacing w:after="0"/>
              <w:rPr>
                <w:sz w:val="20"/>
                <w:szCs w:val="20"/>
                <w:color w:val="auto"/>
              </w:rPr>
            </w:pPr>
            <w:r>
              <w:rPr>
                <w:rFonts w:ascii="Arial" w:cs="Arial" w:eastAsia="Arial" w:hAnsi="Arial"/>
                <w:sz w:val="14"/>
                <w:szCs w:val="14"/>
                <w:b w:val="1"/>
                <w:bCs w:val="1"/>
                <w:color w:val="auto"/>
                <w:w w:val="85"/>
              </w:rPr>
              <w:t>Executive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89"/>
              <w:spacing w:after="0"/>
              <w:rPr>
                <w:sz w:val="20"/>
                <w:szCs w:val="20"/>
                <w:color w:val="auto"/>
              </w:rPr>
            </w:pPr>
            <w:r>
              <w:rPr>
                <w:rFonts w:ascii="Arial" w:cs="Arial" w:eastAsia="Arial" w:hAnsi="Arial"/>
                <w:sz w:val="14"/>
                <w:szCs w:val="14"/>
                <w:b w:val="1"/>
                <w:bCs w:val="1"/>
                <w:color w:val="auto"/>
                <w:w w:val="88"/>
              </w:rPr>
              <w:t>Executive</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Shareholder</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Shareholder</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54"/>
              <w:spacing w:after="0"/>
              <w:rPr>
                <w:sz w:val="20"/>
                <w:szCs w:val="20"/>
                <w:color w:val="auto"/>
              </w:rPr>
            </w:pPr>
            <w:r>
              <w:rPr>
                <w:rFonts w:ascii="Arial" w:cs="Arial" w:eastAsia="Arial" w:hAnsi="Arial"/>
                <w:sz w:val="14"/>
                <w:szCs w:val="14"/>
                <w:b w:val="1"/>
                <w:bCs w:val="1"/>
                <w:color w:val="auto"/>
                <w:w w:val="97"/>
              </w:rPr>
              <w:t>(PEO)</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56"/>
              <w:spacing w:after="0"/>
              <w:rPr>
                <w:sz w:val="20"/>
                <w:szCs w:val="20"/>
                <w:color w:val="auto"/>
              </w:rPr>
            </w:pPr>
            <w:r>
              <w:rPr>
                <w:rFonts w:ascii="Arial" w:cs="Arial" w:eastAsia="Arial" w:hAnsi="Arial"/>
                <w:sz w:val="14"/>
                <w:szCs w:val="14"/>
                <w:b w:val="1"/>
                <w:bCs w:val="1"/>
                <w:color w:val="auto"/>
                <w:w w:val="97"/>
              </w:rPr>
              <w:t>(PEO)</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89"/>
              <w:spacing w:after="0"/>
              <w:rPr>
                <w:sz w:val="20"/>
                <w:szCs w:val="20"/>
                <w:color w:val="auto"/>
              </w:rPr>
            </w:pPr>
            <w:r>
              <w:rPr>
                <w:rFonts w:ascii="Arial" w:cs="Arial" w:eastAsia="Arial" w:hAnsi="Arial"/>
                <w:sz w:val="14"/>
                <w:szCs w:val="14"/>
                <w:b w:val="1"/>
                <w:bCs w:val="1"/>
                <w:color w:val="auto"/>
                <w:w w:val="90"/>
              </w:rPr>
              <w:t>Officers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89"/>
              <w:spacing w:after="0"/>
              <w:rPr>
                <w:sz w:val="20"/>
                <w:szCs w:val="20"/>
                <w:color w:val="auto"/>
              </w:rPr>
            </w:pPr>
            <w:r>
              <w:rPr>
                <w:rFonts w:ascii="Arial" w:cs="Arial" w:eastAsia="Arial" w:hAnsi="Arial"/>
                <w:sz w:val="14"/>
                <w:szCs w:val="14"/>
                <w:b w:val="1"/>
                <w:bCs w:val="1"/>
                <w:color w:val="auto"/>
                <w:w w:val="86"/>
              </w:rPr>
              <w:t>Officers</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Return</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Return</w:t>
            </w: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Net Income</w:t>
            </w:r>
          </w:p>
        </w:tc>
        <w:tc>
          <w:tcPr>
            <w:tcW w:w="10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Arial" w:cs="Arial" w:eastAsia="Arial" w:hAnsi="Arial"/>
                <w:sz w:val="14"/>
                <w:szCs w:val="14"/>
                <w:b w:val="1"/>
                <w:bCs w:val="1"/>
                <w:color w:val="auto"/>
              </w:rPr>
              <w:t>CAFD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60" w:type="dxa"/>
            <w:vAlign w:val="bottom"/>
          </w:tcPr>
          <w:p>
            <w:pPr>
              <w:spacing w:after="0"/>
              <w:rPr>
                <w:sz w:val="20"/>
                <w:szCs w:val="20"/>
                <w:color w:val="auto"/>
              </w:rPr>
            </w:pPr>
            <w:r>
              <w:rPr>
                <w:rFonts w:ascii="Arial" w:cs="Arial" w:eastAsia="Arial" w:hAnsi="Arial"/>
                <w:sz w:val="14"/>
                <w:szCs w:val="14"/>
                <w:b w:val="1"/>
                <w:bCs w:val="1"/>
                <w:color w:val="auto"/>
              </w:rPr>
              <w:t>Year</w:t>
            </w:r>
            <w:r>
              <w:rPr>
                <w:rFonts w:ascii="Arial" w:cs="Arial" w:eastAsia="Arial" w:hAnsi="Arial"/>
                <w:sz w:val="17"/>
                <w:szCs w:val="17"/>
                <w:b w:val="1"/>
                <w:bCs w:val="1"/>
                <w:color w:val="auto"/>
                <w:vertAlign w:val="superscript"/>
              </w:rPr>
              <w:t>(1)</w:t>
            </w:r>
          </w:p>
        </w:tc>
        <w:tc>
          <w:tcPr>
            <w:tcW w:w="1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center"/>
              <w:ind w:right="14"/>
              <w:spacing w:after="0" w:line="212" w:lineRule="exact"/>
              <w:rPr>
                <w:sz w:val="20"/>
                <w:szCs w:val="20"/>
                <w:color w:val="auto"/>
              </w:rPr>
            </w:pPr>
            <w:r>
              <w:rPr>
                <w:rFonts w:ascii="Arial" w:cs="Arial" w:eastAsia="Arial" w:hAnsi="Arial"/>
                <w:sz w:val="24"/>
                <w:szCs w:val="24"/>
                <w:b w:val="1"/>
                <w:bCs w:val="1"/>
                <w:color w:val="auto"/>
                <w:w w:val="88"/>
                <w:vertAlign w:val="subscript"/>
              </w:rPr>
              <w:t>($)</w:t>
            </w:r>
            <w:r>
              <w:rPr>
                <w:rFonts w:ascii="Arial" w:cs="Arial" w:eastAsia="Arial" w:hAnsi="Arial"/>
                <w:sz w:val="8"/>
                <w:szCs w:val="8"/>
                <w:b w:val="1"/>
                <w:bCs w:val="1"/>
                <w:color w:val="auto"/>
                <w:w w:val="88"/>
              </w:rPr>
              <w:t>(2)</w:t>
            </w:r>
          </w:p>
        </w:tc>
        <w:tc>
          <w:tcPr>
            <w:tcW w:w="18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center"/>
              <w:ind w:right="16"/>
              <w:spacing w:after="0" w:line="212" w:lineRule="exact"/>
              <w:rPr>
                <w:sz w:val="20"/>
                <w:szCs w:val="20"/>
                <w:color w:val="auto"/>
              </w:rPr>
            </w:pPr>
            <w:r>
              <w:rPr>
                <w:rFonts w:ascii="Arial" w:cs="Arial" w:eastAsia="Arial" w:hAnsi="Arial"/>
                <w:sz w:val="24"/>
                <w:szCs w:val="24"/>
                <w:b w:val="1"/>
                <w:bCs w:val="1"/>
                <w:color w:val="auto"/>
                <w:w w:val="88"/>
                <w:vertAlign w:val="subscript"/>
              </w:rPr>
              <w:t>($)</w:t>
            </w:r>
            <w:r>
              <w:rPr>
                <w:rFonts w:ascii="Arial" w:cs="Arial" w:eastAsia="Arial" w:hAnsi="Arial"/>
                <w:sz w:val="8"/>
                <w:szCs w:val="8"/>
                <w:b w:val="1"/>
                <w:bCs w:val="1"/>
                <w:color w:val="auto"/>
                <w:w w:val="88"/>
              </w:rPr>
              <w:t>(3)</w:t>
            </w:r>
          </w:p>
        </w:tc>
        <w:tc>
          <w:tcPr>
            <w:tcW w:w="22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center"/>
              <w:ind w:right="69"/>
              <w:spacing w:after="0" w:line="212" w:lineRule="exact"/>
              <w:rPr>
                <w:sz w:val="20"/>
                <w:szCs w:val="20"/>
                <w:color w:val="auto"/>
              </w:rPr>
            </w:pPr>
            <w:r>
              <w:rPr>
                <w:rFonts w:ascii="Arial" w:cs="Arial" w:eastAsia="Arial" w:hAnsi="Arial"/>
                <w:sz w:val="24"/>
                <w:szCs w:val="24"/>
                <w:b w:val="1"/>
                <w:bCs w:val="1"/>
                <w:color w:val="auto"/>
                <w:w w:val="88"/>
                <w:vertAlign w:val="subscript"/>
              </w:rPr>
              <w:t>($)</w:t>
            </w:r>
            <w:r>
              <w:rPr>
                <w:rFonts w:ascii="Arial" w:cs="Arial" w:eastAsia="Arial" w:hAnsi="Arial"/>
                <w:sz w:val="8"/>
                <w:szCs w:val="8"/>
                <w:b w:val="1"/>
                <w:bCs w:val="1"/>
                <w:color w:val="auto"/>
                <w:w w:val="88"/>
              </w:rPr>
              <w:t>(2)</w:t>
            </w:r>
          </w:p>
        </w:tc>
        <w:tc>
          <w:tcPr>
            <w:tcW w:w="20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center"/>
              <w:ind w:right="49"/>
              <w:spacing w:after="0" w:line="212" w:lineRule="exact"/>
              <w:rPr>
                <w:sz w:val="20"/>
                <w:szCs w:val="20"/>
                <w:color w:val="auto"/>
              </w:rPr>
            </w:pPr>
            <w:r>
              <w:rPr>
                <w:rFonts w:ascii="Arial" w:cs="Arial" w:eastAsia="Arial" w:hAnsi="Arial"/>
                <w:sz w:val="24"/>
                <w:szCs w:val="24"/>
                <w:b w:val="1"/>
                <w:bCs w:val="1"/>
                <w:color w:val="auto"/>
                <w:w w:val="88"/>
                <w:vertAlign w:val="subscript"/>
              </w:rPr>
              <w:t>($)</w:t>
            </w:r>
            <w:r>
              <w:rPr>
                <w:rFonts w:ascii="Arial" w:cs="Arial" w:eastAsia="Arial" w:hAnsi="Arial"/>
                <w:sz w:val="8"/>
                <w:szCs w:val="8"/>
                <w:b w:val="1"/>
                <w:bCs w:val="1"/>
                <w:color w:val="auto"/>
                <w:w w:val="88"/>
              </w:rPr>
              <w:t>(3)</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8"/>
                <w:szCs w:val="18"/>
                <w:color w:val="auto"/>
              </w:rPr>
            </w:pPr>
          </w:p>
        </w:tc>
        <w:tc>
          <w:tcPr>
            <w:tcW w:w="780" w:type="dxa"/>
            <w:vAlign w:val="bottom"/>
          </w:tcPr>
          <w:p>
            <w:pPr>
              <w:jc w:val="right"/>
              <w:ind w:right="22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($000,000)</w:t>
            </w:r>
          </w:p>
        </w:tc>
        <w:tc>
          <w:tcPr>
            <w:tcW w:w="100" w:type="dxa"/>
            <w:vAlign w:val="bottom"/>
          </w:tcPr>
          <w:p>
            <w:pPr>
              <w:spacing w:after="0"/>
              <w:rPr>
                <w:sz w:val="18"/>
                <w:szCs w:val="18"/>
                <w:color w:val="auto"/>
              </w:rPr>
            </w:pP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w w:val="85"/>
              </w:rPr>
              <w:t>($000,000)</w:t>
            </w:r>
            <w:r>
              <w:rPr>
                <w:rFonts w:ascii="Arial" w:cs="Arial" w:eastAsia="Arial" w:hAnsi="Arial"/>
                <w:sz w:val="17"/>
                <w:szCs w:val="17"/>
                <w:b w:val="1"/>
                <w:bCs w:val="1"/>
                <w:color w:val="auto"/>
                <w:w w:val="85"/>
                <w:vertAlign w:val="superscript"/>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12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 ​3,348,224 ​​​ ​2,612,184 ​​​ ​1,016,878 ​​​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187,491 ​​</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​181.30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​122.25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​326</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0" w:type="dxa"/>
            <w:vAlign w:val="bottom"/>
          </w:tcPr>
          <w:p>
            <w:pPr>
              <w:spacing w:after="0"/>
              <w:rPr>
                <w:sz w:val="20"/>
                <w:szCs w:val="20"/>
                <w:color w:val="auto"/>
              </w:rPr>
            </w:pPr>
            <w:r>
              <w:rPr>
                <w:rFonts w:ascii="Arial" w:cs="Arial" w:eastAsia="Arial" w:hAnsi="Arial"/>
                <w:sz w:val="18"/>
                <w:szCs w:val="18"/>
                <w:color w:val="auto"/>
              </w:rPr>
              <w:t>2021</w:t>
            </w:r>
          </w:p>
        </w:tc>
        <w:tc>
          <w:tcPr>
            <w:tcW w:w="3980" w:type="dxa"/>
            <w:vAlign w:val="bottom"/>
            <w:gridSpan w:val="13"/>
          </w:tcPr>
          <w:p>
            <w:pPr>
              <w:ind w:left="20"/>
              <w:spacing w:after="0"/>
              <w:rPr>
                <w:sz w:val="20"/>
                <w:szCs w:val="20"/>
                <w:color w:val="auto"/>
              </w:rPr>
            </w:pPr>
            <w:r>
              <w:rPr>
                <w:rFonts w:ascii="Arial" w:cs="Arial" w:eastAsia="Arial" w:hAnsi="Arial"/>
                <w:sz w:val="18"/>
                <w:szCs w:val="18"/>
                <w:color w:val="auto"/>
              </w:rPr>
              <w:t>​​ ​3,092,509 ​​​ ​5,238,269 ​​​ ​1,066,691 ​​​ ​1,603,696 ​​</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​196.83</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​121.46</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ind w:left="260"/>
              <w:spacing w:after="0"/>
              <w:rPr>
                <w:sz w:val="20"/>
                <w:szCs w:val="20"/>
                <w:color w:val="auto"/>
              </w:rPr>
            </w:pPr>
            <w:r>
              <w:rPr>
                <w:rFonts w:ascii="Arial" w:cs="Arial" w:eastAsia="Arial" w:hAnsi="Arial"/>
                <w:sz w:val="18"/>
                <w:szCs w:val="18"/>
                <w:color w:val="auto"/>
              </w:rPr>
              <w:t>​336</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16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 ​3,248,568 ​​​ ​8,010,421 ​​​ ​</w:t>
            </w:r>
          </w:p>
        </w:tc>
        <w:tc>
          <w:tcPr>
            <w:tcW w:w="1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859,642 ​​​ ​1,413,200 ​​</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​167.04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​102.72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​295</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-496570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-496570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-496570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-496570</wp:posOffset>
            </wp:positionV>
            <wp:extent cx="596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-496570</wp:posOffset>
            </wp:positionV>
            <wp:extent cx="514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2583180</wp:posOffset>
            </wp:positionH>
            <wp:positionV relativeFrom="paragraph">
              <wp:posOffset>-496570</wp:posOffset>
            </wp:positionV>
            <wp:extent cx="514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1965960</wp:posOffset>
            </wp:positionH>
            <wp:positionV relativeFrom="paragraph">
              <wp:posOffset>-496570</wp:posOffset>
            </wp:positionV>
            <wp:extent cx="514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-496570</wp:posOffset>
            </wp:positionV>
            <wp:extent cx="514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30" w:lineRule="exact"/>
        <w:rPr>
          <w:sz w:val="20"/>
          <w:szCs w:val="20"/>
          <w:color w:val="auto"/>
        </w:rPr>
      </w:pPr>
    </w:p>
    <w:p>
      <w:pPr>
        <w:ind w:left="1620" w:right="839" w:hanging="360"/>
        <w:spacing w:after="0" w:line="277"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Christopher Sotos was our PEO for each year presented. The individuals comprising the Non-PEO NEOs for each year presented are listed below.</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225"/>
        </w:trPr>
        <w:tc>
          <w:tcPr>
            <w:tcW w:w="1900" w:type="dxa"/>
            <w:vAlign w:val="bottom"/>
          </w:tcPr>
          <w:p>
            <w:pPr>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820" w:type="dxa"/>
            <w:vAlign w:val="bottom"/>
          </w:tcPr>
          <w:p>
            <w:pPr>
              <w:jc w:val="right"/>
              <w:ind w:right="448"/>
              <w:spacing w:after="0"/>
              <w:rPr>
                <w:sz w:val="20"/>
                <w:szCs w:val="20"/>
                <w:color w:val="auto"/>
              </w:rPr>
            </w:pPr>
            <w:r>
              <w:rPr>
                <w:rFonts w:ascii="Arial" w:cs="Arial" w:eastAsia="Arial" w:hAnsi="Arial"/>
                <w:sz w:val="14"/>
                <w:szCs w:val="14"/>
                <w:b w:val="1"/>
                <w:bCs w:val="1"/>
                <w:color w:val="auto"/>
                <w:w w:val="89"/>
              </w:rPr>
              <w:t>2021</w:t>
            </w:r>
          </w:p>
        </w:tc>
        <w:tc>
          <w:tcPr>
            <w:tcW w:w="52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1340" w:type="dxa"/>
            <w:vAlign w:val="bottom"/>
          </w:tcPr>
          <w:p>
            <w:pPr>
              <w:jc w:val="right"/>
              <w:ind w:right="968"/>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09"/>
        </w:trPr>
        <w:tc>
          <w:tcPr>
            <w:tcW w:w="1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Chad Plotkin</w:t>
            </w:r>
          </w:p>
        </w:tc>
        <w:tc>
          <w:tcPr>
            <w:tcW w:w="460" w:type="dxa"/>
            <w:vAlign w:val="bottom"/>
            <w:tcBorders>
              <w:top w:val="single" w:sz="8" w:color="auto"/>
            </w:tcBorders>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 ​</w:t>
            </w:r>
          </w:p>
        </w:tc>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Chad Plotkin</w:t>
            </w:r>
          </w:p>
        </w:tc>
        <w:tc>
          <w:tcPr>
            <w:tcW w:w="8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Chad Plotkin</w:t>
            </w:r>
          </w:p>
        </w:tc>
        <w:tc>
          <w:tcPr>
            <w:tcW w:w="1340" w:type="dxa"/>
            <w:vAlign w:val="bottom"/>
            <w:tcBorders>
              <w:top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43"/>
        </w:trPr>
        <w:tc>
          <w:tcPr>
            <w:tcW w:w="1900" w:type="dxa"/>
            <w:vAlign w:val="bottom"/>
          </w:tcPr>
          <w:p>
            <w:pPr>
              <w:spacing w:after="0"/>
              <w:rPr>
                <w:sz w:val="20"/>
                <w:szCs w:val="20"/>
                <w:color w:val="auto"/>
              </w:rPr>
            </w:pPr>
            <w:r>
              <w:rPr>
                <w:rFonts w:ascii="Arial" w:cs="Arial" w:eastAsia="Arial" w:hAnsi="Arial"/>
                <w:sz w:val="18"/>
                <w:szCs w:val="18"/>
                <w:color w:val="auto"/>
              </w:rPr>
              <w:t>Kevin Malcarney</w:t>
            </w:r>
          </w:p>
        </w:tc>
        <w:tc>
          <w:tcPr>
            <w:tcW w:w="2500" w:type="dxa"/>
            <w:vAlign w:val="bottom"/>
            <w:gridSpan w:val="4"/>
          </w:tcPr>
          <w:p>
            <w:pPr>
              <w:ind w:left="44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Kevin Malcarney</w:t>
            </w:r>
          </w:p>
        </w:tc>
        <w:tc>
          <w:tcPr>
            <w:tcW w:w="3080" w:type="dxa"/>
            <w:vAlign w:val="bottom"/>
            <w:gridSpan w:val="4"/>
          </w:tcPr>
          <w:p>
            <w:pPr>
              <w:ind w:left="5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Kevin Malcarney</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471"/>
        </w:trPr>
        <w:tc>
          <w:tcPr>
            <w:tcW w:w="1900" w:type="dxa"/>
            <w:vAlign w:val="bottom"/>
          </w:tcPr>
          <w:p>
            <w:pPr>
              <w:spacing w:after="0"/>
              <w:rPr>
                <w:sz w:val="20"/>
                <w:szCs w:val="20"/>
                <w:color w:val="auto"/>
              </w:rPr>
            </w:pPr>
            <w:r>
              <w:rPr>
                <w:rFonts w:ascii="Arial" w:cs="Arial" w:eastAsia="Arial" w:hAnsi="Arial"/>
                <w:sz w:val="18"/>
                <w:szCs w:val="18"/>
                <w:color w:val="auto"/>
              </w:rPr>
              <w:t>Mary-Lee Stillwell</w:t>
            </w:r>
          </w:p>
        </w:tc>
        <w:tc>
          <w:tcPr>
            <w:tcW w:w="1680" w:type="dxa"/>
            <w:vAlign w:val="bottom"/>
            <w:gridSpan w:val="3"/>
          </w:tcPr>
          <w:p>
            <w:pPr>
              <w:ind w:left="440"/>
              <w:spacing w:after="0"/>
              <w:rPr>
                <w:sz w:val="20"/>
                <w:szCs w:val="20"/>
                <w:color w:val="auto"/>
              </w:rPr>
            </w:pPr>
            <w:r>
              <w:rPr>
                <w:rFonts w:ascii="Arial" w:cs="Arial" w:eastAsia="Arial" w:hAnsi="Arial"/>
                <w:sz w:val="18"/>
                <w:szCs w:val="18"/>
                <w:color w:val="auto"/>
              </w:rPr>
              <w:t>​ ​ ​</w:t>
            </w:r>
          </w:p>
        </w:tc>
        <w:tc>
          <w:tcPr>
            <w:tcW w:w="820" w:type="dxa"/>
            <w:vAlign w:val="bottom"/>
          </w:tcPr>
          <w:p>
            <w:pPr>
              <w:spacing w:after="0"/>
              <w:rPr>
                <w:sz w:val="24"/>
                <w:szCs w:val="24"/>
                <w:color w:val="auto"/>
              </w:rPr>
            </w:pPr>
          </w:p>
        </w:tc>
        <w:tc>
          <w:tcPr>
            <w:tcW w:w="3080" w:type="dxa"/>
            <w:vAlign w:val="bottom"/>
            <w:gridSpan w:val="4"/>
          </w:tcPr>
          <w:p>
            <w:pPr>
              <w:ind w:left="52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Sarah Rubenstein</w:t>
            </w:r>
          </w:p>
        </w:tc>
        <w:tc>
          <w:tcPr>
            <w:tcW w:w="40" w:type="dxa"/>
            <w:vAlign w:val="bottom"/>
          </w:tcPr>
          <w:p>
            <w:pPr>
              <w:spacing w:after="0"/>
              <w:rPr>
                <w:sz w:val="20"/>
                <w:szCs w:val="20"/>
                <w:color w:val="auto"/>
              </w:rPr>
            </w:pPr>
            <w:r>
              <w:rPr>
                <w:rFonts w:ascii="Arial" w:cs="Arial" w:eastAsia="Arial" w:hAnsi="Arial"/>
                <w:sz w:val="18"/>
                <w:szCs w:val="18"/>
                <w:color w:val="auto"/>
              </w:rPr>
              <w:t>​</w:t>
            </w:r>
          </w:p>
        </w:tc>
      </w:tr>
    </w:tbl>
    <w:p>
      <w:pPr>
        <w:spacing w:after="0" w:line="191" w:lineRule="exact"/>
        <w:rPr>
          <w:sz w:val="20"/>
          <w:szCs w:val="20"/>
          <w:color w:val="auto"/>
        </w:rPr>
      </w:pPr>
    </w:p>
    <w:p>
      <w:pPr>
        <w:sectPr>
          <w:pgSz w:w="11900" w:h="16838" w:orient="portrait"/>
          <w:cols w:equalWidth="0" w:num="1">
            <w:col w:w="9879"/>
          </w:cols>
          <w:pgMar w:left="580" w:top="132" w:right="1440" w:bottom="1440" w:gutter="0" w:footer="0" w:header="0"/>
        </w:sectPr>
      </w:pPr>
    </w:p>
    <w:p>
      <w:pPr>
        <w:ind w:left="524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99" w:hanging="360"/>
        <w:spacing w:after="0" w:line="259"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Amounts reported in this column represent (i) the total compensation reported in the Summary Compensation Table for the applicable year in the case of Mr. Sotos and (ii) the average of the total compensation reported in the Summary Compensation Table for the applicable year for the Company’s other NEOs for the applicable year.</w:t>
      </w:r>
    </w:p>
    <w:p>
      <w:pPr>
        <w:spacing w:after="0" w:line="51" w:lineRule="exact"/>
        <w:rPr>
          <w:rFonts w:ascii="Arial" w:cs="Arial" w:eastAsia="Arial" w:hAnsi="Arial"/>
          <w:sz w:val="18"/>
          <w:szCs w:val="18"/>
          <w:color w:val="auto"/>
        </w:rPr>
      </w:pPr>
    </w:p>
    <w:p>
      <w:pPr>
        <w:ind w:left="1620" w:hanging="360"/>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amounts shown for “Compensation Actually Paid” have been calculated in accordance with</w:t>
      </w:r>
    </w:p>
    <w:p>
      <w:pPr>
        <w:spacing w:after="0" w:line="23" w:lineRule="exact"/>
        <w:rPr>
          <w:rFonts w:ascii="Arial" w:cs="Arial" w:eastAsia="Arial" w:hAnsi="Arial"/>
          <w:sz w:val="18"/>
          <w:szCs w:val="18"/>
          <w:color w:val="auto"/>
        </w:rPr>
      </w:pPr>
    </w:p>
    <w:p>
      <w:pPr>
        <w:ind w:left="1620" w:right="479"/>
        <w:spacing w:after="0" w:line="252" w:lineRule="auto"/>
        <w:rPr>
          <w:rFonts w:ascii="Arial" w:cs="Arial" w:eastAsia="Arial" w:hAnsi="Arial"/>
          <w:sz w:val="18"/>
          <w:szCs w:val="18"/>
          <w:color w:val="auto"/>
        </w:rPr>
      </w:pPr>
      <w:r>
        <w:rPr>
          <w:rFonts w:ascii="Arial" w:cs="Arial" w:eastAsia="Arial" w:hAnsi="Arial"/>
          <w:sz w:val="18"/>
          <w:szCs w:val="18"/>
          <w:color w:val="auto"/>
        </w:rPr>
        <w:t>Item 402(v) of Regulation S-K for the applicable year and do not reflect compensation actually earned, realized, or received by the Company’s NEOs. These amounts reflect the Summary Compensation Table Total with certain adjustments made as described under the “Reconciliation of CAP Adjustments” section below. Equity values are calculated in accordance with FASB ASC Topic 718. Amounts in the Exclusion of Stock Awards column are the totals from the Stock Awards column set forth in the Summary Compensation Table.</w:t>
      </w:r>
    </w:p>
    <w:p>
      <w:pPr>
        <w:spacing w:after="0" w:line="45" w:lineRule="exact"/>
        <w:rPr>
          <w:rFonts w:ascii="Arial" w:cs="Arial" w:eastAsia="Arial" w:hAnsi="Arial"/>
          <w:sz w:val="18"/>
          <w:szCs w:val="18"/>
          <w:color w:val="auto"/>
        </w:rPr>
      </w:pPr>
    </w:p>
    <w:p>
      <w:pPr>
        <w:ind w:left="1620" w:right="619" w:hanging="360"/>
        <w:spacing w:after="0" w:line="255"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Peer Group TSR set forth in this table utilizes the Philadelphia Utility Sector Index (“UTY”), which we also utilize in the stock performance graph required by Item 201(e) of Regulation S-K included in our Annual Report for the year ended December 31, 2022. The comparison assumes $100 was invested for the period starting December 31, 2019, through the end of the listed year in the Company’s Class C common stock and in the UTY, respectively. Historical stock performance is not necessarily indicative of future stock performance.</w:t>
      </w:r>
    </w:p>
    <w:p>
      <w:pPr>
        <w:spacing w:after="0" w:line="43" w:lineRule="exact"/>
        <w:rPr>
          <w:rFonts w:ascii="Arial" w:cs="Arial" w:eastAsia="Arial" w:hAnsi="Arial"/>
          <w:sz w:val="18"/>
          <w:szCs w:val="18"/>
          <w:color w:val="auto"/>
        </w:rPr>
      </w:pPr>
    </w:p>
    <w:p>
      <w:pPr>
        <w:ind w:left="1620" w:right="559" w:hanging="360"/>
        <w:spacing w:after="0" w:line="253"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noted in the CD&amp;A, the Compensation Committee selected CAFD as one of the key metrics for evaluating and rewarding management’s performance in the 2022 annual incentive compensation program. CAFD is a non-GAAP measure that is defined in the CD&amp;A under the heading “2022 AIP Bonus Performance Criteria.” Given the importance of CAFD, as discussed further above (i.e., CAFD has a 40% weighting in the AIP scorecard), the Company has determined, in the Company’s assessment, that CAFD represents the most important financial performance measure (that is not otherwise required to be disclosed in the above table) used by the Company to link Compensation Actually Paid to the NEOs for 2022. CAFD may not have been the most important financial performance measure for year 2021 or 2020, and the Compensation Committee may determine a different financial performance measure to be the most important financial performance measure in future years.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Reconciliation of CAP Adjustments</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820" w:type="dxa"/>
            <w:vAlign w:val="bottom"/>
          </w:tcPr>
          <w:p>
            <w:pPr>
              <w:jc w:val="center"/>
              <w:ind w:left="1648"/>
              <w:spacing w:after="0"/>
              <w:rPr>
                <w:sz w:val="20"/>
                <w:szCs w:val="20"/>
                <w:color w:val="auto"/>
              </w:rPr>
            </w:pPr>
            <w:r>
              <w:rPr>
                <w:rFonts w:ascii="Arial" w:cs="Arial" w:eastAsia="Arial" w:hAnsi="Arial"/>
                <w:sz w:val="14"/>
                <w:szCs w:val="14"/>
                <w:b w:val="1"/>
                <w:bCs w:val="1"/>
                <w:color w:val="auto"/>
                <w:w w:val="90"/>
              </w:rPr>
              <w:t>Summary</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20" w:type="dxa"/>
            <w:vAlign w:val="bottom"/>
          </w:tcPr>
          <w:p>
            <w:pPr>
              <w:jc w:val="center"/>
              <w:ind w:left="1648"/>
              <w:spacing w:after="0"/>
              <w:rPr>
                <w:sz w:val="20"/>
                <w:szCs w:val="20"/>
                <w:color w:val="auto"/>
              </w:rPr>
            </w:pPr>
            <w:r>
              <w:rPr>
                <w:rFonts w:ascii="Arial" w:cs="Arial" w:eastAsia="Arial" w:hAnsi="Arial"/>
                <w:sz w:val="14"/>
                <w:szCs w:val="14"/>
                <w:b w:val="1"/>
                <w:bCs w:val="1"/>
                <w:color w:val="auto"/>
                <w:w w:val="88"/>
              </w:rPr>
              <w:t>Compensation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Exclusion of</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Inclusion of</w:t>
            </w:r>
          </w:p>
        </w:tc>
        <w:tc>
          <w:tcPr>
            <w:tcW w:w="1060" w:type="dxa"/>
            <w:vAlign w:val="bottom"/>
          </w:tcPr>
          <w:p>
            <w:pPr>
              <w:jc w:val="center"/>
              <w:ind w:left="48"/>
              <w:spacing w:after="0"/>
              <w:rPr>
                <w:sz w:val="20"/>
                <w:szCs w:val="20"/>
                <w:color w:val="auto"/>
              </w:rPr>
            </w:pPr>
            <w:r>
              <w:rPr>
                <w:rFonts w:ascii="Arial" w:cs="Arial" w:eastAsia="Arial" w:hAnsi="Arial"/>
                <w:sz w:val="14"/>
                <w:szCs w:val="14"/>
                <w:b w:val="1"/>
                <w:bCs w:val="1"/>
                <w:color w:val="auto"/>
                <w:w w:val="88"/>
              </w:rPr>
              <w:t>Compensation</w:t>
            </w:r>
          </w:p>
        </w:tc>
      </w:tr>
      <w:tr>
        <w:trPr>
          <w:trHeight w:val="162"/>
        </w:trPr>
        <w:tc>
          <w:tcPr>
            <w:tcW w:w="2120" w:type="dxa"/>
            <w:vAlign w:val="bottom"/>
          </w:tcPr>
          <w:p>
            <w:pPr>
              <w:spacing w:after="0"/>
              <w:rPr>
                <w:sz w:val="14"/>
                <w:szCs w:val="14"/>
                <w:color w:val="auto"/>
              </w:rPr>
            </w:pPr>
          </w:p>
        </w:tc>
        <w:tc>
          <w:tcPr>
            <w:tcW w:w="2820" w:type="dxa"/>
            <w:vAlign w:val="bottom"/>
          </w:tcPr>
          <w:p>
            <w:pPr>
              <w:jc w:val="center"/>
              <w:ind w:left="1648"/>
              <w:spacing w:after="0"/>
              <w:rPr>
                <w:sz w:val="20"/>
                <w:szCs w:val="20"/>
                <w:color w:val="auto"/>
              </w:rPr>
            </w:pPr>
            <w:r>
              <w:rPr>
                <w:rFonts w:ascii="Arial" w:cs="Arial" w:eastAsia="Arial" w:hAnsi="Arial"/>
                <w:sz w:val="14"/>
                <w:szCs w:val="14"/>
                <w:b w:val="1"/>
                <w:bCs w:val="1"/>
                <w:color w:val="auto"/>
                <w:w w:val="89"/>
              </w:rPr>
              <w:t>Table Total for</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Stock Awards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Equity Values</w:t>
            </w:r>
          </w:p>
        </w:tc>
        <w:tc>
          <w:tcPr>
            <w:tcW w:w="1060" w:type="dxa"/>
            <w:vAlign w:val="bottom"/>
          </w:tcPr>
          <w:p>
            <w:pPr>
              <w:jc w:val="center"/>
              <w:ind w:left="48"/>
              <w:spacing w:after="0"/>
              <w:rPr>
                <w:sz w:val="20"/>
                <w:szCs w:val="20"/>
                <w:color w:val="auto"/>
              </w:rPr>
            </w:pPr>
            <w:r>
              <w:rPr>
                <w:rFonts w:ascii="Arial" w:cs="Arial" w:eastAsia="Arial" w:hAnsi="Arial"/>
                <w:sz w:val="14"/>
                <w:szCs w:val="14"/>
                <w:b w:val="1"/>
                <w:bCs w:val="1"/>
                <w:color w:val="auto"/>
                <w:w w:val="89"/>
              </w:rPr>
              <w:t>Actually Paid to</w:t>
            </w:r>
          </w:p>
        </w:tc>
      </w:tr>
      <w:tr>
        <w:trPr>
          <w:trHeight w:val="162"/>
        </w:trPr>
        <w:tc>
          <w:tcPr>
            <w:tcW w:w="2120" w:type="dxa"/>
            <w:vAlign w:val="bottom"/>
          </w:tcPr>
          <w:p>
            <w:pPr>
              <w:spacing w:after="0"/>
              <w:rPr>
                <w:sz w:val="14"/>
                <w:szCs w:val="14"/>
                <w:color w:val="auto"/>
              </w:rPr>
            </w:pPr>
          </w:p>
        </w:tc>
        <w:tc>
          <w:tcPr>
            <w:tcW w:w="2820" w:type="dxa"/>
            <w:vAlign w:val="bottom"/>
          </w:tcPr>
          <w:p>
            <w:pPr>
              <w:jc w:val="center"/>
              <w:ind w:left="1648"/>
              <w:spacing w:after="0"/>
              <w:rPr>
                <w:sz w:val="20"/>
                <w:szCs w:val="20"/>
                <w:color w:val="auto"/>
              </w:rPr>
            </w:pPr>
            <w:r>
              <w:rPr>
                <w:rFonts w:ascii="Arial" w:cs="Arial" w:eastAsia="Arial" w:hAnsi="Arial"/>
                <w:sz w:val="14"/>
                <w:szCs w:val="14"/>
                <w:b w:val="1"/>
                <w:bCs w:val="1"/>
                <w:color w:val="auto"/>
              </w:rPr>
              <w:t>PEO</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for PEO</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for PEO</w:t>
            </w:r>
          </w:p>
        </w:tc>
        <w:tc>
          <w:tcPr>
            <w:tcW w:w="1060" w:type="dxa"/>
            <w:vAlign w:val="bottom"/>
          </w:tcPr>
          <w:p>
            <w:pPr>
              <w:jc w:val="center"/>
              <w:ind w:left="48"/>
              <w:spacing w:after="0"/>
              <w:rPr>
                <w:sz w:val="20"/>
                <w:szCs w:val="20"/>
                <w:color w:val="auto"/>
              </w:rPr>
            </w:pPr>
            <w:r>
              <w:rPr>
                <w:rFonts w:ascii="Arial" w:cs="Arial" w:eastAsia="Arial" w:hAnsi="Arial"/>
                <w:sz w:val="14"/>
                <w:szCs w:val="14"/>
                <w:b w:val="1"/>
                <w:bCs w:val="1"/>
                <w:color w:val="auto"/>
              </w:rPr>
              <w:t>PEO</w:t>
            </w:r>
          </w:p>
        </w:tc>
      </w:tr>
      <w:tr>
        <w:trPr>
          <w:trHeight w:val="186"/>
        </w:trPr>
        <w:tc>
          <w:tcPr>
            <w:tcW w:w="212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2820" w:type="dxa"/>
            <w:vAlign w:val="bottom"/>
          </w:tcPr>
          <w:p>
            <w:pPr>
              <w:jc w:val="center"/>
              <w:ind w:left="1668"/>
              <w:spacing w:after="0"/>
              <w:rPr>
                <w:sz w:val="20"/>
                <w:szCs w:val="20"/>
                <w:color w:val="auto"/>
              </w:rPr>
            </w:pPr>
            <w:r>
              <w:rPr>
                <w:rFonts w:ascii="Arial" w:cs="Arial" w:eastAsia="Arial" w:hAnsi="Arial"/>
                <w:sz w:val="14"/>
                <w:szCs w:val="14"/>
                <w:b w:val="1"/>
                <w:bCs w:val="1"/>
                <w:color w:val="auto"/>
                <w:w w:val="93"/>
              </w:rPr>
              <w: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center"/>
              <w:ind w:left="88"/>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5240655</wp:posOffset>
            </wp:positionH>
            <wp:positionV relativeFrom="paragraph">
              <wp:posOffset>15875</wp:posOffset>
            </wp:positionV>
            <wp:extent cx="137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15875</wp:posOffset>
            </wp:positionV>
            <wp:extent cx="137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15875</wp:posOffset>
            </wp:positionV>
            <wp:extent cx="137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3166110</wp:posOffset>
            </wp:positionH>
            <wp:positionV relativeFrom="paragraph">
              <wp:posOffset>15875</wp:posOffset>
            </wp:positionV>
            <wp:extent cx="1371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5" w:lineRule="exact"/>
        <w:rPr>
          <w:sz w:val="20"/>
          <w:szCs w:val="20"/>
          <w:color w:val="auto"/>
        </w:rPr>
      </w:pPr>
    </w:p>
    <w:tbl>
      <w:tblPr>
        <w:tblLayout w:type="fixed"/>
        <w:tblInd w:w="1260" w:type="dxa"/>
        <w:tblCellMar>
          <w:top w:w="0" w:type="dxa"/>
          <w:left w:w="0" w:type="dxa"/>
          <w:bottom w:w="0" w:type="dxa"/>
          <w:right w:w="0" w:type="dxa"/>
        </w:tblCellMar>
      </w:tblPr>
      <w:tr>
        <w:trPr>
          <w:trHeight w:val="20"/>
        </w:trPr>
        <w:tc>
          <w:tcPr>
            <w:tcW w:w="3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720" w:type="dxa"/>
            <w:vAlign w:val="bottom"/>
            <w:shd w:val="clear" w:color="auto" w:fill="CCEEFF"/>
          </w:tcPr>
          <w:p>
            <w:pPr>
              <w:jc w:val="right"/>
              <w:ind w:right="3250"/>
              <w:spacing w:after="0"/>
              <w:rPr>
                <w:sz w:val="20"/>
                <w:szCs w:val="20"/>
                <w:color w:val="auto"/>
              </w:rPr>
            </w:pPr>
            <w:r>
              <w:rPr>
                <w:rFonts w:ascii="Arial" w:cs="Arial" w:eastAsia="Arial" w:hAnsi="Arial"/>
                <w:sz w:val="18"/>
                <w:szCs w:val="18"/>
                <w:color w:val="auto"/>
                <w:w w:val="89"/>
              </w:rPr>
              <w:t>2022</w:t>
            </w:r>
          </w:p>
        </w:tc>
        <w:tc>
          <w:tcPr>
            <w:tcW w:w="22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7"/>
              </w:rPr>
              <w:t>​3,348,224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​(1,951,273)​</w:t>
            </w:r>
          </w:p>
        </w:tc>
        <w:tc>
          <w:tcPr>
            <w:tcW w:w="8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4"/>
              </w:rPr>
              <w:t>​1,215,233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​2,612,184</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6"/>
        </w:trPr>
        <w:tc>
          <w:tcPr>
            <w:tcW w:w="3720" w:type="dxa"/>
            <w:vAlign w:val="bottom"/>
          </w:tcPr>
          <w:p>
            <w:pPr>
              <w:jc w:val="right"/>
              <w:ind w:right="3250"/>
              <w:spacing w:after="0"/>
              <w:rPr>
                <w:sz w:val="20"/>
                <w:szCs w:val="20"/>
                <w:color w:val="auto"/>
              </w:rPr>
            </w:pPr>
            <w:r>
              <w:rPr>
                <w:rFonts w:ascii="Arial" w:cs="Arial" w:eastAsia="Arial" w:hAnsi="Arial"/>
                <w:sz w:val="18"/>
                <w:szCs w:val="18"/>
                <w:color w:val="auto"/>
                <w:w w:val="89"/>
              </w:rPr>
              <w:t>2021</w:t>
            </w:r>
          </w:p>
        </w:tc>
        <w:tc>
          <w:tcPr>
            <w:tcW w:w="220" w:type="dxa"/>
            <w:vAlign w:val="bottom"/>
          </w:tcPr>
          <w:p>
            <w:pPr>
              <w:spacing w:after="0"/>
              <w:rPr>
                <w:sz w:val="22"/>
                <w:szCs w:val="22"/>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w w:val="97"/>
              </w:rPr>
              <w:t>​3,092,509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​(1,535,147)​</w:t>
            </w:r>
          </w:p>
        </w:tc>
        <w:tc>
          <w:tcPr>
            <w:tcW w:w="860" w:type="dxa"/>
            <w:vAlign w:val="bottom"/>
          </w:tcPr>
          <w:p>
            <w:pPr>
              <w:ind w:left="60"/>
              <w:spacing w:after="0"/>
              <w:rPr>
                <w:sz w:val="20"/>
                <w:szCs w:val="20"/>
                <w:color w:val="auto"/>
              </w:rPr>
            </w:pPr>
            <w:r>
              <w:rPr>
                <w:rFonts w:ascii="Arial" w:cs="Arial" w:eastAsia="Arial" w:hAnsi="Arial"/>
                <w:sz w:val="18"/>
                <w:szCs w:val="18"/>
                <w:color w:val="auto"/>
                <w:w w:val="94"/>
              </w:rPr>
              <w:t>​3,680,907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ind w:left="140"/>
              <w:spacing w:after="0"/>
              <w:rPr>
                <w:sz w:val="20"/>
                <w:szCs w:val="20"/>
                <w:color w:val="auto"/>
              </w:rPr>
            </w:pPr>
            <w:r>
              <w:rPr>
                <w:rFonts w:ascii="Arial" w:cs="Arial" w:eastAsia="Arial" w:hAnsi="Arial"/>
                <w:sz w:val="18"/>
                <w:szCs w:val="18"/>
                <w:color w:val="auto"/>
              </w:rPr>
              <w:t>​5,238,269</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3720" w:type="dxa"/>
            <w:vAlign w:val="bottom"/>
            <w:shd w:val="clear" w:color="auto" w:fill="CCEEFF"/>
          </w:tcPr>
          <w:p>
            <w:pPr>
              <w:jc w:val="right"/>
              <w:ind w:right="3250"/>
              <w:spacing w:after="0"/>
              <w:rPr>
                <w:sz w:val="20"/>
                <w:szCs w:val="20"/>
                <w:color w:val="auto"/>
              </w:rPr>
            </w:pPr>
            <w:r>
              <w:rPr>
                <w:rFonts w:ascii="Arial" w:cs="Arial" w:eastAsia="Arial" w:hAnsi="Arial"/>
                <w:sz w:val="18"/>
                <w:szCs w:val="18"/>
                <w:color w:val="auto"/>
                <w:w w:val="89"/>
              </w:rPr>
              <w:t>2020</w:t>
            </w:r>
          </w:p>
        </w:tc>
        <w:tc>
          <w:tcPr>
            <w:tcW w:w="22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7"/>
              </w:rPr>
              <w:t>​3,248,568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​(1,900,423)​</w:t>
            </w:r>
          </w:p>
        </w:tc>
        <w:tc>
          <w:tcPr>
            <w:tcW w:w="8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4"/>
              </w:rPr>
              <w:t>​6,662,276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​8,010,421</w:t>
            </w:r>
          </w:p>
        </w:tc>
        <w:tc>
          <w:tcPr>
            <w:tcW w:w="4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Average</w:t>
            </w:r>
          </w:p>
        </w:tc>
      </w:tr>
      <w:tr>
        <w:trPr>
          <w:trHeight w:val="162"/>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Summary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Compensation</w:t>
            </w:r>
          </w:p>
        </w:tc>
      </w:tr>
      <w:tr>
        <w:trPr>
          <w:trHeight w:val="162"/>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Exclusion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Inclusion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Actually</w:t>
            </w:r>
          </w:p>
        </w:tc>
      </w:tr>
      <w:tr>
        <w:trPr>
          <w:trHeight w:val="162"/>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Table Total for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Stock Awards for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Equity Values for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Paid to</w:t>
            </w:r>
          </w:p>
        </w:tc>
      </w:tr>
      <w:tr>
        <w:trPr>
          <w:trHeight w:val="162"/>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Non-PEO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Non-PEO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Non-PEO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Non-PEO</w:t>
            </w:r>
          </w:p>
        </w:tc>
      </w:tr>
      <w:tr>
        <w:trPr>
          <w:trHeight w:val="162"/>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NEOs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NEOs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NEOs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NEOs</w:t>
            </w:r>
          </w:p>
        </w:tc>
      </w:tr>
      <w:tr>
        <w:trPr>
          <w:trHeight w:val="186"/>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6"/>
                <w:szCs w:val="16"/>
                <w:color w:val="auto"/>
              </w:rPr>
            </w:pPr>
          </w:p>
        </w:tc>
      </w:tr>
      <w:tr>
        <w:trPr>
          <w:trHeight w:val="25"/>
        </w:trPr>
        <w:tc>
          <w:tcPr>
            <w:tcW w:w="3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​1,016,878</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​(495,604)</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​(333,784)</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  187,491</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340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​1,066,691</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ind w:left="180"/>
              <w:spacing w:after="0"/>
              <w:rPr>
                <w:sz w:val="20"/>
                <w:szCs w:val="20"/>
                <w:color w:val="auto"/>
              </w:rPr>
            </w:pPr>
            <w:r>
              <w:rPr>
                <w:rFonts w:ascii="Arial" w:cs="Arial" w:eastAsia="Arial" w:hAnsi="Arial"/>
                <w:sz w:val="18"/>
                <w:szCs w:val="18"/>
                <w:color w:val="auto"/>
              </w:rPr>
              <w:t>​(387,666)</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Pr>
          <w:p>
            <w:pPr>
              <w:ind w:left="200"/>
              <w:spacing w:after="0"/>
              <w:rPr>
                <w:sz w:val="20"/>
                <w:szCs w:val="20"/>
                <w:color w:val="auto"/>
              </w:rPr>
            </w:pPr>
            <w:r>
              <w:rPr>
                <w:rFonts w:ascii="Arial" w:cs="Arial" w:eastAsia="Arial" w:hAnsi="Arial"/>
                <w:sz w:val="18"/>
                <w:szCs w:val="18"/>
                <w:color w:val="auto"/>
              </w:rPr>
              <w:t>​ 924,671</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​1,603,696 ​</w:t>
            </w:r>
          </w:p>
        </w:tc>
      </w:tr>
      <w:tr>
        <w:trPr>
          <w:trHeight w:val="257"/>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859,642</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​(383,279)</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936,837</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​1,413,200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5309235</wp:posOffset>
            </wp:positionH>
            <wp:positionV relativeFrom="paragraph">
              <wp:posOffset>-496570</wp:posOffset>
            </wp:positionV>
            <wp:extent cx="137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-496570</wp:posOffset>
            </wp:positionV>
            <wp:extent cx="137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-496570</wp:posOffset>
            </wp:positionV>
            <wp:extent cx="137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-496570</wp:posOffset>
            </wp:positionV>
            <wp:extent cx="137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0" w:name="page71"/>
    <w:bookmarkEnd w:id="7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firstLine="360"/>
        <w:spacing w:after="0" w:line="293" w:lineRule="auto"/>
        <w:rPr>
          <w:sz w:val="20"/>
          <w:szCs w:val="20"/>
          <w:color w:val="auto"/>
        </w:rPr>
      </w:pPr>
      <w:r>
        <w:rPr>
          <w:rFonts w:ascii="Arial" w:cs="Arial" w:eastAsia="Arial" w:hAnsi="Arial"/>
          <w:sz w:val="18"/>
          <w:szCs w:val="18"/>
          <w:color w:val="auto"/>
        </w:rPr>
        <w:t>The amounts in the Inclusion of Equity Values in the tables above are derived from the amounts set forth in the following tables: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Year</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2022</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2021</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Year</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2022</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2021</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2020</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Change in</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Fair Value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from Last</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Day of</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Prior Year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Change in</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to Last Day</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Fair Value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Year-End</w:t>
            </w: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of Year of</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from Last</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Fair Value</w:t>
            </w:r>
          </w:p>
        </w:tc>
        <w:tc>
          <w:tcPr>
            <w:tcW w:w="84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2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Day of Prior Year</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at Last Day</w:t>
            </w:r>
          </w:p>
        </w:tc>
        <w:tc>
          <w:tcPr>
            <w:tcW w:w="84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of Equity</w:t>
            </w: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Awards</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Fair Value</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to Vesting</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of Prior Year</w:t>
            </w:r>
          </w:p>
        </w:tc>
        <w:tc>
          <w:tcPr>
            <w:tcW w:w="84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Awards Granted</w:t>
            </w: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Granted</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9"/>
              </w:rPr>
              <w:t>as of</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Date of Equity</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of Equity</w:t>
            </w:r>
          </w:p>
        </w:tc>
        <w:tc>
          <w:tcPr>
            <w:tcW w:w="84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During</w:t>
            </w: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During any</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Vesting Date</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Awards</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Awards</w:t>
            </w:r>
          </w:p>
        </w:tc>
        <w:tc>
          <w:tcPr>
            <w:tcW w:w="84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Year that</w:t>
            </w: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Prior</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of Equity</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Granted</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Granted During</w:t>
            </w:r>
          </w:p>
        </w:tc>
        <w:tc>
          <w:tcPr>
            <w:tcW w:w="84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Remained</w:t>
            </w: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Year that</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Awards</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During any</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any Prior</w:t>
            </w:r>
          </w:p>
        </w:tc>
        <w:tc>
          <w:tcPr>
            <w:tcW w:w="84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Unvested as of</w:t>
            </w: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Remained</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Granted and</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Prior Year</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Year that</w:t>
            </w:r>
          </w:p>
        </w:tc>
        <w:tc>
          <w:tcPr>
            <w:tcW w:w="84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Last Day</w:t>
            </w: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Unvested</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Vested</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that Vested</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Forfeited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 xml:space="preserve">Total –  </w:t>
            </w:r>
          </w:p>
        </w:tc>
      </w:tr>
      <w:tr>
        <w:trPr>
          <w:trHeight w:val="162"/>
        </w:trPr>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of Year</w:t>
            </w: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as of Last</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During</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During</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During</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Inclusion of</w:t>
            </w:r>
          </w:p>
        </w:tc>
      </w:tr>
      <w:tr>
        <w:trPr>
          <w:trHeight w:val="162"/>
        </w:trPr>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for</w:t>
            </w: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Day of</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Year for</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Year for</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Year for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Equity Values</w:t>
            </w:r>
          </w:p>
        </w:tc>
      </w:tr>
      <w:tr>
        <w:trPr>
          <w:trHeight w:val="162"/>
        </w:trPr>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PEO</w:t>
            </w: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Year for PEO</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PEO</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PEO</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PEO</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for PEO</w:t>
            </w:r>
          </w:p>
        </w:tc>
      </w:tr>
      <w:tr>
        <w:trPr>
          <w:trHeight w:val="212"/>
        </w:trPr>
        <w:tc>
          <w:tcPr>
            <w:tcW w:w="140" w:type="dxa"/>
            <w:vAlign w:val="bottom"/>
          </w:tcPr>
          <w:p>
            <w:pPr>
              <w:spacing w:after="0"/>
              <w:rPr>
                <w:sz w:val="20"/>
                <w:szCs w:val="20"/>
                <w:color w:val="auto"/>
              </w:rPr>
            </w:pPr>
            <w:r>
              <w:rPr>
                <w:rFonts w:ascii="Arial" w:cs="Arial" w:eastAsia="Arial" w:hAnsi="Arial"/>
                <w:sz w:val="14"/>
                <w:szCs w:val="14"/>
                <w:b w:val="1"/>
                <w:bCs w:val="1"/>
                <w:color w:val="auto"/>
              </w:rPr>
              <w:t>​ ​</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-7620</wp:posOffset>
            </wp:positionV>
            <wp:extent cx="521208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​1,813,621</w:t>
            </w:r>
          </w:p>
        </w:tc>
        <w:tc>
          <w:tcPr>
            <w:tcW w:w="2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(573,611)​</w:t>
            </w:r>
          </w:p>
        </w:tc>
        <w:tc>
          <w:tcPr>
            <w:tcW w:w="900" w:type="dxa"/>
            <w:vAlign w:val="bottom"/>
          </w:tcPr>
          <w:p>
            <w:pPr>
              <w:ind w:left="480"/>
              <w:spacing w:after="0"/>
              <w:rPr>
                <w:sz w:val="20"/>
                <w:szCs w:val="20"/>
                <w:color w:val="auto"/>
              </w:rPr>
            </w:pPr>
            <w:r>
              <w:rPr>
                <w:rFonts w:ascii="Arial" w:cs="Arial" w:eastAsia="Arial" w:hAnsi="Arial"/>
                <w:sz w:val="18"/>
                <w:szCs w:val="18"/>
                <w:color w:val="auto"/>
              </w:rPr>
              <w:t>​0</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ind w:left="280"/>
              <w:spacing w:after="0"/>
              <w:rPr>
                <w:sz w:val="20"/>
                <w:szCs w:val="20"/>
                <w:color w:val="auto"/>
              </w:rPr>
            </w:pPr>
            <w:r>
              <w:rPr>
                <w:rFonts w:ascii="Arial" w:cs="Arial" w:eastAsia="Arial" w:hAnsi="Arial"/>
                <w:sz w:val="18"/>
                <w:szCs w:val="18"/>
                <w:color w:val="auto"/>
              </w:rPr>
              <w:t>​(24,417)</w:t>
            </w:r>
          </w:p>
        </w:tc>
        <w:tc>
          <w:tcPr>
            <w:tcW w:w="2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780" w:type="dxa"/>
            <w:vAlign w:val="bottom"/>
          </w:tcPr>
          <w:p>
            <w:pPr>
              <w:jc w:val="center"/>
              <w:ind w:right="124"/>
              <w:spacing w:after="0"/>
              <w:rPr>
                <w:sz w:val="20"/>
                <w:szCs w:val="20"/>
                <w:color w:val="auto"/>
              </w:rPr>
            </w:pPr>
            <w:r>
              <w:rPr>
                <w:rFonts w:ascii="Arial" w:cs="Arial" w:eastAsia="Arial" w:hAnsi="Arial"/>
                <w:sz w:val="18"/>
                <w:szCs w:val="18"/>
                <w:color w:val="auto"/>
                <w:w w:val="99"/>
              </w:rPr>
              <w:t>​0</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​1,215,233 ​</w:t>
            </w:r>
          </w:p>
        </w:tc>
      </w:tr>
      <w:tr>
        <w:trPr>
          <w:trHeight w:val="257"/>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​2,315,802</w:t>
            </w:r>
          </w:p>
        </w:tc>
        <w:tc>
          <w:tcPr>
            <w:tcW w:w="2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1,392,774 ​</w:t>
            </w:r>
          </w:p>
        </w:tc>
        <w:tc>
          <w:tcPr>
            <w:tcW w:w="900" w:type="dxa"/>
            <w:vAlign w:val="bottom"/>
          </w:tcPr>
          <w:p>
            <w:pPr>
              <w:ind w:left="480"/>
              <w:spacing w:after="0"/>
              <w:rPr>
                <w:sz w:val="20"/>
                <w:szCs w:val="20"/>
                <w:color w:val="auto"/>
              </w:rPr>
            </w:pPr>
            <w:r>
              <w:rPr>
                <w:rFonts w:ascii="Arial" w:cs="Arial" w:eastAsia="Arial" w:hAnsi="Arial"/>
                <w:sz w:val="18"/>
                <w:szCs w:val="18"/>
                <w:color w:val="auto"/>
              </w:rPr>
              <w:t>​0</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ind w:left="280"/>
              <w:spacing w:after="0"/>
              <w:rPr>
                <w:sz w:val="20"/>
                <w:szCs w:val="20"/>
                <w:color w:val="auto"/>
              </w:rPr>
            </w:pPr>
            <w:r>
              <w:rPr>
                <w:rFonts w:ascii="Arial" w:cs="Arial" w:eastAsia="Arial" w:hAnsi="Arial"/>
                <w:sz w:val="18"/>
                <w:szCs w:val="18"/>
                <w:color w:val="auto"/>
              </w:rPr>
              <w:t>​(27,670)</w:t>
            </w:r>
          </w:p>
        </w:tc>
        <w:tc>
          <w:tcPr>
            <w:tcW w:w="2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780" w:type="dxa"/>
            <w:vAlign w:val="bottom"/>
          </w:tcPr>
          <w:p>
            <w:pPr>
              <w:jc w:val="center"/>
              <w:ind w:right="124"/>
              <w:spacing w:after="0"/>
              <w:rPr>
                <w:sz w:val="20"/>
                <w:szCs w:val="20"/>
                <w:color w:val="auto"/>
              </w:rPr>
            </w:pPr>
            <w:r>
              <w:rPr>
                <w:rFonts w:ascii="Arial" w:cs="Arial" w:eastAsia="Arial" w:hAnsi="Arial"/>
                <w:sz w:val="18"/>
                <w:szCs w:val="18"/>
                <w:color w:val="auto"/>
                <w:w w:val="99"/>
              </w:rPr>
              <w:t>​0</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​3,680,907 ​</w:t>
            </w:r>
          </w:p>
        </w:tc>
      </w:tr>
      <w:tr>
        <w:trPr>
          <w:trHeight w:val="257"/>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​3,604,128</w:t>
            </w:r>
          </w:p>
        </w:tc>
        <w:tc>
          <w:tcPr>
            <w:tcW w:w="2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3,089,280 ​</w:t>
            </w:r>
          </w:p>
        </w:tc>
        <w:tc>
          <w:tcPr>
            <w:tcW w:w="900" w:type="dxa"/>
            <w:vAlign w:val="bottom"/>
          </w:tcPr>
          <w:p>
            <w:pPr>
              <w:ind w:left="480"/>
              <w:spacing w:after="0"/>
              <w:rPr>
                <w:sz w:val="20"/>
                <w:szCs w:val="20"/>
                <w:color w:val="auto"/>
              </w:rPr>
            </w:pPr>
            <w:r>
              <w:rPr>
                <w:rFonts w:ascii="Arial" w:cs="Arial" w:eastAsia="Arial" w:hAnsi="Arial"/>
                <w:sz w:val="18"/>
                <w:szCs w:val="18"/>
                <w:color w:val="auto"/>
              </w:rPr>
              <w:t>​0</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ind w:left="280"/>
              <w:spacing w:after="0"/>
              <w:rPr>
                <w:sz w:val="20"/>
                <w:szCs w:val="20"/>
                <w:color w:val="auto"/>
              </w:rPr>
            </w:pPr>
            <w:r>
              <w:rPr>
                <w:rFonts w:ascii="Arial" w:cs="Arial" w:eastAsia="Arial" w:hAnsi="Arial"/>
                <w:sz w:val="18"/>
                <w:szCs w:val="18"/>
                <w:color w:val="auto"/>
              </w:rPr>
              <w:t>​(31,132)</w:t>
            </w:r>
          </w:p>
        </w:tc>
        <w:tc>
          <w:tcPr>
            <w:tcW w:w="2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780" w:type="dxa"/>
            <w:vAlign w:val="bottom"/>
          </w:tcPr>
          <w:p>
            <w:pPr>
              <w:jc w:val="center"/>
              <w:ind w:right="124"/>
              <w:spacing w:after="0"/>
              <w:rPr>
                <w:sz w:val="20"/>
                <w:szCs w:val="20"/>
                <w:color w:val="auto"/>
              </w:rPr>
            </w:pPr>
            <w:r>
              <w:rPr>
                <w:rFonts w:ascii="Arial" w:cs="Arial" w:eastAsia="Arial" w:hAnsi="Arial"/>
                <w:sz w:val="18"/>
                <w:szCs w:val="18"/>
                <w:color w:val="auto"/>
                <w:w w:val="99"/>
              </w:rPr>
              <w:t>​0</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​6,662,276 ​</w:t>
            </w:r>
          </w:p>
        </w:tc>
      </w:tr>
      <w:tr>
        <w:trPr>
          <w:trHeight w:val="342"/>
        </w:trPr>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Average</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Change in</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Fair Value</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from Last</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Day of</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Prior Year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to Last</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Day of Year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from Last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center"/>
              <w:ind w:right="184"/>
              <w:spacing w:after="0"/>
              <w:rPr>
                <w:sz w:val="20"/>
                <w:szCs w:val="20"/>
                <w:color w:val="auto"/>
              </w:rPr>
            </w:pPr>
            <w:r>
              <w:rPr>
                <w:rFonts w:ascii="Arial" w:cs="Arial" w:eastAsia="Arial" w:hAnsi="Arial"/>
                <w:sz w:val="14"/>
                <w:szCs w:val="14"/>
                <w:b w:val="1"/>
                <w:bCs w:val="1"/>
                <w:color w:val="auto"/>
                <w:w w:val="86"/>
              </w:rPr>
              <w:t>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Year-End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of Equity</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Day of Prior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Fair Value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Awards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Year to Vesting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at Last Day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Equity Awards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Granted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Date of Equity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of Prior Year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During any</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Fair Value as</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of Equity Awards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During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Prior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of Vesting</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center"/>
              <w:ind w:right="204"/>
              <w:spacing w:after="0"/>
              <w:rPr>
                <w:sz w:val="20"/>
                <w:szCs w:val="20"/>
                <w:color w:val="auto"/>
              </w:rPr>
            </w:pPr>
            <w:r>
              <w:rPr>
                <w:rFonts w:ascii="Arial" w:cs="Arial" w:eastAsia="Arial" w:hAnsi="Arial"/>
                <w:sz w:val="14"/>
                <w:szCs w:val="14"/>
                <w:b w:val="1"/>
                <w:bCs w:val="1"/>
                <w:color w:val="auto"/>
                <w:w w:val="93"/>
              </w:rPr>
              <w:t>Granted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Year that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that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Date of Equity</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During any Prior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During any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Remained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Remain</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Year that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Prior Year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 xml:space="preserve">Total –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4"/>
              </w:rPr>
              <w:t>Unvested as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Unvested as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Granted and</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that Forfeited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of Last Day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of Last Day</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center"/>
              <w:ind w:right="204"/>
              <w:spacing w:after="0"/>
              <w:rPr>
                <w:sz w:val="20"/>
                <w:szCs w:val="20"/>
                <w:color w:val="auto"/>
              </w:rPr>
            </w:pPr>
            <w:r>
              <w:rPr>
                <w:rFonts w:ascii="Arial" w:cs="Arial" w:eastAsia="Arial" w:hAnsi="Arial"/>
                <w:sz w:val="14"/>
                <w:szCs w:val="14"/>
                <w:b w:val="1"/>
                <w:bCs w:val="1"/>
                <w:color w:val="auto"/>
                <w:w w:val="93"/>
              </w:rPr>
              <w:t>During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Inclusion of</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of Year for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of Year for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During Year</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Year for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center"/>
              <w:ind w:right="204"/>
              <w:spacing w:after="0"/>
              <w:rPr>
                <w:sz w:val="20"/>
                <w:szCs w:val="20"/>
                <w:color w:val="auto"/>
              </w:rPr>
            </w:pPr>
            <w:r>
              <w:rPr>
                <w:rFonts w:ascii="Arial" w:cs="Arial" w:eastAsia="Arial" w:hAnsi="Arial"/>
                <w:sz w:val="14"/>
                <w:szCs w:val="14"/>
                <w:b w:val="1"/>
                <w:bCs w:val="1"/>
                <w:color w:val="auto"/>
                <w:w w:val="94"/>
              </w:rPr>
              <w:t>Year for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Equity Values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Non-PEO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Non-PEO</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for Non-PEO</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Non-PEO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Non-PEO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for Non-PEO</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NEOs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NEOs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NEOs</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NEOs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center"/>
              <w:ind w:right="184"/>
              <w:spacing w:after="0"/>
              <w:rPr>
                <w:sz w:val="20"/>
                <w:szCs w:val="20"/>
                <w:color w:val="auto"/>
              </w:rPr>
            </w:pPr>
            <w:r>
              <w:rPr>
                <w:rFonts w:ascii="Arial" w:cs="Arial" w:eastAsia="Arial" w:hAnsi="Arial"/>
                <w:sz w:val="14"/>
                <w:szCs w:val="14"/>
                <w:b w:val="1"/>
                <w:bCs w:val="1"/>
                <w:color w:val="auto"/>
                <w:w w:val="94"/>
              </w:rPr>
              <w:t>NEOs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NEOs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2"/>
        </w:trPr>
        <w:tc>
          <w:tcPr>
            <w:tcW w:w="2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64"/>
              <w:spacing w:after="0" w:line="212" w:lineRule="exact"/>
              <w:rPr>
                <w:sz w:val="20"/>
                <w:szCs w:val="20"/>
                <w:color w:val="auto"/>
              </w:rPr>
            </w:pPr>
            <w:r>
              <w:rPr>
                <w:rFonts w:ascii="Arial" w:cs="Arial" w:eastAsia="Arial" w:hAnsi="Arial"/>
                <w:sz w:val="24"/>
                <w:szCs w:val="24"/>
                <w:b w:val="1"/>
                <w:bCs w:val="1"/>
                <w:color w:val="auto"/>
                <w:w w:val="88"/>
                <w:vertAlign w:val="subscript"/>
              </w:rPr>
              <w:t>($)</w:t>
            </w:r>
            <w:r>
              <w:rPr>
                <w:rFonts w:ascii="Arial" w:cs="Arial" w:eastAsia="Arial" w:hAnsi="Arial"/>
                <w:sz w:val="8"/>
                <w:szCs w:val="8"/>
                <w:b w:val="1"/>
                <w:bCs w:val="1"/>
                <w:color w:val="auto"/>
                <w:w w:val="88"/>
              </w:rPr>
              <w:t>(1)</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76"/>
        </w:trPr>
        <w:tc>
          <w:tcPr>
            <w:tcW w:w="2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​261,472</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​(49,476)​</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ind w:left="280"/>
              <w:spacing w:after="0"/>
              <w:rPr>
                <w:sz w:val="20"/>
                <w:szCs w:val="20"/>
                <w:color w:val="auto"/>
              </w:rPr>
            </w:pPr>
            <w:r>
              <w:rPr>
                <w:rFonts w:ascii="Arial" w:cs="Arial" w:eastAsia="Arial" w:hAnsi="Arial"/>
                <w:sz w:val="18"/>
                <w:szCs w:val="18"/>
                <w:color w:val="auto"/>
              </w:rPr>
              <w:t>​(6,922)</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0"/>
              </w:rPr>
              <w:t>​(538,859)</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​(333,784) ​</w:t>
            </w:r>
          </w:p>
        </w:tc>
      </w:tr>
      <w:tr>
        <w:trPr>
          <w:trHeight w:val="257"/>
        </w:trPr>
        <w:tc>
          <w:tcPr>
            <w:tcW w:w="2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​584,801</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​346,581 ​</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ind w:left="280"/>
              <w:spacing w:after="0"/>
              <w:rPr>
                <w:sz w:val="20"/>
                <w:szCs w:val="20"/>
                <w:color w:val="auto"/>
              </w:rPr>
            </w:pPr>
            <w:r>
              <w:rPr>
                <w:rFonts w:ascii="Arial" w:cs="Arial" w:eastAsia="Arial" w:hAnsi="Arial"/>
                <w:sz w:val="18"/>
                <w:szCs w:val="18"/>
                <w:color w:val="auto"/>
              </w:rPr>
              <w:t>​(6,711)</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4"/>
              <w:spacing w:after="0"/>
              <w:rPr>
                <w:sz w:val="20"/>
                <w:szCs w:val="20"/>
                <w:color w:val="auto"/>
              </w:rPr>
            </w:pPr>
            <w:r>
              <w:rPr>
                <w:rFonts w:ascii="Arial" w:cs="Arial" w:eastAsia="Arial" w:hAnsi="Arial"/>
                <w:sz w:val="18"/>
                <w:szCs w:val="18"/>
                <w:color w:val="auto"/>
              </w:rPr>
              <w:t>0</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 924,671</w:t>
            </w:r>
          </w:p>
        </w:tc>
        <w:tc>
          <w:tcPr>
            <w:tcW w:w="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​582,811</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​436,026 ​</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ind w:left="280"/>
              <w:spacing w:after="0"/>
              <w:rPr>
                <w:sz w:val="20"/>
                <w:szCs w:val="20"/>
                <w:color w:val="auto"/>
              </w:rPr>
            </w:pPr>
            <w:r>
              <w:rPr>
                <w:rFonts w:ascii="Arial" w:cs="Arial" w:eastAsia="Arial" w:hAnsi="Arial"/>
                <w:sz w:val="18"/>
                <w:szCs w:val="18"/>
                <w:color w:val="auto"/>
              </w:rPr>
              <w:t>​(2,239)</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7"/>
              </w:rPr>
              <w:t>​ (79,762)</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 936,837</w:t>
            </w:r>
          </w:p>
        </w:tc>
        <w:tc>
          <w:tcPr>
            <w:tcW w:w="6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-2999740</wp:posOffset>
            </wp:positionV>
            <wp:extent cx="5212080" cy="1625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-179705</wp:posOffset>
            </wp:positionV>
            <wp:extent cx="5212080" cy="1625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-513715</wp:posOffset>
            </wp:positionV>
            <wp:extent cx="521208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145415</wp:posOffset>
            </wp:positionV>
            <wp:extent cx="123444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720"/>
            <w:col w:w="7239"/>
          </w:cols>
          <w:pgMar w:left="580" w:top="132" w:right="1440" w:bottom="1440" w:gutter="0" w:footer="0" w:header="0"/>
          <w:type w:val="continuous"/>
        </w:sectPr>
      </w:pPr>
    </w:p>
    <w:p>
      <w:pPr>
        <w:spacing w:after="0" w:line="191" w:lineRule="exact"/>
        <w:rPr>
          <w:sz w:val="20"/>
          <w:szCs w:val="20"/>
          <w:color w:val="auto"/>
        </w:rPr>
      </w:pPr>
    </w:p>
    <w:p>
      <w:pPr>
        <w:ind w:left="1620" w:right="439" w:hanging="360"/>
        <w:spacing w:after="0" w:line="277"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These averages result from award forfeitures following Mr. Plotkin’s and Ms. Stillwell’s resignations in 2022 and 2020, respectively.</w:t>
      </w:r>
    </w:p>
    <w:p>
      <w:pPr>
        <w:spacing w:after="0" w:line="166"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RELATIONSHIP BETWEEN PAY AND PERFORMANCE</w:t>
      </w:r>
    </w:p>
    <w:p>
      <w:pPr>
        <w:spacing w:after="0" w:line="162" w:lineRule="exact"/>
        <w:rPr>
          <w:sz w:val="20"/>
          <w:szCs w:val="20"/>
          <w:color w:val="auto"/>
        </w:rPr>
      </w:pPr>
    </w:p>
    <w:p>
      <w:pPr>
        <w:ind w:left="1260" w:right="459" w:firstLine="360"/>
        <w:spacing w:after="0" w:line="265" w:lineRule="auto"/>
        <w:rPr>
          <w:sz w:val="20"/>
          <w:szCs w:val="20"/>
          <w:color w:val="auto"/>
        </w:rPr>
      </w:pPr>
      <w:r>
        <w:rPr>
          <w:rFonts w:ascii="Arial" w:cs="Arial" w:eastAsia="Arial" w:hAnsi="Arial"/>
          <w:sz w:val="18"/>
          <w:szCs w:val="18"/>
          <w:color w:val="auto"/>
        </w:rPr>
        <w:t>We believe the Compensation Actually Paid in each of the years reported above and over the three-year cumulative period are reflective of the Compensation Committee’s emphasis on “pay-for-performance” as the Compensation Actually Paid fluctuated year-over-year, primarily due to the result of our stock performance and our varying levels of achievement against pre-established performance goals under the LTIP. Given the leverage of our compensation program towards equity awards, the Compensation Actually Paid is most directly impacted by our stock price performance.</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77" w:lineRule="auto"/>
        <w:rPr>
          <w:sz w:val="20"/>
          <w:szCs w:val="20"/>
          <w:color w:val="auto"/>
        </w:rPr>
      </w:pPr>
      <w:r>
        <w:rPr>
          <w:rFonts w:ascii="Arial" w:cs="Arial" w:eastAsia="Arial" w:hAnsi="Arial"/>
          <w:sz w:val="18"/>
          <w:szCs w:val="18"/>
          <w:i w:val="1"/>
          <w:iCs w:val="1"/>
          <w:color w:val="auto"/>
        </w:rPr>
        <w:t>Description of Relationship Between PEO and Other NEO Compensation Actually Paid and Company Total Shareholder Return (“TSR”)</w:t>
      </w:r>
    </w:p>
    <w:p>
      <w:pPr>
        <w:spacing w:after="0" w:line="103"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The following chart sets forth the relationship between Compensation Actually Paid to our PEO, the average of Compensation Actually Paid to our other NEOs, and the Company’s Class C common stock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108585</wp:posOffset>
            </wp:positionV>
            <wp:extent cx="5212080" cy="28371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21208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Description of Relationship Between PEO and Other NEO Compensation Actually Paid and Net Income</w:t>
      </w:r>
    </w:p>
    <w:p>
      <w:pPr>
        <w:spacing w:after="0" w:line="156"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The following chart sets forth the relationship between Compensation Actually Paid to our PEO, the average of Compensation Actually Paid to our other NEOs, and our Net Income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108585</wp:posOffset>
            </wp:positionV>
            <wp:extent cx="5212080" cy="28714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12080" cy="287147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20"/>
        <w:spacing w:after="0"/>
        <w:rPr>
          <w:sz w:val="20"/>
          <w:szCs w:val="20"/>
          <w:color w:val="auto"/>
        </w:rPr>
      </w:pPr>
      <w:r>
        <w:rPr>
          <w:rFonts w:ascii="Arial" w:cs="Arial" w:eastAsia="Arial" w:hAnsi="Arial"/>
          <w:sz w:val="18"/>
          <w:szCs w:val="18"/>
          <w:i w:val="1"/>
          <w:iCs w:val="1"/>
          <w:color w:val="auto"/>
        </w:rPr>
        <w:t>Description of Relationship Between PEO and Other NEO Compensation Actually Paid and CAFD</w:t>
      </w:r>
    </w:p>
    <w:p>
      <w:pPr>
        <w:spacing w:after="0" w:line="158" w:lineRule="exact"/>
        <w:rPr>
          <w:sz w:val="20"/>
          <w:szCs w:val="20"/>
          <w:color w:val="auto"/>
        </w:rPr>
      </w:pPr>
    </w:p>
    <w:p>
      <w:pPr>
        <w:jc w:val="both"/>
        <w:ind w:left="1260" w:right="659" w:firstLine="360"/>
        <w:spacing w:after="0" w:line="271" w:lineRule="auto"/>
        <w:rPr>
          <w:sz w:val="20"/>
          <w:szCs w:val="20"/>
          <w:color w:val="auto"/>
        </w:rPr>
      </w:pPr>
      <w:r>
        <w:rPr>
          <w:rFonts w:ascii="Arial" w:cs="Arial" w:eastAsia="Arial" w:hAnsi="Arial"/>
          <w:sz w:val="18"/>
          <w:szCs w:val="18"/>
          <w:color w:val="auto"/>
        </w:rPr>
        <w:t>The following chart sets forth the relationship between Compensation Actually Paid to our PEO, the average of Compensation Actually Paid to our other NEOs, and our CAFD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121285</wp:posOffset>
            </wp:positionV>
            <wp:extent cx="5212080" cy="28886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21208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Description of Relationship Between Company TSR and Peer Group TSR</w:t>
      </w:r>
    </w:p>
    <w:p>
      <w:pPr>
        <w:spacing w:after="0" w:line="144" w:lineRule="exact"/>
        <w:rPr>
          <w:sz w:val="20"/>
          <w:szCs w:val="20"/>
          <w:color w:val="auto"/>
        </w:rPr>
      </w:pPr>
    </w:p>
    <w:p>
      <w:pPr>
        <w:ind w:left="1260" w:right="499" w:firstLine="360"/>
        <w:spacing w:after="0" w:line="293" w:lineRule="auto"/>
        <w:rPr>
          <w:sz w:val="20"/>
          <w:szCs w:val="20"/>
          <w:color w:val="auto"/>
        </w:rPr>
      </w:pPr>
      <w:r>
        <w:rPr>
          <w:rFonts w:ascii="Arial" w:cs="Arial" w:eastAsia="Arial" w:hAnsi="Arial"/>
          <w:sz w:val="18"/>
          <w:szCs w:val="18"/>
          <w:color w:val="auto"/>
        </w:rPr>
        <w:t>The following chart compares our Class C common stock cumulative TSR over the three most recently completed fiscal years to that of the Philadelphia Utility Sector Index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107950</wp:posOffset>
            </wp:positionV>
            <wp:extent cx="5212080" cy="28886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1208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3" w:name="page74"/>
    <w:bookmarkEnd w:id="7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TABULAR LIST OF MOST IMPORTANT FINANCIAL PERFORMANCE MEASURES</w:t>
      </w:r>
    </w:p>
    <w:p>
      <w:pPr>
        <w:spacing w:after="0" w:line="162"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The following is a list of financial performance measures, which in our assessment represent the most important financial performance measures used by the Company to link Compensation Actually Paid to the NEOs for 2022. The measures in this table are not ranked. In addition to these metrics, the Company’s AIP includes key performance milestones relating to ESG matters, adherence to budget, ratio of administrative costs to CAFD, and natural gas strategic plan and execution in order to emphasize those initiatives as priorities throughout the organization. Please see the CD&amp;A for a further description of the metrics used in the Company’s executive compensation program.</w:t>
      </w:r>
    </w:p>
    <w:p>
      <w:pPr>
        <w:spacing w:after="0" w:line="87" w:lineRule="exact"/>
        <w:rPr>
          <w:sz w:val="20"/>
          <w:szCs w:val="20"/>
          <w:color w:val="auto"/>
        </w:rPr>
      </w:pPr>
    </w:p>
    <w:p>
      <w:pPr>
        <w:ind w:left="1800" w:hanging="180"/>
        <w:spacing w:after="0"/>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CAFD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Relative TSR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CAFD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4" w:name="page75"/>
    <w:bookmarkEnd w:id="7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AUDIT COMMITTEE REPORT</w:t>
      </w:r>
    </w:p>
    <w:p>
      <w:pPr>
        <w:spacing w:after="0" w:line="162"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The primary purpose of the Audit Committee is to assist the Board in its general oversight of the Company’s financial reporting process. The Audit Committee’s function is more fully described previously in this Proxy Statement and in its charter. The Audit Committee reviews the charter on an annual basis. The Board annually reviews the New York Stock Exchange listing standards’ definition of independence for audit committee members and has determined that each member of the Audit Committee meets that standard. The Board has also determined that each of the four members of the Audit Committee who served as such in 2022 met the requirements of an “audit committee financial expert.”</w:t>
      </w:r>
    </w:p>
    <w:p>
      <w:pPr>
        <w:spacing w:after="0" w:line="110"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Management is responsible for the preparation, presentation, and integrity of the Company’s financial statements, accounting and financial reporting principles, internal controls and procedures designed to ensure compliance with accounting standards, applicable laws, and regulations.</w:t>
      </w:r>
    </w:p>
    <w:p>
      <w:pPr>
        <w:spacing w:after="0" w:line="103"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The Company’s independent registered public accounting firm for the fiscal year 2022, Ernst &amp; Young LLP, is responsible for performing an independent audit of the consolidated financial statements and expressing an opinion on the conformity of those financial statements with generally accepted accounting principles and auditing the Company’s internal control over financial reporting.</w:t>
      </w:r>
    </w:p>
    <w:p>
      <w:pPr>
        <w:spacing w:after="0" w:line="119"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The Audit Committee has reviewed and discussed the audited financial statements of the Company for the fiscal year ended December 31, 2022 with the Company’s management and has discussed with Ernst &amp; Young LLP the matters required to be discussed by the PCAOB Auditing Standard No. 1301, as amended, “Communication with Audit Committees.” In addition, Ernst &amp; Young LLP has provided the Audit Committee with the written disclosures and the letter required by Statement on the PCAOB Auditing Standard No. 1301, “Communication with Audit Committees,” and the Audit Committee has discussed with Ernst &amp; Young LLP their independence. The Audit Committee also reviewed, and discussed with management and Ernst &amp; Young LLP, management’s report and Ernst &amp; Young LLP’s report and attestation on internal control over financial reporting in accordance with Section 404 of the Sarbanes-Oxley Act of 2002.</w:t>
      </w:r>
    </w:p>
    <w:p>
      <w:pPr>
        <w:spacing w:after="0" w:line="127"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Based on these reviews and discussions, the Audit Committee recommended to the Board that the audited financial statements be included in the Company’s Annual Report on Form 10-K for the fiscal year ended December 31, 2022, for filing with the Securities and Exchange Commission.</w:t>
      </w:r>
    </w:p>
    <w:p>
      <w:pPr>
        <w:spacing w:after="0" w:line="180"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Brian R. Ford, Chair</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Jennifer Lowry</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Daniel B. More</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 Stanley O’Neal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5" w:name="page76"/>
    <w:bookmarkEnd w:id="7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AND NONAUDIT FEES</w:t>
      </w:r>
    </w:p>
    <w:p>
      <w:pPr>
        <w:spacing w:after="0" w:line="162"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The following table presents fees for professional services rendered by Ernst &amp; Young LLP, our current principal independent registered public accounting firm, for the years ended December 31, 2021 and December 31, 2022.</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Year Ended</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2"/>
        </w:trPr>
        <w:tc>
          <w:tcPr>
            <w:tcW w:w="3740" w:type="dxa"/>
            <w:vAlign w:val="bottom"/>
          </w:tcPr>
          <w:p>
            <w:pPr>
              <w:spacing w:after="0"/>
              <w:rPr>
                <w:sz w:val="20"/>
                <w:szCs w:val="20"/>
                <w:color w:val="auto"/>
              </w:rPr>
            </w:pPr>
            <w:r>
              <w:rPr>
                <w:rFonts w:ascii="Arial" w:cs="Arial" w:eastAsia="Arial" w:hAnsi="Arial"/>
                <w:sz w:val="14"/>
                <w:szCs w:val="14"/>
                <w:b w:val="1"/>
                <w:bCs w:val="1"/>
                <w:color w:val="auto"/>
              </w:rPr>
              <w:t>​</w:t>
            </w:r>
          </w:p>
        </w:tc>
        <w:tc>
          <w:tcPr>
            <w:tcW w:w="2320" w:type="dxa"/>
            <w:vAlign w:val="bottom"/>
          </w:tcPr>
          <w:p>
            <w:pPr>
              <w:ind w:left="22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18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37"/>
        </w:trPr>
        <w:tc>
          <w:tcPr>
            <w:tcW w:w="3740" w:type="dxa"/>
            <w:vAlign w:val="bottom"/>
          </w:tcPr>
          <w:p>
            <w:pPr>
              <w:spacing w:after="0"/>
              <w:rPr>
                <w:sz w:val="20"/>
                <w:szCs w:val="20"/>
                <w:color w:val="auto"/>
              </w:rPr>
            </w:pPr>
            <w:r>
              <w:rPr>
                <w:rFonts w:ascii="Arial" w:cs="Arial" w:eastAsia="Arial" w:hAnsi="Arial"/>
                <w:sz w:val="14"/>
                <w:szCs w:val="14"/>
                <w:b w:val="1"/>
                <w:bCs w:val="1"/>
                <w:color w:val="auto"/>
              </w:rPr>
              <w:t>​</w:t>
            </w:r>
          </w:p>
        </w:tc>
        <w:tc>
          <w:tcPr>
            <w:tcW w:w="23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7"/>
          </w:tcPr>
          <w:p>
            <w:pPr>
              <w:jc w:val="right"/>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2022   </w:t>
            </w: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2021  </w:t>
            </w:r>
            <w:r>
              <w:rPr>
                <w:rFonts w:ascii="Arial" w:cs="Arial" w:eastAsia="Arial" w:hAnsi="Arial"/>
                <w:sz w:val="27"/>
                <w:szCs w:val="27"/>
                <w:b w:val="1"/>
                <w:bCs w:val="1"/>
                <w:color w:val="auto"/>
                <w:vertAlign w:val="subscript"/>
              </w:rPr>
              <w:t>​</w:t>
            </w:r>
          </w:p>
        </w:tc>
      </w:tr>
      <w:tr>
        <w:trPr>
          <w:trHeight w:val="236"/>
        </w:trPr>
        <w:tc>
          <w:tcPr>
            <w:tcW w:w="3740" w:type="dxa"/>
            <w:vAlign w:val="bottom"/>
          </w:tcPr>
          <w:p>
            <w:pPr>
              <w:spacing w:after="0"/>
              <w:rPr>
                <w:sz w:val="20"/>
                <w:szCs w:val="20"/>
                <w:color w:val="auto"/>
              </w:rPr>
            </w:pPr>
            <w:r>
              <w:rPr>
                <w:rFonts w:ascii="Arial" w:cs="Arial" w:eastAsia="Arial" w:hAnsi="Arial"/>
                <w:sz w:val="14"/>
                <w:szCs w:val="14"/>
                <w:b w:val="1"/>
                <w:bCs w:val="1"/>
                <w:color w:val="auto"/>
              </w:rPr>
              <w:t>​</w:t>
            </w:r>
          </w:p>
        </w:tc>
        <w:tc>
          <w:tcPr>
            <w:tcW w:w="2320" w:type="dxa"/>
            <w:vAlign w:val="bottom"/>
          </w:tcPr>
          <w:p>
            <w:pPr>
              <w:ind w:left="22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18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57"/>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3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​​$4,484​​ ​​$4,425</w:t>
            </w: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740" w:type="dxa"/>
            <w:vAlign w:val="bottom"/>
          </w:tcPr>
          <w:p>
            <w:pPr>
              <w:spacing w:after="0"/>
              <w:rPr>
                <w:sz w:val="20"/>
                <w:szCs w:val="20"/>
                <w:color w:val="auto"/>
              </w:rPr>
            </w:pPr>
            <w:r>
              <w:rPr>
                <w:rFonts w:ascii="Arial" w:cs="Arial" w:eastAsia="Arial" w:hAnsi="Arial"/>
                <w:sz w:val="18"/>
                <w:szCs w:val="18"/>
                <w:color w:val="auto"/>
              </w:rPr>
              <w:t>Audit-Related Fees</w:t>
            </w:r>
          </w:p>
        </w:tc>
        <w:tc>
          <w:tcPr>
            <w:tcW w:w="23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 ​​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3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 ​1,560​​ ​​ ​1,605</w:t>
            </w: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All Other Fees</w:t>
            </w:r>
          </w:p>
        </w:tc>
        <w:tc>
          <w:tcPr>
            <w:tcW w:w="232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880" w:type="dxa"/>
            <w:vAlign w:val="bottom"/>
            <w:gridSpan w:val="3"/>
          </w:tcPr>
          <w:p>
            <w:pPr>
              <w:jc w:val="right"/>
              <w:ind w:right="180"/>
              <w:spacing w:after="0" w:line="269" w:lineRule="exact"/>
              <w:rPr>
                <w:sz w:val="20"/>
                <w:szCs w:val="20"/>
                <w:color w:val="auto"/>
              </w:rPr>
            </w:pPr>
            <w:r>
              <w:rPr>
                <w:rFonts w:ascii="Arial" w:cs="Arial" w:eastAsia="Arial" w:hAnsi="Arial"/>
                <w:sz w:val="31"/>
                <w:szCs w:val="31"/>
                <w:color w:val="auto"/>
                <w:vertAlign w:val="superscript"/>
              </w:rPr>
              <w:t>7</w:t>
            </w:r>
            <w:r>
              <w:rPr>
                <w:rFonts w:ascii="Arial" w:cs="Arial" w:eastAsia="Arial" w:hAnsi="Arial"/>
                <w:sz w:val="17"/>
                <w:szCs w:val="17"/>
                <w:color w:val="auto"/>
              </w:rPr>
              <w:t xml:space="preserve">​​ ​​ </w:t>
            </w:r>
            <w:r>
              <w:rPr>
                <w:rFonts w:ascii="Arial" w:cs="Arial" w:eastAsia="Arial" w:hAnsi="Arial"/>
                <w:sz w:val="31"/>
                <w:szCs w:val="31"/>
                <w:color w:val="auto"/>
                <w:vertAlign w:val="superscript"/>
              </w:rPr>
              <w:t>​</w:t>
            </w:r>
          </w:p>
        </w:tc>
        <w:tc>
          <w:tcPr>
            <w:tcW w:w="220" w:type="dxa"/>
            <w:vAlign w:val="bottom"/>
            <w:gridSpan w:val="2"/>
          </w:tcPr>
          <w:p>
            <w:pPr>
              <w:jc w:val="right"/>
              <w:spacing w:after="0" w:line="269" w:lineRule="exact"/>
              <w:rPr>
                <w:sz w:val="20"/>
                <w:szCs w:val="20"/>
                <w:color w:val="auto"/>
              </w:rPr>
            </w:pPr>
            <w:r>
              <w:rPr>
                <w:rFonts w:ascii="Arial" w:cs="Arial" w:eastAsia="Arial" w:hAnsi="Arial"/>
                <w:sz w:val="31"/>
                <w:szCs w:val="31"/>
                <w:color w:val="auto"/>
                <w:vertAlign w:val="superscript"/>
              </w:rPr>
              <w:t>7</w:t>
            </w:r>
            <w:r>
              <w:rPr>
                <w:rFonts w:ascii="Arial" w:cs="Arial" w:eastAsia="Arial" w:hAnsi="Arial"/>
                <w:sz w:val="17"/>
                <w:szCs w:val="17"/>
                <w:color w:val="auto"/>
              </w:rPr>
              <w:t>​</w:t>
            </w:r>
          </w:p>
        </w:tc>
      </w:tr>
      <w:tr>
        <w:trPr>
          <w:trHeight w:val="20"/>
        </w:trPr>
        <w:tc>
          <w:tcPr>
            <w:tcW w:w="374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6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6"/>
            <w:shd w:val="clear" w:color="auto" w:fill="CCEEFF"/>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$6,051</w:t>
            </w:r>
            <w:r>
              <w:rPr>
                <w:rFonts w:ascii="Arial" w:cs="Arial" w:eastAsia="Arial" w:hAnsi="Arial"/>
                <w:sz w:val="30"/>
                <w:szCs w:val="30"/>
                <w:color w:val="auto"/>
                <w:vertAlign w:val="subscript"/>
              </w:rPr>
              <w:t>​​ ​​</w:t>
            </w:r>
            <w:r>
              <w:rPr>
                <w:rFonts w:ascii="Arial" w:cs="Arial" w:eastAsia="Arial" w:hAnsi="Arial"/>
                <w:sz w:val="16"/>
                <w:szCs w:val="16"/>
                <w:color w:val="auto"/>
              </w:rPr>
              <w:t>$6,037</w:t>
            </w: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-179070</wp:posOffset>
            </wp:positionV>
            <wp:extent cx="443166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-1002030</wp:posOffset>
            </wp:positionV>
            <wp:extent cx="1371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FEES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2022 and 2021 audit services, Ernst &amp; Young LLP billed us approximately $4,484,400 and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$4,424,556, respectively, for the integrated audit of the Company’s annual consolidated financial statements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audits of subsidiary (non-SEC registrants) financial statements, internal control over financial reporting,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the review of the Company’s quarterly consolidated financial statements on Form 10-Q that are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customary under the standards of the Public Company Accounting Oversight Board (United States).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AUDIT-RELATED FEES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2022 and 2021, there were no audit-related fees billed to us by Ernst &amp; Young LLP.</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FEES</w:t>
      </w:r>
    </w:p>
    <w:p>
      <w:pPr>
        <w:spacing w:after="0" w:line="148"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For 2022 and 2021 tax fees, Ernst &amp; Young LLP billed us approximately $1,560,400 and $1,605,408, respectively, relating mainly to compliance work.</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ALL OTHER FEES</w:t>
      </w:r>
    </w:p>
    <w:p>
      <w:pPr>
        <w:spacing w:after="0" w:line="162"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For each of 2022 and 2021, Ernst &amp; Young LLP billed us approximately $6,560 in other fees relating to online subscription fees.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POLICY ON AUDIT COMMITTEE PRE-APPROVAL</w:t>
      </w:r>
    </w:p>
    <w:p>
      <w:pPr>
        <w:spacing w:after="0" w:line="162"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Audit Committee is responsible for appointing, setting compensation for, and overseeing the work of the independent registered public accounting firm. The Audit Committee has established a policy regarding pre-approval of all audit and permissible nonaudit services provided by the independent registered public accounting firm.</w:t>
      </w:r>
    </w:p>
    <w:p>
      <w:pPr>
        <w:spacing w:after="0" w:line="106" w:lineRule="exact"/>
        <w:rPr>
          <w:sz w:val="20"/>
          <w:szCs w:val="20"/>
          <w:color w:val="auto"/>
        </w:rPr>
      </w:pPr>
    </w:p>
    <w:p>
      <w:pPr>
        <w:jc w:val="both"/>
        <w:ind w:left="1260" w:right="519" w:firstLine="360"/>
        <w:spacing w:after="0" w:line="279" w:lineRule="auto"/>
        <w:rPr>
          <w:sz w:val="20"/>
          <w:szCs w:val="20"/>
          <w:color w:val="auto"/>
        </w:rPr>
      </w:pPr>
      <w:r>
        <w:rPr>
          <w:rFonts w:ascii="Arial" w:cs="Arial" w:eastAsia="Arial" w:hAnsi="Arial"/>
          <w:sz w:val="17"/>
          <w:szCs w:val="17"/>
          <w:color w:val="auto"/>
        </w:rPr>
        <w:t>The Audit Committee annually reviews and pre-approves services that are expected to be provided by the independent registered public accounting firm. The term of the pre-approval is 12 months from the date of the pre-approval, unless the Audit Committee approves a shorter time period. The Audit Committee may periodically amend and/or supplement the pre-approved services based on subsequent determinations.</w:t>
      </w:r>
    </w:p>
    <w:p>
      <w:pPr>
        <w:spacing w:after="0" w:line="104"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Unless the Audit Committee has pre-approved Audit Services or a specified category of nonaudit services, any engagement to provide such services must be pre-approved by the Audit Committee if it is to be provided by the independent registered public accounting firm. The Audit Committee must also pre-approve any proposed services exceeding the pre-approved budgeted fee levels for a specified type of service.</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The Audit Committee has authorized its Chair to pre-approve services in amounts up to $100,000 per engagement. Engagements exceeding $100,000 must be approved by the full Audit Committee. Engagements pre-approved by the Chair are reported to the Audit Committee at its next scheduled meeting. The Audit Committee approved all of the audit-related fees, tax fees and all other fees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7" w:name="page78"/>
    <w:bookmarkEnd w:id="7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QUESTIONS AND ANSWERS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purpose of the Annual Meeting is to:</w:t>
      </w:r>
    </w:p>
    <w:p>
      <w:pPr>
        <w:spacing w:after="0" w:line="158" w:lineRule="exact"/>
        <w:rPr>
          <w:sz w:val="20"/>
          <w:szCs w:val="20"/>
          <w:color w:val="auto"/>
        </w:rPr>
      </w:pPr>
    </w:p>
    <w:p>
      <w:pPr>
        <w:ind w:left="1980" w:hanging="360"/>
        <w:spacing w:after="0"/>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elect eleven directors;</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approve the Say on Pay Proposal;</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approve the Say on Frequency Proposal;</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approve the Ratification of Ernst &amp; Young LLP’s Appointment Proposal; and</w:t>
      </w:r>
    </w:p>
    <w:p>
      <w:pPr>
        <w:spacing w:after="0" w:line="157" w:lineRule="exact"/>
        <w:rPr>
          <w:rFonts w:ascii="Arial" w:cs="Arial" w:eastAsia="Arial" w:hAnsi="Arial"/>
          <w:sz w:val="18"/>
          <w:szCs w:val="18"/>
          <w:color w:val="auto"/>
        </w:rPr>
      </w:pPr>
    </w:p>
    <w:p>
      <w:pPr>
        <w:ind w:left="1980" w:right="1359" w:hanging="360"/>
        <w:spacing w:after="0" w:line="277" w:lineRule="auto"/>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conduct such other business as may properly come before the Annual Meeting and any adjournment or postponement.</w:t>
      </w:r>
    </w:p>
    <w:p>
      <w:pPr>
        <w:spacing w:after="0" w:line="89"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Other than these proposals, the Board is not aware of any other matters to be presented for a vote at the Annual Meeting.</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62" w:lineRule="exact"/>
        <w:rPr>
          <w:sz w:val="20"/>
          <w:szCs w:val="20"/>
          <w:color w:val="auto"/>
        </w:rPr>
      </w:pPr>
    </w:p>
    <w:p>
      <w:pPr>
        <w:jc w:val="both"/>
        <w:ind w:left="1260" w:right="659" w:firstLine="360"/>
        <w:spacing w:after="0" w:line="294" w:lineRule="auto"/>
        <w:rPr>
          <w:sz w:val="20"/>
          <w:szCs w:val="20"/>
          <w:color w:val="auto"/>
        </w:rPr>
      </w:pPr>
      <w:r>
        <w:rPr>
          <w:rFonts w:ascii="Arial" w:cs="Arial" w:eastAsia="Arial" w:hAnsi="Arial"/>
          <w:sz w:val="16"/>
          <w:szCs w:val="16"/>
          <w:color w:val="auto"/>
        </w:rPr>
        <w:t>All of our stockholders may attend the Annual Meeting. However, only stockholders who owned our Class A, Class B, Class C or Class D common stock at the close of business on March 3, 2023, the record date for the Annual Meeting, or their duly appointed proxies, are entitled to vote at the Annual Meeting.</w:t>
      </w:r>
    </w:p>
    <w:p>
      <w:pPr>
        <w:spacing w:after="0" w:line="80"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color w:val="auto"/>
        </w:rPr>
        <w:t>Many stockholders hold their shares through a stockbroker, bank, trustee or other nominee rather than directly in their own name. As summarized below, there are some distinctions between shares held of record and those owned beneficially:</w:t>
      </w:r>
    </w:p>
    <w:p>
      <w:pPr>
        <w:spacing w:after="0" w:line="67" w:lineRule="exact"/>
        <w:rPr>
          <w:sz w:val="20"/>
          <w:szCs w:val="20"/>
          <w:color w:val="auto"/>
        </w:rPr>
      </w:pPr>
    </w:p>
    <w:p>
      <w:pPr>
        <w:ind w:left="1800" w:right="559" w:hanging="180"/>
        <w:spacing w:after="0" w:line="27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Stockholder of Record — </w:t>
      </w:r>
      <w:r>
        <w:rPr>
          <w:rFonts w:ascii="Arial" w:cs="Arial" w:eastAsia="Arial" w:hAnsi="Arial"/>
          <w:sz w:val="18"/>
          <w:szCs w:val="18"/>
          <w:color w:val="auto"/>
        </w:rPr>
        <w:t>If your shares are registered directly in your name with our transfer agent,</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Computershare, you are considered the stockholder of record of those shares.</w:t>
      </w:r>
    </w:p>
    <w:p>
      <w:pPr>
        <w:spacing w:after="0" w:line="62" w:lineRule="exact"/>
        <w:rPr>
          <w:rFonts w:ascii="Arial" w:cs="Arial" w:eastAsia="Arial" w:hAnsi="Arial"/>
          <w:sz w:val="18"/>
          <w:szCs w:val="18"/>
          <w:color w:val="auto"/>
        </w:rPr>
      </w:pPr>
    </w:p>
    <w:p>
      <w:pPr>
        <w:ind w:left="1800" w:right="439" w:hanging="180"/>
        <w:spacing w:after="0" w:line="253"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Beneficial Owner — </w:t>
      </w:r>
      <w:r>
        <w:rPr>
          <w:rFonts w:ascii="Arial" w:cs="Arial" w:eastAsia="Arial" w:hAnsi="Arial"/>
          <w:sz w:val="18"/>
          <w:szCs w:val="18"/>
          <w:color w:val="auto"/>
        </w:rPr>
        <w:t>If your shares are held in a stock brokerage account, or by a bank, trustee,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nominee, you are considered the beneficial owner of shares held in “street name.” As the beneficial owner, you have the right to direct your broker, trustee or nominee on how to vote and you are also invited to attend the Annual Meeting virtually, as described below. Shares for which you are the beneficial owner but not the stockholder of record also may be voted electronically during the Annual Meeting. Your broker, trustee, or nominee is obligated to provide you with a voting instruction card for you to use to vote during the Annual Meeting. You may be required to provide proof of beneficial ownership, such as your most recent account statement as of the record date, a copy of the voting instruction form provided by your broker, bank, trustee, or nominee, or other similar evidence of ownership.</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MANY VOTES DO I HAVE?</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You have one vote for each share of our Class A or Class B common stock you owned as of the record date for the Annual Meeting. You have 1/100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of one vote for each share of our Class C or Class D common stock you owned as of the record date for the Annual Meeting. Holders of shares of our Class A, Class B, Class C and Class D common stock vote together as a single class on all matters presented to our stockholders for their vote or approval, except as otherwise provided by applicable law. GIP and TotalEnergies, through the ownership of all of our outstanding Class B and Class D common stock, held approximately 54.94% of the combined voting power of our common stock as of the record date.</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ARE THE RECOMMENDATIONS OF THE BOARD?</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Board recommends a vote:</w:t>
      </w:r>
    </w:p>
    <w:p>
      <w:pPr>
        <w:spacing w:after="0" w:line="154" w:lineRule="exact"/>
        <w:rPr>
          <w:sz w:val="20"/>
          <w:szCs w:val="20"/>
          <w:color w:val="auto"/>
        </w:rPr>
      </w:pPr>
    </w:p>
    <w:p>
      <w:pPr>
        <w:ind w:left="1980" w:hanging="360"/>
        <w:spacing w:after="0"/>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director nominees;</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Say on Pay Proposal;</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80" w:hanging="360"/>
        <w:spacing w:after="0"/>
        <w:tabs>
          <w:tab w:leader="none" w:pos="19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ONE YEAR </w:t>
      </w:r>
      <w:r>
        <w:rPr>
          <w:rFonts w:ascii="Arial" w:cs="Arial" w:eastAsia="Arial" w:hAnsi="Arial"/>
          <w:sz w:val="18"/>
          <w:szCs w:val="18"/>
          <w:color w:val="auto"/>
        </w:rPr>
        <w:t>for the Say on Frequency Proposal; and</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Ernst &amp; Young LLP’s Appointment Proposal.</w:t>
      </w:r>
    </w:p>
    <w:p>
      <w:pPr>
        <w:spacing w:after="0" w:line="162"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If you grant a proxy and any additional matters are properly presented for a vote at the Annual Meeting, either of the persons named as proxy holders, Christopher S. Sotos or Kevin P. Malcarney, will have the discretion to vote your shares.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MANY VOTES MUST BE PRESENT TO HOLD THE ANNUAL MEETING?</w:t>
      </w:r>
    </w:p>
    <w:p>
      <w:pPr>
        <w:spacing w:after="0" w:line="148"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We will have a quorum, and will be able to conduct the business of the Annual Meeting, if the holders of a majority in voting power of the outstanding shares of our Class A, Class B, Class C and Class D common stock entitled to vote at the Annual Meeting are represented through virtual attendance or by proxy at the Annual Meeting. As of the record date, there were 78,598,806 votes entitled to be cast in the aggregate by the holders of all shares of our common stock outstanding, consisting of:</w:t>
      </w:r>
    </w:p>
    <w:p>
      <w:pPr>
        <w:spacing w:after="0" w:line="68" w:lineRule="exact"/>
        <w:rPr>
          <w:sz w:val="20"/>
          <w:szCs w:val="20"/>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34,613,853 shares of our Class A common stock (representing the same number of votes);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42,738,750 shares of our Class B common stock (representing the same number of votes);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82,283,460 shares of our Class C common stock (representing 822,835 votes);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42,336,750 shares of our Class D common stock (representing 423,368 votes).</w:t>
      </w:r>
    </w:p>
    <w:p>
      <w:pPr>
        <w:spacing w:after="0" w:line="15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presence of holders entitled to cast at least 39,299,403 votes will be required to establish a quorum. Both abstentions and broker non-votes, if any, are counted as present for determining the presence of a quorum. For more information regarding the treatment of abstentions and broker non-votes, see “What are abstentions and broker non-votes and how are they treated?”</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162" w:lineRule="exact"/>
        <w:rPr>
          <w:sz w:val="20"/>
          <w:szCs w:val="20"/>
          <w:color w:val="auto"/>
        </w:rPr>
      </w:pPr>
    </w:p>
    <w:p>
      <w:pPr>
        <w:ind w:left="1980" w:right="499" w:hanging="360"/>
        <w:spacing w:after="0" w:line="273" w:lineRule="auto"/>
        <w:tabs>
          <w:tab w:leader="none" w:pos="198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Election of Directors — </w:t>
      </w:r>
      <w:r>
        <w:rPr>
          <w:rFonts w:ascii="Arial" w:cs="Arial" w:eastAsia="Arial" w:hAnsi="Arial"/>
          <w:sz w:val="17"/>
          <w:szCs w:val="17"/>
          <w:color w:val="auto"/>
        </w:rPr>
        <w:t>The nominees for election as directors at the Annual Meeting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elected by the vote of a plurality of the votes entitled to be cast by all shares of our common stock entitled to vote on the election, voting as a single class and represented through virtual attendance or by proxy at the Annual Meeting. This means the director nominees receiving the highest number of affirmative votes will be elected as directors. Votes withheld from a director nominee will have no effect on the election of the director from whom votes are withheld.</w:t>
      </w:r>
    </w:p>
    <w:p>
      <w:pPr>
        <w:spacing w:after="0" w:line="96" w:lineRule="exact"/>
        <w:rPr>
          <w:rFonts w:ascii="Arial" w:cs="Arial" w:eastAsia="Arial" w:hAnsi="Arial"/>
          <w:sz w:val="17"/>
          <w:szCs w:val="17"/>
          <w:color w:val="auto"/>
        </w:rPr>
      </w:pPr>
    </w:p>
    <w:p>
      <w:pPr>
        <w:ind w:left="1980" w:right="419" w:hanging="360"/>
        <w:spacing w:after="0" w:line="273" w:lineRule="auto"/>
        <w:tabs>
          <w:tab w:leader="none" w:pos="198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Say on Pay Proposal — </w:t>
      </w:r>
      <w:r>
        <w:rPr>
          <w:rFonts w:ascii="Arial" w:cs="Arial" w:eastAsia="Arial" w:hAnsi="Arial"/>
          <w:sz w:val="17"/>
          <w:szCs w:val="17"/>
          <w:color w:val="auto"/>
        </w:rPr>
        <w:t>This proposal requires the affirmative vote of the majority in voting power</w:t>
      </w:r>
      <w:r>
        <w:rPr>
          <w:rFonts w:ascii="Arial" w:cs="Arial" w:eastAsia="Arial" w:hAnsi="Arial"/>
          <w:sz w:val="17"/>
          <w:szCs w:val="17"/>
          <w:i w:val="1"/>
          <w:iCs w:val="1"/>
          <w:color w:val="auto"/>
        </w:rPr>
        <w:t xml:space="preserve"> </w:t>
      </w:r>
      <w:r>
        <w:rPr>
          <w:rFonts w:ascii="Arial" w:cs="Arial" w:eastAsia="Arial" w:hAnsi="Arial"/>
          <w:sz w:val="17"/>
          <w:szCs w:val="17"/>
          <w:color w:val="auto"/>
        </w:rPr>
        <w:t>of the shares of our common stock present through virtual attendance or represented by proxy at the Annual Meeting and entitled to vote on the proposal. While this is an advisory vote, the Board and the Compensation Committee value the opinions of stockholders and if there are a significant number of votes against this proposal, the Board and the Compensation Committee will consider stockholders’ concerns and evaluate actions necessary to address those concerns.</w:t>
      </w:r>
    </w:p>
    <w:p>
      <w:pPr>
        <w:spacing w:after="0" w:line="110" w:lineRule="exact"/>
        <w:rPr>
          <w:rFonts w:ascii="Arial" w:cs="Arial" w:eastAsia="Arial" w:hAnsi="Arial"/>
          <w:sz w:val="17"/>
          <w:szCs w:val="17"/>
          <w:color w:val="auto"/>
        </w:rPr>
      </w:pPr>
    </w:p>
    <w:p>
      <w:pPr>
        <w:ind w:left="1980" w:right="439" w:hanging="360"/>
        <w:spacing w:after="0" w:line="270" w:lineRule="auto"/>
        <w:tabs>
          <w:tab w:leader="none" w:pos="198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Say on Frequency Proposal — </w:t>
      </w:r>
      <w:r>
        <w:rPr>
          <w:rFonts w:ascii="Arial" w:cs="Arial" w:eastAsia="Arial" w:hAnsi="Arial"/>
          <w:sz w:val="17"/>
          <w:szCs w:val="17"/>
          <w:color w:val="auto"/>
        </w:rPr>
        <w:t>This proposal requires the affirmative vote of the majority in voting</w:t>
      </w:r>
      <w:r>
        <w:rPr>
          <w:rFonts w:ascii="Arial" w:cs="Arial" w:eastAsia="Arial" w:hAnsi="Arial"/>
          <w:sz w:val="17"/>
          <w:szCs w:val="17"/>
          <w:i w:val="1"/>
          <w:iCs w:val="1"/>
          <w:color w:val="auto"/>
        </w:rPr>
        <w:t xml:space="preserve"> </w:t>
      </w:r>
      <w:r>
        <w:rPr>
          <w:rFonts w:ascii="Arial" w:cs="Arial" w:eastAsia="Arial" w:hAnsi="Arial"/>
          <w:sz w:val="17"/>
          <w:szCs w:val="17"/>
          <w:color w:val="auto"/>
        </w:rPr>
        <w:t>power of the shares present in person or represented by proxy at the Annual Meeting and entitled to vote on the proposal for one of the frequency options (one, two or three years). If none of the frequency options receive the affirmative vote of the majority in voting power of the shares of our common stock present in person or represented by proxy at the Annual Meeting and entitled to vote on the proposal, the frequency option that receives the highest number of votes cast will be considered to be the frequency selected by stockholders. Although this vote is advisory and therefore not binding on the Company, the Board and the Compensation Committee value the opinions of stockholders and will consider the outcome of this advisory vote.</w:t>
      </w:r>
    </w:p>
    <w:p>
      <w:pPr>
        <w:spacing w:after="0" w:line="113" w:lineRule="exact"/>
        <w:rPr>
          <w:rFonts w:ascii="Arial" w:cs="Arial" w:eastAsia="Arial" w:hAnsi="Arial"/>
          <w:sz w:val="17"/>
          <w:szCs w:val="17"/>
          <w:color w:val="auto"/>
        </w:rPr>
      </w:pPr>
    </w:p>
    <w:p>
      <w:pPr>
        <w:ind w:left="1980" w:right="539" w:hanging="360"/>
        <w:spacing w:after="0" w:line="257" w:lineRule="auto"/>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Ratification of Ernst &amp; Young LLP’s Appointment Proposal — </w:t>
      </w:r>
      <w:r>
        <w:rPr>
          <w:rFonts w:ascii="Arial" w:cs="Arial" w:eastAsia="Arial" w:hAnsi="Arial"/>
          <w:sz w:val="18"/>
          <w:szCs w:val="18"/>
          <w:color w:val="auto"/>
        </w:rPr>
        <w:t>This proposal requires the</w:t>
      </w:r>
      <w:r>
        <w:rPr>
          <w:rFonts w:ascii="Arial" w:cs="Arial" w:eastAsia="Arial" w:hAnsi="Arial"/>
          <w:sz w:val="18"/>
          <w:szCs w:val="18"/>
          <w:i w:val="1"/>
          <w:iCs w:val="1"/>
          <w:color w:val="auto"/>
        </w:rPr>
        <w:t xml:space="preserve"> </w:t>
      </w:r>
      <w:r>
        <w:rPr>
          <w:rFonts w:ascii="Arial" w:cs="Arial" w:eastAsia="Arial" w:hAnsi="Arial"/>
          <w:sz w:val="18"/>
          <w:szCs w:val="18"/>
          <w:color w:val="auto"/>
        </w:rPr>
        <w:t>affirmative vote of a majority in voting power of the shares of our common stock present through virtual attendance or represented by proxy at the Annual Meeting and entitled to vote on the proposal. If the selection of Ernst &amp; Young LLP as our independent registered public accounting firm is not ratified, the Audit Committee will reconsider its selection.</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WHAT ARE ABSTENTIONS AND BROKER NON-VOTES AND HOW ARE THEY TREATED?</w:t>
      </w:r>
    </w:p>
    <w:p>
      <w:pPr>
        <w:spacing w:after="0" w:line="162"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7"/>
          <w:szCs w:val="17"/>
          <w:color w:val="auto"/>
        </w:rPr>
        <w:t>An abstention occurs when a stockholder or its proxy is present at the meeting and entitled to vote on a proposal but either expressly abstains or does not vote on the proposal. A “broker non-vote” occurs when a broker has not received voting instructions from the beneficial owner with respect to the proposal and the broker does not have discretionary authority to vote the shares because the proposal is non-routine. Brokers who do not receive instructions from the beneficial owner are entitled to vote on the Ratification of Ernst &amp; Young LLP’s Appointment Proposal, but do not have the discretion to vote on the election of directors, the Say on Pay Proposal or the Say on Frequency Proposal. Broker non-votes and abstentions, if any, will be treated as follows with respect to votes on each of the proposals:</w:t>
      </w:r>
    </w:p>
    <w:p>
      <w:pPr>
        <w:spacing w:after="0" w:line="12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800" w:type="dxa"/>
            <w:vAlign w:val="bottom"/>
            <w:gridSpan w:val="3"/>
          </w:tcPr>
          <w:p>
            <w:pPr>
              <w:spacing w:after="0"/>
              <w:rPr>
                <w:sz w:val="20"/>
                <w:szCs w:val="20"/>
                <w:color w:val="auto"/>
              </w:rPr>
            </w:pPr>
            <w:r>
              <w:rPr>
                <w:rFonts w:ascii="Arial" w:cs="Arial" w:eastAsia="Arial" w:hAnsi="Arial"/>
                <w:sz w:val="14"/>
                <w:szCs w:val="14"/>
                <w:b w:val="1"/>
                <w:bCs w:val="1"/>
                <w:color w:val="auto"/>
              </w:rPr>
              <w:t>Proposal</w:t>
            </w: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Treatment of Abstentions</w:t>
            </w:r>
          </w:p>
        </w:tc>
        <w:tc>
          <w:tcPr>
            <w:tcW w:w="2580" w:type="dxa"/>
            <w:vAlign w:val="bottom"/>
          </w:tcPr>
          <w:p>
            <w:pPr>
              <w:spacing w:after="0"/>
              <w:rPr>
                <w:sz w:val="20"/>
                <w:szCs w:val="20"/>
                <w:color w:val="auto"/>
              </w:rPr>
            </w:pPr>
            <w:r>
              <w:rPr>
                <w:rFonts w:ascii="Arial" w:cs="Arial" w:eastAsia="Arial" w:hAnsi="Arial"/>
                <w:sz w:val="14"/>
                <w:szCs w:val="14"/>
                <w:b w:val="1"/>
                <w:bCs w:val="1"/>
                <w:color w:val="auto"/>
              </w:rPr>
              <w:t>Treatment of Broker Non-Votes</w:t>
            </w:r>
          </w:p>
        </w:tc>
      </w:tr>
      <w:tr>
        <w:trPr>
          <w:trHeight w:val="39"/>
        </w:trPr>
        <w:tc>
          <w:tcPr>
            <w:tcW w:w="24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r>
      <w:tr>
        <w:trPr>
          <w:trHeight w:val="249"/>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Election of Directors</w:t>
            </w:r>
          </w:p>
        </w:tc>
        <w:tc>
          <w:tcPr>
            <w:tcW w:w="2820" w:type="dxa"/>
            <w:vAlign w:val="bottom"/>
            <w:gridSpan w:val="2"/>
          </w:tcPr>
          <w:p>
            <w:pPr>
              <w:spacing w:after="0"/>
              <w:rPr>
                <w:sz w:val="20"/>
                <w:szCs w:val="20"/>
                <w:color w:val="auto"/>
              </w:rPr>
            </w:pPr>
            <w:r>
              <w:rPr>
                <w:rFonts w:ascii="Arial" w:cs="Arial" w:eastAsia="Arial" w:hAnsi="Arial"/>
                <w:sz w:val="18"/>
                <w:szCs w:val="18"/>
                <w:color w:val="auto"/>
              </w:rPr>
              <w:t>No effect on this proposal.</w:t>
            </w:r>
          </w:p>
        </w:tc>
        <w:tc>
          <w:tcPr>
            <w:tcW w:w="2580" w:type="dxa"/>
            <w:vAlign w:val="bottom"/>
          </w:tcPr>
          <w:p>
            <w:pPr>
              <w:spacing w:after="0"/>
              <w:rPr>
                <w:sz w:val="20"/>
                <w:szCs w:val="20"/>
                <w:color w:val="auto"/>
              </w:rPr>
            </w:pPr>
            <w:r>
              <w:rPr>
                <w:rFonts w:ascii="Arial" w:cs="Arial" w:eastAsia="Arial" w:hAnsi="Arial"/>
                <w:sz w:val="18"/>
                <w:szCs w:val="18"/>
                <w:color w:val="auto"/>
              </w:rPr>
              <w:t>No effect on this proposal.</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2.</w:t>
            </w: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Say on Pay Proposal</w:t>
            </w:r>
          </w:p>
        </w:tc>
        <w:tc>
          <w:tcPr>
            <w:tcW w:w="2820" w:type="dxa"/>
            <w:vAlign w:val="bottom"/>
            <w:gridSpan w:val="2"/>
          </w:tcPr>
          <w:p>
            <w:pPr>
              <w:spacing w:after="0"/>
              <w:rPr>
                <w:sz w:val="20"/>
                <w:szCs w:val="20"/>
                <w:color w:val="auto"/>
              </w:rPr>
            </w:pPr>
            <w:r>
              <w:rPr>
                <w:rFonts w:ascii="Arial" w:cs="Arial" w:eastAsia="Arial" w:hAnsi="Arial"/>
                <w:sz w:val="18"/>
                <w:szCs w:val="18"/>
                <w:color w:val="auto"/>
              </w:rPr>
              <w:t>Counted toward the tabulation of</w:t>
            </w:r>
          </w:p>
        </w:tc>
        <w:tc>
          <w:tcPr>
            <w:tcW w:w="2580" w:type="dxa"/>
            <w:vAlign w:val="bottom"/>
          </w:tcPr>
          <w:p>
            <w:pPr>
              <w:spacing w:after="0"/>
              <w:rPr>
                <w:sz w:val="20"/>
                <w:szCs w:val="20"/>
                <w:color w:val="auto"/>
              </w:rPr>
            </w:pPr>
            <w:r>
              <w:rPr>
                <w:rFonts w:ascii="Arial" w:cs="Arial" w:eastAsia="Arial" w:hAnsi="Arial"/>
                <w:sz w:val="18"/>
                <w:szCs w:val="18"/>
                <w:color w:val="auto"/>
              </w:rPr>
              <w:t>No effect on this proposal.</w:t>
            </w:r>
          </w:p>
        </w:tc>
      </w:tr>
      <w:tr>
        <w:trPr>
          <w:trHeight w:val="216"/>
        </w:trPr>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votes on this proposal and will</w:t>
            </w:r>
          </w:p>
        </w:tc>
        <w:tc>
          <w:tcPr>
            <w:tcW w:w="25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have the same effect as a vote</w:t>
            </w:r>
          </w:p>
        </w:tc>
        <w:tc>
          <w:tcPr>
            <w:tcW w:w="258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AGAINST this proposal.</w:t>
            </w:r>
          </w:p>
        </w:tc>
        <w:tc>
          <w:tcPr>
            <w:tcW w:w="2580" w:type="dxa"/>
            <w:vAlign w:val="bottom"/>
          </w:tcPr>
          <w:p>
            <w:pPr>
              <w:spacing w:after="0"/>
              <w:rPr>
                <w:sz w:val="20"/>
                <w:szCs w:val="20"/>
                <w:color w:val="auto"/>
              </w:rPr>
            </w:pPr>
          </w:p>
        </w:tc>
      </w:tr>
      <w:tr>
        <w:trPr>
          <w:trHeight w:val="242"/>
        </w:trPr>
        <w:tc>
          <w:tcPr>
            <w:tcW w:w="240" w:type="dxa"/>
            <w:vAlign w:val="bottom"/>
          </w:tcPr>
          <w:p>
            <w:pPr>
              <w:spacing w:after="0"/>
              <w:rPr>
                <w:sz w:val="20"/>
                <w:szCs w:val="20"/>
                <w:color w:val="auto"/>
              </w:rPr>
            </w:pPr>
            <w:r>
              <w:rPr>
                <w:rFonts w:ascii="Arial" w:cs="Arial" w:eastAsia="Arial" w:hAnsi="Arial"/>
                <w:sz w:val="18"/>
                <w:szCs w:val="18"/>
                <w:color w:val="auto"/>
              </w:rPr>
              <w:t>3.</w:t>
            </w: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Say on Frequency Proposal</w:t>
            </w:r>
          </w:p>
        </w:tc>
        <w:tc>
          <w:tcPr>
            <w:tcW w:w="2820" w:type="dxa"/>
            <w:vAlign w:val="bottom"/>
            <w:gridSpan w:val="2"/>
          </w:tcPr>
          <w:p>
            <w:pPr>
              <w:spacing w:after="0"/>
              <w:rPr>
                <w:sz w:val="20"/>
                <w:szCs w:val="20"/>
                <w:color w:val="auto"/>
              </w:rPr>
            </w:pPr>
            <w:r>
              <w:rPr>
                <w:rFonts w:ascii="Arial" w:cs="Arial" w:eastAsia="Arial" w:hAnsi="Arial"/>
                <w:sz w:val="18"/>
                <w:szCs w:val="18"/>
                <w:color w:val="auto"/>
              </w:rPr>
              <w:t>Counted toward the tabulation of</w:t>
            </w:r>
          </w:p>
        </w:tc>
        <w:tc>
          <w:tcPr>
            <w:tcW w:w="2580" w:type="dxa"/>
            <w:vAlign w:val="bottom"/>
          </w:tcPr>
          <w:p>
            <w:pPr>
              <w:spacing w:after="0"/>
              <w:rPr>
                <w:sz w:val="20"/>
                <w:szCs w:val="20"/>
                <w:color w:val="auto"/>
              </w:rPr>
            </w:pPr>
            <w:r>
              <w:rPr>
                <w:rFonts w:ascii="Arial" w:cs="Arial" w:eastAsia="Arial" w:hAnsi="Arial"/>
                <w:sz w:val="18"/>
                <w:szCs w:val="18"/>
                <w:color w:val="auto"/>
              </w:rPr>
              <w:t>No effect on this proposal.</w:t>
            </w:r>
          </w:p>
        </w:tc>
      </w:tr>
      <w:tr>
        <w:trPr>
          <w:trHeight w:val="216"/>
        </w:trPr>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votes on this proposal and will</w:t>
            </w:r>
          </w:p>
        </w:tc>
        <w:tc>
          <w:tcPr>
            <w:tcW w:w="25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have the same effect as a vote</w:t>
            </w:r>
          </w:p>
        </w:tc>
        <w:tc>
          <w:tcPr>
            <w:tcW w:w="258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AGAINST this proposal.</w:t>
            </w:r>
          </w:p>
        </w:tc>
        <w:tc>
          <w:tcPr>
            <w:tcW w:w="2580" w:type="dxa"/>
            <w:vAlign w:val="bottom"/>
          </w:tcPr>
          <w:p>
            <w:pPr>
              <w:spacing w:after="0"/>
              <w:rPr>
                <w:sz w:val="20"/>
                <w:szCs w:val="20"/>
                <w:color w:val="auto"/>
              </w:rPr>
            </w:pPr>
          </w:p>
        </w:tc>
      </w:tr>
      <w:tr>
        <w:trPr>
          <w:trHeight w:val="242"/>
        </w:trPr>
        <w:tc>
          <w:tcPr>
            <w:tcW w:w="240" w:type="dxa"/>
            <w:vAlign w:val="bottom"/>
          </w:tcPr>
          <w:p>
            <w:pPr>
              <w:spacing w:after="0"/>
              <w:rPr>
                <w:sz w:val="20"/>
                <w:szCs w:val="20"/>
                <w:color w:val="auto"/>
              </w:rPr>
            </w:pPr>
            <w:r>
              <w:rPr>
                <w:rFonts w:ascii="Arial" w:cs="Arial" w:eastAsia="Arial" w:hAnsi="Arial"/>
                <w:sz w:val="18"/>
                <w:szCs w:val="18"/>
                <w:color w:val="auto"/>
              </w:rPr>
              <w:t>4.</w:t>
            </w: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Ratification of Ernst &amp;</w:t>
            </w:r>
          </w:p>
        </w:tc>
        <w:tc>
          <w:tcPr>
            <w:tcW w:w="2820" w:type="dxa"/>
            <w:vAlign w:val="bottom"/>
            <w:gridSpan w:val="2"/>
          </w:tcPr>
          <w:p>
            <w:pPr>
              <w:spacing w:after="0"/>
              <w:rPr>
                <w:sz w:val="20"/>
                <w:szCs w:val="20"/>
                <w:color w:val="auto"/>
              </w:rPr>
            </w:pPr>
            <w:r>
              <w:rPr>
                <w:rFonts w:ascii="Arial" w:cs="Arial" w:eastAsia="Arial" w:hAnsi="Arial"/>
                <w:sz w:val="18"/>
                <w:szCs w:val="18"/>
                <w:color w:val="auto"/>
              </w:rPr>
              <w:t>Counted toward the tabulation of</w:t>
            </w:r>
          </w:p>
        </w:tc>
        <w:tc>
          <w:tcPr>
            <w:tcW w:w="2580" w:type="dxa"/>
            <w:vAlign w:val="bottom"/>
          </w:tcPr>
          <w:p>
            <w:pPr>
              <w:spacing w:after="0"/>
              <w:rPr>
                <w:sz w:val="20"/>
                <w:szCs w:val="20"/>
                <w:color w:val="auto"/>
              </w:rPr>
            </w:pPr>
            <w:r>
              <w:rPr>
                <w:rFonts w:ascii="Arial" w:cs="Arial" w:eastAsia="Arial" w:hAnsi="Arial"/>
                <w:sz w:val="18"/>
                <w:szCs w:val="18"/>
                <w:color w:val="auto"/>
                <w:w w:val="94"/>
              </w:rPr>
              <w:t>Not applicable since brokers have</w:t>
            </w:r>
          </w:p>
        </w:tc>
      </w:tr>
      <w:tr>
        <w:trPr>
          <w:trHeight w:val="216"/>
        </w:trPr>
        <w:tc>
          <w:tcPr>
            <w:tcW w:w="24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Young LLP’s Appointment</w:t>
            </w:r>
          </w:p>
        </w:tc>
        <w:tc>
          <w:tcPr>
            <w:tcW w:w="2820" w:type="dxa"/>
            <w:vAlign w:val="bottom"/>
            <w:gridSpan w:val="2"/>
          </w:tcPr>
          <w:p>
            <w:pPr>
              <w:spacing w:after="0"/>
              <w:rPr>
                <w:sz w:val="20"/>
                <w:szCs w:val="20"/>
                <w:color w:val="auto"/>
              </w:rPr>
            </w:pPr>
            <w:r>
              <w:rPr>
                <w:rFonts w:ascii="Arial" w:cs="Arial" w:eastAsia="Arial" w:hAnsi="Arial"/>
                <w:sz w:val="18"/>
                <w:szCs w:val="18"/>
                <w:color w:val="auto"/>
              </w:rPr>
              <w:t>votes on this proposal and will</w:t>
            </w:r>
          </w:p>
        </w:tc>
        <w:tc>
          <w:tcPr>
            <w:tcW w:w="2580" w:type="dxa"/>
            <w:vAlign w:val="bottom"/>
          </w:tcPr>
          <w:p>
            <w:pPr>
              <w:spacing w:after="0"/>
              <w:rPr>
                <w:sz w:val="20"/>
                <w:szCs w:val="20"/>
                <w:color w:val="auto"/>
              </w:rPr>
            </w:pPr>
            <w:r>
              <w:rPr>
                <w:rFonts w:ascii="Arial" w:cs="Arial" w:eastAsia="Arial" w:hAnsi="Arial"/>
                <w:sz w:val="18"/>
                <w:szCs w:val="18"/>
                <w:color w:val="auto"/>
                <w:w w:val="98"/>
              </w:rPr>
              <w:t>discretionary authority to vote on</w:t>
            </w:r>
          </w:p>
        </w:tc>
      </w:tr>
      <w:tr>
        <w:trPr>
          <w:trHeight w:val="216"/>
        </w:trPr>
        <w:tc>
          <w:tcPr>
            <w:tcW w:w="24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Proposal</w:t>
            </w:r>
          </w:p>
        </w:tc>
        <w:tc>
          <w:tcPr>
            <w:tcW w:w="2820" w:type="dxa"/>
            <w:vAlign w:val="bottom"/>
            <w:gridSpan w:val="2"/>
          </w:tcPr>
          <w:p>
            <w:pPr>
              <w:spacing w:after="0"/>
              <w:rPr>
                <w:sz w:val="20"/>
                <w:szCs w:val="20"/>
                <w:color w:val="auto"/>
              </w:rPr>
            </w:pPr>
            <w:r>
              <w:rPr>
                <w:rFonts w:ascii="Arial" w:cs="Arial" w:eastAsia="Arial" w:hAnsi="Arial"/>
                <w:sz w:val="18"/>
                <w:szCs w:val="18"/>
                <w:color w:val="auto"/>
              </w:rPr>
              <w:t>have the same effect as a vote</w:t>
            </w:r>
          </w:p>
        </w:tc>
        <w:tc>
          <w:tcPr>
            <w:tcW w:w="2580" w:type="dxa"/>
            <w:vAlign w:val="bottom"/>
          </w:tcPr>
          <w:p>
            <w:pPr>
              <w:spacing w:after="0"/>
              <w:rPr>
                <w:sz w:val="20"/>
                <w:szCs w:val="20"/>
                <w:color w:val="auto"/>
              </w:rPr>
            </w:pPr>
            <w:r>
              <w:rPr>
                <w:rFonts w:ascii="Arial" w:cs="Arial" w:eastAsia="Arial" w:hAnsi="Arial"/>
                <w:sz w:val="18"/>
                <w:szCs w:val="18"/>
                <w:color w:val="auto"/>
              </w:rPr>
              <w:t>this proposal.</w:t>
            </w:r>
          </w:p>
        </w:tc>
      </w:tr>
      <w:tr>
        <w:trPr>
          <w:trHeight w:val="230"/>
        </w:trPr>
        <w:tc>
          <w:tcPr>
            <w:tcW w:w="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AGAINST this proposal.</w:t>
            </w:r>
          </w:p>
        </w:tc>
        <w:tc>
          <w:tcPr>
            <w:tcW w:w="2580" w:type="dxa"/>
            <w:vAlign w:val="bottom"/>
          </w:tcPr>
          <w:p>
            <w:pPr>
              <w:spacing w:after="0"/>
              <w:rPr>
                <w:sz w:val="20"/>
                <w:szCs w:val="20"/>
                <w:color w:val="auto"/>
              </w:rPr>
            </w:pPr>
          </w:p>
        </w:tc>
      </w:tr>
    </w:tbl>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 I VOTE?</w:t>
      </w:r>
    </w:p>
    <w:p>
      <w:pPr>
        <w:spacing w:after="0" w:line="148"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7"/>
          <w:szCs w:val="17"/>
          <w:color w:val="auto"/>
        </w:rPr>
        <w:t>If you hold shares of Class A, Class B, Class C or Class D common stock directly as the stockholder of record, you may vote through virtual attendance at the Annual Meeting, by granting a proxy or, if you hold shares in street name (through a bank, broker, trustee or other nominee), by submitting voting instructions to your bank, broker, trustee, or nominee. You may vote over the Internet, by telephone, by mail if you have a paper copy of the proxy materials, or through virtual attendance at the Annual Meeting. Please refer to the summary instructions below and those included on your proxy card or, for shares held in street name, the voting instruction card included by your bank, broker, trustee, or nominee.</w:t>
      </w:r>
    </w:p>
    <w:p>
      <w:pPr>
        <w:spacing w:after="0" w:line="64" w:lineRule="exact"/>
        <w:rPr>
          <w:sz w:val="20"/>
          <w:szCs w:val="20"/>
          <w:color w:val="auto"/>
        </w:rPr>
      </w:pPr>
    </w:p>
    <w:p>
      <w:pPr>
        <w:ind w:left="1800" w:right="419" w:hanging="180"/>
        <w:spacing w:after="0" w:line="257"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Vote By Internet: </w:t>
      </w:r>
      <w:r>
        <w:rPr>
          <w:rFonts w:ascii="Arial" w:cs="Arial" w:eastAsia="Arial" w:hAnsi="Arial"/>
          <w:sz w:val="18"/>
          <w:szCs w:val="18"/>
          <w:color w:val="auto"/>
        </w:rPr>
        <w:t>If you have Internet access, you may submit your proxy from any location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world 24 hours a day, 7 days a week, up until 11:59 p.m., Eastern Time, on April 26, 2023 by visiting the website provided on the Notice of Internet Availability of Proxy Materials (Notice of Availability) or voting instruction card. If you vote by using the Internet, you do not need to return your proxy card or voting instruction card.</w:t>
      </w:r>
    </w:p>
    <w:p>
      <w:pPr>
        <w:spacing w:after="0" w:line="79"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Vote By Telephone: </w:t>
      </w:r>
      <w:r>
        <w:rPr>
          <w:rFonts w:ascii="Arial" w:cs="Arial" w:eastAsia="Arial" w:hAnsi="Arial"/>
          <w:sz w:val="18"/>
          <w:szCs w:val="18"/>
          <w:color w:val="auto"/>
        </w:rPr>
        <w:t>If you live in the United States, you may use any touch-tone telephone to vote</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24 hours a day, 7 days a week, up until 11:59 p.m., Eastern Time, on April 26, 2023. The telephone number is printed on your proxy card or voting instruction card. If you vote by telephone, you do not need to return your proxy card or voting instruction card.</w:t>
      </w:r>
    </w:p>
    <w:p>
      <w:pPr>
        <w:spacing w:after="0" w:line="78" w:lineRule="exact"/>
        <w:rPr>
          <w:rFonts w:ascii="Arial" w:cs="Arial" w:eastAsia="Arial" w:hAnsi="Arial"/>
          <w:sz w:val="18"/>
          <w:szCs w:val="18"/>
          <w:color w:val="auto"/>
        </w:rPr>
      </w:pPr>
    </w:p>
    <w:p>
      <w:pPr>
        <w:ind w:left="1800" w:right="419" w:hanging="180"/>
        <w:spacing w:after="0" w:line="272" w:lineRule="auto"/>
        <w:tabs>
          <w:tab w:leader="none" w:pos="1800"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 xml:space="preserve">Vote By Mail: </w:t>
      </w:r>
      <w:r>
        <w:rPr>
          <w:rFonts w:ascii="Arial" w:cs="Arial" w:eastAsia="Arial" w:hAnsi="Arial"/>
          <w:sz w:val="17"/>
          <w:szCs w:val="17"/>
          <w:color w:val="auto"/>
        </w:rPr>
        <w:t>If you received or requested a paper copy of the materials, you may submit your</w:t>
      </w:r>
      <w:r>
        <w:rPr>
          <w:rFonts w:ascii="Arial" w:cs="Arial" w:eastAsia="Arial" w:hAnsi="Arial"/>
          <w:sz w:val="17"/>
          <w:szCs w:val="17"/>
          <w:i w:val="1"/>
          <w:iCs w:val="1"/>
          <w:color w:val="auto"/>
        </w:rPr>
        <w:t xml:space="preserve"> </w:t>
      </w:r>
      <w:r>
        <w:rPr>
          <w:rFonts w:ascii="Arial" w:cs="Arial" w:eastAsia="Arial" w:hAnsi="Arial"/>
          <w:sz w:val="17"/>
          <w:szCs w:val="17"/>
          <w:color w:val="auto"/>
        </w:rPr>
        <w:t>proxy by signing your proxy card or, for shares held in street name, the voting instruction card included by your broker, trustee, or nominee, and mailing it in the enclosed, postage-paid, addressed envelope. If you provide specific voting instructions, your shares will be voted as you instruct. If you sign, but do not provide instructions, your shares will be voted as the Board recommends. Mark, sign, and date your proxy card and return it in the postage-paid envelope provided as soon as possible as it must be received by the Company prior to April 27, 2023, the Annual Meeting date.</w:t>
      </w:r>
    </w:p>
    <w:p>
      <w:pPr>
        <w:spacing w:after="0" w:line="55" w:lineRule="exact"/>
        <w:rPr>
          <w:rFonts w:ascii="Arial" w:cs="Arial" w:eastAsia="Arial" w:hAnsi="Arial"/>
          <w:sz w:val="17"/>
          <w:szCs w:val="17"/>
          <w:color w:val="auto"/>
        </w:rPr>
      </w:pPr>
    </w:p>
    <w:p>
      <w:pPr>
        <w:ind w:left="1800" w:right="579" w:hanging="180"/>
        <w:spacing w:after="0" w:line="286" w:lineRule="auto"/>
        <w:tabs>
          <w:tab w:leader="none" w:pos="1800"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 xml:space="preserve">Vote During the Virtual Annual Meeting: </w:t>
      </w:r>
      <w:r>
        <w:rPr>
          <w:rFonts w:ascii="Arial" w:cs="Arial" w:eastAsia="Arial" w:hAnsi="Arial"/>
          <w:sz w:val="17"/>
          <w:szCs w:val="17"/>
          <w:color w:val="auto"/>
        </w:rPr>
        <w:t>To vote during the virtual Annual Meeting,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of record at the close of business on March 3, 2023, or their legal proxy holders, must register for and log in to www.virtualshareholdermeeting.com/CWEN2023 using their 16-digit control number</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99"/>
        <w:spacing w:after="0" w:line="259" w:lineRule="auto"/>
        <w:rPr>
          <w:sz w:val="20"/>
          <w:szCs w:val="20"/>
          <w:color w:val="auto"/>
        </w:rPr>
      </w:pPr>
      <w:r>
        <w:rPr>
          <w:rFonts w:ascii="Arial" w:cs="Arial" w:eastAsia="Arial" w:hAnsi="Arial"/>
          <w:sz w:val="18"/>
          <w:szCs w:val="18"/>
          <w:color w:val="auto"/>
        </w:rPr>
        <w:t xml:space="preserve">provided on their proxy card. Stockholders holding shares in a joint account may virtually attend the meeting if they provide proof of joint ownership, and if each stockholder follows the admission requirements described below. Please refer to “How can I vote virtually during the Annual Meeting” on page </w:t>
      </w:r>
      <w:r>
        <w:rPr>
          <w:rFonts w:ascii="Arial" w:cs="Arial" w:eastAsia="Arial" w:hAnsi="Arial"/>
          <w:sz w:val="18"/>
          <w:szCs w:val="18"/>
          <w:u w:val="single" w:color="auto"/>
          <w:color w:val="0000EE"/>
        </w:rPr>
        <w:t>76</w:t>
      </w:r>
      <w:r>
        <w:rPr>
          <w:rFonts w:ascii="Arial" w:cs="Arial" w:eastAsia="Arial" w:hAnsi="Arial"/>
          <w:sz w:val="18"/>
          <w:szCs w:val="18"/>
          <w:color w:val="auto"/>
        </w:rPr>
        <w: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MAY I CHANGE MY VOTE?</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You may change your proxy instructions or revoke your proxy at any time prior to the vote at the Annual Meeting. For shares held directly in your name, you may accomplish this by: (a) delivering a written notice of revocation bearing a later date than the proxy being revoked, (b) signing and delivering a later dated written proxy relating to the same shares, or (c) virtually attending the Annual Meeting and voting (although virtual attendance at the Annual Meeting will not in and of itself constitute a revocation of a proxy). For shares held in street name, you may change your vote by submitting new voting instructions to your broker, trustee, or nominee, or by attending the Annual Meeting and voting using your 16-digit control number.</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CAN I VOTE VIRTUALLY DURING THE ANNUAL MEETING?</w:t>
      </w:r>
    </w:p>
    <w:p>
      <w:pPr>
        <w:spacing w:after="0" w:line="162" w:lineRule="exact"/>
        <w:rPr>
          <w:sz w:val="20"/>
          <w:szCs w:val="20"/>
          <w:color w:val="auto"/>
        </w:rPr>
      </w:pPr>
    </w:p>
    <w:p>
      <w:pPr>
        <w:ind w:left="1260" w:right="599" w:firstLine="360"/>
        <w:spacing w:after="0" w:line="279" w:lineRule="auto"/>
        <w:rPr>
          <w:sz w:val="20"/>
          <w:szCs w:val="20"/>
          <w:color w:val="auto"/>
        </w:rPr>
      </w:pPr>
      <w:r>
        <w:rPr>
          <w:rFonts w:ascii="Arial" w:cs="Arial" w:eastAsia="Arial" w:hAnsi="Arial"/>
          <w:sz w:val="17"/>
          <w:szCs w:val="17"/>
          <w:color w:val="auto"/>
        </w:rPr>
        <w:t>Stockholders of record at the close of business on March 3, 2023, or their legal proxy holders, will be able to access the Annual Meeting webcast, ask questions and vote online at www.virtualshareholdermeeting.com/CWEN2023 by entering their 16-digit control number provided on their proxy card. This website also will contain instructions to participate in the virtual Annual Meeting.</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HAPPENS IF I DO NOT PROVIDE INSTRUCTIONS AS TO HOW TO VOTE?</w:t>
      </w:r>
    </w:p>
    <w:p>
      <w:pPr>
        <w:spacing w:after="0" w:line="148"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If you sign your proxy card or voting instruction card with no further instructions, your shares will be voted in accordance with the recommendations of the Board.</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WHERE CAN I OBTAIN THE LIST OF STOCKHOLDERS ENTITLED TO VOTE?</w:t>
      </w:r>
    </w:p>
    <w:p>
      <w:pPr>
        <w:spacing w:after="0" w:line="162" w:lineRule="exact"/>
        <w:rPr>
          <w:sz w:val="20"/>
          <w:szCs w:val="20"/>
          <w:color w:val="auto"/>
        </w:rPr>
      </w:pPr>
    </w:p>
    <w:p>
      <w:pPr>
        <w:ind w:left="1260" w:right="559" w:firstLine="360"/>
        <w:spacing w:after="0" w:line="271" w:lineRule="auto"/>
        <w:rPr>
          <w:sz w:val="20"/>
          <w:szCs w:val="20"/>
          <w:color w:val="auto"/>
        </w:rPr>
      </w:pPr>
      <w:r>
        <w:rPr>
          <w:rFonts w:ascii="Arial" w:cs="Arial" w:eastAsia="Arial" w:hAnsi="Arial"/>
          <w:sz w:val="17"/>
          <w:szCs w:val="17"/>
          <w:color w:val="auto"/>
        </w:rPr>
        <w:t>The names of stockholders of record entitled to vote at the Annual Meeting will be available at the website for the Annual Meeting at www.virtualshareholdermeeting.com/CWEN2023 and for ten days prior to the meeting for any purpose germane to the Annual Meeting, between the hours of 8:30 a.m. and</w:t>
      </w:r>
    </w:p>
    <w:p>
      <w:pPr>
        <w:ind w:left="1260" w:right="599"/>
        <w:spacing w:after="0" w:line="255" w:lineRule="auto"/>
        <w:rPr>
          <w:sz w:val="20"/>
          <w:szCs w:val="20"/>
          <w:color w:val="auto"/>
        </w:rPr>
      </w:pPr>
      <w:r>
        <w:rPr>
          <w:rFonts w:ascii="Arial" w:cs="Arial" w:eastAsia="Arial" w:hAnsi="Arial"/>
          <w:sz w:val="18"/>
          <w:szCs w:val="18"/>
          <w:color w:val="auto"/>
        </w:rPr>
        <w:t>5:00 p.m., Eastern Time, at our principal executive offices at 300 Carnegie Center, Suite 300, Princeton, New Jersey 08540. Please contact our Corporate Secretary if you wish to review the list of stockholders at our principal executive offices.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PAYS THE COST OF SOLICITATION OF PROXIES?</w:t>
      </w:r>
    </w:p>
    <w:p>
      <w:pPr>
        <w:spacing w:after="0" w:line="162" w:lineRule="exact"/>
        <w:rPr>
          <w:sz w:val="20"/>
          <w:szCs w:val="20"/>
          <w:color w:val="auto"/>
        </w:rPr>
      </w:pPr>
    </w:p>
    <w:p>
      <w:pPr>
        <w:ind w:left="1260" w:right="519" w:firstLine="360"/>
        <w:spacing w:after="0" w:line="272" w:lineRule="auto"/>
        <w:rPr>
          <w:sz w:val="20"/>
          <w:szCs w:val="20"/>
          <w:color w:val="auto"/>
        </w:rPr>
      </w:pPr>
      <w:r>
        <w:rPr>
          <w:rFonts w:ascii="Arial" w:cs="Arial" w:eastAsia="Arial" w:hAnsi="Arial"/>
          <w:sz w:val="17"/>
          <w:szCs w:val="17"/>
          <w:color w:val="auto"/>
        </w:rPr>
        <w:t>We will pay for the cost of preparing, assembling, printing, mailing and distributing these proxy materials. Our directors and officers may solicit proxies or votes in person, by telephone, or by electronic communication. Such individuals will not receive any additional compensation for these solicitation activities. We have retained MacKenzie Partners, Inc. to assist us in soliciting your proxy for an estimated fee of $25,000, plus reasonable out-of-pocket expenses. We will also reimburse brokerage houses and other custodians, nominees, and fiduciaries for their reasonable out-of-pocket expenses for forwarding proxy and any other solicitation materials to beneficial owners of our common stock.</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IS THE COMPANY’S TRANSFER AGENT?</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 xml:space="preserve">Our transfer agent is Computershare. All communications concerning stockholder inquiries can be handled by contacting Clearway Energy, Inc. c/o Computershare, Computershare Investor Services, by regular mail to P.O. Box 505000, Louisville, KY 40233-5000, by overnight delivery to 462 South 4th Street, Suite 1600, Louisville, KY 40202, or by telephone at 1-877-498-8861, or 1-781-575-2725 (outside the U.S. and Canada), or 1-800-952-9245 (Hearing Impaired-TTY). Their website is </w:t>
      </w:r>
      <w:r>
        <w:rPr>
          <w:rFonts w:ascii="Arial" w:cs="Arial" w:eastAsia="Arial" w:hAnsi="Arial"/>
          <w:sz w:val="18"/>
          <w:szCs w:val="18"/>
          <w:i w:val="1"/>
          <w:iCs w:val="1"/>
          <w:color w:val="auto"/>
        </w:rPr>
        <w:t>http://www.computershare.com</w:t>
      </w:r>
      <w:r>
        <w:rPr>
          <w:rFonts w:ascii="Arial" w:cs="Arial" w:eastAsia="Arial" w:hAnsi="Arial"/>
          <w:sz w:val="18"/>
          <w:szCs w:val="18"/>
          <w:color w:val="auto"/>
        </w:rPr>
        <w:t>. Certificates for transfer and address changes should be sent either by regular mail to Computershare, P.O. Box 505000, Louisville, KY 40233-5000 or by overnight delivery to Computershare, 462 South 4th Street, Suite 1600, Louisville, KY 40202.</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1059"/>
        <w:spacing w:after="0" w:line="312" w:lineRule="auto"/>
        <w:rPr>
          <w:sz w:val="20"/>
          <w:szCs w:val="20"/>
          <w:color w:val="auto"/>
        </w:rPr>
      </w:pPr>
      <w:r>
        <w:rPr>
          <w:rFonts w:ascii="Arial" w:cs="Arial" w:eastAsia="Arial" w:hAnsi="Arial"/>
          <w:sz w:val="17"/>
          <w:szCs w:val="17"/>
          <w:b w:val="1"/>
          <w:bCs w:val="1"/>
          <w:color w:val="auto"/>
        </w:rPr>
        <w:t>WHY DID I RECEIVE A ONE-PAGE NOTICE IN THE MAIL REGARDING THE INTERNET AVAILABILITY OF PROXY MATERIALS INSTEAD OF A FULL SET OF PROXY MATERIALS?</w:t>
      </w:r>
    </w:p>
    <w:p>
      <w:pPr>
        <w:spacing w:after="0" w:line="76"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Pursuant to rules adopted by the SEC, we are using the Internet as the primary means of furnishing proxy materials to stockholders. Accordingly, we are sending the Notice of Availability to our stockholders. All stockholders will have the ability to access the proxy materials on the website referred to in the Notice of Availability or request a printed set of the proxy materials. Instructions on how to access the proxy materials over the Internet or to request a printed copy may be found in the Notice of Availability. In addition, stockholders may request to receive proxy materials in printed form by mail or electronically by email on an ongoing basis. We encourage stockholders to take advantage of the availability of the proxy materials on the Internet to help reduce the environmental impact of our annual meetings.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IS “HOUSEHOLDING”?</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 xml:space="preserve">We have adopted a procedure approved by the SEC called “householding.” Under this procedure, multiple stockholders who share the same last name and address and do not participate in electronic delivery will receive only one copy of the proxy materials or the Notice of Availability. We have undertaken householding to reduce our printing costs and postage fees. Stockholders may elect to receive individual copies of the proxy materials or Notice of Availability at the same address by contacting Broadridge Financial Solutions, Inc. by telephone at 1-866-540-7095, by mail at Broadridge Financial Solutions, Inc., Householding Department, 51 Mercedes Way, Edgewood, New York 11717, or by e-mail at </w:t>
      </w:r>
      <w:r>
        <w:rPr>
          <w:rFonts w:ascii="Arial" w:cs="Arial" w:eastAsia="Arial" w:hAnsi="Arial"/>
          <w:sz w:val="18"/>
          <w:szCs w:val="18"/>
          <w:i w:val="1"/>
          <w:iCs w:val="1"/>
          <w:color w:val="auto"/>
        </w:rPr>
        <w:t>sendmaterial@proxyvote.com</w:t>
      </w:r>
      <w:r>
        <w:rPr>
          <w:rFonts w:ascii="Arial" w:cs="Arial" w:eastAsia="Arial" w:hAnsi="Arial"/>
          <w:sz w:val="18"/>
          <w:szCs w:val="18"/>
          <w:color w:val="auto"/>
        </w:rPr>
        <w:t>. Stockholders who are receiving individual copies of such materials, and who</w:t>
      </w:r>
      <w:r>
        <w:rPr>
          <w:rFonts w:ascii="Arial" w:cs="Arial" w:eastAsia="Arial" w:hAnsi="Arial"/>
          <w:sz w:val="18"/>
          <w:szCs w:val="18"/>
          <w:i w:val="1"/>
          <w:iCs w:val="1"/>
          <w:color w:val="auto"/>
        </w:rPr>
        <w:t xml:space="preserve"> </w:t>
      </w:r>
      <w:r>
        <w:rPr>
          <w:rFonts w:ascii="Arial" w:cs="Arial" w:eastAsia="Arial" w:hAnsi="Arial"/>
          <w:sz w:val="18"/>
          <w:szCs w:val="18"/>
          <w:color w:val="auto"/>
        </w:rPr>
        <w:t>would like to receive single copies at a shared address, may contact Broadridge Financial Solutions, Inc. with this request by using the contact information provided above.</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CAN I REQUEST ADDITIONAL MATERIALS?</w:t>
      </w:r>
    </w:p>
    <w:p>
      <w:pPr>
        <w:spacing w:after="0" w:line="148" w:lineRule="exact"/>
        <w:rPr>
          <w:sz w:val="20"/>
          <w:szCs w:val="20"/>
          <w:color w:val="auto"/>
        </w:rPr>
      </w:pPr>
    </w:p>
    <w:p>
      <w:pPr>
        <w:ind w:left="1260" w:right="1139" w:firstLine="360"/>
        <w:spacing w:after="0" w:line="263" w:lineRule="auto"/>
        <w:rPr>
          <w:sz w:val="20"/>
          <w:szCs w:val="20"/>
          <w:color w:val="auto"/>
        </w:rPr>
      </w:pPr>
      <w:r>
        <w:rPr>
          <w:rFonts w:ascii="Arial" w:cs="Arial" w:eastAsia="Arial" w:hAnsi="Arial"/>
          <w:sz w:val="18"/>
          <w:szCs w:val="18"/>
          <w:color w:val="auto"/>
        </w:rPr>
        <w:t xml:space="preserve">Stockholders may request additional copies of the proxy materials or Notice of Availability by contacting Broadridge Financial Solutions, Inc. by telephone at 1-800-579-1639 or by e-mail at </w:t>
      </w:r>
      <w:r>
        <w:rPr>
          <w:rFonts w:ascii="Arial" w:cs="Arial" w:eastAsia="Arial" w:hAnsi="Arial"/>
          <w:sz w:val="18"/>
          <w:szCs w:val="18"/>
          <w:i w:val="1"/>
          <w:iCs w:val="1"/>
          <w:color w:val="auto"/>
        </w:rPr>
        <w:t>sendmaterial@proxyvote.com</w:t>
      </w:r>
      <w:r>
        <w:rPr>
          <w:rFonts w:ascii="Arial" w:cs="Arial" w:eastAsia="Arial" w:hAnsi="Arial"/>
          <w:sz w:val="18"/>
          <w:szCs w:val="18"/>
          <w:color w:val="auto"/>
        </w:rPr>
        <w: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WHOM SHOULD I CALL IF I HAVE QUESTIONS ABOUT THE ANNUAL MEETING?</w:t>
      </w:r>
    </w:p>
    <w:p>
      <w:pPr>
        <w:spacing w:after="0" w:line="162"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If you have any questions or need any assistance in voting your shares, please contact our proxy solicitor:</w:t>
      </w:r>
    </w:p>
    <w:p>
      <w:pPr>
        <w:spacing w:after="0" w:line="10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1407 Broadway, 27th Floor</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New York, NY 10018</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(800) 322-2885</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(212) 929-5500</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i w:val="1"/>
          <w:iCs w:val="1"/>
          <w:color w:val="auto"/>
        </w:rPr>
        <w:t>proxy@mackenziepartners.com</w:t>
      </w:r>
    </w:p>
    <w:p>
      <w:pPr>
        <w:spacing w:after="0" w:line="13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2" w:name="page83"/>
    <w:bookmarkEnd w:id="8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REQUIREMENTS FOR SUBMISSION OF STOCKHOLDER PROPOSALS FOR</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THE 2024 ANNUAL MEETING OF STOCKHOLDERS</w:t>
      </w:r>
    </w:p>
    <w:p>
      <w:pPr>
        <w:spacing w:after="0" w:line="207" w:lineRule="exact"/>
        <w:rPr>
          <w:sz w:val="20"/>
          <w:szCs w:val="20"/>
          <w:color w:val="auto"/>
        </w:rPr>
      </w:pPr>
    </w:p>
    <w:p>
      <w:pPr>
        <w:ind w:left="1260" w:right="799"/>
        <w:spacing w:after="0" w:line="282" w:lineRule="auto"/>
        <w:rPr>
          <w:sz w:val="20"/>
          <w:szCs w:val="20"/>
          <w:color w:val="auto"/>
        </w:rPr>
      </w:pPr>
      <w:r>
        <w:rPr>
          <w:rFonts w:ascii="Arial" w:cs="Arial" w:eastAsia="Arial" w:hAnsi="Arial"/>
          <w:sz w:val="18"/>
          <w:szCs w:val="18"/>
          <w:b w:val="1"/>
          <w:bCs w:val="1"/>
          <w:color w:val="auto"/>
        </w:rPr>
        <w:t>STOCKHOLDER PROPOSALS FOR INCLUSION IN THE COMPANY’S PROXY STATEMENT FOR THE 2024 ANNUAL MEETING OF STOCKHOLDERS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Deadline</w:t>
      </w:r>
    </w:p>
    <w:p>
      <w:pPr>
        <w:spacing w:after="0" w:line="162"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In order for a stockholder proposal to be considered for inclusion in our proxy statement for the 2024 Annual Meeting, our Corporate Secretary must receive the proposal no later than the close of business on November 18, 2023, which is the 120th day prior to the first anniversary of the date on which this Proxy Statement was first released to our stockholders in connection with the 2023 Annual Meeting. If we change the date of the 2024 Annual Meeting by more than 30 days from the anniversary of this year’s Annual Meeting, stockholder proposals must be received a reasonable time before we begin to print and mail the proxy materials for the 2024 Annual Meeting in order to be considered for inclusion in our proxy statement. In addition, to comply with the universal proxy rules, stockholders who intend to solicit proxies in support of director nominees other than the Company’s nominees must provide notice that sets forth the information required by Rule 14a-19 under the Exchange Act, no later than February 27, 2024.</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Method of Submitting Proposals</w:t>
      </w:r>
    </w:p>
    <w:p>
      <w:pPr>
        <w:spacing w:after="0" w:line="162"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Proposals must be sent via registered, certified, or express mail (or other means that allows the stockholder to determine when the proposal was received by the Corporate Secretary) to the Corporate Secretary, Clearway Energy, Inc., 300 Carnegie Center, Suite 300, Princeton, New Jersey 08540. Proposals must contain the information required under our Bylaws, a copy of which is available upon request to our Corporate Secretary, and also must comply with the SEC’s regulations regarding the inclusion of stockholder proposals in Company-sponsored proxy materials.</w:t>
      </w:r>
    </w:p>
    <w:p>
      <w:pPr>
        <w:spacing w:after="0" w:line="188"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b w:val="1"/>
          <w:bCs w:val="1"/>
          <w:color w:val="auto"/>
        </w:rPr>
        <w:t>STOCKHOLDER PROPOSALS OR STOCKHOLDER NOMINATION OF DIRECTOR TO BE BROUGHT AT THE 2024 ANNUAL MEETING (WITHOUT INCLUSION IN THE COMPANY’S PROXY STATEMENT)</w:t>
      </w:r>
    </w:p>
    <w:p>
      <w:pPr>
        <w:spacing w:after="0" w:line="99"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Alternatively, stockholders intending to present a proposal or nominate a director for election at the 2024 Annual Meeting without having the proposal or nomination included in our proxy statement must comply with the requirements set forth in our Bylaws and summarized below.</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Deadline</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Our Bylaws require, among other things, that our Corporate Secretary receive the proposal or nomination no earlier than the close of business on the 120th day, and no later than the close of business on the 90th day, prior to the first anniversary of this year’s Annual Meeting, unless the 2024 Annual Meeting is more than 30 days before or more than 70 days after such anniversary date. For our 2024 Annual Meeting, our Corporate Secretary must receive the proposal or nomination no earlier than December 29, 2023 and no later than the close of business on January 28, 2024, unless the 2024 Annual Meeting is held earlier than March 28, 2024 or later than July 6, 2024, in which case the proposal or nomination should be received no earlier than the close of business on the 120th day prior to such annual meeting and not later than the close of business on the later of (a) the 90th day prior to the date of the 2024 Annual Meeting or (b) the 10th day following the day on which the date of the 2024 Annual Meeting is first publicly announced by the Company.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Required</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proposal or nomination must contain the information required by Article II, Section 11 of the Bylaws, a copy of which is available upon request to our Corporate Secretary. If the stockholder does not meet the applicable deadlines or comply with the requirements of SEC Rule 14a-4, we may exercise discretionary voting authority under proxies we solicit to vote, in accordance with our best judgment, on any such proposal.</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3197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831977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4" w:name="page85"/>
    <w:bookmarkEnd w:id="84"/>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7566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8756650"/>
                    </a:xfrm>
                    <a:prstGeom prst="rect">
                      <a:avLst/>
                    </a:prstGeom>
                    <a:noFill/>
                  </pic:spPr>
                </pic:pic>
              </a:graphicData>
            </a:graphic>
          </wp:anchor>
        </w:drawing>
      </w:r>
    </w:p>
    <w:sectPr>
      <w:pgSz w:w="11900" w:h="16838" w:orient="portrait"/>
      <w:cols w:equalWidth="0" w:num="1">
        <w:col w:w="9879"/>
      </w:cols>
      <w:pgMar w:left="5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1."/>
      <w:numFmt w:val="decimal"/>
      <w:start w:val="1"/>
    </w:lvl>
  </w:abstractNum>
  <w:abstractNum w:abstractNumId="6">
    <w:nsid w:val="2A487CB0"/>
    <w:multiLevelType w:val="hybridMultilevel"/>
    <w:lvl w:ilvl="0">
      <w:lvlJc w:val="left"/>
      <w:lvlText w:val="(%1)"/>
      <w:numFmt w:val="decimal"/>
      <w:start w:val="800"/>
    </w:lvl>
  </w:abstractNum>
  <w:abstractNum w:abstractNumId="7">
    <w:nsid w:val="1D4ED43B"/>
    <w:multiLevelType w:val="hybridMultilevel"/>
    <w:lvl w:ilvl="0">
      <w:lvlJc w:val="left"/>
      <w:lvlText w:val="(%1)"/>
      <w:numFmt w:val="lowerLetter"/>
      <w:start w:val="3"/>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1)"/>
      <w:numFmt w:val="decimal"/>
      <w:start w:val="1"/>
    </w:lvl>
  </w:abstractNum>
  <w:abstractNum w:abstractNumId="14">
    <w:nsid w:val="6DE91B18"/>
    <w:multiLevelType w:val="hybridMultilevel"/>
    <w:lvl w:ilvl="0">
      <w:lvlJc w:val="left"/>
      <w:lvlText w:val="(%1)"/>
      <w:numFmt w:val="decimal"/>
      <w:start w:val="7"/>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1)"/>
      <w:numFmt w:val="decimal"/>
      <w:start w:val="1"/>
    </w:lvl>
  </w:abstractNum>
  <w:abstractNum w:abstractNumId="17">
    <w:nsid w:val="32FFF902"/>
    <w:multiLevelType w:val="hybridMultilevel"/>
    <w:lvl w:ilvl="0">
      <w:lvlJc w:val="left"/>
      <w:lvlText w:val="(%1)"/>
      <w:numFmt w:val="decimal"/>
      <w:start w:val="3"/>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1)"/>
      <w:numFmt w:val="decimal"/>
      <w:start w:val="1"/>
    </w:lvl>
  </w:abstractNum>
  <w:abstractNum w:abstractNumId="20">
    <w:nsid w:val="749ABB43"/>
    <w:multiLevelType w:val="hybridMultilevel"/>
    <w:lvl w:ilvl="0">
      <w:lvlJc w:val="left"/>
      <w:lvlText w:val="(%1)"/>
      <w:numFmt w:val="decimal"/>
      <w:start w:val="12"/>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1)"/>
      <w:numFmt w:val="decimal"/>
      <w:start w:val="1"/>
    </w:lvl>
  </w:abstractNum>
  <w:abstractNum w:abstractNumId="23">
    <w:nsid w:val="79A1DEAA"/>
    <w:multiLevelType w:val="hybridMultilevel"/>
    <w:lvl w:ilvl="0">
      <w:lvlJc w:val="left"/>
      <w:lvlText w:val="(%1)"/>
      <w:numFmt w:val="decimal"/>
      <w:start w:val="5"/>
    </w:lvl>
  </w:abstractNum>
  <w:abstractNum w:abstractNumId="24">
    <w:nsid w:val="75C6C33A"/>
    <w:multiLevelType w:val="hybridMultilevel"/>
    <w:lvl w:ilvl="0">
      <w:lvlJc w:val="left"/>
      <w:lvlText w:val="(%1)"/>
      <w:numFmt w:val="decimal"/>
      <w:start w:val="1"/>
    </w:lvl>
  </w:abstractNum>
  <w:abstractNum w:abstractNumId="25">
    <w:nsid w:val="12E685FB"/>
    <w:multiLevelType w:val="hybridMultilevel"/>
    <w:lvl w:ilvl="0">
      <w:lvlJc w:val="left"/>
      <w:lvlText w:val="(%1)"/>
      <w:numFmt w:val="decimal"/>
      <w:start w:val="7"/>
    </w:lvl>
  </w:abstractNum>
  <w:abstractNum w:abstractNumId="26">
    <w:nsid w:val="70C6A529"/>
    <w:multiLevelType w:val="hybridMultilevel"/>
    <w:lvl w:ilvl="0">
      <w:lvlJc w:val="left"/>
      <w:lvlText w:val="(%1)"/>
      <w:numFmt w:val="decimal"/>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1)"/>
      <w:numFmt w:val="decimal"/>
      <w:start w:val="1"/>
    </w:lvl>
  </w:abstractNum>
  <w:abstractNum w:abstractNumId="29">
    <w:nsid w:val="4F4EF005"/>
    <w:multiLevelType w:val="hybridMultilevel"/>
    <w:lvl w:ilvl="0">
      <w:lvlJc w:val="left"/>
      <w:lvlText w:val="(%1)"/>
      <w:numFmt w:val="decimal"/>
      <w:start w:val="3"/>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1)"/>
      <w:numFmt w:val="decimal"/>
      <w:start w:val="1"/>
    </w:lvl>
  </w:abstractNum>
  <w:abstractNum w:abstractNumId="32">
    <w:nsid w:val="275AC794"/>
    <w:multiLevelType w:val="hybridMultilevel"/>
    <w:lvl w:ilvl="0">
      <w:lvlJc w:val="left"/>
      <w:lvlText w:val="(%1)"/>
      <w:numFmt w:val="decimal"/>
      <w:start w:val="3"/>
    </w:lvl>
  </w:abstractNum>
  <w:abstractNum w:abstractNumId="33">
    <w:nsid w:val="39386575"/>
    <w:multiLevelType w:val="hybridMultilevel"/>
    <w:lvl w:ilvl="0">
      <w:lvlJc w:val="left"/>
      <w:lvlText w:val="(%1)"/>
      <w:numFmt w:val="decimal"/>
      <w:start w:val="6"/>
    </w:lvl>
    <w:lvl w:ilvl="1">
      <w:lvlJc w:val="left"/>
      <w:lvlText w:val="(%2)"/>
      <w:numFmt w:val="lowerRoman"/>
      <w:start w:val="10"/>
    </w:lvl>
  </w:abstractNum>
  <w:abstractNum w:abstractNumId="34">
    <w:nsid w:val="1CF10FD8"/>
    <w:multiLevelType w:val="hybridMultilevel"/>
    <w:lvl w:ilvl="0">
      <w:lvlJc w:val="left"/>
      <w:lvlText w:val="%1"/>
      <w:numFmt w:val="decimal"/>
      <w:start w:val="1"/>
    </w:lvl>
    <w:lvl w:ilvl="1">
      <w:lvlJc w:val="left"/>
      <w:lvlText w:val="(%2)"/>
      <w:numFmt w:val="lowerRoman"/>
      <w:start w:val="22"/>
    </w:lvl>
  </w:abstractNum>
  <w:abstractNum w:abstractNumId="35">
    <w:nsid w:val="180115BE"/>
    <w:multiLevelType w:val="hybridMultilevel"/>
    <w:lvl w:ilvl="0">
      <w:lvlJc w:val="left"/>
      <w:lvlText w:val="(%1)"/>
      <w:numFmt w:val="decimal"/>
      <w:start w:val="10"/>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1)"/>
      <w:numFmt w:val="lowerRoman"/>
      <w:start w:val="2"/>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1)"/>
      <w:numFmt w:val="decimal"/>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1)"/>
      <w:numFmt w:val="decimal"/>
      <w:start w:val="1"/>
    </w:lvl>
  </w:abstractNum>
  <w:abstractNum w:abstractNumId="48">
    <w:nsid w:val="310C50B3"/>
    <w:multiLevelType w:val="hybridMultilevel"/>
    <w:lvl w:ilvl="0">
      <w:lvlJc w:val="left"/>
      <w:lvlText w:val="(%1)"/>
      <w:numFmt w:val="decimal"/>
      <w:start w:val="1"/>
    </w:lvl>
  </w:abstractNum>
  <w:abstractNum w:abstractNumId="49">
    <w:nsid w:val="5FF87E05"/>
    <w:multiLevelType w:val="hybridMultilevel"/>
    <w:lvl w:ilvl="0">
      <w:lvlJc w:val="left"/>
      <w:lvlText w:val="(%1)"/>
      <w:numFmt w:val="decimal"/>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1)"/>
      <w:numFmt w:val="decimal"/>
      <w:start w:val="1"/>
    </w:lvl>
  </w:abstractNum>
  <w:abstractNum w:abstractNumId="53">
    <w:nsid w:val="4AD084E9"/>
    <w:multiLevelType w:val="hybridMultilevel"/>
    <w:lvl w:ilvl="0">
      <w:lvlJc w:val="left"/>
      <w:lvlText w:val="(%1)"/>
      <w:numFmt w:val="decimal"/>
      <w:start w:val="4"/>
    </w:lvl>
  </w:abstractNum>
  <w:abstractNum w:abstractNumId="54">
    <w:nsid w:val="1F48EAA1"/>
    <w:multiLevelType w:val="hybridMultilevel"/>
    <w:lvl w:ilvl="0">
      <w:lvlJc w:val="left"/>
      <w:lvlText w:val="(%1)"/>
      <w:numFmt w:val="decimal"/>
      <w:start w:val="1"/>
    </w:lvl>
  </w:abstractNum>
  <w:abstractNum w:abstractNumId="55">
    <w:nsid w:val="1381823A"/>
    <w:multiLevelType w:val="hybridMultilevel"/>
    <w:lvl w:ilvl="0">
      <w:lvlJc w:val="left"/>
      <w:lvlText w:val="a"/>
      <w:numFmt w:val="bullet"/>
      <w:start w:val="1"/>
    </w:lvl>
  </w:abstractNum>
  <w:abstractNum w:abstractNumId="56">
    <w:nsid w:val="5DB70AE5"/>
    <w:multiLevelType w:val="hybridMultilevel"/>
    <w:lvl w:ilvl="0">
      <w:lvlJc w:val="left"/>
      <w:lvlText w:val="(%1)"/>
      <w:numFmt w:val="decimal"/>
      <w:start w:val="1"/>
    </w:lvl>
  </w:abstractNum>
  <w:abstractNum w:abstractNumId="57">
    <w:nsid w:val="100F8FCA"/>
    <w:multiLevelType w:val="hybridMultilevel"/>
    <w:lvl w:ilvl="0">
      <w:lvlJc w:val="left"/>
      <w:lvlText w:val="(%1)"/>
      <w:numFmt w:val="decimal"/>
      <w:start w:val="1"/>
    </w:lvl>
  </w:abstractNum>
  <w:abstractNum w:abstractNumId="58">
    <w:nsid w:val="6590700B"/>
    <w:multiLevelType w:val="hybridMultilevel"/>
    <w:lvl w:ilvl="0">
      <w:lvlJc w:val="left"/>
      <w:lvlText w:val="(%1)"/>
      <w:numFmt w:val="decimal"/>
      <w:start w:val="1"/>
    </w:lvl>
  </w:abstractNum>
  <w:abstractNum w:abstractNumId="59">
    <w:nsid w:val="15014ACB"/>
    <w:multiLevelType w:val="hybridMultilevel"/>
    <w:lvl w:ilvl="0">
      <w:lvlJc w:val="left"/>
      <w:lvlText w:val="(%1)"/>
      <w:numFmt w:val="decimal"/>
      <w:start w:val="1"/>
    </w:lvl>
  </w:abstractNum>
  <w:abstractNum w:abstractNumId="60">
    <w:nsid w:val="5F5E7FD0"/>
    <w:multiLevelType w:val="hybridMultilevel"/>
    <w:lvl w:ilvl="0">
      <w:lvlJc w:val="left"/>
      <w:lvlText w:val="(%1)"/>
      <w:numFmt w:val="decimal"/>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1)"/>
      <w:numFmt w:val="lowerLetter"/>
      <w:start w:val="2"/>
    </w:lvl>
  </w:abstractNum>
  <w:abstractNum w:abstractNumId="66">
    <w:nsid w:val="1EBA5D23"/>
    <w:multiLevelType w:val="hybridMultilevel"/>
    <w:lvl w:ilvl="0">
      <w:lvlJc w:val="left"/>
      <w:lvlText w:val="(%1)"/>
      <w:numFmt w:val="decimal"/>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1)"/>
      <w:numFmt w:val="decimal"/>
      <w:start w:val="1"/>
    </w:lvl>
  </w:abstractNum>
  <w:abstractNum w:abstractNumId="69">
    <w:nsid w:val="540A471C"/>
    <w:multiLevelType w:val="hybridMultilevel"/>
    <w:lvl w:ilvl="0">
      <w:lvlJc w:val="left"/>
      <w:lvlText w:val="(%1)"/>
      <w:numFmt w:val="decimal"/>
      <w:start w:val="2"/>
    </w:lvl>
  </w:abstractNum>
  <w:abstractNum w:abstractNumId="70">
    <w:nsid w:val="7BD3EE7B"/>
    <w:multiLevelType w:val="hybridMultilevel"/>
    <w:lvl w:ilvl="0">
      <w:lvlJc w:val="left"/>
      <w:lvlText w:val="(%1)"/>
      <w:numFmt w:val="decimal"/>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1."/>
      <w:numFmt w:val="decimal"/>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decimal"/>
      <w:start w:val="3"/>
    </w:lvl>
  </w:abstractNum>
  <w:abstractNum w:abstractNumId="76">
    <w:nsid w:val="A0382C5"/>
    <w:multiLevelType w:val="hybridMultilevel"/>
    <w:lvl w:ilvl="0">
      <w:lvlJc w:val="left"/>
      <w:lvlText w:val="•"/>
      <w:numFmt w:val="bullet"/>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2023-03-17T05:51:51Z</dcterms:created>
  <dcterms:modified xsi:type="dcterms:W3CDTF">2023-03-17T05:51:51Z</dcterms:modified>
</cp:coreProperties>
</file>