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40"/>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2019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6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20" w:space="720"/>
            <w:col w:w="2680" w:space="720"/>
            <w:col w:w="3180"/>
          </w:cols>
          <w:pgMar w:left="240" w:top="1067" w:right="239" w:bottom="1440" w:gutter="0" w:footer="0" w:header="0"/>
          <w:type w:val="continuous"/>
        </w:sectPr>
      </w:pPr>
    </w:p>
    <w:p>
      <w:pPr>
        <w:spacing w:after="0" w:line="3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(609) 608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40" w:right="10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40" w:right="6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20"/>
        <w:spacing w:after="0"/>
        <w:tabs>
          <w:tab w:leader="none" w:pos="7400"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40"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Trading Symbol(s)</w:t>
            </w:r>
          </w:p>
        </w:tc>
        <w:tc>
          <w:tcPr>
            <w:tcW w:w="42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jc w:val="center"/>
              <w:ind w:right="90"/>
              <w:spacing w:after="0"/>
              <w:rPr>
                <w:sz w:val="20"/>
                <w:szCs w:val="20"/>
                <w:color w:val="auto"/>
              </w:rPr>
            </w:pPr>
            <w:r>
              <w:rPr>
                <w:rFonts w:ascii="Arial" w:cs="Arial" w:eastAsia="Arial" w:hAnsi="Arial"/>
                <w:sz w:val="18"/>
                <w:szCs w:val="18"/>
                <w:color w:val="auto"/>
                <w:w w:val="90"/>
              </w:rPr>
              <w:t>Class A Common Stock, par value $0.01</w:t>
            </w:r>
          </w:p>
        </w:tc>
        <w:tc>
          <w:tcPr>
            <w:tcW w:w="2860" w:type="dxa"/>
            <w:vAlign w:val="bottom"/>
          </w:tcPr>
          <w:p>
            <w:pPr>
              <w:jc w:val="center"/>
              <w:ind w:left="70"/>
              <w:spacing w:after="0"/>
              <w:rPr>
                <w:sz w:val="20"/>
                <w:szCs w:val="20"/>
                <w:color w:val="auto"/>
              </w:rPr>
            </w:pPr>
            <w:r>
              <w:rPr>
                <w:rFonts w:ascii="Arial" w:cs="Arial" w:eastAsia="Arial" w:hAnsi="Arial"/>
                <w:sz w:val="18"/>
                <w:szCs w:val="18"/>
                <w:color w:val="auto"/>
                <w:w w:val="97"/>
              </w:rPr>
              <w:t>CWEN.A</w:t>
            </w:r>
          </w:p>
        </w:tc>
        <w:tc>
          <w:tcPr>
            <w:tcW w:w="4240" w:type="dxa"/>
            <w:vAlign w:val="bottom"/>
          </w:tcPr>
          <w:p>
            <w:pPr>
              <w:jc w:val="center"/>
              <w:ind w:left="2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320" w:type="dxa"/>
            <w:vAlign w:val="bottom"/>
          </w:tcPr>
          <w:p>
            <w:pPr>
              <w:jc w:val="center"/>
              <w:ind w:right="90"/>
              <w:spacing w:after="0"/>
              <w:rPr>
                <w:sz w:val="20"/>
                <w:szCs w:val="20"/>
                <w:color w:val="auto"/>
              </w:rPr>
            </w:pPr>
            <w:r>
              <w:rPr>
                <w:rFonts w:ascii="Arial" w:cs="Arial" w:eastAsia="Arial" w:hAnsi="Arial"/>
                <w:sz w:val="18"/>
                <w:szCs w:val="18"/>
                <w:color w:val="auto"/>
                <w:w w:val="90"/>
              </w:rPr>
              <w:t>Class C Common Stock, par value $0.01</w:t>
            </w:r>
          </w:p>
        </w:tc>
        <w:tc>
          <w:tcPr>
            <w:tcW w:w="2860" w:type="dxa"/>
            <w:vAlign w:val="bottom"/>
          </w:tcPr>
          <w:p>
            <w:pPr>
              <w:jc w:val="center"/>
              <w:ind w:left="90"/>
              <w:spacing w:after="0"/>
              <w:rPr>
                <w:sz w:val="20"/>
                <w:szCs w:val="20"/>
                <w:color w:val="auto"/>
              </w:rPr>
            </w:pPr>
            <w:r>
              <w:rPr>
                <w:rFonts w:ascii="Arial" w:cs="Arial" w:eastAsia="Arial" w:hAnsi="Arial"/>
                <w:sz w:val="18"/>
                <w:szCs w:val="18"/>
                <w:color w:val="auto"/>
                <w:w w:val="94"/>
              </w:rPr>
              <w:t>CWEN</w:t>
            </w:r>
          </w:p>
        </w:tc>
        <w:tc>
          <w:tcPr>
            <w:tcW w:w="4240" w:type="dxa"/>
            <w:vAlign w:val="bottom"/>
          </w:tcPr>
          <w:p>
            <w:pPr>
              <w:jc w:val="center"/>
              <w:ind w:left="270"/>
              <w:spacing w:after="0"/>
              <w:rPr>
                <w:sz w:val="20"/>
                <w:szCs w:val="20"/>
                <w:color w:val="auto"/>
              </w:rPr>
            </w:pPr>
            <w:r>
              <w:rPr>
                <w:rFonts w:ascii="Arial" w:cs="Arial" w:eastAsia="Arial" w:hAnsi="Arial"/>
                <w:sz w:val="18"/>
                <w:szCs w:val="18"/>
                <w:color w:val="auto"/>
                <w:w w:val="91"/>
              </w:rPr>
              <w:t>New York Stock Exchange</w:t>
            </w:r>
          </w:p>
        </w:tc>
      </w:tr>
    </w:tbl>
    <w:p>
      <w:pPr>
        <w:sectPr>
          <w:pgSz w:w="11900" w:h="16838" w:orient="portrait"/>
          <w:cols w:equalWidth="0" w:num="1">
            <w:col w:w="11420"/>
          </w:cols>
          <w:pgMar w:left="240" w:top="1067" w:right="2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7, 2019, Clearway Energy, Inc. issued a press release announcing its financial results for the quarter ended March 31, 2019.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7, 2019</w:t>
              </w:r>
            </w:hyperlink>
          </w:p>
        </w:tc>
        <w:tc>
          <w:tcPr>
            <w:tcW w:w="2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58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4411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41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First Quarter 2019 Financial Results</w:t>
      </w:r>
    </w:p>
    <w:p>
      <w:pPr>
        <w:spacing w:after="0" w:line="2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Closed the acquisition of Duquesne University's district energy system</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new corporate growth capital by refinancing non-recourse debt at the Tapestry Wind portfolio</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Advanced the Hawaii Solar Phase I ROFO projects through an initial partnership investment</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Repaid outstanding balance of the 2019 Convertible Notes with cash on hand</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quarterly dividend of $0.20 per share in second quarter 2019</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2019 CAFD guidance</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May 7, 2019 </w:t>
      </w:r>
      <w:r>
        <w:rPr>
          <w:rFonts w:ascii="Arial" w:cs="Arial" w:eastAsia="Arial" w:hAnsi="Arial"/>
          <w:sz w:val="18"/>
          <w:szCs w:val="18"/>
          <w:color w:val="auto"/>
        </w:rPr>
        <w:t>— Clearway Energy, Inc. (NYSE: CWEN, CWEN.A) today reported first quarter 2019 financial results, including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$47 million, Adjusted EBITDA of $191 million, Cash from Operating Activities of $61 million, and Cash Available for Distribution (CAFD) of $(13) million, which includes adjustments to reflect CAFD generated by unconsolidated investments that are unable to distribute project dividends due to the PG&amp;E bankruptcy.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the PG&amp;E situation impacting the Company in the near term, Clearway continues to make strides in advancing its business plan and growing long term CAFD per share by expanding the Thermal Segment through the acquisition of Duquesne University’s district energy system, progressing the partnership with Clearway Group on the Hawaii Solar Phase I ROFO projects, and raising additional corporate growth capital with the refinancing of the Tapestry Wind portfolio,” said Christopher Sotos, Clearway Energy, Inc.’s President and Chief Executive Officer. “While the Company's first quarter results were within expectations, timing shifts related to operating expenses, capital expenditures and distributions from unconsolidated affiliates temporarily offset the negative impact resulting from weak renewable energy conditions across the portfolio."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198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8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980" w:type="dxa"/>
            <w:vAlign w:val="bottom"/>
          </w:tcPr>
          <w:p>
            <w:pPr>
              <w:spacing w:after="0"/>
              <w:rPr>
                <w:sz w:val="23"/>
                <w:szCs w:val="23"/>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3/31/19</w:t>
            </w:r>
          </w:p>
        </w:tc>
        <w:tc>
          <w:tcPr>
            <w:tcW w:w="14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3/31/18</w:t>
            </w:r>
          </w:p>
        </w:tc>
      </w:tr>
      <w:tr>
        <w:trPr>
          <w:trHeight w:val="27"/>
        </w:trPr>
        <w:tc>
          <w:tcPr>
            <w:tcW w:w="19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9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198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9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9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98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9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980" w:type="dxa"/>
            <w:vAlign w:val="bottom"/>
          </w:tcPr>
          <w:p>
            <w:pPr>
              <w:spacing w:after="0"/>
              <w:rPr>
                <w:sz w:val="22"/>
                <w:szCs w:val="22"/>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198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198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8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980" w:type="dxa"/>
            <w:vAlign w:val="bottom"/>
          </w:tcPr>
          <w:p>
            <w:pPr>
              <w:spacing w:after="0"/>
              <w:rPr>
                <w:sz w:val="23"/>
                <w:szCs w:val="23"/>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3/31/19</w:t>
            </w:r>
          </w:p>
        </w:tc>
        <w:tc>
          <w:tcPr>
            <w:tcW w:w="14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3/31/18</w:t>
            </w:r>
          </w:p>
        </w:tc>
      </w:tr>
      <w:tr>
        <w:trPr>
          <w:trHeight w:val="27"/>
        </w:trPr>
        <w:tc>
          <w:tcPr>
            <w:tcW w:w="19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9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98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198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9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98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9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980" w:type="dxa"/>
            <w:vAlign w:val="bottom"/>
          </w:tcPr>
          <w:p>
            <w:pPr>
              <w:spacing w:after="0"/>
              <w:rPr>
                <w:sz w:val="22"/>
                <w:szCs w:val="22"/>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198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w w:val="99"/>
              </w:rPr>
              <w:t>Table 3: Cash from Operating Activities and Cash Available for Distribution (CAFD)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1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580" w:type="dxa"/>
            <w:vAlign w:val="bottom"/>
          </w:tcPr>
          <w:p>
            <w:pPr>
              <w:spacing w:after="0"/>
              <w:rPr>
                <w:sz w:val="23"/>
                <w:szCs w:val="23"/>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3/31/19</w:t>
            </w:r>
          </w:p>
        </w:tc>
        <w:tc>
          <w:tcPr>
            <w:tcW w:w="12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3/31/18</w:t>
            </w:r>
          </w:p>
        </w:tc>
      </w:tr>
      <w:tr>
        <w:trPr>
          <w:trHeight w:val="27"/>
        </w:trPr>
        <w:tc>
          <w:tcPr>
            <w:tcW w:w="158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1580" w:type="dxa"/>
            <w:vAlign w:val="bottom"/>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64"/>
        </w:trPr>
        <w:tc>
          <w:tcPr>
            <w:tcW w:w="1580" w:type="dxa"/>
            <w:vAlign w:val="bottom"/>
          </w:tcPr>
          <w:p>
            <w:pPr>
              <w:spacing w:after="0"/>
              <w:rPr>
                <w:sz w:val="22"/>
                <w:szCs w:val="22"/>
                <w:color w:val="auto"/>
              </w:rPr>
            </w:pPr>
          </w:p>
        </w:tc>
        <w:tc>
          <w:tcPr>
            <w:tcW w:w="540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5"/>
                <w:szCs w:val="25"/>
                <w:color w:val="auto"/>
                <w:vertAlign w:val="superscript"/>
              </w:rPr>
              <w:t>1</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first quarter of 2019, the Company reported a Net Loss of $47 million, Adjusted EBITDA of $191 million, Cash from Operating Activities of $61 million, and CAFD of $(13) million, which includes adjustments to reflect CAFD generated by unconsolidated investments that are unable to distribute project dividends due to the PG&amp;E bankruptcy. Net Income was lower primarily due to non-cash changes in the fair value of interest rate swaps. Adjusted EBITDA results were higher than 2018 primarily due to the impact of growth investments, but partially offset by weaker renewable energy conditions versus the first quarter of 2018. In the first quarter, CAFD results were lower than 2018 primarily due to weaker renewable energy conditions, lower tax equity proceeds following the buyout of the Wind TE Holdco tax equity partnership, and the expiration of network upgrade reimbursements.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1820" w:type="dxa"/>
            <w:vAlign w:val="bottom"/>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3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8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3/31/19</w:t>
            </w:r>
          </w:p>
        </w:tc>
        <w:tc>
          <w:tcPr>
            <w:tcW w:w="100" w:type="dxa"/>
            <w:vAlign w:val="bottom"/>
          </w:tcPr>
          <w:p>
            <w:pPr>
              <w:spacing w:after="0"/>
              <w:rPr>
                <w:sz w:val="23"/>
                <w:szCs w:val="23"/>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3/31/18</w:t>
            </w:r>
          </w:p>
        </w:tc>
      </w:tr>
      <w:tr>
        <w:trPr>
          <w:trHeight w:val="27"/>
        </w:trPr>
        <w:tc>
          <w:tcPr>
            <w:tcW w:w="18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8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70"/>
        </w:trPr>
        <w:tc>
          <w:tcPr>
            <w:tcW w:w="1820" w:type="dxa"/>
            <w:vAlign w:val="bottom"/>
          </w:tcPr>
          <w:p>
            <w:pPr>
              <w:spacing w:after="0"/>
              <w:rPr>
                <w:sz w:val="23"/>
                <w:szCs w:val="23"/>
                <w:color w:val="auto"/>
              </w:rPr>
            </w:pPr>
          </w:p>
        </w:tc>
        <w:tc>
          <w:tcPr>
            <w:tcW w:w="44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5"/>
                <w:szCs w:val="25"/>
                <w:color w:val="auto"/>
                <w:vertAlign w:val="superscript"/>
              </w:rPr>
              <w:t>2</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3"/>
                <w:szCs w:val="23"/>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1,616</w:t>
            </w:r>
          </w:p>
        </w:tc>
      </w:tr>
      <w:tr>
        <w:trPr>
          <w:trHeight w:val="250"/>
        </w:trPr>
        <w:tc>
          <w:tcPr>
            <w:tcW w:w="18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626</w:t>
            </w:r>
          </w:p>
        </w:tc>
      </w:tr>
      <w:tr>
        <w:trPr>
          <w:trHeight w:val="20"/>
        </w:trPr>
        <w:tc>
          <w:tcPr>
            <w:tcW w:w="18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first quarter of 2019, availability at the Conventional segment was higher than the first quarter of 2018 due to extended spring outages during 2018 in connection with work at Walnut Creek related to the amended comprehensive service agreement executed in 2017 with the original equipment manufacturer.</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quarter, generation in the Renewables segment was below median expectations and 10% lower than the first quarter of 2018 primarily due to weak wind and solar conditions across the portfolio. This was partially offset by the addition of Buckthorn Solar, which reached COD in July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4"/>
                <w:szCs w:val="24"/>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b w:val="1"/>
                <w:bCs w:val="1"/>
                <w:color w:val="auto"/>
              </w:rPr>
              <w:t>3/31/19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8"/>
              <w:spacing w:after="0"/>
              <w:rPr>
                <w:sz w:val="20"/>
                <w:szCs w:val="20"/>
                <w:color w:val="auto"/>
              </w:rPr>
            </w:pPr>
            <w:r>
              <w:rPr>
                <w:rFonts w:ascii="Arial" w:cs="Arial" w:eastAsia="Arial" w:hAnsi="Arial"/>
                <w:sz w:val="18"/>
                <w:szCs w:val="18"/>
                <w:b w:val="1"/>
                <w:bCs w:val="1"/>
                <w:color w:val="auto"/>
              </w:rPr>
              <w:t>12/31/18</w:t>
            </w:r>
          </w:p>
        </w:tc>
      </w:tr>
      <w:tr>
        <w:trPr>
          <w:trHeight w:val="27"/>
        </w:trPr>
        <w:tc>
          <w:tcPr>
            <w:tcW w:w="84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6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298</w:t>
            </w:r>
          </w:p>
        </w:tc>
      </w:tr>
      <w:tr>
        <w:trPr>
          <w:trHeight w:val="33"/>
        </w:trPr>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r>
      <w:tr>
        <w:trPr>
          <w:trHeight w:val="224"/>
        </w:trPr>
        <w:tc>
          <w:tcPr>
            <w:tcW w:w="840" w:type="dxa"/>
            <w:vAlign w:val="bottom"/>
          </w:tcPr>
          <w:p>
            <w:pPr>
              <w:spacing w:after="0"/>
              <w:rPr>
                <w:sz w:val="19"/>
                <w:szCs w:val="19"/>
                <w:color w:val="auto"/>
              </w:rPr>
            </w:pPr>
          </w:p>
        </w:tc>
        <w:tc>
          <w:tcPr>
            <w:tcW w:w="7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4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w:t>
            </w: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6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92</w:t>
            </w:r>
          </w:p>
        </w:tc>
      </w:tr>
      <w:tr>
        <w:trPr>
          <w:trHeight w:val="33"/>
        </w:trPr>
        <w:tc>
          <w:tcPr>
            <w:tcW w:w="8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40" w:type="dxa"/>
            <w:vAlign w:val="bottom"/>
          </w:tcPr>
          <w:p>
            <w:pPr>
              <w:spacing w:after="0"/>
              <w:rPr>
                <w:sz w:val="20"/>
                <w:szCs w:val="20"/>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583</w:t>
            </w:r>
          </w:p>
        </w:tc>
      </w:tr>
      <w:tr>
        <w:trPr>
          <w:trHeight w:val="237"/>
        </w:trPr>
        <w:tc>
          <w:tcPr>
            <w:tcW w:w="84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454</w:t>
            </w:r>
          </w:p>
        </w:tc>
      </w:tr>
      <w:tr>
        <w:trPr>
          <w:trHeight w:val="33"/>
        </w:trPr>
        <w:tc>
          <w:tcPr>
            <w:tcW w:w="8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4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1,037</w:t>
            </w:r>
          </w:p>
        </w:tc>
      </w:tr>
      <w:tr>
        <w:trPr>
          <w:trHeight w:val="20"/>
        </w:trPr>
        <w:tc>
          <w:tcPr>
            <w:tcW w:w="84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Includes adjustments to reflect CAFD generated by unconsolidated investments that are unable to distribute project dividends due to the PG&amp;E bankruptcy</w:t>
      </w:r>
    </w:p>
    <w:p>
      <w:pPr>
        <w:spacing w:after="0" w:line="18"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Generation sold excludes MWh that are reimbursable for economic curtailment</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Total liquidity as of March 31, 2019 was $752 million, $285 million lower than as of December 31, 2018. This decrease was primarily due to the repayment, with cash on hand, of $220 million in outstanding 2019 Convertible Notes and $19 million for the buyout of the Wind TE HoldCo tax equity partnership in January 2019. Borrowing capacity under the revolving credit facility remained unchanged.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31F20"/>
        </w:rPr>
        <w:t xml:space="preserve">The Company's liquidity includes $181 million of restricted cash balances as of March 31, 2019. Restricted cash consists primarily of funds to satisfy the requirements of certain debt arrangements and funds held within the Company's projects that are restricted in their use. As </w:t>
      </w:r>
      <w:r>
        <w:rPr>
          <w:rFonts w:ascii="Arial" w:cs="Arial" w:eastAsia="Arial" w:hAnsi="Arial"/>
          <w:sz w:val="17"/>
          <w:szCs w:val="17"/>
          <w:color w:val="000000"/>
        </w:rPr>
        <w:t>of March 31, 2019, these restricted</w:t>
      </w:r>
      <w:r>
        <w:rPr>
          <w:rFonts w:ascii="Arial" w:cs="Arial" w:eastAsia="Arial" w:hAnsi="Arial"/>
          <w:sz w:val="17"/>
          <w:szCs w:val="17"/>
          <w:color w:val="231F20"/>
        </w:rPr>
        <w:t xml:space="preserve"> </w:t>
      </w:r>
      <w:r>
        <w:rPr>
          <w:rFonts w:ascii="Arial" w:cs="Arial" w:eastAsia="Arial" w:hAnsi="Arial"/>
          <w:sz w:val="17"/>
          <w:szCs w:val="17"/>
          <w:color w:val="000000"/>
        </w:rPr>
        <w:t>funds were comprised of $57 million designated to fund operating expenses, approximately $43 million designated for current debt service payments, and $39 million of reserves for debt service, performance obligations and other items including capital expenditures. The remaining $42 million is held in distribution accounts, of which $36 million related to subsidiaries affected by the PG&amp;E bankruptcy.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the existing $150 million ATM program, of which $36 million remained available as of May 7, 2019, availability under the revolving credit facility, and, subject to market conditions, new corporate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PG&amp;E Bankruptcy Update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May 6, 2019, PG&amp;E has neither assumed, rejected, or sought to renegotiate any of its contracts with the Company. While the Company is actively seeking forbearance agreements with non-recourse project level lenders, unless such lenders for the related project level debt otherwise agree, distributions to the Company from these projects may not be made during the pendency of the bankruptcy, although the Company currently expects these projects to otherwise operate in the normal course of business. These restrictions, therefore, have resulted in the Company accumulating less unrestricted cash and thus decreased the Company’s corporate liquidity and cash available for shareholder dividends and growth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Duquesne University's District Energy System</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 2019, the Company, through its indirect subsidiary ECP Uptown Campus LLC, acquired the combined 87 MWt Duquesne University district energy system located in Pittsburgh, Pennsylvania from Duquesne University. The project will provide steam, chilled water and emergency backup power service to the University under a 40-year energy services agreement and is expected to be interconnected with the Company’s existing district energy system in Pittsburgh. The total investment for the project, including capital expenditures required to interconnect to the Company’s existing system, is approximately $107 million. In connection with the project, ECP Uptown Campus LLC issued non-recourse debt totaling approximately $93 million, net of fees. The Company used the proceeds from the debt issuance and cash on hand to purchase the project from the University. Net of this non-recourse financing, the project is expected to contribute CAFD on an average annual basis of approximately $1.8 million</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beginning in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Solar Phase I ROFO Acquisition Update</w:t>
      </w:r>
    </w:p>
    <w:p>
      <w:pPr>
        <w:spacing w:after="0" w:line="14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March 8, 2019, the Company made an initial capital contribution in the amount of $4 million to the Oahu Partnership, which is a component of the previously disclosed Hawaii Solar Phase I ROFO Acquisition. The Oahu Partnership consists of Lanikuhana and Waipio, utility-scale solar generation projects which represent 15 MW and 46 MW respectively, and are being developed in Oahu, Hawaii. In aggregate, the Hawaii Solar Phase I ROFO Acquisition totals 80 MW of utility-scale solar projects located in Kawailoa and Oahu, Hawaii and is being purchased from Clearway Group for a total cash consideration of $28 million (of which $24 million remains following the aforementioned initial capital contribution) plus the assumption of non-recourse debt of $169 million. The purchase price for the Hawaii Solar Phase I projects will be funded with existing liquidity and is expected to contribute CAFD on an average annual basis of approximately $2.6 million</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beginning in 2020. The projects are expected to be completed in summer 2019.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DG Investment Partnerships with Clearway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5 Year Average over the period 2020-2024</w:t>
      </w:r>
    </w:p>
    <w:p>
      <w:pPr>
        <w:spacing w:after="0" w:line="59" w:lineRule="exact"/>
        <w:rPr>
          <w:rFonts w:ascii="Arial" w:cs="Arial" w:eastAsia="Arial" w:hAnsi="Arial"/>
          <w:sz w:val="25"/>
          <w:szCs w:val="25"/>
          <w:color w:val="auto"/>
          <w:vertAlign w:val="superscript"/>
        </w:rPr>
      </w:pP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4"/>
          <w:szCs w:val="14"/>
          <w:color w:val="auto"/>
        </w:rPr>
        <w:t xml:space="preserve"> 5 Year Average over the period 2020-2024</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8" w:right="239" w:bottom="1440" w:gutter="0" w:footer="0" w:header="0"/>
        </w:sectPr>
      </w:pPr>
    </w:p>
    <w:bookmarkStart w:id="6" w:name="page7"/>
    <w:bookmarkEnd w:id="6"/>
    <w:p>
      <w:pPr>
        <w:jc w:val="both"/>
        <w:ind w:right="300"/>
        <w:spacing w:after="0" w:line="279" w:lineRule="auto"/>
        <w:rPr>
          <w:sz w:val="20"/>
          <w:szCs w:val="20"/>
          <w:color w:val="auto"/>
        </w:rPr>
      </w:pPr>
      <w:r>
        <w:rPr>
          <w:rFonts w:ascii="Arial" w:cs="Arial" w:eastAsia="Arial" w:hAnsi="Arial"/>
          <w:sz w:val="16"/>
          <w:szCs w:val="16"/>
          <w:color w:val="auto"/>
        </w:rPr>
        <w:t>During the first quarter of 2019, the Company invested approximately $4 million in the DG investment partnerships with Clearway Group, bringing total capital invested to $246 million</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in these investment partnerships. As of March 31, 2019, through the existing partnership agreements, the Company owns approximately 253 MW</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of distributed and community solar capacity with a weighted average contract life by CAFD of approximately 19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Tapestry Wind Refinancing</w:t>
      </w:r>
    </w:p>
    <w:p>
      <w:pPr>
        <w:spacing w:after="0" w:line="14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April 29, 2019, the Company, through Tapestry Wind LLC, refinanced $147 million of non-recourse debt due 2021 by issuing $164 million of new non-recourse refinancing due 2031. Through this transaction, net of fees and financing costs, the Company received $11 million in incremental capital to be utilized for growth.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Repurchase</w:t>
      </w:r>
    </w:p>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first quarter of 2019 the Company repaid the remaining $220 million of 2019 Convertible Notes with cash on hand. Other than the remaining $45 million of 2020 Convertible Notes due in June 2020, the Company has no outstanding corporate maturities due until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2019, Clearway Energy, Inc.’s Board of Directors declared a quarterly dividend on Class A and Class C common stock of $0.20 per share payable on June 17, 2019, to stockholders of record as of June 3, 2019. The Company will continue to assess the level of the dividend pending developments in the PG&amp;E Bankruptcy, including the Company's ability to receive unrestricted project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Clearway Energy, Inc.’s quarterly operating results are impacted by seasonal factors, as well as variability in renewable energy resources. The majority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impacted by the PG&amp;E bankruptcy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Guidance</w:t>
      </w:r>
    </w:p>
    <w:p>
      <w:pPr>
        <w:spacing w:after="0" w:line="22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Company is maintaining its 2019 full year CAFD guidance of $270 million. This financial guidance assumes that all CAFD related to the projects impacted by the PG&amp;E Bankruptcy is realized in 2019. Financial guidance for 2019 also continues to be based on median renewable energy production estimates for the full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2019,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Excludes $26 million for 14 MW of residential solar leases acquired outside of partnerships</w:t>
      </w:r>
    </w:p>
    <w:p>
      <w:pPr>
        <w:ind w:left="120" w:hanging="112"/>
        <w:spacing w:after="0" w:line="191" w:lineRule="auto"/>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Based on cash to be distributed; excludes 14 MW of residential solar leases acquired outside of partnership</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The Adjusted EBITDA and Cash Available for Distribution are estimates as of today’s date, May 7, 2019,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660"/>
        <w:spacing w:after="0"/>
        <w:tabs>
          <w:tab w:leader="none" w:pos="370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609-608-1500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Transaction and integration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Development costs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 Excluding Pre-acquisition Net Income of Drop Down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80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(Loss) Income Attributable to Clearway Energy,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w w:val="97"/>
              </w:rPr>
              <w:t>(Losses) Earnings Per Share Attributable to Clearway Energy,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6"/>
        </w:trPr>
        <w:tc>
          <w:tcPr>
            <w:tcW w:w="40" w:type="dxa"/>
            <w:vAlign w:val="bottom"/>
          </w:tcPr>
          <w:p>
            <w:pPr>
              <w:spacing w:after="0"/>
              <w:rPr>
                <w:sz w:val="23"/>
                <w:szCs w:val="23"/>
                <w:color w:val="auto"/>
              </w:rPr>
            </w:pPr>
          </w:p>
        </w:tc>
        <w:tc>
          <w:tcPr>
            <w:tcW w:w="876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 and diluted</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4"/>
        </w:trPr>
        <w:tc>
          <w:tcPr>
            <w:tcW w:w="40" w:type="dxa"/>
            <w:vAlign w:val="bottom"/>
            <w:shd w:val="clear" w:color="auto" w:fill="CCEEFF"/>
          </w:tcPr>
          <w:p>
            <w:pPr>
              <w:spacing w:after="0"/>
              <w:rPr>
                <w:sz w:val="23"/>
                <w:szCs w:val="23"/>
                <w:color w:val="auto"/>
              </w:rPr>
            </w:pPr>
          </w:p>
        </w:tc>
        <w:tc>
          <w:tcPr>
            <w:tcW w:w="8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 and diluted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304"/>
        </w:trPr>
        <w:tc>
          <w:tcPr>
            <w:tcW w:w="880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(Losses) Earnings per Weighted Average Class A and Class C Common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r>
      <w:tr>
        <w:trPr>
          <w:trHeight w:val="251"/>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0.298</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0.298</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16"/>
        </w:trPr>
        <w:tc>
          <w:tcPr>
            <w:tcW w:w="87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Gain</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 net of income tax expense of $0 and $3</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37"/>
        </w:trPr>
        <w:tc>
          <w:tcPr>
            <w:tcW w:w="40" w:type="dxa"/>
            <w:vAlign w:val="bottom"/>
          </w:tcPr>
          <w:p>
            <w:pPr>
              <w:spacing w:after="0"/>
              <w:rPr>
                <w:sz w:val="20"/>
                <w:szCs w:val="20"/>
                <w:color w:val="auto"/>
              </w:rPr>
            </w:pPr>
          </w:p>
        </w:tc>
        <w:tc>
          <w:tcPr>
            <w:tcW w:w="868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 gain</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43"/>
        </w:trPr>
        <w:tc>
          <w:tcPr>
            <w:tcW w:w="40" w:type="dxa"/>
            <w:vAlign w:val="bottom"/>
          </w:tcPr>
          <w:p>
            <w:pPr>
              <w:spacing w:after="0"/>
              <w:rPr>
                <w:sz w:val="21"/>
                <w:szCs w:val="21"/>
                <w:color w:val="auto"/>
              </w:rPr>
            </w:pPr>
          </w:p>
        </w:tc>
        <w:tc>
          <w:tcPr>
            <w:tcW w:w="868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26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87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ind w:right="4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4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Right of use assets, net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interest expense</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Long-term lease liabilities</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0940"/>
          </w:cols>
          <w:pgMar w:left="720" w:top="364" w:right="239" w:bottom="627" w:gutter="0" w:footer="0" w:header="0"/>
        </w:sect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654800" cy="909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909320"/>
                    </a:xfrm>
                    <a:prstGeom prst="rect">
                      <a:avLst/>
                    </a:prstGeom>
                    <a:noFill/>
                  </pic:spPr>
                </pic:pic>
              </a:graphicData>
            </a:graphic>
          </wp:anchor>
        </w:drawing>
      </w:r>
    </w:p>
    <w:p>
      <w:pPr>
        <w:spacing w:after="0" w:line="215" w:lineRule="exact"/>
        <w:rPr>
          <w:sz w:val="20"/>
          <w:szCs w:val="20"/>
          <w:color w:val="auto"/>
        </w:rPr>
      </w:pPr>
    </w:p>
    <w:p>
      <w:pPr>
        <w:ind w:left="160" w:right="560"/>
        <w:spacing w:after="0" w:line="270"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193,402,886 shares issued and outstanding (Class A 34,599,645, Class B 42,738,750, Class C 73,325,741, Class D 42,738,750) at March 31, 2019 and 193,251,396 shares issued and outstanding (Class A 34,586,250, Class B 42,738,750, Class C 73,187,646, Class D 42,738,750) at December 31, 2018</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1,870</w:t>
            </w:r>
          </w:p>
        </w:tc>
        <w:tc>
          <w:tcPr>
            <w:tcW w:w="11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(80)</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(19)</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373</w:t>
            </w: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17145</wp:posOffset>
            </wp:positionV>
            <wp:extent cx="2195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480" w:space="720"/>
            <w:col w:w="2740"/>
          </w:cols>
          <w:pgMar w:left="720" w:top="364" w:right="239" w:bottom="627"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2,224</w:t>
            </w:r>
          </w:p>
        </w:tc>
      </w:tr>
      <w:tr>
        <w:trPr>
          <w:trHeight w:val="27"/>
        </w:trPr>
        <w:tc>
          <w:tcPr>
            <w:tcW w:w="7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720" w:top="364" w:right="239" w:bottom="627" w:gutter="0" w:footer="0" w:header="0"/>
          <w:type w:val="continuous"/>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940"/>
          </w:cols>
          <w:pgMar w:left="720" w:top="364" w:right="239" w:bottom="627" w:gutter="0" w:footer="0" w:header="0"/>
          <w:type w:val="continuous"/>
        </w:sectPr>
      </w:pPr>
    </w:p>
    <w:bookmarkStart w:id="11" w:name="page12"/>
    <w:bookmarkEnd w:id="11"/>
    <w:p>
      <w:pPr>
        <w:jc w:val="center"/>
        <w:ind w:right="40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interest in Oahu Partnership</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the Buckthorn Solar Drop Down Asset</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Buyout of Wind TE Holdco noncontrolling interest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0"/>
        </w:trPr>
        <w:tc>
          <w:tcPr>
            <w:tcW w:w="8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20"/>
          </w:cols>
          <w:pgMar w:left="6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Appendix Table A-1: Three Months Ended March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 to Market (MtM) Losses on Economic Hedges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191</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March 31,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20"/>
                <w:szCs w:val="20"/>
                <w:color w:val="auto"/>
              </w:rPr>
            </w:pP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27"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Appendix Table A-3: Cash Available for Distribution Reconciliation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9"/>
              </w:rPr>
              <w:t>Three Months Ended</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3"/>
                <w:szCs w:val="23"/>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3/31/19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3/31/18</w:t>
            </w:r>
          </w:p>
        </w:tc>
      </w:tr>
      <w:tr>
        <w:trPr>
          <w:trHeight w:val="27"/>
        </w:trPr>
        <w:tc>
          <w:tcPr>
            <w:tcW w:w="5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r>
      <w:tr>
        <w:trPr>
          <w:trHeight w:val="237"/>
        </w:trPr>
        <w:tc>
          <w:tcPr>
            <w:tcW w:w="5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Adjustment to reflect Walnut Creek investment payments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w:t>
            </w:r>
          </w:p>
        </w:tc>
      </w:tr>
      <w:tr>
        <w:trPr>
          <w:trHeight w:val="27"/>
        </w:trPr>
        <w:tc>
          <w:tcPr>
            <w:tcW w:w="5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and other</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340" w:type="dxa"/>
            <w:vAlign w:val="bottom"/>
          </w:tcPr>
          <w:p>
            <w:pPr>
              <w:ind w:left="160"/>
              <w:spacing w:after="0" w:line="270"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5"/>
                <w:szCs w:val="25"/>
                <w:color w:val="auto"/>
                <w:vertAlign w:val="superscript"/>
              </w:rPr>
              <w:t>7</w:t>
            </w: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Return of investment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5340" w:type="dxa"/>
            <w:vAlign w:val="bottom"/>
          </w:tcPr>
          <w:p>
            <w:pPr>
              <w:ind w:left="160"/>
              <w:spacing w:after="0" w:line="270" w:lineRule="exact"/>
              <w:rPr>
                <w:sz w:val="20"/>
                <w:szCs w:val="20"/>
                <w:color w:val="auto"/>
              </w:rPr>
            </w:pPr>
            <w:r>
              <w:rPr>
                <w:rFonts w:ascii="Arial" w:cs="Arial" w:eastAsia="Arial" w:hAnsi="Arial"/>
                <w:sz w:val="18"/>
                <w:szCs w:val="18"/>
                <w:color w:val="auto"/>
              </w:rPr>
              <w:t>Net contributions from non-controlling interest</w:t>
            </w:r>
            <w:r>
              <w:rPr>
                <w:rFonts w:ascii="Arial" w:cs="Arial" w:eastAsia="Arial" w:hAnsi="Arial"/>
                <w:sz w:val="25"/>
                <w:szCs w:val="25"/>
                <w:color w:val="auto"/>
                <w:vertAlign w:val="superscript"/>
              </w:rPr>
              <w:t>8</w:t>
            </w: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53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9</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340" w:type="dxa"/>
            <w:vAlign w:val="bottom"/>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10</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53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11</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w w:val="91"/>
              </w:rPr>
              <w:t>Adjustments to reflect CAFD generated by unconsolidated investments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340" w:type="dxa"/>
            <w:vAlign w:val="bottom"/>
          </w:tcPr>
          <w:p>
            <w:pPr>
              <w:ind w:left="160"/>
              <w:spacing w:after="0"/>
              <w:rPr>
                <w:sz w:val="20"/>
                <w:szCs w:val="20"/>
                <w:color w:val="auto"/>
              </w:rPr>
            </w:pPr>
            <w:r>
              <w:rPr>
                <w:rFonts w:ascii="Arial" w:cs="Arial" w:eastAsia="Arial" w:hAnsi="Arial"/>
                <w:sz w:val="18"/>
                <w:szCs w:val="18"/>
                <w:color w:val="auto"/>
              </w:rPr>
              <w:t>that are unable to distribute project dividends due to the PG&amp;E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Available for Distribution</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3" w:lineRule="exact"/>
        <w:rPr>
          <w:sz w:val="20"/>
          <w:szCs w:val="20"/>
          <w:color w:val="auto"/>
        </w:rPr>
      </w:pPr>
    </w:p>
    <w:p>
      <w:pPr>
        <w:ind w:right="440" w:firstLine="8"/>
        <w:spacing w:after="0" w:line="241" w:lineRule="auto"/>
        <w:tabs>
          <w:tab w:leader="none" w:pos="81"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$18 million of contributions in 2019 related to funding of Oahu tax equity partnership; Excludes $19 million of contributions in 2018 related to funding Buckthorn Solar tax equity partnership</w:t>
      </w:r>
    </w:p>
    <w:p>
      <w:pPr>
        <w:spacing w:after="0"/>
        <w:rPr>
          <w:rFonts w:ascii="Arial" w:cs="Arial" w:eastAsia="Arial" w:hAnsi="Arial"/>
          <w:sz w:val="9"/>
          <w:szCs w:val="9"/>
          <w:color w:val="auto"/>
        </w:rPr>
      </w:pPr>
      <w:r>
        <w:rPr>
          <w:rFonts w:ascii="Arial" w:cs="Arial" w:eastAsia="Arial" w:hAnsi="Arial"/>
          <w:sz w:val="9"/>
          <w:szCs w:val="9"/>
          <w:color w:val="auto"/>
        </w:rPr>
        <w:t xml:space="preserve">9 </w:t>
      </w:r>
      <w:r>
        <w:rPr>
          <w:rFonts w:ascii="Arial" w:cs="Arial" w:eastAsia="Arial" w:hAnsi="Arial"/>
          <w:sz w:val="14"/>
          <w:szCs w:val="14"/>
          <w:color w:val="auto"/>
        </w:rPr>
        <w:t>Net of allocated insurance proceeds</w:t>
      </w:r>
    </w:p>
    <w:p>
      <w:pPr>
        <w:spacing w:after="0" w:line="1" w:lineRule="exact"/>
        <w:rPr>
          <w:rFonts w:ascii="Arial" w:cs="Arial" w:eastAsia="Arial" w:hAnsi="Arial"/>
          <w:sz w:val="9"/>
          <w:szCs w:val="9"/>
          <w:color w:val="auto"/>
        </w:rPr>
      </w:pPr>
    </w:p>
    <w:p>
      <w:pPr>
        <w:ind w:right="8220"/>
        <w:spacing w:after="0" w:line="293" w:lineRule="auto"/>
        <w:rPr>
          <w:rFonts w:ascii="Arial" w:cs="Arial" w:eastAsia="Arial" w:hAnsi="Arial"/>
          <w:sz w:val="9"/>
          <w:szCs w:val="9"/>
          <w:color w:val="auto"/>
        </w:rPr>
      </w:pPr>
      <w:r>
        <w:rPr>
          <w:rFonts w:ascii="Arial" w:cs="Arial" w:eastAsia="Arial" w:hAnsi="Arial"/>
          <w:sz w:val="8"/>
          <w:szCs w:val="8"/>
          <w:color w:val="auto"/>
        </w:rPr>
        <w:t xml:space="preserve">10 </w:t>
      </w:r>
      <w:r>
        <w:rPr>
          <w:rFonts w:ascii="Arial" w:cs="Arial" w:eastAsia="Arial" w:hAnsi="Arial"/>
          <w:sz w:val="13"/>
          <w:szCs w:val="13"/>
          <w:color w:val="auto"/>
        </w:rPr>
        <w:t>Excludes $220 million in 2019 for Convertible Notes</w:t>
      </w:r>
      <w:r>
        <w:rPr>
          <w:rFonts w:ascii="Arial" w:cs="Arial" w:eastAsia="Arial" w:hAnsi="Arial"/>
          <w:sz w:val="8"/>
          <w:szCs w:val="8"/>
          <w:color w:val="auto"/>
        </w:rPr>
        <w:t xml:space="preserve"> 11 </w:t>
      </w:r>
      <w:r>
        <w:rPr>
          <w:rFonts w:ascii="Arial" w:cs="Arial" w:eastAsia="Arial" w:hAnsi="Arial"/>
          <w:sz w:val="13"/>
          <w:szCs w:val="13"/>
          <w:color w:val="auto"/>
        </w:rPr>
        <w:t>Represents reimbursement of network upgrades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16" w:right="239" w:bottom="1440" w:gutter="0" w:footer="0" w:header="0"/>
        </w:sectPr>
      </w:pPr>
    </w:p>
    <w:bookmarkStart w:id="14" w:name="page15"/>
    <w:bookmarkEnd w:id="14"/>
    <w:p>
      <w:pPr>
        <w:ind w:right="4120"/>
        <w:spacing w:after="0" w:line="293" w:lineRule="auto"/>
        <w:rPr>
          <w:sz w:val="20"/>
          <w:szCs w:val="20"/>
          <w:color w:val="auto"/>
        </w:rPr>
      </w:pPr>
      <w:r>
        <w:rPr>
          <w:rFonts w:ascii="Arial" w:cs="Arial" w:eastAsia="Arial" w:hAnsi="Arial"/>
          <w:sz w:val="19"/>
          <w:szCs w:val="19"/>
          <w:b w:val="1"/>
          <w:bCs w:val="1"/>
          <w:color w:val="auto"/>
        </w:rPr>
        <w:t xml:space="preserve">Appendix Table A-4: </w:t>
      </w:r>
      <w:r>
        <w:rPr>
          <w:rFonts w:ascii="Arial" w:cs="Arial" w:eastAsia="Arial" w:hAnsi="Arial"/>
          <w:sz w:val="17"/>
          <w:szCs w:val="17"/>
          <w:b w:val="1"/>
          <w:bCs w:val="1"/>
          <w:color w:val="auto"/>
        </w:rPr>
        <w:t>Three Months Ended March 31, 2019</w:t>
      </w:r>
      <w:r>
        <w:rPr>
          <w:rFonts w:ascii="Arial" w:cs="Arial" w:eastAsia="Arial" w:hAnsi="Arial"/>
          <w:sz w:val="19"/>
          <w:szCs w:val="19"/>
          <w:b w:val="1"/>
          <w:bCs w:val="1"/>
          <w:color w:val="auto"/>
        </w:rPr>
        <w:t xml:space="preserve">, Sources and Uses of Liquidity </w:t>
      </w:r>
      <w:r>
        <w:rPr>
          <w:rFonts w:ascii="Arial" w:cs="Arial" w:eastAsia="Arial" w:hAnsi="Arial"/>
          <w:sz w:val="19"/>
          <w:szCs w:val="19"/>
          <w:color w:val="auto"/>
        </w:rPr>
        <w:t>The following table summarizes the sources and uses of liquidity in 2019:</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7"/>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3"/>
                <w:szCs w:val="23"/>
                <w:color w:val="auto"/>
              </w:rPr>
            </w:pPr>
          </w:p>
        </w:tc>
        <w:tc>
          <w:tcPr>
            <w:tcW w:w="1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3/31/19</w:t>
            </w:r>
          </w:p>
        </w:tc>
      </w:tr>
      <w:tr>
        <w:trPr>
          <w:trHeight w:val="27"/>
        </w:trPr>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6"/>
                <w:szCs w:val="16"/>
                <w:color w:val="auto"/>
              </w:rPr>
              <w:t>61</w:t>
            </w:r>
          </w:p>
        </w:tc>
      </w:tr>
      <w:tr>
        <w:trPr>
          <w:trHeight w:val="33"/>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contributions from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19</w:t>
            </w: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4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6"/>
                <w:szCs w:val="16"/>
                <w:color w:val="auto"/>
              </w:rPr>
              <w:t>14</w:t>
            </w:r>
          </w:p>
        </w:tc>
      </w:tr>
      <w:tr>
        <w:trPr>
          <w:trHeight w:val="33"/>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w:t>
            </w:r>
          </w:p>
        </w:tc>
      </w:tr>
      <w:tr>
        <w:trPr>
          <w:trHeight w:val="224"/>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Other net cash inflows</w:t>
            </w:r>
          </w:p>
        </w:tc>
        <w:tc>
          <w:tcPr>
            <w:tcW w:w="14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6"/>
                <w:szCs w:val="16"/>
                <w:color w:val="auto"/>
              </w:rPr>
              <w:t>3</w:t>
            </w:r>
          </w:p>
        </w:tc>
      </w:tr>
      <w:tr>
        <w:trPr>
          <w:trHeight w:val="40"/>
        </w:trPr>
        <w:tc>
          <w:tcPr>
            <w:tcW w:w="6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Payments for long-term debt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Payment of dividends and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Buyout of Wind TE Holdco noncontrolling interest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Acquisition of interest in Oahu Partnership</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5"/>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6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 in total cash, cash equivalents, and restricted cash</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(285)</w:t>
            </w:r>
          </w:p>
        </w:tc>
      </w:tr>
      <w:tr>
        <w:trPr>
          <w:trHeight w:val="40"/>
        </w:trPr>
        <w:tc>
          <w:tcPr>
            <w:tcW w:w="6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9"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A-5: Adjusted EBITDA and Cash Available for Distribution Guidance</w:t>
      </w:r>
    </w:p>
    <w:p>
      <w:pPr>
        <w:spacing w:after="0" w:line="166"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2019 Full Year</w:t>
            </w:r>
          </w:p>
        </w:tc>
      </w:tr>
      <w:tr>
        <w:trPr>
          <w:trHeight w:val="234"/>
        </w:trPr>
        <w:tc>
          <w:tcPr>
            <w:tcW w:w="646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8"/>
                <w:szCs w:val="18"/>
                <w:b w:val="1"/>
                <w:bCs w:val="1"/>
                <w:color w:val="auto"/>
                <w:w w:val="97"/>
              </w:rPr>
              <w:t>Guidance</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r>
      <w:tr>
        <w:trPr>
          <w:trHeight w:val="237"/>
        </w:trPr>
        <w:tc>
          <w:tcPr>
            <w:tcW w:w="6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43"/>
        </w:trPr>
        <w:tc>
          <w:tcPr>
            <w:tcW w:w="646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Acquisition related transaction and integration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6460" w:type="dxa"/>
            <w:vAlign w:val="bottom"/>
            <w:gridSpan w:val="2"/>
          </w:tcPr>
          <w:p>
            <w:pPr>
              <w:ind w:left="160"/>
              <w:spacing w:after="0"/>
              <w:rPr>
                <w:sz w:val="20"/>
                <w:szCs w:val="20"/>
                <w:color w:val="auto"/>
              </w:rPr>
            </w:pPr>
            <w:r>
              <w:rPr>
                <w:rFonts w:ascii="Arial" w:cs="Arial" w:eastAsia="Arial" w:hAnsi="Arial"/>
                <w:sz w:val="18"/>
                <w:szCs w:val="18"/>
                <w:color w:val="auto"/>
                <w:w w:val="95"/>
              </w:rPr>
              <w:t>Adjustment to reflect CWEN share of Adjusted EBITDA in unconsolidated affiliates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995</w:t>
            </w:r>
          </w:p>
        </w:tc>
      </w:tr>
      <w:tr>
        <w:trPr>
          <w:trHeight w:val="237"/>
        </w:trPr>
        <w:tc>
          <w:tcPr>
            <w:tcW w:w="6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460" w:type="dxa"/>
            <w:vAlign w:val="bottom"/>
            <w:gridSpan w:val="2"/>
          </w:tcPr>
          <w:p>
            <w:pPr>
              <w:ind w:left="160"/>
              <w:spacing w:after="0"/>
              <w:rPr>
                <w:sz w:val="20"/>
                <w:szCs w:val="20"/>
                <w:color w:val="auto"/>
              </w:rPr>
            </w:pPr>
            <w:r>
              <w:rPr>
                <w:rFonts w:ascii="Arial" w:cs="Arial" w:eastAsia="Arial" w:hAnsi="Arial"/>
                <w:sz w:val="18"/>
                <w:szCs w:val="18"/>
                <w:color w:val="auto"/>
              </w:rPr>
              <w:t>Adjustment to reflect Walnut Creek investment payments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70"/>
        </w:trPr>
        <w:tc>
          <w:tcPr>
            <w:tcW w:w="634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5"/>
                <w:szCs w:val="25"/>
                <w:color w:val="auto"/>
                <w:vertAlign w:val="superscript"/>
              </w:rPr>
              <w:t>12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613</w:t>
            </w:r>
          </w:p>
        </w:tc>
      </w:tr>
      <w:tr>
        <w:trPr>
          <w:trHeight w:val="264"/>
        </w:trPr>
        <w:tc>
          <w:tcPr>
            <w:tcW w:w="6340" w:type="dxa"/>
            <w:vAlign w:val="bottom"/>
            <w:tcBorders>
              <w:top w:val="single" w:sz="8" w:color="auto"/>
            </w:tcBorders>
          </w:tcPr>
          <w:p>
            <w:pPr>
              <w:ind w:left="160"/>
              <w:spacing w:after="0" w:line="264"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5"/>
                <w:szCs w:val="25"/>
                <w:color w:val="auto"/>
                <w:vertAlign w:val="superscript"/>
              </w:rPr>
              <w:t>13</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64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Net contributions from non-controlling interest</w:t>
            </w:r>
            <w:r>
              <w:rPr>
                <w:rFonts w:ascii="Arial" w:cs="Arial" w:eastAsia="Arial" w:hAnsi="Arial"/>
                <w:sz w:val="25"/>
                <w:szCs w:val="25"/>
                <w:color w:val="auto"/>
                <w:vertAlign w:val="superscript"/>
              </w:rPr>
              <w:t>14</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460" w:type="dxa"/>
            <w:vAlign w:val="bottom"/>
            <w:gridSpan w:val="2"/>
          </w:tcPr>
          <w:p>
            <w:pPr>
              <w:ind w:left="16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4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37"/>
        </w:trPr>
        <w:tc>
          <w:tcPr>
            <w:tcW w:w="64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270</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 Back: Principal amortization of indebtedness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37"/>
        </w:trPr>
        <w:tc>
          <w:tcPr>
            <w:tcW w:w="6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Cash from Operations</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583</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A-6: Hawaii Solar Phase I and Duquesne 5 Year Average CAFD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8"/>
                <w:szCs w:val="18"/>
                <w:b w:val="1"/>
                <w:bCs w:val="1"/>
                <w:color w:val="auto"/>
                <w:w w:val="93"/>
              </w:rPr>
              <w:t>Hawaii Solar</w:t>
            </w:r>
          </w:p>
        </w:tc>
        <w:tc>
          <w:tcPr>
            <w:tcW w:w="140" w:type="dxa"/>
            <w:vAlign w:val="bottom"/>
          </w:tcPr>
          <w:p>
            <w:pPr>
              <w:spacing w:after="0"/>
              <w:rPr>
                <w:sz w:val="18"/>
                <w:szCs w:val="18"/>
                <w:color w:val="auto"/>
              </w:rPr>
            </w:pPr>
          </w:p>
        </w:tc>
        <w:tc>
          <w:tcPr>
            <w:tcW w:w="1160" w:type="dxa"/>
            <w:vAlign w:val="bottom"/>
            <w:vMerge w:val="restart"/>
          </w:tcPr>
          <w:p>
            <w:pPr>
              <w:jc w:val="center"/>
              <w:ind w:right="77"/>
              <w:spacing w:after="0"/>
              <w:rPr>
                <w:sz w:val="20"/>
                <w:szCs w:val="20"/>
                <w:color w:val="auto"/>
              </w:rPr>
            </w:pPr>
            <w:r>
              <w:rPr>
                <w:rFonts w:ascii="Arial" w:cs="Arial" w:eastAsia="Arial" w:hAnsi="Arial"/>
                <w:sz w:val="18"/>
                <w:szCs w:val="18"/>
                <w:b w:val="1"/>
                <w:bCs w:val="1"/>
                <w:color w:val="auto"/>
                <w:w w:val="87"/>
              </w:rPr>
              <w:t>Duquesne</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restart"/>
          </w:tcPr>
          <w:p>
            <w:pPr>
              <w:jc w:val="center"/>
              <w:ind w:right="96"/>
              <w:spacing w:after="0"/>
              <w:rPr>
                <w:sz w:val="20"/>
                <w:szCs w:val="20"/>
                <w:color w:val="auto"/>
              </w:rPr>
            </w:pPr>
            <w:r>
              <w:rPr>
                <w:rFonts w:ascii="Arial" w:cs="Arial" w:eastAsia="Arial" w:hAnsi="Arial"/>
                <w:sz w:val="18"/>
                <w:szCs w:val="18"/>
                <w:b w:val="1"/>
                <w:bCs w:val="1"/>
                <w:color w:val="auto"/>
                <w:w w:val="88"/>
              </w:rPr>
              <w:t>Phase I</w:t>
            </w: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8"/>
                <w:szCs w:val="18"/>
                <w:b w:val="1"/>
                <w:bCs w:val="1"/>
                <w:color w:val="auto"/>
                <w:w w:val="90"/>
              </w:rPr>
              <w:t>5 Year Ave. -</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restart"/>
          </w:tcPr>
          <w:p>
            <w:pPr>
              <w:jc w:val="center"/>
              <w:ind w:right="76"/>
              <w:spacing w:after="0"/>
              <w:rPr>
                <w:sz w:val="20"/>
                <w:szCs w:val="20"/>
                <w:color w:val="auto"/>
              </w:rPr>
            </w:pPr>
            <w:r>
              <w:rPr>
                <w:rFonts w:ascii="Arial" w:cs="Arial" w:eastAsia="Arial" w:hAnsi="Arial"/>
                <w:sz w:val="18"/>
                <w:szCs w:val="18"/>
                <w:b w:val="1"/>
                <w:bCs w:val="1"/>
                <w:color w:val="auto"/>
                <w:w w:val="90"/>
              </w:rPr>
              <w:t>5 Year Ave. -</w:t>
            </w: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8"/>
                <w:szCs w:val="18"/>
                <w:b w:val="1"/>
                <w:bCs w:val="1"/>
                <w:color w:val="auto"/>
                <w:w w:val="90"/>
              </w:rPr>
              <w:t>2020-2024</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644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10"/>
                <w:szCs w:val="10"/>
                <w:color w:val="auto"/>
              </w:rPr>
            </w:pPr>
          </w:p>
        </w:tc>
        <w:tc>
          <w:tcPr>
            <w:tcW w:w="1300" w:type="dxa"/>
            <w:vAlign w:val="bottom"/>
            <w:vMerge w:val="restart"/>
          </w:tcPr>
          <w:p>
            <w:pPr>
              <w:jc w:val="center"/>
              <w:ind w:right="76"/>
              <w:spacing w:after="0"/>
              <w:rPr>
                <w:sz w:val="20"/>
                <w:szCs w:val="20"/>
                <w:color w:val="auto"/>
              </w:rPr>
            </w:pPr>
            <w:r>
              <w:rPr>
                <w:rFonts w:ascii="Arial" w:cs="Arial" w:eastAsia="Arial" w:hAnsi="Arial"/>
                <w:sz w:val="18"/>
                <w:szCs w:val="18"/>
                <w:b w:val="1"/>
                <w:bCs w:val="1"/>
                <w:color w:val="auto"/>
                <w:w w:val="90"/>
              </w:rPr>
              <w:t>2020-2024</w:t>
            </w: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4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3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6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3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6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3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Net 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Maintenance capital expenditures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6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3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8"/>
          <w:szCs w:val="8"/>
          <w:color w:val="auto"/>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24" w:lineRule="exact"/>
        <w:rPr>
          <w:rFonts w:ascii="Arial" w:cs="Arial" w:eastAsia="Arial" w:hAnsi="Arial"/>
          <w:sz w:val="8"/>
          <w:szCs w:val="8"/>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tax equity proceeds and distributions to tax equity partners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$220 million in 2019 for Convertible Notes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0"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14"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sectPr>
      <w:pgSz w:w="11900" w:h="16838" w:orient="portrait"/>
      <w:cols w:equalWidth="0" w:num="1">
        <w:col w:w="11420"/>
      </w:cols>
      <w:pgMar w:left="240" w:top="6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2019-12-28T13:02:17Z</dcterms:created>
  <dcterms:modified xsi:type="dcterms:W3CDTF">2019-12-28T13:02:17Z</dcterms:modified>
</cp:coreProperties>
</file>