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1"/>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TotalEnergies SE</w:t>
              </w:r>
            </w:hyperlink>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10"/>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gridSpan w:val="5"/>
            <w:vMerge w:val="restart"/>
          </w:tcPr>
          <w:p>
            <w:pPr>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340" w:type="dxa"/>
            <w:vAlign w:val="bottom"/>
          </w:tcPr>
          <w:p>
            <w:pPr>
              <w:spacing w:after="0"/>
              <w:rPr>
                <w:sz w:val="2"/>
                <w:szCs w:val="2"/>
                <w:color w:val="auto"/>
              </w:rPr>
            </w:pPr>
          </w:p>
        </w:tc>
        <w:tc>
          <w:tcPr>
            <w:tcW w:w="166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16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3"/>
            <w:vMerge w:val="continue"/>
          </w:tcPr>
          <w:p>
            <w:pPr>
              <w:spacing w:after="0"/>
              <w:rPr>
                <w:sz w:val="8"/>
                <w:szCs w:val="8"/>
                <w:color w:val="auto"/>
              </w:rPr>
            </w:pPr>
          </w:p>
        </w:tc>
        <w:tc>
          <w:tcPr>
            <w:tcW w:w="340" w:type="dxa"/>
            <w:vAlign w:val="bottom"/>
          </w:tcPr>
          <w:p>
            <w:pPr>
              <w:spacing w:after="0"/>
              <w:rPr>
                <w:sz w:val="8"/>
                <w:szCs w:val="8"/>
                <w:color w:val="auto"/>
              </w:rPr>
            </w:pPr>
          </w:p>
        </w:tc>
        <w:tc>
          <w:tcPr>
            <w:tcW w:w="16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80" w:type="dxa"/>
            <w:vAlign w:val="bottom"/>
            <w:gridSpan w:val="3"/>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660" w:type="dxa"/>
            <w:vAlign w:val="bottom"/>
            <w:gridSpan w:val="5"/>
            <w:vMerge w:val="restart"/>
          </w:tcPr>
          <w:p>
            <w:pPr>
              <w:ind w:left="4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66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6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2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5"/>
                <w:szCs w:val="15"/>
                <w:color w:val="auto"/>
              </w:rPr>
            </w:pPr>
          </w:p>
        </w:tc>
        <w:tc>
          <w:tcPr>
            <w:tcW w:w="90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80" w:type="dxa"/>
            <w:vAlign w:val="bottom"/>
            <w:gridSpan w:val="9"/>
          </w:tcPr>
          <w:p>
            <w:pPr>
              <w:ind w:left="160"/>
              <w:spacing w:after="0"/>
              <w:rPr>
                <w:sz w:val="20"/>
                <w:szCs w:val="20"/>
                <w:color w:val="auto"/>
              </w:rPr>
            </w:pPr>
            <w:r>
              <w:rPr>
                <w:rFonts w:ascii="Times New Roman" w:cs="Times New Roman" w:eastAsia="Times New Roman" w:hAnsi="Times New Roman"/>
                <w:sz w:val="17"/>
                <w:szCs w:val="17"/>
                <w:color w:val="0000FF"/>
              </w:rPr>
              <w:t>09/23/2022</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3340" w:type="dxa"/>
            <w:vAlign w:val="bottom"/>
            <w:gridSpan w:val="11"/>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0" w:type="dxa"/>
            <w:vAlign w:val="bottom"/>
            <w:gridSpan w:val="11"/>
            <w:vMerge w:val="continue"/>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34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760" w:type="dxa"/>
            <w:vAlign w:val="bottom"/>
            <w:tcBorders>
              <w:bottom w:val="single" w:sz="8" w:color="9A9A9A"/>
            </w:tcBorders>
          </w:tcPr>
          <w:p>
            <w:pPr>
              <w:spacing w:after="0"/>
              <w:rPr>
                <w:sz w:val="2"/>
                <w:szCs w:val="2"/>
                <w:color w:val="auto"/>
              </w:rPr>
            </w:pPr>
          </w:p>
        </w:tc>
        <w:tc>
          <w:tcPr>
            <w:tcW w:w="1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40" w:type="dxa"/>
            <w:vAlign w:val="bottom"/>
            <w:tcBorders>
              <w:bottom w:val="single" w:sz="8" w:color="9A9A9A"/>
            </w:tcBorders>
          </w:tcPr>
          <w:p>
            <w:pPr>
              <w:spacing w:after="0"/>
              <w:rPr>
                <w:sz w:val="2"/>
                <w:szCs w:val="2"/>
                <w:color w:val="auto"/>
              </w:rPr>
            </w:pPr>
          </w:p>
        </w:tc>
        <w:tc>
          <w:tcPr>
            <w:tcW w:w="66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gridSpan w:val="3"/>
            <w:vMerge w:val="restart"/>
          </w:tcPr>
          <w:p>
            <w:pPr>
              <w:spacing w:after="0"/>
              <w:rPr>
                <w:sz w:val="20"/>
                <w:szCs w:val="20"/>
                <w:color w:val="auto"/>
              </w:rPr>
            </w:pPr>
            <w:r>
              <w:rPr>
                <w:rFonts w:ascii="Arial" w:cs="Arial" w:eastAsia="Arial" w:hAnsi="Arial"/>
                <w:sz w:val="13"/>
                <w:szCs w:val="13"/>
                <w:color w:val="auto"/>
              </w:rPr>
              <w:t>Line)</w:t>
            </w: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gridSpan w:val="3"/>
            <w:vMerge w:val="continue"/>
          </w:tcPr>
          <w:p>
            <w:pPr>
              <w:spacing w:after="0"/>
              <w:rPr>
                <w:sz w:val="10"/>
                <w:szCs w:val="10"/>
                <w:color w:val="auto"/>
              </w:rPr>
            </w:pPr>
          </w:p>
        </w:tc>
        <w:tc>
          <w:tcPr>
            <w:tcW w:w="294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 I0</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92400</w:t>
            </w: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X</w:t>
            </w:r>
          </w:p>
        </w:tc>
        <w:tc>
          <w:tcPr>
            <w:tcW w:w="2940" w:type="dxa"/>
            <w:vAlign w:val="bottom"/>
            <w:gridSpan w:val="8"/>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2"/>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gridSpan w:val="2"/>
          </w:tcPr>
          <w:p>
            <w:pPr>
              <w:spacing w:after="0"/>
              <w:rPr>
                <w:sz w:val="10"/>
                <w:szCs w:val="10"/>
                <w:color w:val="auto"/>
              </w:rPr>
            </w:pPr>
          </w:p>
        </w:tc>
        <w:tc>
          <w:tcPr>
            <w:tcW w:w="18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2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40" w:type="dxa"/>
            <w:vAlign w:val="bottom"/>
          </w:tcPr>
          <w:p>
            <w:pPr>
              <w:spacing w:after="0"/>
              <w:rPr>
                <w:sz w:val="15"/>
                <w:szCs w:val="15"/>
                <w:color w:val="auto"/>
              </w:rPr>
            </w:pPr>
          </w:p>
        </w:tc>
        <w:tc>
          <w:tcPr>
            <w:tcW w:w="1100" w:type="dxa"/>
            <w:vAlign w:val="bottom"/>
            <w:gridSpan w:val="6"/>
          </w:tcPr>
          <w:p>
            <w:pPr>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5"/>
                <w:szCs w:val="15"/>
                <w:color w:val="auto"/>
              </w:rPr>
            </w:pPr>
          </w:p>
        </w:tc>
        <w:tc>
          <w:tcPr>
            <w:tcW w:w="16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6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and 5)</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00" w:type="dxa"/>
            <w:vAlign w:val="bottom"/>
            <w:gridSpan w:val="4"/>
            <w:vMerge w:val="restart"/>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740" w:type="dxa"/>
            <w:vAlign w:val="bottom"/>
            <w:gridSpan w:val="7"/>
            <w:vMerge w:val="restart"/>
          </w:tcPr>
          <w:p>
            <w:pPr>
              <w:jc w:val="right"/>
              <w:ind w:right="155"/>
              <w:spacing w:after="0"/>
              <w:rPr>
                <w:sz w:val="20"/>
                <w:szCs w:val="20"/>
                <w:color w:val="auto"/>
              </w:rPr>
            </w:pPr>
            <w:r>
              <w:rPr>
                <w:rFonts w:ascii="Times New Roman" w:cs="Times New Roman" w:eastAsia="Times New Roman" w:hAnsi="Times New Roman"/>
                <w:sz w:val="17"/>
                <w:szCs w:val="17"/>
                <w:color w:val="0000FF"/>
              </w:rPr>
              <w:t>09/23/2022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2,076</w:t>
            </w:r>
          </w:p>
        </w:tc>
        <w:tc>
          <w:tcPr>
            <w:tcW w:w="4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67,863</w:t>
            </w:r>
          </w:p>
        </w:tc>
        <w:tc>
          <w:tcPr>
            <w:tcW w:w="340" w:type="dxa"/>
            <w:vAlign w:val="bottom"/>
          </w:tcPr>
          <w:p>
            <w:pPr>
              <w:spacing w:after="0"/>
              <w:rPr>
                <w:sz w:val="21"/>
                <w:szCs w:val="21"/>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740" w:type="dxa"/>
            <w:vAlign w:val="bottom"/>
            <w:gridSpan w:val="7"/>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60" w:type="dxa"/>
            <w:vAlign w:val="bottom"/>
            <w:gridSpan w:val="24"/>
          </w:tcPr>
          <w:p>
            <w:pPr>
              <w:jc w:val="center"/>
              <w:ind w:right="3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40" w:type="dxa"/>
            <w:vAlign w:val="bottom"/>
            <w:gridSpan w:val="20"/>
          </w:tcPr>
          <w:p>
            <w:pPr>
              <w:jc w:val="center"/>
              <w:ind w:right="7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55"/>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4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35"/>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Owned</w:t>
            </w:r>
          </w:p>
        </w:tc>
        <w:tc>
          <w:tcPr>
            <w:tcW w:w="340" w:type="dxa"/>
            <w:vAlign w:val="bottom"/>
          </w:tcPr>
          <w:p>
            <w:pPr>
              <w:spacing w:after="0"/>
              <w:rPr>
                <w:sz w:val="11"/>
                <w:szCs w:val="11"/>
                <w:color w:val="auto"/>
              </w:rPr>
            </w:pP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gridSpan w:val="2"/>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5"/>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gridSpan w:val="4"/>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TotalEnergies SE</w:t>
              </w:r>
            </w:hyperlink>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TotalEnergies Gestion USA SARL</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TotalEnergies Holdings USA, Inc.</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-6021070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1201 LOUISIANA ST.</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t>SUITE 1800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45224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4522470"/>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TotalEnergies Delaware, Inc.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1800</w:t>
            </w:r>
          </w:p>
        </w:tc>
        <w:tc>
          <w:tcPr>
            <w:tcW w:w="1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TotalEnergies Renewables USA, LLC</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1201 LOUISIANA ST.</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SUITE 1800</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1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28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directly by Clearway Energy Group, a wholly owned subsidiary of GIP III Zephyr Acquisition Partners, L.P. ("GIP"). TotalEnergies Renewables USA, LLC holds 50% of the equity interests in Zephyr Holdings GP, LLC, which is the general partner of GIP.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As a result, each of the foregoing entities may be deemed to beneficially own the securities reported herein.</w:t>
      </w:r>
    </w:p>
    <w:p>
      <w:pPr>
        <w:spacing w:after="0" w:line="24"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disclaims beneficial ownership of the securities reported herein, except to the extent of such Reporting Person's pecuniary interest therein, and, pursuant to Rule 16a-1(a)</w:t>
      </w:r>
    </w:p>
    <w:p>
      <w:pPr>
        <w:spacing w:after="0" w:line="11" w:lineRule="exact"/>
        <w:rPr>
          <w:rFonts w:ascii="Times New Roman" w:cs="Times New Roman" w:eastAsia="Times New Roman" w:hAnsi="Times New Roman"/>
          <w:sz w:val="13"/>
          <w:szCs w:val="13"/>
          <w:color w:val="008000"/>
        </w:rPr>
      </w:pPr>
    </w:p>
    <w:p>
      <w:pPr>
        <w:ind w:left="20" w:right="28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900"/>
          </w:cols>
          <w:pgMar w:left="480" w:top="125" w:right="519" w:bottom="1440" w:gutter="0" w:footer="0" w:header="0"/>
        </w:sectPr>
      </w:pPr>
    </w:p>
    <w:p>
      <w:pPr>
        <w:spacing w:after="0" w:line="4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 SE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5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Aurelien Hamelle,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80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606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36068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GESTION USA SARL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42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Eric Bozec,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68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0683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USA,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80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Christophe Vuillez,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579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579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Executive Officer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90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9690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095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DELAWARE,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Christophe Vuillez,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15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2915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76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Marc-Antoine Pignon,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7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47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0547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09/27/2022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09/27/2022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09/27/2022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09/27/2022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09/27/2022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2">
            <w:col w:w="8700" w:space="60"/>
            <w:col w:w="2140"/>
          </w:cols>
          <w:pgMar w:left="480" w:top="125" w:right="51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25"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12" Type="http://schemas.openxmlformats.org/officeDocument/2006/relationships/hyperlink" Target="http://www.sec.gov/cgi-bin/browse-edgar?action=getcompany&amp;CIK=000087976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941906" TargetMode="External"/><Relationship Id="rId15" Type="http://schemas.openxmlformats.org/officeDocument/2006/relationships/hyperlink" Target="http://www.sec.gov/cgi-bin/browse-edgar?action=getcompany&amp;CIK=0001942439" TargetMode="External"/><Relationship Id="rId18" Type="http://schemas.openxmlformats.org/officeDocument/2006/relationships/hyperlink" Target="http://www.sec.gov/cgi-bin/browse-edgar?action=getcompany&amp;CIK=0001942500" TargetMode="External"/><Relationship Id="rId19"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2022-09-27T15:37:11Z</dcterms:created>
  <dcterms:modified xsi:type="dcterms:W3CDTF">2022-09-27T15:37:11Z</dcterms:modified>
</cp:coreProperties>
</file>