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8159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8159115"/>
                    </a:xfrm>
                    <a:prstGeom prst="rect">
                      <a:avLst/>
                    </a:prstGeom>
                    <a:noFill/>
                  </pic:spPr>
                </pic:pic>
              </a:graphicData>
            </a:graphic>
          </wp:anchor>
        </w:drawing>
      </w:r>
    </w:p>
    <w:p>
      <w:pPr>
        <w:spacing w:after="0" w:line="110" w:lineRule="exact"/>
        <w:rPr>
          <w:sz w:val="24"/>
          <w:szCs w:val="24"/>
          <w:color w:val="auto"/>
        </w:rPr>
      </w:pPr>
    </w:p>
    <w:p>
      <w:pPr>
        <w:sectPr>
          <w:pgSz w:w="11900" w:h="16881" w:orient="portrait"/>
          <w:cols w:equalWidth="0" w:num="2">
            <w:col w:w="2180" w:space="480"/>
            <w:col w:w="8420"/>
          </w:cols>
          <w:pgMar w:left="460" w:top="214"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Sotos Christopher S</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00" w:type="dxa"/>
            <w:vAlign w:val="bottom"/>
          </w:tcPr>
          <w:p>
            <w:pPr>
              <w:ind w:left="40"/>
              <w:spacing w:after="0"/>
              <w:rPr>
                <w:sz w:val="20"/>
                <w:szCs w:val="20"/>
                <w:color w:val="auto"/>
              </w:rPr>
            </w:pPr>
            <w:r>
              <w:rPr>
                <w:rFonts w:ascii="Arial" w:cs="Arial" w:eastAsia="Arial" w:hAnsi="Arial"/>
                <w:sz w:val="12"/>
                <w:szCs w:val="12"/>
                <w:color w:val="auto"/>
              </w:rPr>
              <w:t>(Last)</w:t>
            </w:r>
          </w:p>
        </w:tc>
        <w:tc>
          <w:tcPr>
            <w:tcW w:w="1140" w:type="dxa"/>
            <w:vAlign w:val="bottom"/>
          </w:tcPr>
          <w:p>
            <w:pPr>
              <w:ind w:left="160"/>
              <w:spacing w:after="0"/>
              <w:rPr>
                <w:sz w:val="20"/>
                <w:szCs w:val="20"/>
                <w:color w:val="auto"/>
              </w:rPr>
            </w:pPr>
            <w:r>
              <w:rPr>
                <w:rFonts w:ascii="Arial" w:cs="Arial" w:eastAsia="Arial" w:hAnsi="Arial"/>
                <w:sz w:val="12"/>
                <w:szCs w:val="12"/>
                <w:color w:val="auto"/>
              </w:rPr>
              <w:t>(First)</w:t>
            </w:r>
          </w:p>
        </w:tc>
        <w:tc>
          <w:tcPr>
            <w:tcW w:w="70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57"/>
        </w:trPr>
        <w:tc>
          <w:tcPr>
            <w:tcW w:w="22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CLEARWAY ENERGY, INC.</w:t>
            </w:r>
          </w:p>
        </w:tc>
        <w:tc>
          <w:tcPr>
            <w:tcW w:w="700" w:type="dxa"/>
            <w:vAlign w:val="bottom"/>
          </w:tcPr>
          <w:p>
            <w:pPr>
              <w:spacing w:after="0"/>
              <w:rPr>
                <w:sz w:val="22"/>
                <w:szCs w:val="22"/>
                <w:color w:val="auto"/>
              </w:rPr>
            </w:pPr>
          </w:p>
        </w:tc>
      </w:tr>
      <w:tr>
        <w:trPr>
          <w:trHeight w:val="249"/>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300 CARNEGIE CENTER, SUITE 300</w:t>
            </w:r>
          </w:p>
        </w:tc>
      </w:tr>
      <w:tr>
        <w:trPr>
          <w:trHeight w:val="415"/>
        </w:trPr>
        <w:tc>
          <w:tcPr>
            <w:tcW w:w="1100" w:type="dxa"/>
            <w:vAlign w:val="bottom"/>
          </w:tcPr>
          <w:p>
            <w:pPr>
              <w:spacing w:after="0"/>
              <w:rPr>
                <w:sz w:val="20"/>
                <w:szCs w:val="20"/>
                <w:color w:val="auto"/>
              </w:rPr>
            </w:pPr>
            <w:r>
              <w:rPr>
                <w:rFonts w:ascii="Arial" w:cs="Arial" w:eastAsia="Arial" w:hAnsi="Arial"/>
                <w:sz w:val="12"/>
                <w:szCs w:val="12"/>
                <w:color w:val="auto"/>
              </w:rPr>
              <w:t>(Street)</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PRINCETON</w:t>
            </w:r>
          </w:p>
        </w:tc>
        <w:tc>
          <w:tcPr>
            <w:tcW w:w="11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NJ</w:t>
            </w:r>
          </w:p>
        </w:tc>
        <w:tc>
          <w:tcPr>
            <w:tcW w:w="7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08540</w:t>
            </w:r>
          </w:p>
        </w:tc>
      </w:tr>
      <w:tr>
        <w:trPr>
          <w:trHeight w:val="452"/>
        </w:trPr>
        <w:tc>
          <w:tcPr>
            <w:tcW w:w="1100" w:type="dxa"/>
            <w:vAlign w:val="bottom"/>
          </w:tcPr>
          <w:p>
            <w:pPr>
              <w:ind w:left="40"/>
              <w:spacing w:after="0"/>
              <w:rPr>
                <w:sz w:val="20"/>
                <w:szCs w:val="20"/>
                <w:color w:val="auto"/>
              </w:rPr>
            </w:pPr>
            <w:r>
              <w:rPr>
                <w:rFonts w:ascii="Arial" w:cs="Arial" w:eastAsia="Arial" w:hAnsi="Arial"/>
                <w:sz w:val="12"/>
                <w:szCs w:val="12"/>
                <w:color w:val="auto"/>
              </w:rPr>
              <w:t>(City)</w:t>
            </w:r>
          </w:p>
        </w:tc>
        <w:tc>
          <w:tcPr>
            <w:tcW w:w="1140" w:type="dxa"/>
            <w:vAlign w:val="bottom"/>
          </w:tcPr>
          <w:p>
            <w:pPr>
              <w:ind w:left="160"/>
              <w:spacing w:after="0"/>
              <w:rPr>
                <w:sz w:val="20"/>
                <w:szCs w:val="20"/>
                <w:color w:val="auto"/>
              </w:rPr>
            </w:pPr>
            <w:r>
              <w:rPr>
                <w:rFonts w:ascii="Arial" w:cs="Arial" w:eastAsia="Arial" w:hAnsi="Arial"/>
                <w:sz w:val="12"/>
                <w:szCs w:val="12"/>
                <w:color w:val="auto"/>
              </w:rPr>
              <w:t>(State)</w:t>
            </w:r>
          </w:p>
        </w:tc>
        <w:tc>
          <w:tcPr>
            <w:tcW w:w="70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Clearway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60" w:type="dxa"/>
            <w:vAlign w:val="bottom"/>
            <w:tcBorders>
              <w:top w:val="single" w:sz="8" w:color="0000EE"/>
            </w:tcBorders>
          </w:tcPr>
          <w:p>
            <w:pPr>
              <w:spacing w:after="0"/>
              <w:rPr>
                <w:sz w:val="16"/>
                <w:szCs w:val="16"/>
                <w:color w:val="auto"/>
              </w:rPr>
            </w:pPr>
          </w:p>
        </w:tc>
        <w:tc>
          <w:tcPr>
            <w:tcW w:w="200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4"/>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9"/>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0"/>
        </w:trPr>
        <w:tc>
          <w:tcPr>
            <w:tcW w:w="1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04/15/2023</w:t>
            </w:r>
          </w:p>
        </w:tc>
        <w:tc>
          <w:tcPr>
            <w:tcW w:w="2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84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0000FF"/>
              </w:rPr>
              <w:t>PRESIDENT AND CEO</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81" w:orient="portrait"/>
          <w:cols w:equalWidth="0" w:num="2">
            <w:col w:w="3120" w:space="720"/>
            <w:col w:w="724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40" w:type="dxa"/>
            <w:vAlign w:val="bottom"/>
          </w:tcPr>
          <w:p>
            <w:pPr>
              <w:spacing w:after="0"/>
              <w:rPr>
                <w:sz w:val="12"/>
                <w:szCs w:val="12"/>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40"/>
              <w:spacing w:after="0" w:line="124" w:lineRule="exact"/>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8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2"/>
                <w:szCs w:val="12"/>
                <w:color w:val="0000FF"/>
                <w:w w:val="89"/>
              </w:rPr>
              <w:t>F</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4,514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7"/>
              </w:rPr>
              <w:t>266,582</w:t>
            </w:r>
            <w:r>
              <w:rPr>
                <w:rFonts w:ascii="Times New Roman" w:cs="Times New Roman" w:eastAsia="Times New Roman" w:hAnsi="Times New Roman"/>
                <w:sz w:val="20"/>
                <w:szCs w:val="20"/>
                <w:color w:val="008000"/>
                <w:w w:val="97"/>
                <w:vertAlign w:val="superscript"/>
              </w:rPr>
              <w:t>(2)</w:t>
            </w:r>
          </w:p>
        </w:tc>
        <w:tc>
          <w:tcPr>
            <w:tcW w:w="30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8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2"/>
                <w:szCs w:val="12"/>
                <w:color w:val="0000FF"/>
                <w:w w:val="89"/>
              </w:rPr>
              <w:t>F</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3,112</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7"/>
              </w:rPr>
              <w:t>263,470</w:t>
            </w:r>
            <w:r>
              <w:rPr>
                <w:rFonts w:ascii="Times New Roman" w:cs="Times New Roman" w:eastAsia="Times New Roman" w:hAnsi="Times New Roman"/>
                <w:sz w:val="20"/>
                <w:szCs w:val="20"/>
                <w:color w:val="008000"/>
                <w:w w:val="97"/>
                <w:vertAlign w:val="superscript"/>
              </w:rPr>
              <w:t>(4)</w:t>
            </w:r>
          </w:p>
        </w:tc>
        <w:tc>
          <w:tcPr>
            <w:tcW w:w="30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8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2"/>
                <w:szCs w:val="12"/>
                <w:color w:val="0000FF"/>
                <w:w w:val="89"/>
              </w:rPr>
              <w:t>F</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2,975</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7"/>
              </w:rPr>
              <w:t>260,495</w:t>
            </w:r>
            <w:r>
              <w:rPr>
                <w:rFonts w:ascii="Times New Roman" w:cs="Times New Roman" w:eastAsia="Times New Roman" w:hAnsi="Times New Roman"/>
                <w:sz w:val="20"/>
                <w:szCs w:val="20"/>
                <w:color w:val="008000"/>
                <w:w w:val="97"/>
                <w:vertAlign w:val="superscript"/>
              </w:rPr>
              <w:t>(6)</w:t>
            </w:r>
          </w:p>
        </w:tc>
        <w:tc>
          <w:tcPr>
            <w:tcW w:w="30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8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2"/>
                <w:szCs w:val="12"/>
                <w:color w:val="0000FF"/>
                <w:w w:val="93"/>
              </w:rPr>
              <w:t>M</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85,188</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(7)(8)</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rPr>
              <w:t>345,683</w:t>
            </w:r>
          </w:p>
        </w:tc>
        <w:tc>
          <w:tcPr>
            <w:tcW w:w="30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8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2"/>
                <w:szCs w:val="12"/>
                <w:color w:val="0000FF"/>
                <w:w w:val="93"/>
              </w:rPr>
              <w:t>M</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3,895</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rPr>
              <w:t>349,578</w:t>
            </w:r>
          </w:p>
        </w:tc>
        <w:tc>
          <w:tcPr>
            <w:tcW w:w="30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8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2"/>
                <w:szCs w:val="12"/>
                <w:color w:val="0000FF"/>
              </w:rPr>
              <w:t>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41,094</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rPr>
              <w:t>308,484</w:t>
            </w:r>
          </w:p>
        </w:tc>
        <w:tc>
          <w:tcPr>
            <w:tcW w:w="30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8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04/15/2023</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vMerge w:val="restart"/>
          </w:tcPr>
          <w:p>
            <w:pPr>
              <w:jc w:val="center"/>
              <w:ind w:right="302"/>
              <w:spacing w:after="0"/>
              <w:rPr>
                <w:sz w:val="20"/>
                <w:szCs w:val="20"/>
                <w:color w:val="auto"/>
              </w:rPr>
            </w:pPr>
            <w:r>
              <w:rPr>
                <w:rFonts w:ascii="Times New Roman" w:cs="Times New Roman" w:eastAsia="Times New Roman" w:hAnsi="Times New Roman"/>
                <w:sz w:val="12"/>
                <w:szCs w:val="12"/>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24,366</w:t>
            </w:r>
            <w:r>
              <w:rPr>
                <w:rFonts w:ascii="Times New Roman" w:cs="Times New Roman" w:eastAsia="Times New Roman" w:hAnsi="Times New Roman"/>
                <w:sz w:val="20"/>
                <w:szCs w:val="20"/>
                <w:color w:val="008000"/>
                <w:w w:val="93"/>
                <w:vertAlign w:val="superscript"/>
              </w:rPr>
              <w:t>(11)</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4"/>
              </w:rPr>
              <w:t>332,850</w:t>
            </w:r>
            <w:r>
              <w:rPr>
                <w:rFonts w:ascii="Times New Roman" w:cs="Times New Roman" w:eastAsia="Times New Roman" w:hAnsi="Times New Roman"/>
                <w:sz w:val="20"/>
                <w:szCs w:val="20"/>
                <w:color w:val="008000"/>
                <w:w w:val="94"/>
                <w:vertAlign w:val="superscript"/>
              </w:rPr>
              <w:t>(13)</w:t>
            </w:r>
          </w:p>
        </w:tc>
        <w:tc>
          <w:tcPr>
            <w:tcW w:w="30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520" w:type="dxa"/>
            <w:vAlign w:val="bottom"/>
            <w:tcBorders>
              <w:bottom w:val="single" w:sz="8" w:color="2C2C2C"/>
            </w:tcBorders>
            <w:gridSpan w:val="9"/>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20" w:type="dxa"/>
            <w:vAlign w:val="bottom"/>
            <w:gridSpan w:val="9"/>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56"/>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5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56"/>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54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jc w:val="center"/>
              <w:ind w:right="16"/>
              <w:spacing w:after="0"/>
              <w:rPr>
                <w:sz w:val="20"/>
                <w:szCs w:val="20"/>
                <w:color w:val="auto"/>
              </w:rPr>
            </w:pPr>
            <w:r>
              <w:rPr>
                <w:rFonts w:ascii="Times New Roman" w:cs="Times New Roman" w:eastAsia="Times New Roman" w:hAnsi="Times New Roman"/>
                <w:sz w:val="12"/>
                <w:szCs w:val="12"/>
                <w:color w:val="0000FF"/>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Relative</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jc w:val="center"/>
              <w:ind w:right="16"/>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(14)</w:t>
            </w: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vMerge w:val="restart"/>
          </w:tcPr>
          <w:p>
            <w:pPr>
              <w:jc w:val="center"/>
              <w:ind w:right="23"/>
              <w:spacing w:after="0" w:line="213" w:lineRule="exact"/>
              <w:rPr>
                <w:sz w:val="20"/>
                <w:szCs w:val="20"/>
                <w:color w:val="auto"/>
              </w:rPr>
            </w:pPr>
            <w:r>
              <w:rPr>
                <w:rFonts w:ascii="Times New Roman" w:cs="Times New Roman" w:eastAsia="Times New Roman" w:hAnsi="Times New Roman"/>
                <w:sz w:val="12"/>
                <w:szCs w:val="12"/>
                <w:color w:val="0000FF"/>
              </w:rPr>
              <w:t>49,580</w:t>
            </w:r>
            <w:r>
              <w:rPr>
                <w:rFonts w:ascii="Times New Roman" w:cs="Times New Roman" w:eastAsia="Times New Roman" w:hAnsi="Times New Roman"/>
                <w:sz w:val="20"/>
                <w:szCs w:val="20"/>
                <w:color w:val="008000"/>
                <w:vertAlign w:val="superscript"/>
              </w:rPr>
              <w:t>(14)</w:t>
            </w: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restart"/>
          </w:tcPr>
          <w:p>
            <w:pPr>
              <w:jc w:val="center"/>
              <w:ind w:right="16"/>
              <w:spacing w:after="0" w:line="137" w:lineRule="exact"/>
              <w:rPr>
                <w:sz w:val="20"/>
                <w:szCs w:val="20"/>
                <w:color w:val="auto"/>
              </w:rPr>
            </w:pPr>
            <w:r>
              <w:rPr>
                <w:rFonts w:ascii="Times New Roman" w:cs="Times New Roman" w:eastAsia="Times New Roman" w:hAnsi="Times New Roman"/>
                <w:sz w:val="12"/>
                <w:szCs w:val="12"/>
                <w:color w:val="0000FF"/>
                <w:w w:val="98"/>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74,370</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jc w:val="center"/>
              <w:spacing w:after="0" w:line="213" w:lineRule="exact"/>
              <w:rPr>
                <w:sz w:val="20"/>
                <w:szCs w:val="20"/>
                <w:color w:val="auto"/>
              </w:rPr>
            </w:pPr>
            <w:r>
              <w:rPr>
                <w:rFonts w:ascii="Times New Roman" w:cs="Times New Roman" w:eastAsia="Times New Roman" w:hAnsi="Times New Roman"/>
                <w:sz w:val="12"/>
                <w:szCs w:val="12"/>
                <w:color w:val="0000FF"/>
                <w:w w:val="94"/>
              </w:rPr>
              <w:t>49,580</w:t>
            </w:r>
            <w:r>
              <w:rPr>
                <w:rFonts w:ascii="Times New Roman" w:cs="Times New Roman" w:eastAsia="Times New Roman" w:hAnsi="Times New Roman"/>
                <w:sz w:val="20"/>
                <w:szCs w:val="20"/>
                <w:color w:val="008000"/>
                <w:w w:val="94"/>
                <w:vertAlign w:val="superscript"/>
              </w:rPr>
              <w:t>(15)</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40" w:type="dxa"/>
            <w:vAlign w:val="bottom"/>
            <w:vMerge w:val="continue"/>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04/15/2023</w:t>
            </w: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vMerge w:val="restart"/>
          </w:tcPr>
          <w:p>
            <w:pPr>
              <w:jc w:val="center"/>
              <w:ind w:right="282"/>
              <w:spacing w:after="0"/>
              <w:rPr>
                <w:sz w:val="20"/>
                <w:szCs w:val="20"/>
                <w:color w:val="auto"/>
              </w:rPr>
            </w:pPr>
            <w:r>
              <w:rPr>
                <w:rFonts w:ascii="Times New Roman" w:cs="Times New Roman" w:eastAsia="Times New Roman" w:hAnsi="Times New Roman"/>
                <w:sz w:val="12"/>
                <w:szCs w:val="12"/>
                <w:color w:val="0000FF"/>
                <w:w w:val="91"/>
              </w:rPr>
              <w:t>A</w:t>
            </w:r>
          </w:p>
        </w:tc>
        <w:tc>
          <w:tcPr>
            <w:tcW w:w="7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rPr>
              <w:t>04/15/2026</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04/15/2026</w:t>
            </w: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jc w:val="center"/>
              <w:ind w:right="36"/>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vMerge w:val="continue"/>
          </w:tcPr>
          <w:p>
            <w:pPr>
              <w:spacing w:after="0"/>
              <w:rPr>
                <w:sz w:val="6"/>
                <w:szCs w:val="6"/>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20" w:type="dxa"/>
            <w:vAlign w:val="bottom"/>
          </w:tcPr>
          <w:p>
            <w:pPr>
              <w:jc w:val="center"/>
              <w:ind w:right="16"/>
              <w:spacing w:after="0" w:line="76" w:lineRule="exact"/>
              <w:rPr>
                <w:sz w:val="20"/>
                <w:szCs w:val="20"/>
                <w:color w:val="auto"/>
              </w:rPr>
            </w:pPr>
            <w:r>
              <w:rPr>
                <w:rFonts w:ascii="Times New Roman" w:cs="Times New Roman" w:eastAsia="Times New Roman" w:hAnsi="Times New Roman"/>
                <w:sz w:val="8"/>
                <w:szCs w:val="8"/>
                <w:color w:val="0000FF"/>
              </w:rPr>
              <w:t>par value</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vMerge w:val="restart"/>
          </w:tcPr>
          <w:p>
            <w:pPr>
              <w:jc w:val="center"/>
              <w:ind w:right="16"/>
              <w:spacing w:after="0"/>
              <w:rPr>
                <w:sz w:val="20"/>
                <w:szCs w:val="20"/>
                <w:color w:val="auto"/>
              </w:rPr>
            </w:pPr>
            <w:r>
              <w:rPr>
                <w:rFonts w:ascii="Times New Roman" w:cs="Times New Roman" w:eastAsia="Times New Roman" w:hAnsi="Times New Roman"/>
                <w:sz w:val="12"/>
                <w:szCs w:val="12"/>
                <w:color w:val="0000FF"/>
              </w:rPr>
              <w:t>$.01 per</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16"/>
              <w:spacing w:after="0"/>
              <w:rPr>
                <w:sz w:val="20"/>
                <w:szCs w:val="20"/>
                <w:color w:val="auto"/>
              </w:rPr>
            </w:pPr>
            <w:r>
              <w:rPr>
                <w:rFonts w:ascii="Times New Roman" w:cs="Times New Roman" w:eastAsia="Times New Roman" w:hAnsi="Times New Roman"/>
                <w:sz w:val="12"/>
                <w:szCs w:val="12"/>
                <w:color w:val="0000FF"/>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jc w:val="center"/>
              <w:ind w:right="16"/>
              <w:spacing w:after="0"/>
              <w:rPr>
                <w:sz w:val="20"/>
                <w:szCs w:val="20"/>
                <w:color w:val="auto"/>
              </w:rPr>
            </w:pPr>
            <w:r>
              <w:rPr>
                <w:rFonts w:ascii="Times New Roman" w:cs="Times New Roman" w:eastAsia="Times New Roman" w:hAnsi="Times New Roman"/>
                <w:sz w:val="12"/>
                <w:szCs w:val="12"/>
                <w:color w:val="0000FF"/>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jc w:val="center"/>
              <w:ind w:right="16"/>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vMerge w:val="restart"/>
          </w:tcPr>
          <w:p>
            <w:pPr>
              <w:jc w:val="center"/>
              <w:ind w:left="42"/>
              <w:spacing w:after="0"/>
              <w:rPr>
                <w:sz w:val="20"/>
                <w:szCs w:val="20"/>
                <w:color w:val="auto"/>
              </w:rPr>
            </w:pPr>
            <w:r>
              <w:rPr>
                <w:rFonts w:ascii="Times New Roman" w:cs="Times New Roman" w:eastAsia="Times New Roman" w:hAnsi="Times New Roman"/>
                <w:sz w:val="10"/>
                <w:szCs w:val="10"/>
                <w:color w:val="008000"/>
              </w:rPr>
              <w:t>(9)</w:t>
            </w:r>
          </w:p>
        </w:tc>
        <w:tc>
          <w:tcPr>
            <w:tcW w:w="760" w:type="dxa"/>
            <w:vAlign w:val="bottom"/>
          </w:tcPr>
          <w:p>
            <w:pPr>
              <w:spacing w:after="0"/>
              <w:rPr>
                <w:sz w:val="5"/>
                <w:szCs w:val="5"/>
                <w:color w:val="auto"/>
              </w:rPr>
            </w:pPr>
          </w:p>
        </w:tc>
        <w:tc>
          <w:tcPr>
            <w:tcW w:w="620" w:type="dxa"/>
            <w:vAlign w:val="bottom"/>
            <w:vMerge w:val="restart"/>
          </w:tcPr>
          <w:p>
            <w:pPr>
              <w:jc w:val="center"/>
              <w:ind w:right="16"/>
              <w:spacing w:after="0" w:line="137" w:lineRule="exact"/>
              <w:rPr>
                <w:sz w:val="20"/>
                <w:szCs w:val="20"/>
                <w:color w:val="auto"/>
              </w:rPr>
            </w:pPr>
            <w:r>
              <w:rPr>
                <w:rFonts w:ascii="Times New Roman" w:cs="Times New Roman" w:eastAsia="Times New Roman" w:hAnsi="Times New Roman"/>
                <w:sz w:val="12"/>
                <w:szCs w:val="12"/>
                <w:color w:val="0000FF"/>
                <w:w w:val="98"/>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3,895</w:t>
            </w:r>
          </w:p>
        </w:tc>
        <w:tc>
          <w:tcPr>
            <w:tcW w:w="40" w:type="dxa"/>
            <w:vAlign w:val="bottom"/>
          </w:tcPr>
          <w:p>
            <w:pPr>
              <w:spacing w:after="0"/>
              <w:rPr>
                <w:sz w:val="5"/>
                <w:szCs w:val="5"/>
                <w:color w:val="auto"/>
              </w:rPr>
            </w:pPr>
          </w:p>
        </w:tc>
        <w:tc>
          <w:tcPr>
            <w:tcW w:w="700" w:type="dxa"/>
            <w:vAlign w:val="bottom"/>
            <w:vMerge w:val="restart"/>
          </w:tcPr>
          <w:p>
            <w:pPr>
              <w:jc w:val="center"/>
              <w:ind w:right="36"/>
              <w:spacing w:after="0"/>
              <w:rPr>
                <w:sz w:val="20"/>
                <w:szCs w:val="20"/>
                <w:color w:val="auto"/>
              </w:rPr>
            </w:pPr>
            <w:r>
              <w:rPr>
                <w:rFonts w:ascii="Times New Roman" w:cs="Times New Roman" w:eastAsia="Times New Roman" w:hAnsi="Times New Roman"/>
                <w:sz w:val="10"/>
                <w:szCs w:val="10"/>
                <w:color w:val="008000"/>
              </w:rPr>
              <w:t>(9)</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vMerge w:val="continue"/>
          </w:tcPr>
          <w:p>
            <w:pPr>
              <w:spacing w:after="0"/>
              <w:rPr>
                <w:sz w:val="6"/>
                <w:szCs w:val="6"/>
                <w:color w:val="auto"/>
              </w:rPr>
            </w:pPr>
          </w:p>
        </w:tc>
        <w:tc>
          <w:tcPr>
            <w:tcW w:w="10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04/15/2023</w:t>
            </w: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vMerge w:val="restart"/>
          </w:tcPr>
          <w:p>
            <w:pPr>
              <w:jc w:val="center"/>
              <w:ind w:right="282"/>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720" w:type="dxa"/>
            <w:vAlign w:val="bottom"/>
            <w:vMerge w:val="restart"/>
          </w:tcPr>
          <w:p>
            <w:pPr>
              <w:jc w:val="right"/>
              <w:ind w:right="163"/>
              <w:spacing w:after="0" w:line="137" w:lineRule="exact"/>
              <w:rPr>
                <w:sz w:val="20"/>
                <w:szCs w:val="20"/>
                <w:color w:val="auto"/>
              </w:rPr>
            </w:pPr>
            <w:r>
              <w:rPr>
                <w:rFonts w:ascii="Times New Roman" w:cs="Times New Roman" w:eastAsia="Times New Roman" w:hAnsi="Times New Roman"/>
                <w:sz w:val="12"/>
                <w:szCs w:val="12"/>
                <w:color w:val="0000FF"/>
              </w:rPr>
              <w:t>3,895</w:t>
            </w: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00"/>
              <w:spacing w:after="0" w:line="137" w:lineRule="exact"/>
              <w:rPr>
                <w:sz w:val="20"/>
                <w:szCs w:val="20"/>
                <w:color w:val="auto"/>
              </w:rPr>
            </w:pPr>
            <w:r>
              <w:rPr>
                <w:rFonts w:ascii="Times New Roman" w:cs="Times New Roman" w:eastAsia="Times New Roman" w:hAnsi="Times New Roman"/>
                <w:sz w:val="12"/>
                <w:szCs w:val="12"/>
                <w:color w:val="0000FF"/>
              </w:rPr>
              <w:t>04/15/2023</w:t>
            </w: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3,895</w:t>
            </w:r>
          </w:p>
        </w:tc>
        <w:tc>
          <w:tcPr>
            <w:tcW w:w="640" w:type="dxa"/>
            <w:vAlign w:val="bottom"/>
            <w:vMerge w:val="restart"/>
          </w:tcPr>
          <w:p>
            <w:pPr>
              <w:ind w:left="34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restart"/>
          </w:tcPr>
          <w:p>
            <w:pPr>
              <w:jc w:val="center"/>
              <w:ind w:right="16"/>
              <w:spacing w:after="0" w:line="137" w:lineRule="exact"/>
              <w:rPr>
                <w:sz w:val="20"/>
                <w:szCs w:val="20"/>
                <w:color w:val="auto"/>
              </w:rPr>
            </w:pPr>
            <w:r>
              <w:rPr>
                <w:rFonts w:ascii="Times New Roman" w:cs="Times New Roman" w:eastAsia="Times New Roman" w:hAnsi="Times New Roman"/>
                <w:sz w:val="12"/>
                <w:szCs w:val="12"/>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restart"/>
          </w:tcPr>
          <w:p>
            <w:pPr>
              <w:jc w:val="center"/>
              <w:ind w:right="16"/>
              <w:spacing w:after="0" w:line="137" w:lineRule="exact"/>
              <w:rPr>
                <w:sz w:val="20"/>
                <w:szCs w:val="20"/>
                <w:color w:val="auto"/>
              </w:rPr>
            </w:pPr>
            <w:r>
              <w:rPr>
                <w:rFonts w:ascii="Times New Roman" w:cs="Times New Roman" w:eastAsia="Times New Roman" w:hAnsi="Times New Roman"/>
                <w:sz w:val="12"/>
                <w:szCs w:val="12"/>
                <w:color w:val="0000FF"/>
              </w:rPr>
              <w:t>$.01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16"/>
              <w:spacing w:after="0"/>
              <w:rPr>
                <w:sz w:val="20"/>
                <w:szCs w:val="20"/>
                <w:color w:val="auto"/>
              </w:rPr>
            </w:pPr>
            <w:r>
              <w:rPr>
                <w:rFonts w:ascii="Times New Roman" w:cs="Times New Roman" w:eastAsia="Times New Roman" w:hAnsi="Times New Roman"/>
                <w:sz w:val="12"/>
                <w:szCs w:val="12"/>
                <w:color w:val="0000FF"/>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jc w:val="center"/>
              <w:ind w:right="16"/>
              <w:spacing w:after="0"/>
              <w:rPr>
                <w:sz w:val="20"/>
                <w:szCs w:val="20"/>
                <w:color w:val="auto"/>
              </w:rPr>
            </w:pPr>
            <w:r>
              <w:rPr>
                <w:rFonts w:ascii="Times New Roman" w:cs="Times New Roman" w:eastAsia="Times New Roman" w:hAnsi="Times New Roman"/>
                <w:sz w:val="12"/>
                <w:szCs w:val="12"/>
                <w:color w:val="0000FF"/>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jc w:val="center"/>
              <w:ind w:right="16"/>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104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9"/>
              </w:rPr>
              <w:t>04/15/2023</w:t>
            </w:r>
            <w:r>
              <w:rPr>
                <w:rFonts w:ascii="Times New Roman" w:cs="Times New Roman" w:eastAsia="Times New Roman" w:hAnsi="Times New Roman"/>
                <w:sz w:val="20"/>
                <w:szCs w:val="20"/>
                <w:color w:val="008000"/>
                <w:w w:val="99"/>
                <w:vertAlign w:val="superscript"/>
              </w:rPr>
              <w:t>(9)</w:t>
            </w: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vMerge w:val="restart"/>
          </w:tcPr>
          <w:p>
            <w:pPr>
              <w:jc w:val="center"/>
              <w:ind w:left="42"/>
              <w:spacing w:after="0"/>
              <w:rPr>
                <w:sz w:val="20"/>
                <w:szCs w:val="20"/>
                <w:color w:val="auto"/>
              </w:rPr>
            </w:pPr>
            <w:r>
              <w:rPr>
                <w:rFonts w:ascii="Times New Roman" w:cs="Times New Roman" w:eastAsia="Times New Roman" w:hAnsi="Times New Roman"/>
                <w:sz w:val="10"/>
                <w:szCs w:val="10"/>
                <w:color w:val="008000"/>
              </w:rPr>
              <w:t>(9)</w:t>
            </w:r>
          </w:p>
        </w:tc>
        <w:tc>
          <w:tcPr>
            <w:tcW w:w="760" w:type="dxa"/>
            <w:vAlign w:val="bottom"/>
          </w:tcPr>
          <w:p>
            <w:pPr>
              <w:spacing w:after="0"/>
              <w:rPr>
                <w:sz w:val="5"/>
                <w:szCs w:val="5"/>
                <w:color w:val="auto"/>
              </w:rPr>
            </w:pPr>
          </w:p>
        </w:tc>
        <w:tc>
          <w:tcPr>
            <w:tcW w:w="620" w:type="dxa"/>
            <w:vAlign w:val="bottom"/>
            <w:vMerge w:val="restart"/>
          </w:tcPr>
          <w:p>
            <w:pPr>
              <w:jc w:val="center"/>
              <w:ind w:right="16"/>
              <w:spacing w:after="0" w:line="137" w:lineRule="exact"/>
              <w:rPr>
                <w:sz w:val="20"/>
                <w:szCs w:val="20"/>
                <w:color w:val="auto"/>
              </w:rPr>
            </w:pPr>
            <w:r>
              <w:rPr>
                <w:rFonts w:ascii="Times New Roman" w:cs="Times New Roman" w:eastAsia="Times New Roman" w:hAnsi="Times New Roman"/>
                <w:sz w:val="12"/>
                <w:szCs w:val="12"/>
                <w:color w:val="0000FF"/>
                <w:w w:val="98"/>
              </w:rPr>
              <w:t>Stock,</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3,895</w:t>
            </w:r>
          </w:p>
        </w:tc>
        <w:tc>
          <w:tcPr>
            <w:tcW w:w="40" w:type="dxa"/>
            <w:vAlign w:val="bottom"/>
          </w:tcPr>
          <w:p>
            <w:pPr>
              <w:spacing w:after="0"/>
              <w:rPr>
                <w:sz w:val="5"/>
                <w:szCs w:val="5"/>
                <w:color w:val="auto"/>
              </w:rPr>
            </w:pPr>
          </w:p>
        </w:tc>
        <w:tc>
          <w:tcPr>
            <w:tcW w:w="700" w:type="dxa"/>
            <w:vAlign w:val="bottom"/>
            <w:vMerge w:val="restart"/>
          </w:tcPr>
          <w:p>
            <w:pPr>
              <w:jc w:val="center"/>
              <w:ind w:right="36"/>
              <w:spacing w:after="0"/>
              <w:rPr>
                <w:sz w:val="20"/>
                <w:szCs w:val="20"/>
                <w:color w:val="auto"/>
              </w:rPr>
            </w:pPr>
            <w:r>
              <w:rPr>
                <w:rFonts w:ascii="Times New Roman" w:cs="Times New Roman" w:eastAsia="Times New Roman" w:hAnsi="Times New Roman"/>
                <w:sz w:val="10"/>
                <w:szCs w:val="10"/>
                <w:color w:val="008000"/>
              </w:rPr>
              <w:t>(9)</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vMerge w:val="restart"/>
          </w:tcPr>
          <w:p>
            <w:pPr>
              <w:jc w:val="center"/>
              <w:ind w:right="282"/>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spacing w:after="0"/>
              <w:rPr>
                <w:sz w:val="6"/>
                <w:szCs w:val="6"/>
                <w:color w:val="auto"/>
              </w:rPr>
            </w:pP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w w:val="96"/>
              </w:rPr>
              <w:t>3,895</w:t>
            </w:r>
          </w:p>
        </w:tc>
        <w:tc>
          <w:tcPr>
            <w:tcW w:w="780" w:type="dxa"/>
            <w:vAlign w:val="bottom"/>
            <w:vMerge w:val="continue"/>
          </w:tcPr>
          <w:p>
            <w:pPr>
              <w:spacing w:after="0"/>
              <w:rPr>
                <w:sz w:val="6"/>
                <w:szCs w:val="6"/>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04/15/2023</w:t>
            </w: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jc w:val="center"/>
              <w:ind w:left="222"/>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6"/>
                <w:szCs w:val="6"/>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restart"/>
          </w:tcPr>
          <w:p>
            <w:pPr>
              <w:jc w:val="center"/>
              <w:ind w:right="16"/>
              <w:spacing w:after="0" w:line="137" w:lineRule="exact"/>
              <w:rPr>
                <w:sz w:val="20"/>
                <w:szCs w:val="20"/>
                <w:color w:val="auto"/>
              </w:rPr>
            </w:pPr>
            <w:r>
              <w:rPr>
                <w:rFonts w:ascii="Times New Roman" w:cs="Times New Roman" w:eastAsia="Times New Roman" w:hAnsi="Times New Roman"/>
                <w:sz w:val="12"/>
                <w:szCs w:val="12"/>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restart"/>
          </w:tcPr>
          <w:p>
            <w:pPr>
              <w:jc w:val="center"/>
              <w:ind w:right="16"/>
              <w:spacing w:after="0"/>
              <w:rPr>
                <w:sz w:val="20"/>
                <w:szCs w:val="20"/>
                <w:color w:val="auto"/>
              </w:rPr>
            </w:pPr>
            <w:r>
              <w:rPr>
                <w:rFonts w:ascii="Times New Roman" w:cs="Times New Roman" w:eastAsia="Times New Roman" w:hAnsi="Times New Roman"/>
                <w:sz w:val="12"/>
                <w:szCs w:val="12"/>
                <w:color w:val="0000FF"/>
              </w:rPr>
              <w:t>$.01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Times New Roman" w:cs="Times New Roman" w:eastAsia="Times New Roman" w:hAnsi="Times New Roman"/>
          <w:sz w:val="12"/>
          <w:szCs w:val="12"/>
          <w:color w:val="0000FF"/>
        </w:rPr>
        <w:t>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jc w:val="both"/>
        <w:ind w:left="40" w:right="280" w:hanging="3"/>
        <w:spacing w:after="0" w:line="252"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15, 2020, Mr. Sotos was issued 28,016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2023, 10,641 shares vested. Mr. Sotos elected to satisfy his tax obligation upon the exchange of common stock for RSUs having a value on the date of the exchange equal to the withholding obligation. This form reflects the surrender of 4,514 shares of Class C Common Stock to satisfy the grantee's tax withholding obligation.</w:t>
      </w:r>
    </w:p>
    <w:p>
      <w:pPr>
        <w:spacing w:after="0" w:line="17" w:lineRule="exact"/>
        <w:rPr>
          <w:rFonts w:ascii="Times New Roman" w:cs="Times New Roman" w:eastAsia="Times New Roman" w:hAnsi="Times New Roman"/>
          <w:sz w:val="12"/>
          <w:szCs w:val="12"/>
          <w:color w:val="008000"/>
        </w:rPr>
      </w:pPr>
    </w:p>
    <w:p>
      <w:pPr>
        <w:ind w:left="40" w:right="16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vesting of the RSUs described above, 1,283 DERs converted to Class C Common Stock, resulting in the reporting person holding 15,225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3" w:lineRule="exact"/>
        <w:rPr>
          <w:rFonts w:ascii="Times New Roman" w:cs="Times New Roman" w:eastAsia="Times New Roman" w:hAnsi="Times New Roman"/>
          <w:sz w:val="12"/>
          <w:szCs w:val="12"/>
          <w:color w:val="008000"/>
        </w:rPr>
      </w:pPr>
    </w:p>
    <w:p>
      <w:pPr>
        <w:jc w:val="both"/>
        <w:ind w:left="40" w:right="160" w:hanging="3"/>
        <w:spacing w:after="0" w:line="252"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15, 2021, Mr. Sotos was issued 20,233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2023, 7,334 shares vested. Mr. Sotos elected to satisfy his tax obligation upon the exchange of common stock for RSUs having a value on the date of the exchange equal to the withholding obligation. This form reflects the surrender of 3,112 shares of Class C Common Stock to satisfy the grantee's tax withholding obligation.</w:t>
      </w:r>
    </w:p>
    <w:p>
      <w:pPr>
        <w:spacing w:after="0" w:line="17"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vesting of the RSUs described above, 596 DERs converted to Class C Common Stock, resulting in the reporting person holding 14,629 dividend equivalent rights that may only be settled in</w:t>
      </w:r>
    </w:p>
    <w:p>
      <w:pPr>
        <w:sectPr>
          <w:pgSz w:w="11900" w:h="16881" w:orient="portrait"/>
          <w:cols w:equalWidth="0" w:num="1">
            <w:col w:w="11080"/>
          </w:cols>
          <w:pgMar w:left="460" w:top="214" w:right="359" w:bottom="0" w:gutter="0" w:footer="0" w:header="0"/>
          <w:type w:val="continuous"/>
        </w:sectPr>
      </w:pPr>
    </w:p>
    <w:bookmarkStart w:id="1" w:name="page2"/>
    <w:bookmarkEnd w:id="1"/>
    <w:p>
      <w:pPr>
        <w:ind w:left="3" w:right="20"/>
        <w:spacing w:after="0" w:line="281" w:lineRule="auto"/>
        <w:rPr>
          <w:sz w:val="20"/>
          <w:szCs w:val="20"/>
          <w:color w:val="auto"/>
        </w:rPr>
      </w:pPr>
      <w:r>
        <w:rPr>
          <w:rFonts w:ascii="Times New Roman" w:cs="Times New Roman" w:eastAsia="Times New Roman" w:hAnsi="Times New Roman"/>
          <w:sz w:val="12"/>
          <w:szCs w:val="12"/>
          <w:color w:val="008000"/>
        </w:rPr>
        <w:t>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jc w:val="both"/>
        <w:ind w:left="3" w:right="20" w:hanging="3"/>
        <w:spacing w:after="0" w:line="25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15, 2022, Mr. Sotos was issued 20,192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2023, 7,013 shares vested. Mr. Sotos elected to satisfy his tax obligation upon the exchange of common stock for RSUs having a value on the date of the exchange equal to the withholding obligation. This form reflects the surrender of 2,975 shares of Class C Common Stock to satisfy the grantee's tax withholding obligation.</w:t>
      </w:r>
    </w:p>
    <w:p>
      <w:pPr>
        <w:spacing w:after="0" w:line="17" w:lineRule="exact"/>
        <w:rPr>
          <w:rFonts w:ascii="Times New Roman" w:cs="Times New Roman" w:eastAsia="Times New Roman" w:hAnsi="Times New Roman"/>
          <w:sz w:val="12"/>
          <w:szCs w:val="12"/>
          <w:color w:val="008000"/>
        </w:rPr>
      </w:pPr>
    </w:p>
    <w:p>
      <w:pPr>
        <w:ind w:left="3" w:right="20" w:hanging="3"/>
        <w:spacing w:after="0" w:line="259"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vesting of the RSUs described above, 290 DERs converted to Class C Common Stock, resulting in the reporting person holding 14,339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3" w:lineRule="exact"/>
        <w:rPr>
          <w:rFonts w:ascii="Times New Roman" w:cs="Times New Roman" w:eastAsia="Times New Roman" w:hAnsi="Times New Roman"/>
          <w:sz w:val="12"/>
          <w:szCs w:val="12"/>
          <w:color w:val="008000"/>
        </w:rPr>
      </w:pPr>
    </w:p>
    <w:p>
      <w:pPr>
        <w:ind w:left="3" w:right="40" w:hanging="3"/>
        <w:spacing w:after="0" w:line="281"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Mr. Sotos was issued 56,792 Relative Performance Stock Units ("RPSUs") by Clearway Energy, Inc. (f/k/a NRG Yield, Inc.) (the "Company") under the Company's Amended and Restated 2013 Equity Incentive Plan (the "LTIP") on April 15, 2020. Based on the Company reaching a certain level of total shareholder return ("TSR"), 85,188 RPSUs vested on April 15, 2023.</w:t>
      </w:r>
    </w:p>
    <w:p>
      <w:pPr>
        <w:ind w:left="3" w:hanging="3"/>
        <w:spacing w:after="0" w:line="248"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Mr. Sotos was entitled to receive (i) a maximum of 85,188 shares of Class C Common Stock if Company's TSR ranked at or above the 75th percentile relative to a peer group of companies approved by the Company's Compensation Committee (the "Peer Group") for the performance period (the "Maximum"); (ii) 56,792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14,198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0" w:lineRule="exact"/>
        <w:rPr>
          <w:rFonts w:ascii="Times New Roman" w:cs="Times New Roman" w:eastAsia="Times New Roman" w:hAnsi="Times New Roman"/>
          <w:sz w:val="12"/>
          <w:szCs w:val="12"/>
          <w:color w:val="008000"/>
        </w:rPr>
      </w:pPr>
    </w:p>
    <w:p>
      <w:pPr>
        <w:ind w:left="3" w:hanging="3"/>
        <w:spacing w:after="0" w:line="253"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vesting of the RPSUs described above, a previously accrued 7,790 dividend equivalent rights ("DERs") and an incremental 3,895 DERs vested and converted to Class C Common Stock resulting in the reporting person holding 6,549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160" w:lineRule="exact"/>
        <w:rPr>
          <w:rFonts w:ascii="Times New Roman" w:cs="Times New Roman" w:eastAsia="Times New Roman" w:hAnsi="Times New Roman"/>
          <w:sz w:val="12"/>
          <w:szCs w:val="12"/>
          <w:color w:val="008000"/>
        </w:rPr>
      </w:pPr>
    </w:p>
    <w:p>
      <w:pPr>
        <w:ind w:left="3" w:right="340" w:hanging="3"/>
        <w:spacing w:after="0" w:line="281"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Mr. Sotos elected to satisfy his tax obligation upon the exchange of common stock for RPSUs having a value on the date of the exchange equal to the withholding obligation. This form reflects the surrender of 41,094 shares of Class C Common Stock to satisfy the grantee's tax withholding obligation.</w:t>
      </w:r>
    </w:p>
    <w:p>
      <w:pPr>
        <w:ind w:left="183" w:hanging="183"/>
        <w:spacing w:after="0"/>
        <w:tabs>
          <w:tab w:leader="none" w:pos="18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issued to Mr. Sotos under the LTIP.</w:t>
      </w:r>
    </w:p>
    <w:p>
      <w:pPr>
        <w:spacing w:after="0" w:line="48" w:lineRule="exact"/>
        <w:rPr>
          <w:rFonts w:ascii="Times New Roman" w:cs="Times New Roman" w:eastAsia="Times New Roman" w:hAnsi="Times New Roman"/>
          <w:sz w:val="12"/>
          <w:szCs w:val="12"/>
          <w:color w:val="008000"/>
        </w:rPr>
      </w:pPr>
    </w:p>
    <w:p>
      <w:pPr>
        <w:ind w:left="183" w:hanging="183"/>
        <w:spacing w:after="0"/>
        <w:tabs>
          <w:tab w:leader="none" w:pos="18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is equivalent in value to one share of Clearway Energy, Inc.'s Class C Common Stock, par value $.01 per share.</w:t>
      </w:r>
    </w:p>
    <w:p>
      <w:pPr>
        <w:spacing w:after="0" w:line="48" w:lineRule="exact"/>
        <w:rPr>
          <w:rFonts w:ascii="Times New Roman" w:cs="Times New Roman" w:eastAsia="Times New Roman" w:hAnsi="Times New Roman"/>
          <w:sz w:val="12"/>
          <w:szCs w:val="12"/>
          <w:color w:val="008000"/>
        </w:rPr>
      </w:pPr>
    </w:p>
    <w:p>
      <w:pPr>
        <w:ind w:left="3" w:right="100" w:hanging="3"/>
        <w:spacing w:after="0" w:line="281"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will receive from Clearway Energy, Inc. one such share of Class C Common Stock for each RSU that will vest ratably over a three-year period beginning on the first anniversary of the date of the grant.</w:t>
      </w:r>
    </w:p>
    <w:p>
      <w:pPr>
        <w:jc w:val="both"/>
        <w:ind w:left="3" w:right="80" w:hanging="3"/>
        <w:spacing w:after="0" w:line="259"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issued 49,580 Relative Performance Stock Units ("RPSUs") by Clearway Energy, Inc. under the LTIP on April 15, 2023. The RPSUs will convert to shares of Clearway Energy, Inc. Class C Common Stock on April 15, 2026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3" w:lineRule="exact"/>
        <w:rPr>
          <w:rFonts w:ascii="Times New Roman" w:cs="Times New Roman" w:eastAsia="Times New Roman" w:hAnsi="Times New Roman"/>
          <w:sz w:val="12"/>
          <w:szCs w:val="12"/>
          <w:color w:val="008000"/>
        </w:rPr>
      </w:pPr>
    </w:p>
    <w:p>
      <w:pPr>
        <w:ind w:left="3" w:right="140" w:hanging="3"/>
        <w:spacing w:after="0" w:line="248"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Reporting Person will receive (i) a maximum of 74,370 shares of Class C Common Stock if Company's TSR is ranked at or above the 75th percentile relative to a peer group of companies approved by the Company's Compensation Committee (the "Peer Group") for the performance period ("Maximum"); (ii) 49,580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12,395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36" w:lineRule="exact"/>
        <w:rPr>
          <w:sz w:val="20"/>
          <w:szCs w:val="20"/>
          <w:color w:val="auto"/>
        </w:rPr>
      </w:pPr>
    </w:p>
    <w:tbl>
      <w:tblPr>
        <w:tblLayout w:type="fixed"/>
        <w:tblInd w:w="6563" w:type="dxa"/>
        <w:tblCellMar>
          <w:top w:w="0" w:type="dxa"/>
          <w:left w:w="0" w:type="dxa"/>
          <w:bottom w:w="0" w:type="dxa"/>
          <w:right w:w="0" w:type="dxa"/>
        </w:tblCellMar>
      </w:tblPr>
      <w:tr>
        <w:trPr>
          <w:trHeight w:val="184"/>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Kevin P. Malcarney,</w:t>
            </w:r>
          </w:p>
        </w:tc>
        <w:tc>
          <w:tcPr>
            <w:tcW w:w="7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04/18/2023</w:t>
            </w:r>
          </w:p>
        </w:tc>
        <w:tc>
          <w:tcPr>
            <w:tcW w:w="0" w:type="dxa"/>
            <w:vAlign w:val="bottom"/>
          </w:tcPr>
          <w:p>
            <w:pPr>
              <w:spacing w:after="0"/>
              <w:rPr>
                <w:sz w:val="1"/>
                <w:szCs w:val="1"/>
                <w:color w:val="auto"/>
              </w:rPr>
            </w:pPr>
          </w:p>
        </w:tc>
      </w:tr>
      <w:tr>
        <w:trPr>
          <w:trHeight w:val="84"/>
        </w:trPr>
        <w:tc>
          <w:tcPr>
            <w:tcW w:w="1080" w:type="dxa"/>
            <w:vAlign w:val="bottom"/>
            <w:vMerge w:val="restart"/>
          </w:tcPr>
          <w:p>
            <w:pPr>
              <w:spacing w:after="0" w:line="179" w:lineRule="exact"/>
              <w:rPr>
                <w:sz w:val="20"/>
                <w:szCs w:val="20"/>
                <w:color w:val="auto"/>
              </w:rPr>
            </w:pPr>
            <w:r>
              <w:rPr>
                <w:rFonts w:ascii="Times New Roman" w:cs="Times New Roman" w:eastAsia="Times New Roman" w:hAnsi="Times New Roman"/>
                <w:sz w:val="16"/>
                <w:szCs w:val="16"/>
                <w:color w:val="0000FF"/>
                <w:w w:val="98"/>
              </w:rPr>
              <w:t>Attorney-in-Fact</w:t>
            </w:r>
          </w:p>
        </w:tc>
        <w:tc>
          <w:tcPr>
            <w:tcW w:w="112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080" w:type="dxa"/>
            <w:vAlign w:val="bottom"/>
            <w:tcBorders>
              <w:bottom w:val="single" w:sz="8" w:color="auto"/>
            </w:tcBorders>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720" w:hanging="3"/>
        <w:spacing w:after="0" w:line="32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3"/>
      </w:cols>
      <w:pgMar w:left="497"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2023-04-18T17:59:03Z</dcterms:created>
  <dcterms:modified xsi:type="dcterms:W3CDTF">2023-04-18T17:59:03Z</dcterms:modified>
</cp:coreProperties>
</file>