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Plotkin Chad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NRG Yield,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NYLD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06/01/2018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6"/>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8"/>
                <w:szCs w:val="18"/>
                <w:color w:val="0000FF"/>
              </w:rPr>
              <w:t>06/01/2018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704</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0000FF"/>
              </w:rPr>
              <w:t>25,408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2,719 dividend equivalent rights that may only be settled in Class C Common Stock.</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Brian Curci, by Power of</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06/05/2018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2019-12-08T05:38:12Z</dcterms:created>
  <dcterms:modified xsi:type="dcterms:W3CDTF">2019-12-08T05:38:12Z</dcterms:modified>
</cp:coreProperties>
</file>