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8014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01497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58"/>
        <w:spacing w:after="0"/>
        <w:rPr>
          <w:sz w:val="20"/>
          <w:szCs w:val="20"/>
          <w:color w:val="auto"/>
        </w:rPr>
      </w:pPr>
      <w:r>
        <w:rPr>
          <w:rFonts w:ascii="Times New Roman" w:cs="Times New Roman" w:eastAsia="Times New Roman" w:hAnsi="Times New Roman"/>
          <w:sz w:val="16"/>
          <w:szCs w:val="16"/>
          <w:color w:val="0000FF"/>
        </w:rPr>
        <w:t>EVP, GEN COUNSEL AND CORP SECR</w:t>
      </w:r>
    </w:p>
    <w:p>
      <w:pPr>
        <w:spacing w:after="0" w:line="405" w:lineRule="exact"/>
        <w:rPr>
          <w:sz w:val="24"/>
          <w:szCs w:val="24"/>
          <w:color w:val="auto"/>
        </w:rPr>
      </w:pPr>
    </w:p>
    <w:p>
      <w:pPr>
        <w:sectPr>
          <w:pgSz w:w="11900" w:h="1683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72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895</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80,173</w:t>
            </w:r>
            <w:r>
              <w:rPr>
                <w:rFonts w:ascii="Times New Roman" w:cs="Times New Roman" w:eastAsia="Times New Roman" w:hAnsi="Times New Roman"/>
                <w:sz w:val="21"/>
                <w:szCs w:val="21"/>
                <w:color w:val="008000"/>
                <w:w w:val="91"/>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869</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79,304</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1,368</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77,936</w:t>
            </w:r>
            <w:r>
              <w:rPr>
                <w:rFonts w:ascii="Times New Roman" w:cs="Times New Roman" w:eastAsia="Times New Roman" w:hAnsi="Times New Roman"/>
                <w:sz w:val="21"/>
                <w:szCs w:val="21"/>
                <w:color w:val="008000"/>
                <w:w w:val="91"/>
                <w:vertAlign w:val="superscript"/>
              </w:rPr>
              <w:t>(6)</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2,952</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(7)(8)</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80,888</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2,876</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78,012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246</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77,766</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7"/>
                <w:szCs w:val="17"/>
                <w:color w:val="0000FF"/>
                <w:w w:val="90"/>
              </w:rPr>
              <w:t>6,234</w:t>
            </w:r>
            <w:r>
              <w:rPr>
                <w:rFonts w:ascii="Times New Roman" w:cs="Times New Roman" w:eastAsia="Times New Roman" w:hAnsi="Times New Roman"/>
                <w:sz w:val="21"/>
                <w:szCs w:val="21"/>
                <w:color w:val="008000"/>
                <w:w w:val="90"/>
                <w:vertAlign w:val="superscript"/>
              </w:rPr>
              <w:t>(12)</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84,000</w:t>
            </w:r>
            <w:r>
              <w:rPr>
                <w:rFonts w:ascii="Times New Roman" w:cs="Times New Roman" w:eastAsia="Times New Roman" w:hAnsi="Times New Roman"/>
                <w:sz w:val="21"/>
                <w:szCs w:val="21"/>
                <w:color w:val="008000"/>
                <w:w w:val="91"/>
                <w:vertAlign w:val="superscript"/>
              </w:rPr>
              <w:t>(14)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12"/>
          </w:tcPr>
          <w:p>
            <w:pPr>
              <w:jc w:val="right"/>
              <w:ind w:right="1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(15)</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9,351</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60"/>
              <w:spacing w:after="0" w:line="206" w:lineRule="exact"/>
              <w:rPr>
                <w:sz w:val="20"/>
                <w:szCs w:val="20"/>
                <w:color w:val="auto"/>
              </w:rPr>
            </w:pPr>
            <w:r>
              <w:rPr>
                <w:rFonts w:ascii="Times New Roman" w:cs="Times New Roman" w:eastAsia="Times New Roman" w:hAnsi="Times New Roman"/>
                <w:sz w:val="13"/>
                <w:szCs w:val="13"/>
                <w:color w:val="0000FF"/>
              </w:rPr>
              <w:t>6,234</w:t>
            </w:r>
            <w:r>
              <w:rPr>
                <w:rFonts w:ascii="Times New Roman" w:cs="Times New Roman" w:eastAsia="Times New Roman" w:hAnsi="Times New Roman"/>
                <w:sz w:val="21"/>
                <w:szCs w:val="21"/>
                <w:color w:val="008000"/>
                <w:vertAlign w:val="superscript"/>
              </w:rPr>
              <w:t>(16)</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6,234</w:t>
            </w:r>
          </w:p>
        </w:tc>
        <w:tc>
          <w:tcPr>
            <w:tcW w:w="340" w:type="dxa"/>
            <w:vAlign w:val="bottom"/>
          </w:tcPr>
          <w:p>
            <w:pPr>
              <w:spacing w:after="0"/>
              <w:rPr>
                <w:sz w:val="6"/>
                <w:szCs w:val="6"/>
                <w:color w:val="auto"/>
              </w:rPr>
            </w:pPr>
          </w:p>
        </w:tc>
        <w:tc>
          <w:tcPr>
            <w:tcW w:w="78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70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(17)</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9,349</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60"/>
              <w:spacing w:after="0" w:line="206" w:lineRule="exact"/>
              <w:rPr>
                <w:sz w:val="20"/>
                <w:szCs w:val="20"/>
                <w:color w:val="auto"/>
              </w:rPr>
            </w:pPr>
            <w:r>
              <w:rPr>
                <w:rFonts w:ascii="Times New Roman" w:cs="Times New Roman" w:eastAsia="Times New Roman" w:hAnsi="Times New Roman"/>
                <w:sz w:val="13"/>
                <w:szCs w:val="13"/>
                <w:color w:val="0000FF"/>
              </w:rPr>
              <w:t>6,233</w:t>
            </w:r>
            <w:r>
              <w:rPr>
                <w:rFonts w:ascii="Times New Roman" w:cs="Times New Roman" w:eastAsia="Times New Roman" w:hAnsi="Times New Roman"/>
                <w:sz w:val="21"/>
                <w:szCs w:val="21"/>
                <w:color w:val="008000"/>
                <w:vertAlign w:val="superscript"/>
              </w:rPr>
              <w:t>(18)</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6,233</w:t>
            </w:r>
          </w:p>
        </w:tc>
        <w:tc>
          <w:tcPr>
            <w:tcW w:w="340" w:type="dxa"/>
            <w:vAlign w:val="bottom"/>
          </w:tcPr>
          <w:p>
            <w:pPr>
              <w:spacing w:after="0"/>
              <w:rPr>
                <w:sz w:val="6"/>
                <w:szCs w:val="6"/>
                <w:color w:val="auto"/>
              </w:rPr>
            </w:pPr>
          </w:p>
        </w:tc>
        <w:tc>
          <w:tcPr>
            <w:tcW w:w="78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70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center"/>
              <w:ind w:right="88"/>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60"/>
        <w:spacing w:after="0"/>
        <w:rPr>
          <w:sz w:val="20"/>
          <w:szCs w:val="20"/>
          <w:color w:val="auto"/>
        </w:rPr>
      </w:pPr>
      <w:r>
        <w:rPr>
          <w:rFonts w:ascii="Times New Roman" w:cs="Times New Roman" w:eastAsia="Times New Roman" w:hAnsi="Times New Roman"/>
          <w:sz w:val="13"/>
          <w:szCs w:val="13"/>
          <w:color w:val="0000FF"/>
        </w:rPr>
        <w:t>share</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Mr. Malcarney was issued 4,819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2025, 1,897 shares vested. Mr. Malcarney elected to satisfy his tax obligation upon the exchange of common stock for RSUs having a value on the date of the exchange equal to the withholding obligation. This form reflects the surrender of 895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287 DERs converted to Class C Common Stock, resulting in the reporting person holding 4,991 dividend equivalent rights that may only be settled</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3"/>
          <w:szCs w:val="13"/>
          <w:color w:val="008000"/>
        </w:rPr>
        <w:t>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8" w:lineRule="exact"/>
        <w:rPr>
          <w:sz w:val="20"/>
          <w:szCs w:val="20"/>
          <w:color w:val="auto"/>
        </w:rPr>
      </w:pPr>
    </w:p>
    <w:p>
      <w:pPr>
        <w:jc w:val="both"/>
        <w:ind w:right="80" w:firstLine="2"/>
        <w:spacing w:after="0" w:line="23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2023, Mr. Malcarney was issued 5,391 RSUs under the LTIP. These RSUs vest ratably over a three-year period beginning on the first anniversary of the date of the grant. Each RSU is equivalent in value to one share of Class C Common Stock of Clearway Energy Inc., par value $.01 per share. On April 15, 2025, 1,847 shares vested. Mr. Malcarney elected to satisfy his tax obligation upon the exchange of common stock for RSUs having a value on the date of the exchange equal to the withholding obligation. This form reflects the surrender of 869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212 DERs converted to Class C Common Stock, resulting in the reporting person holding 4,779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jc w:val="both"/>
        <w:ind w:right="80" w:firstLine="2"/>
        <w:spacing w:after="0" w:line="23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2024, Mr. Malcarney was issued 7,859 RSUs under the LTIP. These RSUs vest ratably over a three-year period beginning on the first anniversary of the date of the grant. Each RSU is equivalent in value to one share of Class C Common Stock of Clearway Energy Inc., par value $.01 per share. On April 15, 2025, 2,777 shares vested. Mr. Malcarney elected to satisfy his tax obligation upon the exchange of common stock for RSUs having a value on the date of the exchange equal to the withholding obligation. This form reflects the surrender of 1,368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160 DERs converted to Class C Common Stock, resulting in the reporting person holding 4,619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260" w:firstLine="2"/>
        <w:spacing w:after="0" w:line="254"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issued 9,453 Relative Performance Stock Units ("RPSUs") under the LTIP on April 15, 2022. Based on the Company reaching a certain level of total shareholder return ("TSR"), 2,952 RPSUs vested on April 15, 2025.</w:t>
      </w:r>
    </w:p>
    <w:p>
      <w:pPr>
        <w:spacing w:after="0" w:line="18" w:lineRule="exact"/>
        <w:rPr>
          <w:rFonts w:ascii="Times New Roman" w:cs="Times New Roman" w:eastAsia="Times New Roman" w:hAnsi="Times New Roman"/>
          <w:sz w:val="13"/>
          <w:szCs w:val="13"/>
          <w:color w:val="008000"/>
        </w:rPr>
      </w:pPr>
    </w:p>
    <w:p>
      <w:pPr>
        <w:ind w:right="140" w:firstLine="2"/>
        <w:spacing w:after="0" w:line="23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entitled to receive (i) a maximum of 14,179 shares of Class C Common Stock if Company's TSR ranked at or above the 75th percentile relative to a peer group of companies approved by the Company's Compensation Committee (the "Peer Group") for the performance period (the "Maximum"); (ii) 9,453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2,363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7" w:lineRule="exact"/>
        <w:rPr>
          <w:rFonts w:ascii="Times New Roman" w:cs="Times New Roman" w:eastAsia="Times New Roman" w:hAnsi="Times New Roman"/>
          <w:sz w:val="13"/>
          <w:szCs w:val="13"/>
          <w:color w:val="008000"/>
        </w:rPr>
      </w:pPr>
    </w:p>
    <w:p>
      <w:pPr>
        <w:ind w:right="420" w:firstLine="2"/>
        <w:spacing w:after="0" w:line="254"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elected to satisfy his tax obligation upon the exchange of common stock for RPSUs having a value on the date of the exchange equal to the withholding obligation. This form reflects the surrender of 1,713 shares of Class C Common Stock to satisfy the grantee's tax withholding obligation. Additionally, 1,163 DERs were cancelled due to RPSU performance.</w:t>
      </w:r>
    </w:p>
    <w:p>
      <w:pPr>
        <w:spacing w:after="0" w:line="18" w:lineRule="exact"/>
        <w:rPr>
          <w:rFonts w:ascii="Times New Roman" w:cs="Times New Roman" w:eastAsia="Times New Roman" w:hAnsi="Times New Roman"/>
          <w:sz w:val="13"/>
          <w:szCs w:val="13"/>
          <w:color w:val="008000"/>
        </w:rPr>
      </w:pPr>
    </w:p>
    <w:p>
      <w:pPr>
        <w:ind w:right="180" w:firstLine="2"/>
        <w:spacing w:after="0" w:line="271" w:lineRule="auto"/>
        <w:tabs>
          <w:tab w:leader="none" w:pos="19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RPSUs described above, a previously accrued 527 dividend equivalent rights ("DERs") converted to Class C Common Stock resulting in the reporting person holding 4,092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8" w:lineRule="exact"/>
        <w:rPr>
          <w:rFonts w:ascii="Times New Roman" w:cs="Times New Roman" w:eastAsia="Times New Roman" w:hAnsi="Times New Roman"/>
          <w:sz w:val="12"/>
          <w:szCs w:val="12"/>
          <w:color w:val="008000"/>
        </w:rPr>
      </w:pPr>
    </w:p>
    <w:p>
      <w:pPr>
        <w:ind w:right="60" w:firstLine="2"/>
        <w:spacing w:after="0" w:line="237" w:lineRule="auto"/>
        <w:tabs>
          <w:tab w:leader="none" w:pos="18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(RSU) awards become eligible for continued vesting after a participant's Retirement, as defined in the LTIP, provided the award has been outstanding for one year. On April 15, 2025, Mr. Malcarney's RSUs granted on April 15, 2024 became eligible for continued vesting pursuant to the award agreement in the event Mr. Malcarney retires. Mr. Malcarney elected to satisfy his tax obligation upon the exchange of common stock for RSUs having a value on the date of the exchange equal to the withholding obligation associated with his eligibility for continued vesting of outstanding RSUs. This form reflects the surrender of 246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Malcarney under the LTIP.</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3" w:lineRule="exact"/>
        <w:rPr>
          <w:rFonts w:ascii="Times New Roman" w:cs="Times New Roman" w:eastAsia="Times New Roman" w:hAnsi="Times New Roman"/>
          <w:sz w:val="13"/>
          <w:szCs w:val="13"/>
          <w:color w:val="008000"/>
        </w:rPr>
      </w:pPr>
    </w:p>
    <w:p>
      <w:pPr>
        <w:ind w:right="80" w:firstLine="2"/>
        <w:spacing w:after="0" w:line="254"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8" w:lineRule="exact"/>
        <w:rPr>
          <w:rFonts w:ascii="Times New Roman" w:cs="Times New Roman" w:eastAsia="Times New Roman" w:hAnsi="Times New Roman"/>
          <w:sz w:val="13"/>
          <w:szCs w:val="13"/>
          <w:color w:val="008000"/>
        </w:rPr>
      </w:pPr>
    </w:p>
    <w:p>
      <w:pPr>
        <w:jc w:val="both"/>
        <w:ind w:firstLine="2"/>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6,234 Relative Performance Stock Units ("RPSUs") by Clearway Energy, Inc. under the LTIP on April 15, 2025. The RPSUs will convert to shares of Clearway Energy, Inc. Class C Common Stock on April 15, 2028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line="235"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9,351 shares of Class C Common Stock if Company's TSR is ranked at or above the 75th percentile relative to a peer group of companies approved by the Company's Compensation Committee (the "Peer Group") for the performance period ("Maximum"); (ii) 6,234 shares of Class C Common Stock if Company's TSR is ranked at the 50th percentile relative to the Peer Group for the performance period (the "Target"); or (iii) 1,558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6,234 shares of Class C Common Stock. The Reporting Person will not receive any shares of Common Stock if Company's TSR is below the 25th percentile.</w:t>
      </w:r>
    </w:p>
    <w:p>
      <w:pPr>
        <w:spacing w:after="0" w:line="27" w:lineRule="exact"/>
        <w:rPr>
          <w:rFonts w:ascii="Times New Roman" w:cs="Times New Roman" w:eastAsia="Times New Roman" w:hAnsi="Times New Roman"/>
          <w:sz w:val="13"/>
          <w:szCs w:val="13"/>
          <w:color w:val="008000"/>
        </w:rPr>
      </w:pPr>
    </w:p>
    <w:p>
      <w:pPr>
        <w:ind w:right="40" w:firstLine="2"/>
        <w:spacing w:after="0" w:line="237"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6,233 CAFD (Cash Available For Distribution) Performance Stock Units ("CPSUs") by Clearway Energy, Inc. under the LTIP on April 15, 2025. The CPSUs will convert to shares of Clearway Energy, Inc. Class C Common Stock on April 15, 2028, only in the event the Company has achieved a certain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9,349 shares of Class C Common Stock if Company's CAFD Per Share is at or above $2.46 for the performance period ("Maximum"); (ii) 6,233 shares of Class C Common Stock if the Company's CAFD Per Share is $2.33; or (iii) 1,558 shares of Common Stock if Company's CAFD Per Share is $2.18 (the "Threshold"). The Reporting Person will not receive any shares of Class C Common Stock if the Company's CAFD Per Share is below $2.18.</w:t>
      </w:r>
    </w:p>
    <w:p>
      <w:pPr>
        <w:spacing w:after="0" w:line="3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/s/ Kevin P. Malcarney</w:t>
            </w:r>
          </w:p>
        </w:tc>
        <w:tc>
          <w:tcPr>
            <w:tcW w:w="66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04/17/2025</w:t>
            </w: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2"/>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2025-04-17T17:00:46Z</dcterms:created>
  <dcterms:modified xsi:type="dcterms:W3CDTF">2025-04-17T17:00:46Z</dcterms:modified>
</cp:coreProperties>
</file>