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More Daniel B.</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tcPr>
          <w:p>
            <w:pPr>
              <w:ind w:left="120"/>
              <w:spacing w:after="0"/>
              <w:rPr>
                <w:sz w:val="20"/>
                <w:szCs w:val="20"/>
                <w:color w:val="auto"/>
              </w:rPr>
            </w:pPr>
            <w:r>
              <w:rPr>
                <w:rFonts w:ascii="Arial" w:cs="Arial" w:eastAsia="Arial" w:hAnsi="Arial"/>
                <w:sz w:val="14"/>
                <w:szCs w:val="14"/>
                <w:color w:val="auto"/>
              </w:rPr>
              <w:t>(First)</w:t>
            </w:r>
          </w:p>
        </w:tc>
        <w:tc>
          <w:tcPr>
            <w:tcW w:w="136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0000FF"/>
                <w:w w:val="99"/>
              </w:rPr>
              <w:t>CLEARWAY ENERGY, INC.</w:t>
            </w:r>
          </w:p>
        </w:tc>
        <w:tc>
          <w:tcPr>
            <w:tcW w:w="13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300 CARNEGIE CENTER, SUITE 300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PRINCETON</w:t>
            </w:r>
          </w:p>
        </w:tc>
        <w:tc>
          <w:tcPr>
            <w:tcW w:w="1160" w:type="dxa"/>
            <w:vAlign w:val="bottom"/>
          </w:tcPr>
          <w:p>
            <w:pPr>
              <w:ind w:left="120"/>
              <w:spacing w:after="0"/>
              <w:rPr>
                <w:sz w:val="20"/>
                <w:szCs w:val="20"/>
                <w:color w:val="auto"/>
              </w:rPr>
            </w:pPr>
            <w:r>
              <w:rPr>
                <w:rFonts w:ascii="Arial" w:cs="Arial" w:eastAsia="Arial" w:hAnsi="Arial"/>
                <w:sz w:val="18"/>
                <w:szCs w:val="18"/>
                <w:color w:val="0000FF"/>
              </w:rPr>
              <w:t>NJ</w:t>
            </w:r>
          </w:p>
        </w:tc>
        <w:tc>
          <w:tcPr>
            <w:tcW w:w="1360" w:type="dxa"/>
            <w:vAlign w:val="bottom"/>
          </w:tcPr>
          <w:p>
            <w:pPr>
              <w:ind w:left="18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120"/>
              <w:spacing w:after="0"/>
              <w:rPr>
                <w:sz w:val="20"/>
                <w:szCs w:val="20"/>
                <w:color w:val="auto"/>
              </w:rPr>
            </w:pPr>
            <w:r>
              <w:rPr>
                <w:rFonts w:ascii="Arial" w:cs="Arial" w:eastAsia="Arial" w:hAnsi="Arial"/>
                <w:sz w:val="14"/>
                <w:szCs w:val="14"/>
                <w:color w:val="auto"/>
              </w:rPr>
              <w:t>(State)</w:t>
            </w:r>
          </w:p>
        </w:tc>
        <w:tc>
          <w:tcPr>
            <w:tcW w:w="136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11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4,646</w:t>
            </w:r>
            <w:r>
              <w:rPr>
                <w:rFonts w:ascii="Arial" w:cs="Arial" w:eastAsia="Arial" w:hAnsi="Arial"/>
                <w:sz w:val="22"/>
                <w:szCs w:val="22"/>
                <w:color w:val="008000"/>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22"/>
                <w:szCs w:val="22"/>
                <w:color w:val="auto"/>
              </w:rPr>
            </w:pPr>
          </w:p>
        </w:tc>
        <w:tc>
          <w:tcPr>
            <w:tcW w:w="118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46,043</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11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0000FF"/>
              </w:rPr>
              <w:t>604</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22"/>
                <w:szCs w:val="22"/>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8"/>
                <w:szCs w:val="18"/>
                <w:color w:val="0000FF"/>
              </w:rPr>
              <w:t>46,647</w:t>
            </w:r>
            <w:r>
              <w:rPr>
                <w:rFonts w:ascii="Arial" w:cs="Arial" w:eastAsia="Arial" w:hAnsi="Arial"/>
                <w:sz w:val="22"/>
                <w:szCs w:val="22"/>
                <w:color w:val="008000"/>
                <w:vertAlign w:val="superscript"/>
              </w:rPr>
              <w:t>(4)</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gridSpan w:val="10"/>
          </w:tcPr>
          <w:p>
            <w:pPr>
              <w:jc w:val="center"/>
              <w:ind w:right="9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4,646 Deferred Stock Units issued to the Reporting Person by Clearway Energy, Inc. under Clearway Energy, Inc.'s Amended and Restated 2013 Equity Incentive Plan.</w:t>
      </w:r>
    </w:p>
    <w:p>
      <w:pPr>
        <w:spacing w:after="0" w:line="64" w:lineRule="exact"/>
        <w:rPr>
          <w:rFonts w:ascii="Arial" w:cs="Arial" w:eastAsia="Arial" w:hAnsi="Arial"/>
          <w:sz w:val="12"/>
          <w:szCs w:val="12"/>
          <w:color w:val="008000"/>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3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5,475 dividend equivalent rights that may only be settled in Class C Common Stock.</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Kevin P. Malcarney,</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06/05/2023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vMerge w:val="restart"/>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2023-06-05T15:56:29Z</dcterms:created>
  <dcterms:modified xsi:type="dcterms:W3CDTF">2023-06-05T15:56:29Z</dcterms:modified>
</cp:coreProperties>
</file>