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23"/>
          <w:szCs w:val="23"/>
          <w:b w:val="1"/>
          <w:bCs w:val="1"/>
          <w:color w:val="auto"/>
        </w:rPr>
        <w:t>Washington, D.C. 20549</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SCHEDULE 13G</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(Amendment No. 3 )</w:t>
      </w:r>
      <w:r>
        <w:rPr>
          <w:rFonts w:ascii="Arial" w:cs="Arial" w:eastAsia="Arial" w:hAnsi="Arial"/>
          <w:sz w:val="38"/>
          <w:szCs w:val="38"/>
          <w:b w:val="1"/>
          <w:bCs w:val="1"/>
          <w:color w:val="auto"/>
          <w:vertAlign w:val="superscript"/>
        </w:rPr>
        <w:t>*</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23"/>
          <w:szCs w:val="23"/>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746125</wp:posOffset>
            </wp:positionH>
            <wp:positionV relativeFrom="paragraph">
              <wp:posOffset>153035</wp:posOffset>
            </wp:positionV>
            <wp:extent cx="612521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pacing w:after="0" w:line="343" w:lineRule="exact"/>
        <w:rPr>
          <w:sz w:val="24"/>
          <w:szCs w:val="24"/>
          <w:color w:val="auto"/>
        </w:rPr>
      </w:pPr>
    </w:p>
    <w:p>
      <w:pPr>
        <w:ind w:left="5220"/>
        <w:spacing w:after="0"/>
        <w:rPr>
          <w:sz w:val="20"/>
          <w:szCs w:val="20"/>
          <w:color w:val="auto"/>
        </w:rPr>
      </w:pPr>
      <w:r>
        <w:rPr>
          <w:rFonts w:ascii="Arial" w:cs="Arial" w:eastAsia="Arial" w:hAnsi="Arial"/>
          <w:sz w:val="23"/>
          <w:szCs w:val="23"/>
          <w:color w:val="auto"/>
        </w:rPr>
        <w:t>(Name of Issuer)</w:t>
      </w:r>
    </w:p>
    <w:p>
      <w:pPr>
        <w:spacing w:after="0" w:line="220" w:lineRule="exact"/>
        <w:rPr>
          <w:sz w:val="24"/>
          <w:szCs w:val="24"/>
          <w:color w:val="auto"/>
        </w:rPr>
      </w:pPr>
    </w:p>
    <w:p>
      <w:pPr>
        <w:ind w:left="4860"/>
        <w:spacing w:after="0"/>
        <w:rPr>
          <w:sz w:val="20"/>
          <w:szCs w:val="20"/>
          <w:color w:val="auto"/>
        </w:rPr>
      </w:pPr>
      <w:r>
        <w:rPr>
          <w:rFonts w:ascii="Arial" w:cs="Arial" w:eastAsia="Arial" w:hAnsi="Arial"/>
          <w:sz w:val="23"/>
          <w:szCs w:val="23"/>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746125</wp:posOffset>
            </wp:positionH>
            <wp:positionV relativeFrom="paragraph">
              <wp:posOffset>153035</wp:posOffset>
            </wp:positionV>
            <wp:extent cx="612521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(Title of Class of Securities)</w:t>
      </w:r>
    </w:p>
    <w:p>
      <w:pPr>
        <w:spacing w:after="0" w:line="220" w:lineRule="exact"/>
        <w:rPr>
          <w:sz w:val="24"/>
          <w:szCs w:val="24"/>
          <w:color w:val="auto"/>
        </w:rPr>
      </w:pPr>
    </w:p>
    <w:p>
      <w:pPr>
        <w:jc w:val="center"/>
        <w:ind w:right="40"/>
        <w:spacing w:after="0"/>
        <w:rPr>
          <w:sz w:val="20"/>
          <w:szCs w:val="20"/>
          <w:color w:val="auto"/>
        </w:rPr>
      </w:pPr>
      <w:r>
        <w:rPr>
          <w:rFonts w:ascii="Arial" w:cs="Arial" w:eastAsia="Arial" w:hAnsi="Arial"/>
          <w:sz w:val="23"/>
          <w:szCs w:val="23"/>
          <w:color w:val="auto"/>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746125</wp:posOffset>
            </wp:positionH>
            <wp:positionV relativeFrom="paragraph">
              <wp:posOffset>153035</wp:posOffset>
            </wp:positionV>
            <wp:extent cx="61252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pacing w:after="0" w:line="343" w:lineRule="exact"/>
        <w:rPr>
          <w:sz w:val="24"/>
          <w:szCs w:val="24"/>
          <w:color w:val="auto"/>
        </w:rPr>
      </w:pPr>
    </w:p>
    <w:p>
      <w:pPr>
        <w:ind w:left="5200"/>
        <w:spacing w:after="0"/>
        <w:rPr>
          <w:sz w:val="20"/>
          <w:szCs w:val="20"/>
          <w:color w:val="auto"/>
        </w:rPr>
      </w:pPr>
      <w:r>
        <w:rPr>
          <w:rFonts w:ascii="Arial" w:cs="Arial" w:eastAsia="Arial" w:hAnsi="Arial"/>
          <w:sz w:val="23"/>
          <w:szCs w:val="23"/>
          <w:color w:val="auto"/>
        </w:rPr>
        <w:t>(CUSIP Number)</w:t>
      </w:r>
    </w:p>
    <w:p>
      <w:pPr>
        <w:spacing w:after="0" w:line="220" w:lineRule="exact"/>
        <w:rPr>
          <w:sz w:val="24"/>
          <w:szCs w:val="24"/>
          <w:color w:val="auto"/>
        </w:rPr>
      </w:pPr>
    </w:p>
    <w:p>
      <w:pPr>
        <w:ind w:left="5080"/>
        <w:spacing w:after="0"/>
        <w:rPr>
          <w:sz w:val="20"/>
          <w:szCs w:val="20"/>
          <w:color w:val="auto"/>
        </w:rPr>
      </w:pPr>
      <w:r>
        <w:rPr>
          <w:rFonts w:ascii="Arial" w:cs="Arial" w:eastAsia="Arial" w:hAnsi="Arial"/>
          <w:sz w:val="23"/>
          <w:szCs w:val="23"/>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746125</wp:posOffset>
            </wp:positionH>
            <wp:positionV relativeFrom="paragraph">
              <wp:posOffset>153035</wp:posOffset>
            </wp:positionV>
            <wp:extent cx="612521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25210" cy="21590"/>
                    </a:xfrm>
                    <a:prstGeom prst="rect">
                      <a:avLst/>
                    </a:prstGeom>
                    <a:noFill/>
                  </pic:spPr>
                </pic:pic>
              </a:graphicData>
            </a:graphic>
          </wp:anchor>
        </w:drawing>
      </w:r>
    </w:p>
    <w:p>
      <w:pPr>
        <w:spacing w:after="0" w:line="343" w:lineRule="exact"/>
        <w:rPr>
          <w:sz w:val="24"/>
          <w:szCs w:val="24"/>
          <w:color w:val="auto"/>
        </w:rPr>
      </w:pPr>
    </w:p>
    <w:p>
      <w:pPr>
        <w:ind w:left="3420"/>
        <w:spacing w:after="0"/>
        <w:rPr>
          <w:sz w:val="20"/>
          <w:szCs w:val="20"/>
          <w:color w:val="auto"/>
        </w:rPr>
      </w:pPr>
      <w:r>
        <w:rPr>
          <w:rFonts w:ascii="Arial" w:cs="Arial" w:eastAsia="Arial" w:hAnsi="Arial"/>
          <w:sz w:val="23"/>
          <w:szCs w:val="23"/>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Arial" w:cs="Arial" w:eastAsia="Arial" w:hAnsi="Arial"/>
          <w:sz w:val="23"/>
          <w:szCs w:val="23"/>
          <w:color w:val="auto"/>
        </w:rPr>
        <w:t>Check the appropriate box to designate the rule pursuant to which this Schedule is filed:</w:t>
      </w:r>
    </w:p>
    <w:p>
      <w:pPr>
        <w:spacing w:after="0" w:line="306" w:lineRule="exact"/>
        <w:rPr>
          <w:sz w:val="24"/>
          <w:szCs w:val="24"/>
          <w:color w:val="auto"/>
        </w:rPr>
      </w:pPr>
    </w:p>
    <w:p>
      <w:pPr>
        <w:jc w:val="both"/>
        <w:ind w:left="60" w:right="10200" w:hanging="9"/>
        <w:spacing w:after="0" w:line="386" w:lineRule="auto"/>
        <w:tabs>
          <w:tab w:leader="none" w:pos="502" w:val="left"/>
        </w:tabs>
        <w:numPr>
          <w:ilvl w:val="1"/>
          <w:numId w:val="1"/>
        </w:numPr>
        <w:rPr>
          <w:rFonts w:ascii="Arial" w:cs="Arial" w:eastAsia="Arial" w:hAnsi="Arial"/>
          <w:sz w:val="20"/>
          <w:szCs w:val="20"/>
          <w:color w:val="auto"/>
        </w:rPr>
      </w:pPr>
      <w:r>
        <w:rPr>
          <w:rFonts w:ascii="Arial" w:cs="Arial" w:eastAsia="Arial" w:hAnsi="Arial"/>
          <w:sz w:val="20"/>
          <w:szCs w:val="20"/>
          <w:color w:val="auto"/>
        </w:rPr>
        <w:t>Rule 13d-1(b) [ ] Rule 13d-1(c)</w:t>
      </w:r>
    </w:p>
    <w:p>
      <w:pPr>
        <w:spacing w:after="0" w:line="1" w:lineRule="exact"/>
        <w:rPr>
          <w:rFonts w:ascii="Arial" w:cs="Arial" w:eastAsia="Arial" w:hAnsi="Arial"/>
          <w:sz w:val="20"/>
          <w:szCs w:val="20"/>
          <w:color w:val="auto"/>
        </w:rPr>
      </w:pPr>
    </w:p>
    <w:p>
      <w:pPr>
        <w:ind w:left="60"/>
        <w:spacing w:after="0"/>
        <w:rPr>
          <w:rFonts w:ascii="Arial" w:cs="Arial" w:eastAsia="Arial" w:hAnsi="Arial"/>
          <w:sz w:val="20"/>
          <w:szCs w:val="20"/>
          <w:color w:val="auto"/>
        </w:rPr>
      </w:pPr>
      <w:r>
        <w:rPr>
          <w:rFonts w:ascii="Arial" w:cs="Arial" w:eastAsia="Arial" w:hAnsi="Arial"/>
          <w:sz w:val="23"/>
          <w:szCs w:val="23"/>
          <w:color w:val="auto"/>
        </w:rPr>
        <w:t>[ ]  Rule 13d-1(d)</w:t>
      </w:r>
    </w:p>
    <w:p>
      <w:pPr>
        <w:spacing w:after="0" w:line="286" w:lineRule="exact"/>
        <w:rPr>
          <w:rFonts w:ascii="Arial" w:cs="Arial" w:eastAsia="Arial" w:hAnsi="Arial"/>
          <w:sz w:val="20"/>
          <w:szCs w:val="20"/>
          <w:color w:val="auto"/>
        </w:rPr>
      </w:pPr>
    </w:p>
    <w:p>
      <w:pPr>
        <w:spacing w:after="0" w:line="211" w:lineRule="auto"/>
        <w:rPr>
          <w:rFonts w:ascii="Arial" w:cs="Arial" w:eastAsia="Arial" w:hAnsi="Arial"/>
          <w:sz w:val="20"/>
          <w:szCs w:val="20"/>
          <w:color w:val="auto"/>
        </w:rPr>
      </w:pPr>
      <w:r>
        <w:rPr>
          <w:rFonts w:ascii="Arial" w:cs="Arial" w:eastAsia="Arial" w:hAnsi="Arial"/>
          <w:sz w:val="38"/>
          <w:szCs w:val="38"/>
          <w:color w:val="auto"/>
          <w:vertAlign w:val="superscript"/>
        </w:rPr>
        <w:t>*</w:t>
      </w:r>
      <w:r>
        <w:rPr>
          <w:rFonts w:ascii="Arial" w:cs="Arial" w:eastAsia="Arial" w:hAnsi="Arial"/>
          <w:sz w:val="23"/>
          <w:szCs w:val="23"/>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ind w:right="100"/>
        <w:spacing w:after="0" w:line="245" w:lineRule="auto"/>
        <w:rPr>
          <w:sz w:val="20"/>
          <w:szCs w:val="20"/>
          <w:color w:val="auto"/>
        </w:rPr>
      </w:pPr>
      <w:r>
        <w:rPr>
          <w:rFonts w:ascii="Arial" w:cs="Arial" w:eastAsia="Arial" w:hAnsi="Arial"/>
          <w:sz w:val="23"/>
          <w:szCs w:val="23"/>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2240" w:h="15840" w:orient="portrait"/>
          <w:cols w:equalWidth="0" w:num="1">
            <w:col w:w="11980"/>
          </w:cols>
          <w:pgMar w:left="120" w:top="84" w:right="140" w:bottom="1440" w:gutter="0" w:footer="0" w:header="0"/>
        </w:sectPr>
      </w:pPr>
    </w:p>
    <w:bookmarkStart w:id="1" w:name="page2"/>
    <w:bookmarkEnd w:id="1"/>
    <w:p>
      <w:pPr>
        <w:ind w:left="40"/>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72390</wp:posOffset>
            </wp:positionH>
            <wp:positionV relativeFrom="page">
              <wp:posOffset>0</wp:posOffset>
            </wp:positionV>
            <wp:extent cx="7642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2860" cy="8890"/>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20" w:type="dxa"/>
            <w:vAlign w:val="bottom"/>
          </w:tcPr>
          <w:p>
            <w:pPr>
              <w:ind w:left="100"/>
              <w:spacing w:after="0"/>
              <w:rPr>
                <w:sz w:val="20"/>
                <w:szCs w:val="20"/>
                <w:color w:val="auto"/>
              </w:rPr>
            </w:pPr>
            <w:r>
              <w:rPr>
                <w:rFonts w:ascii="Arial" w:cs="Arial" w:eastAsia="Arial" w:hAnsi="Arial"/>
                <w:sz w:val="23"/>
                <w:szCs w:val="23"/>
                <w:color w:val="auto"/>
              </w:rPr>
              <w:t>1.</w:t>
            </w:r>
          </w:p>
        </w:tc>
        <w:tc>
          <w:tcPr>
            <w:tcW w:w="3980" w:type="dxa"/>
            <w:vAlign w:val="bottom"/>
          </w:tcPr>
          <w:p>
            <w:pPr>
              <w:ind w:left="80"/>
              <w:spacing w:after="0"/>
              <w:rPr>
                <w:sz w:val="20"/>
                <w:szCs w:val="20"/>
                <w:color w:val="auto"/>
              </w:rPr>
            </w:pPr>
            <w:r>
              <w:rPr>
                <w:rFonts w:ascii="Arial" w:cs="Arial" w:eastAsia="Arial" w:hAnsi="Arial"/>
                <w:sz w:val="23"/>
                <w:szCs w:val="23"/>
                <w:color w:val="auto"/>
              </w:rPr>
              <w:t>NAMES OF REPORTING PERSONS</w:t>
            </w:r>
          </w:p>
        </w:tc>
        <w:tc>
          <w:tcPr>
            <w:tcW w:w="6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820" w:type="dxa"/>
            <w:vAlign w:val="bottom"/>
          </w:tcPr>
          <w:p>
            <w:pPr>
              <w:spacing w:after="0"/>
              <w:rPr>
                <w:sz w:val="24"/>
                <w:szCs w:val="24"/>
                <w:color w:val="auto"/>
              </w:rPr>
            </w:pPr>
          </w:p>
        </w:tc>
        <w:tc>
          <w:tcPr>
            <w:tcW w:w="10180" w:type="dxa"/>
            <w:vAlign w:val="bottom"/>
            <w:gridSpan w:val="2"/>
          </w:tcPr>
          <w:p>
            <w:pPr>
              <w:ind w:left="80"/>
              <w:spacing w:after="0"/>
              <w:rPr>
                <w:sz w:val="20"/>
                <w:szCs w:val="20"/>
                <w:color w:val="auto"/>
              </w:rPr>
            </w:pPr>
            <w:r>
              <w:rPr>
                <w:rFonts w:ascii="Arial" w:cs="Arial" w:eastAsia="Arial" w:hAnsi="Arial"/>
                <w:sz w:val="23"/>
                <w:szCs w:val="23"/>
                <w:color w:val="auto"/>
              </w:rPr>
              <w:t>I.R.S. IDENTIFICATION NO. OF ABOVE PERSONS (ENTITIES ONLY)</w:t>
            </w:r>
          </w:p>
        </w:tc>
        <w:tc>
          <w:tcPr>
            <w:tcW w:w="0" w:type="dxa"/>
            <w:vAlign w:val="bottom"/>
          </w:tcPr>
          <w:p>
            <w:pPr>
              <w:spacing w:after="0"/>
              <w:rPr>
                <w:sz w:val="1"/>
                <w:szCs w:val="1"/>
                <w:color w:val="auto"/>
              </w:rPr>
            </w:pPr>
          </w:p>
        </w:tc>
      </w:tr>
      <w:tr>
        <w:trPr>
          <w:trHeight w:val="479"/>
        </w:trPr>
        <w:tc>
          <w:tcPr>
            <w:tcW w:w="1820" w:type="dxa"/>
            <w:vAlign w:val="bottom"/>
          </w:tcPr>
          <w:p>
            <w:pPr>
              <w:spacing w:after="0"/>
              <w:rPr>
                <w:sz w:val="24"/>
                <w:szCs w:val="24"/>
                <w:color w:val="auto"/>
              </w:rPr>
            </w:pPr>
          </w:p>
        </w:tc>
        <w:tc>
          <w:tcPr>
            <w:tcW w:w="10180" w:type="dxa"/>
            <w:vAlign w:val="bottom"/>
            <w:gridSpan w:val="2"/>
          </w:tcPr>
          <w:p>
            <w:pPr>
              <w:ind w:left="80"/>
              <w:spacing w:after="0"/>
              <w:rPr>
                <w:sz w:val="20"/>
                <w:szCs w:val="20"/>
                <w:color w:val="auto"/>
              </w:rPr>
            </w:pPr>
            <w:r>
              <w:rPr>
                <w:rFonts w:ascii="Arial" w:cs="Arial" w:eastAsia="Arial" w:hAnsi="Arial"/>
                <w:sz w:val="23"/>
                <w:szCs w:val="23"/>
                <w:color w:val="auto"/>
              </w:rPr>
              <w:t>Massachusetts Financial Services Company ("MFS")</w:t>
            </w:r>
          </w:p>
        </w:tc>
        <w:tc>
          <w:tcPr>
            <w:tcW w:w="0" w:type="dxa"/>
            <w:vAlign w:val="bottom"/>
          </w:tcPr>
          <w:p>
            <w:pPr>
              <w:spacing w:after="0"/>
              <w:rPr>
                <w:sz w:val="1"/>
                <w:szCs w:val="1"/>
                <w:color w:val="auto"/>
              </w:rPr>
            </w:pPr>
          </w:p>
        </w:tc>
      </w:tr>
      <w:tr>
        <w:trPr>
          <w:trHeight w:val="291"/>
        </w:trPr>
        <w:tc>
          <w:tcPr>
            <w:tcW w:w="1820" w:type="dxa"/>
            <w:vAlign w:val="bottom"/>
          </w:tcPr>
          <w:p>
            <w:pPr>
              <w:spacing w:after="0"/>
              <w:rPr>
                <w:sz w:val="24"/>
                <w:szCs w:val="24"/>
                <w:color w:val="auto"/>
              </w:rPr>
            </w:pPr>
          </w:p>
        </w:tc>
        <w:tc>
          <w:tcPr>
            <w:tcW w:w="3980" w:type="dxa"/>
            <w:vAlign w:val="bottom"/>
          </w:tcPr>
          <w:p>
            <w:pPr>
              <w:ind w:left="80"/>
              <w:spacing w:after="0"/>
              <w:rPr>
                <w:sz w:val="20"/>
                <w:szCs w:val="20"/>
                <w:color w:val="auto"/>
              </w:rPr>
            </w:pPr>
            <w:r>
              <w:rPr>
                <w:rFonts w:ascii="Arial" w:cs="Arial" w:eastAsia="Arial" w:hAnsi="Arial"/>
                <w:sz w:val="23"/>
                <w:szCs w:val="23"/>
                <w:color w:val="auto"/>
              </w:rPr>
              <w:t>04-2747644</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2.</w:t>
            </w:r>
          </w:p>
        </w:tc>
        <w:tc>
          <w:tcPr>
            <w:tcW w:w="10180" w:type="dxa"/>
            <w:vAlign w:val="bottom"/>
            <w:gridSpan w:val="2"/>
          </w:tcPr>
          <w:p>
            <w:pPr>
              <w:ind w:left="80"/>
              <w:spacing w:after="0"/>
              <w:rPr>
                <w:sz w:val="20"/>
                <w:szCs w:val="20"/>
                <w:color w:val="auto"/>
              </w:rPr>
            </w:pPr>
            <w:r>
              <w:rPr>
                <w:rFonts w:ascii="Arial" w:cs="Arial" w:eastAsia="Arial" w:hAnsi="Arial"/>
                <w:sz w:val="23"/>
                <w:szCs w:val="23"/>
                <w:color w:val="auto"/>
              </w:rPr>
              <w:t>CHECK THE APPROPRIATE BOX IF A MEMBER OF A GROUP*</w:t>
            </w:r>
          </w:p>
        </w:tc>
        <w:tc>
          <w:tcPr>
            <w:tcW w:w="0" w:type="dxa"/>
            <w:vAlign w:val="bottom"/>
          </w:tcPr>
          <w:p>
            <w:pPr>
              <w:spacing w:after="0"/>
              <w:rPr>
                <w:sz w:val="1"/>
                <w:szCs w:val="1"/>
                <w:color w:val="auto"/>
              </w:rPr>
            </w:pPr>
          </w:p>
        </w:tc>
      </w:tr>
      <w:tr>
        <w:trPr>
          <w:trHeight w:val="479"/>
        </w:trPr>
        <w:tc>
          <w:tcPr>
            <w:tcW w:w="1820" w:type="dxa"/>
            <w:vAlign w:val="bottom"/>
          </w:tcPr>
          <w:p>
            <w:pPr>
              <w:spacing w:after="0"/>
              <w:rPr>
                <w:sz w:val="24"/>
                <w:szCs w:val="24"/>
                <w:color w:val="auto"/>
              </w:rPr>
            </w:pPr>
          </w:p>
        </w:tc>
        <w:tc>
          <w:tcPr>
            <w:tcW w:w="3980" w:type="dxa"/>
            <w:vAlign w:val="bottom"/>
          </w:tcPr>
          <w:p>
            <w:pPr>
              <w:ind w:left="80"/>
              <w:spacing w:after="0"/>
              <w:rPr>
                <w:sz w:val="20"/>
                <w:szCs w:val="20"/>
                <w:color w:val="auto"/>
              </w:rPr>
            </w:pPr>
            <w:r>
              <w:rPr>
                <w:rFonts w:ascii="Arial" w:cs="Arial" w:eastAsia="Arial" w:hAnsi="Arial"/>
                <w:sz w:val="23"/>
                <w:szCs w:val="23"/>
                <w:color w:val="auto"/>
              </w:rPr>
              <w:t>(a) [ ]</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2"/>
                <w:szCs w:val="22"/>
                <w:color w:val="auto"/>
              </w:rPr>
            </w:pPr>
          </w:p>
        </w:tc>
        <w:tc>
          <w:tcPr>
            <w:tcW w:w="3980" w:type="dxa"/>
            <w:vAlign w:val="bottom"/>
          </w:tcPr>
          <w:p>
            <w:pPr>
              <w:ind w:left="80"/>
              <w:spacing w:after="0" w:line="256" w:lineRule="exact"/>
              <w:rPr>
                <w:sz w:val="20"/>
                <w:szCs w:val="20"/>
                <w:color w:val="auto"/>
              </w:rPr>
            </w:pPr>
            <w:r>
              <w:rPr>
                <w:rFonts w:ascii="Arial" w:cs="Arial" w:eastAsia="Arial" w:hAnsi="Arial"/>
                <w:sz w:val="23"/>
                <w:szCs w:val="23"/>
                <w:color w:val="auto"/>
              </w:rPr>
              <w:t>(b) [ ]</w:t>
            </w:r>
          </w:p>
        </w:tc>
        <w:tc>
          <w:tcPr>
            <w:tcW w:w="6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820" w:type="dxa"/>
            <w:vAlign w:val="bottom"/>
          </w:tcPr>
          <w:p>
            <w:pPr>
              <w:spacing w:after="0"/>
              <w:rPr>
                <w:sz w:val="24"/>
                <w:szCs w:val="24"/>
                <w:color w:val="auto"/>
              </w:rPr>
            </w:pPr>
          </w:p>
        </w:tc>
        <w:tc>
          <w:tcPr>
            <w:tcW w:w="3980" w:type="dxa"/>
            <w:vAlign w:val="bottom"/>
          </w:tcPr>
          <w:p>
            <w:pPr>
              <w:ind w:left="80"/>
              <w:spacing w:after="0"/>
              <w:rPr>
                <w:sz w:val="20"/>
                <w:szCs w:val="20"/>
                <w:color w:val="auto"/>
              </w:rPr>
            </w:pPr>
            <w:r>
              <w:rPr>
                <w:rFonts w:ascii="Arial" w:cs="Arial" w:eastAsia="Arial" w:hAnsi="Arial"/>
                <w:sz w:val="23"/>
                <w:szCs w:val="23"/>
                <w:color w:val="auto"/>
              </w:rPr>
              <w:t>Not Applicable</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3.</w:t>
            </w:r>
          </w:p>
        </w:tc>
        <w:tc>
          <w:tcPr>
            <w:tcW w:w="3980" w:type="dxa"/>
            <w:vAlign w:val="bottom"/>
          </w:tcPr>
          <w:p>
            <w:pPr>
              <w:ind w:left="80"/>
              <w:spacing w:after="0"/>
              <w:rPr>
                <w:sz w:val="20"/>
                <w:szCs w:val="20"/>
                <w:color w:val="auto"/>
              </w:rPr>
            </w:pPr>
            <w:r>
              <w:rPr>
                <w:rFonts w:ascii="Arial" w:cs="Arial" w:eastAsia="Arial" w:hAnsi="Arial"/>
                <w:sz w:val="23"/>
                <w:szCs w:val="23"/>
                <w:color w:val="auto"/>
              </w:rPr>
              <w:t>SEC USE ONLY</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4.</w:t>
            </w:r>
          </w:p>
        </w:tc>
        <w:tc>
          <w:tcPr>
            <w:tcW w:w="10180" w:type="dxa"/>
            <w:vAlign w:val="bottom"/>
            <w:gridSpan w:val="2"/>
          </w:tcPr>
          <w:p>
            <w:pPr>
              <w:ind w:left="80"/>
              <w:spacing w:after="0"/>
              <w:rPr>
                <w:sz w:val="20"/>
                <w:szCs w:val="20"/>
                <w:color w:val="auto"/>
              </w:rPr>
            </w:pPr>
            <w:r>
              <w:rPr>
                <w:rFonts w:ascii="Arial" w:cs="Arial" w:eastAsia="Arial" w:hAnsi="Arial"/>
                <w:sz w:val="23"/>
                <w:szCs w:val="23"/>
                <w:color w:val="auto"/>
              </w:rPr>
              <w:t>CITIZENSHIP OR PLACE OF ORGANIZATION</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3980" w:type="dxa"/>
            <w:vAlign w:val="bottom"/>
          </w:tcPr>
          <w:p>
            <w:pPr>
              <w:ind w:left="80"/>
              <w:spacing w:after="0"/>
              <w:rPr>
                <w:sz w:val="20"/>
                <w:szCs w:val="20"/>
                <w:color w:val="auto"/>
              </w:rPr>
            </w:pPr>
            <w:r>
              <w:rPr>
                <w:rFonts w:ascii="Arial" w:cs="Arial" w:eastAsia="Arial" w:hAnsi="Arial"/>
                <w:sz w:val="23"/>
                <w:szCs w:val="23"/>
                <w:color w:val="auto"/>
              </w:rPr>
              <w:t>Delaware</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820" w:type="dxa"/>
            <w:vAlign w:val="bottom"/>
          </w:tcPr>
          <w:p>
            <w:pPr>
              <w:ind w:left="100"/>
              <w:spacing w:after="0"/>
              <w:rPr>
                <w:sz w:val="20"/>
                <w:szCs w:val="20"/>
                <w:color w:val="auto"/>
              </w:rPr>
            </w:pPr>
            <w:r>
              <w:rPr>
                <w:rFonts w:ascii="Arial" w:cs="Arial" w:eastAsia="Arial" w:hAnsi="Arial"/>
                <w:sz w:val="23"/>
                <w:szCs w:val="23"/>
                <w:color w:val="auto"/>
              </w:rPr>
              <w:t>NUMBER OF</w:t>
            </w:r>
          </w:p>
        </w:tc>
        <w:tc>
          <w:tcPr>
            <w:tcW w:w="3980" w:type="dxa"/>
            <w:vAlign w:val="bottom"/>
          </w:tcPr>
          <w:p>
            <w:pPr>
              <w:ind w:left="140"/>
              <w:spacing w:after="0"/>
              <w:rPr>
                <w:sz w:val="20"/>
                <w:szCs w:val="20"/>
                <w:color w:val="auto"/>
              </w:rPr>
            </w:pPr>
            <w:r>
              <w:rPr>
                <w:rFonts w:ascii="Arial" w:cs="Arial" w:eastAsia="Arial" w:hAnsi="Arial"/>
                <w:sz w:val="23"/>
                <w:szCs w:val="23"/>
                <w:color w:val="auto"/>
              </w:rPr>
              <w:t>5. SOLE VOTING POWER</w:t>
            </w:r>
          </w:p>
        </w:tc>
        <w:tc>
          <w:tcPr>
            <w:tcW w:w="6200" w:type="dxa"/>
            <w:vAlign w:val="bottom"/>
          </w:tcPr>
          <w:p>
            <w:pPr>
              <w:ind w:left="360"/>
              <w:spacing w:after="0"/>
              <w:rPr>
                <w:sz w:val="20"/>
                <w:szCs w:val="20"/>
                <w:color w:val="auto"/>
              </w:rPr>
            </w:pPr>
            <w:r>
              <w:rPr>
                <w:rFonts w:ascii="Arial" w:cs="Arial" w:eastAsia="Arial" w:hAnsi="Arial"/>
                <w:sz w:val="23"/>
                <w:szCs w:val="23"/>
                <w:color w:val="auto"/>
              </w:rPr>
              <w:t>1,971,995</w:t>
            </w:r>
          </w:p>
        </w:tc>
        <w:tc>
          <w:tcPr>
            <w:tcW w:w="0" w:type="dxa"/>
            <w:vAlign w:val="bottom"/>
          </w:tcPr>
          <w:p>
            <w:pPr>
              <w:spacing w:after="0"/>
              <w:rPr>
                <w:sz w:val="1"/>
                <w:szCs w:val="1"/>
                <w:color w:val="auto"/>
              </w:rPr>
            </w:pPr>
          </w:p>
        </w:tc>
      </w:tr>
      <w:tr>
        <w:trPr>
          <w:trHeight w:val="257"/>
        </w:trPr>
        <w:tc>
          <w:tcPr>
            <w:tcW w:w="1820" w:type="dxa"/>
            <w:vAlign w:val="bottom"/>
          </w:tcPr>
          <w:p>
            <w:pPr>
              <w:ind w:left="100"/>
              <w:spacing w:after="0" w:line="256" w:lineRule="exact"/>
              <w:rPr>
                <w:sz w:val="20"/>
                <w:szCs w:val="20"/>
                <w:color w:val="auto"/>
              </w:rPr>
            </w:pPr>
            <w:r>
              <w:rPr>
                <w:rFonts w:ascii="Arial" w:cs="Arial" w:eastAsia="Arial" w:hAnsi="Arial"/>
                <w:sz w:val="23"/>
                <w:szCs w:val="23"/>
                <w:color w:val="auto"/>
              </w:rPr>
              <w:t>SHARES</w:t>
            </w:r>
          </w:p>
        </w:tc>
        <w:tc>
          <w:tcPr>
            <w:tcW w:w="398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20" w:type="dxa"/>
            <w:vAlign w:val="bottom"/>
          </w:tcPr>
          <w:p>
            <w:pPr>
              <w:ind w:left="100"/>
              <w:spacing w:after="0" w:line="256" w:lineRule="exact"/>
              <w:rPr>
                <w:sz w:val="20"/>
                <w:szCs w:val="20"/>
                <w:color w:val="auto"/>
              </w:rPr>
            </w:pPr>
            <w:r>
              <w:rPr>
                <w:rFonts w:ascii="Arial" w:cs="Arial" w:eastAsia="Arial" w:hAnsi="Arial"/>
                <w:sz w:val="23"/>
                <w:szCs w:val="23"/>
                <w:color w:val="auto"/>
              </w:rPr>
              <w:t>BENEFICIALLY</w:t>
            </w:r>
          </w:p>
        </w:tc>
        <w:tc>
          <w:tcPr>
            <w:tcW w:w="3980" w:type="dxa"/>
            <w:vAlign w:val="bottom"/>
          </w:tcPr>
          <w:p>
            <w:pPr>
              <w:ind w:left="140"/>
              <w:spacing w:after="0" w:line="256" w:lineRule="exact"/>
              <w:rPr>
                <w:sz w:val="20"/>
                <w:szCs w:val="20"/>
                <w:color w:val="auto"/>
              </w:rPr>
            </w:pPr>
            <w:r>
              <w:rPr>
                <w:rFonts w:ascii="Arial" w:cs="Arial" w:eastAsia="Arial" w:hAnsi="Arial"/>
                <w:sz w:val="23"/>
                <w:szCs w:val="23"/>
                <w:color w:val="auto"/>
              </w:rPr>
              <w:t>6. SHARED VOTING POWER</w:t>
            </w:r>
          </w:p>
        </w:tc>
        <w:tc>
          <w:tcPr>
            <w:tcW w:w="6200" w:type="dxa"/>
            <w:vAlign w:val="bottom"/>
          </w:tcPr>
          <w:p>
            <w:pPr>
              <w:ind w:left="360"/>
              <w:spacing w:after="0" w:line="256" w:lineRule="exact"/>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57"/>
        </w:trPr>
        <w:tc>
          <w:tcPr>
            <w:tcW w:w="1820" w:type="dxa"/>
            <w:vAlign w:val="bottom"/>
          </w:tcPr>
          <w:p>
            <w:pPr>
              <w:ind w:left="100"/>
              <w:spacing w:after="0" w:line="256" w:lineRule="exact"/>
              <w:rPr>
                <w:sz w:val="20"/>
                <w:szCs w:val="20"/>
                <w:color w:val="auto"/>
              </w:rPr>
            </w:pPr>
            <w:r>
              <w:rPr>
                <w:rFonts w:ascii="Arial" w:cs="Arial" w:eastAsia="Arial" w:hAnsi="Arial"/>
                <w:sz w:val="23"/>
                <w:szCs w:val="23"/>
                <w:color w:val="auto"/>
              </w:rPr>
              <w:t>OWNED BY</w:t>
            </w:r>
          </w:p>
        </w:tc>
        <w:tc>
          <w:tcPr>
            <w:tcW w:w="3980" w:type="dxa"/>
            <w:vAlign w:val="bottom"/>
            <w:vMerge w:val="restart"/>
          </w:tcPr>
          <w:p>
            <w:pPr>
              <w:ind w:left="140"/>
              <w:spacing w:after="0"/>
              <w:rPr>
                <w:sz w:val="20"/>
                <w:szCs w:val="20"/>
                <w:color w:val="auto"/>
              </w:rPr>
            </w:pPr>
            <w:r>
              <w:rPr>
                <w:rFonts w:ascii="Arial" w:cs="Arial" w:eastAsia="Arial" w:hAnsi="Arial"/>
                <w:sz w:val="23"/>
                <w:szCs w:val="23"/>
                <w:color w:val="auto"/>
              </w:rPr>
              <w:t>7. SOLE DISPOSITIVE POWER</w:t>
            </w:r>
          </w:p>
        </w:tc>
        <w:tc>
          <w:tcPr>
            <w:tcW w:w="6200" w:type="dxa"/>
            <w:vAlign w:val="bottom"/>
            <w:vMerge w:val="restart"/>
          </w:tcPr>
          <w:p>
            <w:pPr>
              <w:ind w:left="360"/>
              <w:spacing w:after="0"/>
              <w:rPr>
                <w:sz w:val="20"/>
                <w:szCs w:val="20"/>
                <w:color w:val="auto"/>
              </w:rPr>
            </w:pPr>
            <w:r>
              <w:rPr>
                <w:rFonts w:ascii="Arial" w:cs="Arial" w:eastAsia="Arial" w:hAnsi="Arial"/>
                <w:sz w:val="23"/>
                <w:szCs w:val="23"/>
                <w:color w:val="auto"/>
              </w:rPr>
              <w:t>1,971,995</w:t>
            </w:r>
          </w:p>
        </w:tc>
        <w:tc>
          <w:tcPr>
            <w:tcW w:w="0" w:type="dxa"/>
            <w:vAlign w:val="bottom"/>
          </w:tcPr>
          <w:p>
            <w:pPr>
              <w:spacing w:after="0"/>
              <w:rPr>
                <w:sz w:val="1"/>
                <w:szCs w:val="1"/>
                <w:color w:val="auto"/>
              </w:rPr>
            </w:pPr>
          </w:p>
        </w:tc>
      </w:tr>
      <w:tr>
        <w:trPr>
          <w:trHeight w:val="257"/>
        </w:trPr>
        <w:tc>
          <w:tcPr>
            <w:tcW w:w="1820" w:type="dxa"/>
            <w:vAlign w:val="bottom"/>
          </w:tcPr>
          <w:p>
            <w:pPr>
              <w:ind w:left="100"/>
              <w:spacing w:after="0" w:line="256" w:lineRule="exact"/>
              <w:rPr>
                <w:sz w:val="20"/>
                <w:szCs w:val="20"/>
                <w:color w:val="auto"/>
              </w:rPr>
            </w:pPr>
            <w:r>
              <w:rPr>
                <w:rFonts w:ascii="Arial" w:cs="Arial" w:eastAsia="Arial" w:hAnsi="Arial"/>
                <w:sz w:val="23"/>
                <w:szCs w:val="23"/>
                <w:color w:val="auto"/>
              </w:rPr>
              <w:t>EACH</w:t>
            </w:r>
          </w:p>
        </w:tc>
        <w:tc>
          <w:tcPr>
            <w:tcW w:w="3980" w:type="dxa"/>
            <w:vAlign w:val="bottom"/>
            <w:vMerge w:val="continue"/>
          </w:tcPr>
          <w:p>
            <w:pPr>
              <w:spacing w:after="0"/>
              <w:rPr>
                <w:sz w:val="22"/>
                <w:szCs w:val="22"/>
                <w:color w:val="auto"/>
              </w:rPr>
            </w:pPr>
          </w:p>
        </w:tc>
        <w:tc>
          <w:tcPr>
            <w:tcW w:w="6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20" w:type="dxa"/>
            <w:vAlign w:val="bottom"/>
          </w:tcPr>
          <w:p>
            <w:pPr>
              <w:ind w:left="100"/>
              <w:spacing w:after="0" w:line="256" w:lineRule="exact"/>
              <w:rPr>
                <w:sz w:val="20"/>
                <w:szCs w:val="20"/>
                <w:color w:val="auto"/>
              </w:rPr>
            </w:pPr>
            <w:r>
              <w:rPr>
                <w:rFonts w:ascii="Arial" w:cs="Arial" w:eastAsia="Arial" w:hAnsi="Arial"/>
                <w:sz w:val="23"/>
                <w:szCs w:val="23"/>
                <w:color w:val="auto"/>
              </w:rPr>
              <w:t>REPORTING</w:t>
            </w:r>
          </w:p>
        </w:tc>
        <w:tc>
          <w:tcPr>
            <w:tcW w:w="3980" w:type="dxa"/>
            <w:vAlign w:val="bottom"/>
            <w:vMerge w:val="restart"/>
          </w:tcPr>
          <w:p>
            <w:pPr>
              <w:ind w:left="140"/>
              <w:spacing w:after="0"/>
              <w:rPr>
                <w:sz w:val="20"/>
                <w:szCs w:val="20"/>
                <w:color w:val="auto"/>
              </w:rPr>
            </w:pPr>
            <w:r>
              <w:rPr>
                <w:rFonts w:ascii="Arial" w:cs="Arial" w:eastAsia="Arial" w:hAnsi="Arial"/>
                <w:sz w:val="23"/>
                <w:szCs w:val="23"/>
                <w:color w:val="auto"/>
              </w:rPr>
              <w:t>8. SHARED DISPOSITIVE POWER</w:t>
            </w:r>
          </w:p>
        </w:tc>
        <w:tc>
          <w:tcPr>
            <w:tcW w:w="6200" w:type="dxa"/>
            <w:vAlign w:val="bottom"/>
            <w:vMerge w:val="restart"/>
          </w:tcPr>
          <w:p>
            <w:pPr>
              <w:ind w:left="36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91"/>
        </w:trPr>
        <w:tc>
          <w:tcPr>
            <w:tcW w:w="1820" w:type="dxa"/>
            <w:vAlign w:val="bottom"/>
          </w:tcPr>
          <w:p>
            <w:pPr>
              <w:ind w:left="100"/>
              <w:spacing w:after="0"/>
              <w:rPr>
                <w:sz w:val="20"/>
                <w:szCs w:val="20"/>
                <w:color w:val="auto"/>
              </w:rPr>
            </w:pPr>
            <w:r>
              <w:rPr>
                <w:rFonts w:ascii="Arial" w:cs="Arial" w:eastAsia="Arial" w:hAnsi="Arial"/>
                <w:sz w:val="23"/>
                <w:szCs w:val="23"/>
                <w:color w:val="auto"/>
              </w:rPr>
              <w:t>PERSON WITH</w:t>
            </w:r>
          </w:p>
        </w:tc>
        <w:tc>
          <w:tcPr>
            <w:tcW w:w="3980" w:type="dxa"/>
            <w:vAlign w:val="bottom"/>
            <w:vMerge w:val="continue"/>
          </w:tcPr>
          <w:p>
            <w:pPr>
              <w:spacing w:after="0"/>
              <w:rPr>
                <w:sz w:val="24"/>
                <w:szCs w:val="24"/>
                <w:color w:val="auto"/>
              </w:rPr>
            </w:pPr>
          </w:p>
        </w:tc>
        <w:tc>
          <w:tcPr>
            <w:tcW w:w="6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9.</w:t>
            </w:r>
          </w:p>
        </w:tc>
        <w:tc>
          <w:tcPr>
            <w:tcW w:w="10180" w:type="dxa"/>
            <w:vAlign w:val="bottom"/>
            <w:gridSpan w:val="2"/>
          </w:tcPr>
          <w:p>
            <w:pPr>
              <w:ind w:left="80"/>
              <w:spacing w:after="0"/>
              <w:rPr>
                <w:sz w:val="20"/>
                <w:szCs w:val="20"/>
                <w:color w:val="auto"/>
              </w:rPr>
            </w:pPr>
            <w:r>
              <w:rPr>
                <w:rFonts w:ascii="Arial" w:cs="Arial" w:eastAsia="Arial" w:hAnsi="Arial"/>
                <w:sz w:val="23"/>
                <w:szCs w:val="23"/>
                <w:color w:val="auto"/>
              </w:rPr>
              <w:t>AGGREGATE AMOUNT BENEFICIALLY OWNED BY EACH REPORTING PERSON</w:t>
            </w:r>
          </w:p>
        </w:tc>
        <w:tc>
          <w:tcPr>
            <w:tcW w:w="0" w:type="dxa"/>
            <w:vAlign w:val="bottom"/>
          </w:tcPr>
          <w:p>
            <w:pPr>
              <w:spacing w:after="0"/>
              <w:rPr>
                <w:sz w:val="1"/>
                <w:szCs w:val="1"/>
                <w:color w:val="auto"/>
              </w:rPr>
            </w:pPr>
          </w:p>
        </w:tc>
      </w:tr>
      <w:tr>
        <w:trPr>
          <w:trHeight w:val="479"/>
        </w:trPr>
        <w:tc>
          <w:tcPr>
            <w:tcW w:w="1820" w:type="dxa"/>
            <w:vAlign w:val="bottom"/>
          </w:tcPr>
          <w:p>
            <w:pPr>
              <w:spacing w:after="0"/>
              <w:rPr>
                <w:sz w:val="24"/>
                <w:szCs w:val="24"/>
                <w:color w:val="auto"/>
              </w:rPr>
            </w:pPr>
          </w:p>
        </w:tc>
        <w:tc>
          <w:tcPr>
            <w:tcW w:w="10180" w:type="dxa"/>
            <w:vAlign w:val="bottom"/>
            <w:gridSpan w:val="2"/>
          </w:tcPr>
          <w:p>
            <w:pPr>
              <w:ind w:left="80"/>
              <w:spacing w:after="0"/>
              <w:rPr>
                <w:sz w:val="20"/>
                <w:szCs w:val="20"/>
                <w:color w:val="auto"/>
              </w:rPr>
            </w:pPr>
            <w:r>
              <w:rPr>
                <w:rFonts w:ascii="Arial" w:cs="Arial" w:eastAsia="Arial" w:hAnsi="Arial"/>
                <w:sz w:val="23"/>
                <w:szCs w:val="23"/>
                <w:color w:val="auto"/>
                <w:w w:val="92"/>
              </w:rPr>
              <w:t>1,971,995 shares of Class A Common Stock consisting of shares beneficially owned by MFS and/or certain</w:t>
            </w:r>
          </w:p>
        </w:tc>
        <w:tc>
          <w:tcPr>
            <w:tcW w:w="0" w:type="dxa"/>
            <w:vAlign w:val="bottom"/>
          </w:tcPr>
          <w:p>
            <w:pPr>
              <w:spacing w:after="0"/>
              <w:rPr>
                <w:sz w:val="1"/>
                <w:szCs w:val="1"/>
                <w:color w:val="auto"/>
              </w:rPr>
            </w:pPr>
          </w:p>
        </w:tc>
      </w:tr>
      <w:tr>
        <w:trPr>
          <w:trHeight w:val="291"/>
        </w:trPr>
        <w:tc>
          <w:tcPr>
            <w:tcW w:w="1820" w:type="dxa"/>
            <w:vAlign w:val="bottom"/>
          </w:tcPr>
          <w:p>
            <w:pPr>
              <w:spacing w:after="0"/>
              <w:rPr>
                <w:sz w:val="24"/>
                <w:szCs w:val="24"/>
                <w:color w:val="auto"/>
              </w:rPr>
            </w:pPr>
          </w:p>
        </w:tc>
        <w:tc>
          <w:tcPr>
            <w:tcW w:w="3980" w:type="dxa"/>
            <w:vAlign w:val="bottom"/>
          </w:tcPr>
          <w:p>
            <w:pPr>
              <w:ind w:left="80"/>
              <w:spacing w:after="0"/>
              <w:rPr>
                <w:sz w:val="20"/>
                <w:szCs w:val="20"/>
                <w:color w:val="auto"/>
              </w:rPr>
            </w:pPr>
            <w:r>
              <w:rPr>
                <w:rFonts w:ascii="Arial" w:cs="Arial" w:eastAsia="Arial" w:hAnsi="Arial"/>
                <w:sz w:val="23"/>
                <w:szCs w:val="23"/>
                <w:color w:val="auto"/>
              </w:rPr>
              <w:t>other non-reporting entities.</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10.</w:t>
            </w:r>
          </w:p>
        </w:tc>
        <w:tc>
          <w:tcPr>
            <w:tcW w:w="10180" w:type="dxa"/>
            <w:vAlign w:val="bottom"/>
            <w:gridSpan w:val="2"/>
          </w:tcPr>
          <w:p>
            <w:pPr>
              <w:ind w:left="80"/>
              <w:spacing w:after="0"/>
              <w:rPr>
                <w:sz w:val="20"/>
                <w:szCs w:val="20"/>
                <w:color w:val="auto"/>
              </w:rPr>
            </w:pPr>
            <w:r>
              <w:rPr>
                <w:rFonts w:ascii="Arial" w:cs="Arial" w:eastAsia="Arial" w:hAnsi="Arial"/>
                <w:sz w:val="23"/>
                <w:szCs w:val="23"/>
                <w:color w:val="auto"/>
              </w:rPr>
              <w:t>CHECK IF THE AGGREGATE AMOUNT IN ROW (9) EXCLUDES CERTAIN SHARES</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3980" w:type="dxa"/>
            <w:vAlign w:val="bottom"/>
          </w:tcPr>
          <w:p>
            <w:pPr>
              <w:ind w:left="80"/>
              <w:spacing w:after="0"/>
              <w:rPr>
                <w:sz w:val="20"/>
                <w:szCs w:val="20"/>
                <w:color w:val="auto"/>
              </w:rPr>
            </w:pPr>
            <w:r>
              <w:rPr>
                <w:rFonts w:ascii="Arial" w:cs="Arial" w:eastAsia="Arial" w:hAnsi="Arial"/>
                <w:sz w:val="23"/>
                <w:szCs w:val="23"/>
                <w:color w:val="auto"/>
              </w:rPr>
              <w:t>Not Applicable</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11.</w:t>
            </w:r>
          </w:p>
        </w:tc>
        <w:tc>
          <w:tcPr>
            <w:tcW w:w="10180" w:type="dxa"/>
            <w:vAlign w:val="bottom"/>
            <w:gridSpan w:val="2"/>
          </w:tcPr>
          <w:p>
            <w:pPr>
              <w:ind w:left="80"/>
              <w:spacing w:after="0"/>
              <w:rPr>
                <w:sz w:val="20"/>
                <w:szCs w:val="20"/>
                <w:color w:val="auto"/>
              </w:rPr>
            </w:pPr>
            <w:r>
              <w:rPr>
                <w:rFonts w:ascii="Arial" w:cs="Arial" w:eastAsia="Arial" w:hAnsi="Arial"/>
                <w:sz w:val="23"/>
                <w:szCs w:val="23"/>
                <w:color w:val="auto"/>
              </w:rPr>
              <w:t>PERCENT OF CLASS REPRESENTED BY AMOUNT IN ROW (9)</w:t>
            </w: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3980" w:type="dxa"/>
            <w:vAlign w:val="bottom"/>
          </w:tcPr>
          <w:p>
            <w:pPr>
              <w:ind w:left="80"/>
              <w:spacing w:after="0"/>
              <w:rPr>
                <w:sz w:val="20"/>
                <w:szCs w:val="20"/>
                <w:color w:val="auto"/>
              </w:rPr>
            </w:pPr>
            <w:r>
              <w:rPr>
                <w:rFonts w:ascii="Arial" w:cs="Arial" w:eastAsia="Arial" w:hAnsi="Arial"/>
                <w:sz w:val="23"/>
                <w:szCs w:val="23"/>
                <w:color w:val="auto"/>
              </w:rPr>
              <w:t>5.7%</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20" w:type="dxa"/>
            <w:vAlign w:val="bottom"/>
          </w:tcPr>
          <w:p>
            <w:pPr>
              <w:ind w:left="100"/>
              <w:spacing w:after="0"/>
              <w:rPr>
                <w:sz w:val="20"/>
                <w:szCs w:val="20"/>
                <w:color w:val="auto"/>
              </w:rPr>
            </w:pPr>
            <w:r>
              <w:rPr>
                <w:rFonts w:ascii="Arial" w:cs="Arial" w:eastAsia="Arial" w:hAnsi="Arial"/>
                <w:sz w:val="23"/>
                <w:szCs w:val="23"/>
                <w:color w:val="auto"/>
              </w:rPr>
              <w:t>12.</w:t>
            </w:r>
          </w:p>
        </w:tc>
        <w:tc>
          <w:tcPr>
            <w:tcW w:w="3980" w:type="dxa"/>
            <w:vAlign w:val="bottom"/>
          </w:tcPr>
          <w:p>
            <w:pPr>
              <w:ind w:left="80"/>
              <w:spacing w:after="0"/>
              <w:rPr>
                <w:sz w:val="20"/>
                <w:szCs w:val="20"/>
                <w:color w:val="auto"/>
              </w:rPr>
            </w:pPr>
            <w:r>
              <w:rPr>
                <w:rFonts w:ascii="Arial" w:cs="Arial" w:eastAsia="Arial" w:hAnsi="Arial"/>
                <w:sz w:val="23"/>
                <w:szCs w:val="23"/>
                <w:color w:val="auto"/>
              </w:rPr>
              <w:t>TYPE OF REPORTING PERSON</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20" w:type="dxa"/>
            <w:vAlign w:val="bottom"/>
          </w:tcPr>
          <w:p>
            <w:pPr>
              <w:spacing w:after="0"/>
              <w:rPr>
                <w:sz w:val="24"/>
                <w:szCs w:val="24"/>
                <w:color w:val="auto"/>
              </w:rPr>
            </w:pPr>
          </w:p>
        </w:tc>
        <w:tc>
          <w:tcPr>
            <w:tcW w:w="3980" w:type="dxa"/>
            <w:vAlign w:val="bottom"/>
          </w:tcPr>
          <w:p>
            <w:pPr>
              <w:ind w:left="80"/>
              <w:spacing w:after="0"/>
              <w:rPr>
                <w:sz w:val="20"/>
                <w:szCs w:val="20"/>
                <w:color w:val="auto"/>
              </w:rPr>
            </w:pPr>
            <w:r>
              <w:rPr>
                <w:rFonts w:ascii="Arial" w:cs="Arial" w:eastAsia="Arial" w:hAnsi="Arial"/>
                <w:sz w:val="23"/>
                <w:szCs w:val="23"/>
                <w:color w:val="auto"/>
              </w:rPr>
              <w:t>IA</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bottom w:val="single" w:sz="8" w:color="808080"/>
            </w:tcBorders>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6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261" w:right="120" w:bottom="1440" w:gutter="0" w:footer="0" w:header="0"/>
        </w:sectPr>
      </w:pPr>
    </w:p>
    <w:bookmarkStart w:id="2" w:name="page3"/>
    <w:bookmarkEnd w:id="2"/>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72390</wp:posOffset>
            </wp:positionH>
            <wp:positionV relativeFrom="page">
              <wp:posOffset>0</wp:posOffset>
            </wp:positionV>
            <wp:extent cx="7642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42860" cy="8890"/>
                    </a:xfrm>
                    <a:prstGeom prst="rect">
                      <a:avLst/>
                    </a:prstGeom>
                    <a:noFill/>
                  </pic:spPr>
                </pic:pic>
              </a:graphicData>
            </a:graphic>
          </wp:anchor>
        </w:drawing>
        <w:t>Item 1.</w:t>
      </w:r>
    </w:p>
    <w:p>
      <w:pPr>
        <w:spacing w:after="0" w:line="135" w:lineRule="exact"/>
        <w:rPr>
          <w:sz w:val="20"/>
          <w:szCs w:val="20"/>
          <w:color w:val="auto"/>
        </w:rPr>
      </w:pPr>
    </w:p>
    <w:p>
      <w:pPr>
        <w:ind w:left="1720" w:right="8000" w:hanging="751"/>
        <w:spacing w:after="0" w:line="338" w:lineRule="auto"/>
        <w:tabs>
          <w:tab w:leader="none" w:pos="17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Name of Issuer </w:t>
      </w:r>
      <w:r>
        <w:rPr>
          <w:rFonts w:ascii="Arial" w:cs="Arial" w:eastAsia="Arial" w:hAnsi="Arial"/>
          <w:sz w:val="20"/>
          <w:szCs w:val="20"/>
          <w:color w:val="auto"/>
        </w:rPr>
        <w:t>Clearway Energy, Inc.</w:t>
      </w:r>
    </w:p>
    <w:p>
      <w:pPr>
        <w:spacing w:after="0" w:line="8" w:lineRule="exact"/>
        <w:rPr>
          <w:rFonts w:ascii="Arial" w:cs="Arial" w:eastAsia="Arial" w:hAnsi="Arial"/>
          <w:sz w:val="20"/>
          <w:szCs w:val="20"/>
          <w:b w:val="1"/>
          <w:bCs w:val="1"/>
          <w:color w:val="auto"/>
        </w:rPr>
      </w:pPr>
    </w:p>
    <w:p>
      <w:pPr>
        <w:ind w:left="1720" w:hanging="751"/>
        <w:spacing w:after="0"/>
        <w:tabs>
          <w:tab w:leader="none" w:pos="1720" w:val="left"/>
        </w:tabs>
        <w:numPr>
          <w:ilvl w:val="0"/>
          <w:numId w:val="2"/>
        </w:numPr>
        <w:rPr>
          <w:rFonts w:ascii="Arial" w:cs="Arial" w:eastAsia="Arial" w:hAnsi="Arial"/>
          <w:sz w:val="23"/>
          <w:szCs w:val="23"/>
          <w:b w:val="1"/>
          <w:bCs w:val="1"/>
          <w:color w:val="auto"/>
        </w:rPr>
      </w:pPr>
      <w:r>
        <w:rPr>
          <w:rFonts w:ascii="Arial" w:cs="Arial" w:eastAsia="Arial" w:hAnsi="Arial"/>
          <w:sz w:val="23"/>
          <w:szCs w:val="23"/>
          <w:b w:val="1"/>
          <w:bCs w:val="1"/>
          <w:color w:val="auto"/>
        </w:rPr>
        <w:t>Address of Issuer's Principal Executive Offices</w:t>
      </w:r>
    </w:p>
    <w:p>
      <w:pPr>
        <w:spacing w:after="0" w:line="18" w:lineRule="exact"/>
        <w:rPr>
          <w:rFonts w:ascii="Arial" w:cs="Arial" w:eastAsia="Arial" w:hAnsi="Arial"/>
          <w:sz w:val="23"/>
          <w:szCs w:val="23"/>
          <w:b w:val="1"/>
          <w:bCs w:val="1"/>
          <w:color w:val="auto"/>
        </w:rPr>
      </w:pPr>
    </w:p>
    <w:p>
      <w:pPr>
        <w:ind w:left="1720"/>
        <w:spacing w:after="0"/>
        <w:rPr>
          <w:rFonts w:ascii="Arial" w:cs="Arial" w:eastAsia="Arial" w:hAnsi="Arial"/>
          <w:sz w:val="23"/>
          <w:szCs w:val="23"/>
          <w:b w:val="1"/>
          <w:bCs w:val="1"/>
          <w:color w:val="auto"/>
        </w:rPr>
      </w:pPr>
      <w:r>
        <w:rPr>
          <w:rFonts w:ascii="Arial" w:cs="Arial" w:eastAsia="Arial" w:hAnsi="Arial"/>
          <w:sz w:val="23"/>
          <w:szCs w:val="23"/>
          <w:color w:val="auto"/>
        </w:rPr>
        <w:t>300 Carnegie Center, Suite 300, Princeton NJ 08540-6213</w:t>
      </w:r>
    </w:p>
    <w:p>
      <w:pPr>
        <w:spacing w:after="0" w:line="10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w:t>
      </w:r>
    </w:p>
    <w:p>
      <w:pPr>
        <w:spacing w:after="0" w:line="135" w:lineRule="exact"/>
        <w:rPr>
          <w:sz w:val="20"/>
          <w:szCs w:val="20"/>
          <w:color w:val="auto"/>
        </w:rPr>
      </w:pPr>
    </w:p>
    <w:p>
      <w:pPr>
        <w:ind w:left="1720" w:hanging="751"/>
        <w:spacing w:after="0"/>
        <w:tabs>
          <w:tab w:leader="none" w:pos="1720" w:val="left"/>
        </w:tabs>
        <w:numPr>
          <w:ilvl w:val="0"/>
          <w:numId w:val="3"/>
        </w:numPr>
        <w:rPr>
          <w:rFonts w:ascii="Arial" w:cs="Arial" w:eastAsia="Arial" w:hAnsi="Arial"/>
          <w:sz w:val="23"/>
          <w:szCs w:val="23"/>
          <w:b w:val="1"/>
          <w:bCs w:val="1"/>
          <w:color w:val="auto"/>
        </w:rPr>
      </w:pPr>
      <w:r>
        <w:rPr>
          <w:rFonts w:ascii="Arial" w:cs="Arial" w:eastAsia="Arial" w:hAnsi="Arial"/>
          <w:sz w:val="23"/>
          <w:szCs w:val="23"/>
          <w:b w:val="1"/>
          <w:bCs w:val="1"/>
          <w:color w:val="auto"/>
        </w:rPr>
        <w:t>Name of Person Filing</w:t>
      </w:r>
    </w:p>
    <w:p>
      <w:pPr>
        <w:spacing w:after="0" w:line="18" w:lineRule="exact"/>
        <w:rPr>
          <w:rFonts w:ascii="Arial" w:cs="Arial" w:eastAsia="Arial" w:hAnsi="Arial"/>
          <w:sz w:val="23"/>
          <w:szCs w:val="23"/>
          <w:b w:val="1"/>
          <w:bCs w:val="1"/>
          <w:color w:val="auto"/>
        </w:rPr>
      </w:pPr>
    </w:p>
    <w:p>
      <w:pPr>
        <w:ind w:left="1720"/>
        <w:spacing w:after="0"/>
        <w:rPr>
          <w:rFonts w:ascii="Arial" w:cs="Arial" w:eastAsia="Arial" w:hAnsi="Arial"/>
          <w:sz w:val="23"/>
          <w:szCs w:val="23"/>
          <w:b w:val="1"/>
          <w:bCs w:val="1"/>
          <w:color w:val="auto"/>
        </w:rPr>
      </w:pPr>
      <w:r>
        <w:rPr>
          <w:rFonts w:ascii="Arial" w:cs="Arial" w:eastAsia="Arial" w:hAnsi="Arial"/>
          <w:sz w:val="23"/>
          <w:szCs w:val="23"/>
          <w:color w:val="auto"/>
        </w:rPr>
        <w:t>Massachusetts Financial Services Company</w:t>
      </w:r>
    </w:p>
    <w:p>
      <w:pPr>
        <w:spacing w:after="0" w:line="108" w:lineRule="exact"/>
        <w:rPr>
          <w:rFonts w:ascii="Arial" w:cs="Arial" w:eastAsia="Arial" w:hAnsi="Arial"/>
          <w:sz w:val="23"/>
          <w:szCs w:val="23"/>
          <w:b w:val="1"/>
          <w:bCs w:val="1"/>
          <w:color w:val="auto"/>
        </w:rPr>
      </w:pPr>
    </w:p>
    <w:p>
      <w:pPr>
        <w:ind w:left="1720" w:right="4340" w:hanging="751"/>
        <w:spacing w:after="0" w:line="262" w:lineRule="auto"/>
        <w:tabs>
          <w:tab w:leader="none" w:pos="1720" w:val="left"/>
        </w:tabs>
        <w:numPr>
          <w:ilvl w:val="0"/>
          <w:numId w:val="3"/>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Address of Principal Business Office or, if None, Residence </w:t>
      </w:r>
      <w:r>
        <w:rPr>
          <w:rFonts w:ascii="Arial" w:cs="Arial" w:eastAsia="Arial" w:hAnsi="Arial"/>
          <w:sz w:val="23"/>
          <w:szCs w:val="23"/>
          <w:color w:val="auto"/>
        </w:rPr>
        <w:t>111 Huntington Avenue, Boston MA 02199</w:t>
      </w:r>
    </w:p>
    <w:p>
      <w:pPr>
        <w:spacing w:after="0" w:line="78" w:lineRule="exact"/>
        <w:rPr>
          <w:rFonts w:ascii="Arial" w:cs="Arial" w:eastAsia="Arial" w:hAnsi="Arial"/>
          <w:sz w:val="23"/>
          <w:szCs w:val="23"/>
          <w:b w:val="1"/>
          <w:bCs w:val="1"/>
          <w:color w:val="auto"/>
        </w:rPr>
      </w:pPr>
    </w:p>
    <w:p>
      <w:pPr>
        <w:ind w:left="1720" w:right="8940" w:hanging="751"/>
        <w:spacing w:after="0" w:line="338" w:lineRule="auto"/>
        <w:tabs>
          <w:tab w:leader="none" w:pos="1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Citizenship </w:t>
      </w:r>
      <w:r>
        <w:rPr>
          <w:rFonts w:ascii="Arial" w:cs="Arial" w:eastAsia="Arial" w:hAnsi="Arial"/>
          <w:sz w:val="20"/>
          <w:szCs w:val="20"/>
          <w:color w:val="auto"/>
        </w:rPr>
        <w:t>Delaware</w:t>
      </w:r>
    </w:p>
    <w:p>
      <w:pPr>
        <w:spacing w:after="0" w:line="8" w:lineRule="exact"/>
        <w:rPr>
          <w:rFonts w:ascii="Arial" w:cs="Arial" w:eastAsia="Arial" w:hAnsi="Arial"/>
          <w:sz w:val="20"/>
          <w:szCs w:val="20"/>
          <w:b w:val="1"/>
          <w:bCs w:val="1"/>
          <w:color w:val="auto"/>
        </w:rPr>
      </w:pPr>
    </w:p>
    <w:p>
      <w:pPr>
        <w:ind w:left="1720" w:right="7500" w:hanging="751"/>
        <w:spacing w:after="0" w:line="338" w:lineRule="auto"/>
        <w:tabs>
          <w:tab w:leader="none" w:pos="1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Title of Class of Securities </w:t>
      </w:r>
      <w:r>
        <w:rPr>
          <w:rFonts w:ascii="Arial" w:cs="Arial" w:eastAsia="Arial" w:hAnsi="Arial"/>
          <w:sz w:val="20"/>
          <w:szCs w:val="20"/>
          <w:color w:val="auto"/>
        </w:rPr>
        <w:t>Class A Common Stock</w:t>
      </w:r>
    </w:p>
    <w:p>
      <w:pPr>
        <w:spacing w:after="0" w:line="8" w:lineRule="exact"/>
        <w:rPr>
          <w:rFonts w:ascii="Arial" w:cs="Arial" w:eastAsia="Arial" w:hAnsi="Arial"/>
          <w:sz w:val="20"/>
          <w:szCs w:val="20"/>
          <w:b w:val="1"/>
          <w:bCs w:val="1"/>
          <w:color w:val="auto"/>
        </w:rPr>
      </w:pPr>
    </w:p>
    <w:p>
      <w:pPr>
        <w:ind w:left="1720" w:right="8480" w:hanging="751"/>
        <w:spacing w:after="0" w:line="310" w:lineRule="auto"/>
        <w:tabs>
          <w:tab w:leader="none" w:pos="172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CUSIP Number </w:t>
      </w:r>
      <w:r>
        <w:rPr>
          <w:rFonts w:ascii="Arial" w:cs="Arial" w:eastAsia="Arial" w:hAnsi="Arial"/>
          <w:sz w:val="21"/>
          <w:szCs w:val="21"/>
          <w:color w:val="auto"/>
        </w:rPr>
        <w:t>18539C105</w:t>
      </w:r>
    </w:p>
    <w:p>
      <w:pPr>
        <w:spacing w:after="0" w:line="32" w:lineRule="exact"/>
        <w:rPr>
          <w:sz w:val="20"/>
          <w:szCs w:val="20"/>
          <w:color w:val="auto"/>
        </w:rPr>
      </w:pPr>
    </w:p>
    <w:p>
      <w:pPr>
        <w:spacing w:after="0"/>
        <w:tabs>
          <w:tab w:leader="none" w:pos="940" w:val="left"/>
        </w:tabs>
        <w:rPr>
          <w:sz w:val="20"/>
          <w:szCs w:val="20"/>
          <w:color w:val="auto"/>
        </w:rPr>
      </w:pPr>
      <w:r>
        <w:rPr>
          <w:rFonts w:ascii="Arial" w:cs="Arial" w:eastAsia="Arial" w:hAnsi="Arial"/>
          <w:sz w:val="23"/>
          <w:szCs w:val="23"/>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Rule 13d-1(b), or 13d-2(b) or (c), Check Whether the Person Filing is a:</w:t>
      </w:r>
    </w:p>
    <w:p>
      <w:pPr>
        <w:sectPr>
          <w:pgSz w:w="12240" w:h="15840" w:orient="portrait"/>
          <w:cols w:equalWidth="0" w:num="1">
            <w:col w:w="11760"/>
          </w:cols>
          <w:pgMar w:left="200" w:top="298" w:right="280" w:bottom="0" w:gutter="0" w:footer="0" w:header="0"/>
        </w:sectPr>
      </w:pPr>
    </w:p>
    <w:p>
      <w:pPr>
        <w:spacing w:after="0" w:line="141"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(a)</w:t>
      </w:r>
      <w:r>
        <w:rPr>
          <w:sz w:val="20"/>
          <w:szCs w:val="20"/>
          <w:color w:val="auto"/>
        </w:rPr>
        <w:tab/>
      </w:r>
      <w:r>
        <w:rPr>
          <w:rFonts w:ascii="Arial" w:cs="Arial" w:eastAsia="Arial" w:hAnsi="Arial"/>
          <w:sz w:val="23"/>
          <w:szCs w:val="23"/>
          <w:color w:val="auto"/>
        </w:rPr>
        <w:t>[ ]</w:t>
      </w:r>
    </w:p>
    <w:p>
      <w:pPr>
        <w:spacing w:after="0" w:line="135"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(b)</w:t>
      </w:r>
      <w:r>
        <w:rPr>
          <w:sz w:val="20"/>
          <w:szCs w:val="20"/>
          <w:color w:val="auto"/>
        </w:rPr>
        <w:tab/>
      </w:r>
      <w:r>
        <w:rPr>
          <w:rFonts w:ascii="Arial" w:cs="Arial" w:eastAsia="Arial" w:hAnsi="Arial"/>
          <w:sz w:val="23"/>
          <w:szCs w:val="23"/>
          <w:color w:val="auto"/>
        </w:rPr>
        <w:t>[ ]</w:t>
      </w:r>
    </w:p>
    <w:p>
      <w:pPr>
        <w:spacing w:after="0" w:line="135"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(c)</w:t>
      </w:r>
      <w:r>
        <w:rPr>
          <w:sz w:val="20"/>
          <w:szCs w:val="20"/>
          <w:color w:val="auto"/>
        </w:rPr>
        <w:tab/>
      </w:r>
      <w:r>
        <w:rPr>
          <w:rFonts w:ascii="Arial" w:cs="Arial" w:eastAsia="Arial" w:hAnsi="Arial"/>
          <w:sz w:val="23"/>
          <w:szCs w:val="23"/>
          <w:color w:val="auto"/>
        </w:rPr>
        <w:t>[ ]</w:t>
      </w:r>
    </w:p>
    <w:p>
      <w:pPr>
        <w:spacing w:after="0" w:line="263"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(d)</w:t>
      </w:r>
      <w:r>
        <w:rPr>
          <w:sz w:val="20"/>
          <w:szCs w:val="20"/>
          <w:color w:val="auto"/>
        </w:rPr>
        <w:tab/>
      </w:r>
      <w:r>
        <w:rPr>
          <w:rFonts w:ascii="Arial" w:cs="Arial" w:eastAsia="Arial" w:hAnsi="Arial"/>
          <w:sz w:val="23"/>
          <w:szCs w:val="23"/>
          <w:color w:val="auto"/>
        </w:rPr>
        <w:t>[ ]</w:t>
      </w:r>
    </w:p>
    <w:p>
      <w:pPr>
        <w:spacing w:after="0" w:line="263"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(e)</w:t>
      </w:r>
      <w:r>
        <w:rPr>
          <w:sz w:val="20"/>
          <w:szCs w:val="20"/>
          <w:color w:val="auto"/>
        </w:rPr>
        <w:tab/>
      </w:r>
      <w:r>
        <w:rPr>
          <w:rFonts w:ascii="Arial" w:cs="Arial" w:eastAsia="Arial" w:hAnsi="Arial"/>
          <w:sz w:val="23"/>
          <w:szCs w:val="23"/>
          <w:color w:val="auto"/>
        </w:rPr>
        <w:t>[X]</w:t>
      </w:r>
    </w:p>
    <w:p>
      <w:pPr>
        <w:spacing w:after="0" w:line="135"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(f)</w:t>
      </w:r>
      <w:r>
        <w:rPr>
          <w:sz w:val="20"/>
          <w:szCs w:val="20"/>
          <w:color w:val="auto"/>
        </w:rPr>
        <w:tab/>
      </w:r>
      <w:r>
        <w:rPr>
          <w:rFonts w:ascii="Arial" w:cs="Arial" w:eastAsia="Arial" w:hAnsi="Arial"/>
          <w:sz w:val="23"/>
          <w:szCs w:val="23"/>
          <w:color w:val="auto"/>
        </w:rPr>
        <w:t>[ ]</w:t>
      </w:r>
    </w:p>
    <w:p>
      <w:pPr>
        <w:spacing w:after="0" w:line="135"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(g)</w:t>
      </w:r>
      <w:r>
        <w:rPr>
          <w:sz w:val="20"/>
          <w:szCs w:val="20"/>
          <w:color w:val="auto"/>
        </w:rPr>
        <w:tab/>
      </w:r>
      <w:r>
        <w:rPr>
          <w:rFonts w:ascii="Arial" w:cs="Arial" w:eastAsia="Arial" w:hAnsi="Arial"/>
          <w:sz w:val="23"/>
          <w:szCs w:val="23"/>
          <w:color w:val="auto"/>
        </w:rPr>
        <w:t>[ ]</w:t>
      </w:r>
    </w:p>
    <w:p>
      <w:pPr>
        <w:spacing w:after="0" w:line="263"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(h)</w:t>
      </w:r>
      <w:r>
        <w:rPr>
          <w:sz w:val="20"/>
          <w:szCs w:val="20"/>
          <w:color w:val="auto"/>
        </w:rPr>
        <w:tab/>
      </w:r>
      <w:r>
        <w:rPr>
          <w:rFonts w:ascii="Arial" w:cs="Arial" w:eastAsia="Arial" w:hAnsi="Arial"/>
          <w:sz w:val="23"/>
          <w:szCs w:val="23"/>
          <w:color w:val="auto"/>
        </w:rPr>
        <w:t>[ ]</w:t>
      </w:r>
    </w:p>
    <w:p>
      <w:pPr>
        <w:spacing w:after="0" w:line="392"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(i)</w:t>
      </w:r>
      <w:r>
        <w:rPr>
          <w:sz w:val="20"/>
          <w:szCs w:val="20"/>
          <w:color w:val="auto"/>
        </w:rPr>
        <w:tab/>
      </w:r>
      <w:r>
        <w:rPr>
          <w:rFonts w:ascii="Arial" w:cs="Arial" w:eastAsia="Arial" w:hAnsi="Arial"/>
          <w:sz w:val="23"/>
          <w:szCs w:val="23"/>
          <w:color w:val="auto"/>
        </w:rPr>
        <w:t>[ ]</w:t>
      </w:r>
    </w:p>
    <w:p>
      <w:pPr>
        <w:spacing w:after="0" w:line="263"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23"/>
          <w:szCs w:val="23"/>
          <w:color w:val="auto"/>
        </w:rPr>
        <w:t>(j)</w:t>
      </w:r>
      <w:r>
        <w:rPr>
          <w:sz w:val="20"/>
          <w:szCs w:val="20"/>
          <w:color w:val="auto"/>
        </w:rPr>
        <w:tab/>
      </w:r>
      <w:r>
        <w:rPr>
          <w:rFonts w:ascii="Arial" w:cs="Arial" w:eastAsia="Arial" w:hAnsi="Arial"/>
          <w:sz w:val="23"/>
          <w:szCs w:val="23"/>
          <w:color w:val="auto"/>
        </w:rPr>
        <w:t>[ ]</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23"/>
          <w:szCs w:val="23"/>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23"/>
          <w:szCs w:val="23"/>
          <w:color w:val="auto"/>
        </w:rPr>
        <w:t>Broker or dealer registered under Section 15 of the Act (15 U.S.C. 78o).</w:t>
      </w:r>
    </w:p>
    <w:p>
      <w:pPr>
        <w:spacing w:after="0" w:line="135" w:lineRule="exact"/>
        <w:rPr>
          <w:sz w:val="20"/>
          <w:szCs w:val="20"/>
          <w:color w:val="auto"/>
        </w:rPr>
      </w:pPr>
    </w:p>
    <w:p>
      <w:pPr>
        <w:spacing w:after="0"/>
        <w:rPr>
          <w:sz w:val="20"/>
          <w:szCs w:val="20"/>
          <w:color w:val="auto"/>
        </w:rPr>
      </w:pPr>
      <w:r>
        <w:rPr>
          <w:rFonts w:ascii="Arial" w:cs="Arial" w:eastAsia="Arial" w:hAnsi="Arial"/>
          <w:sz w:val="23"/>
          <w:szCs w:val="23"/>
          <w:color w:val="auto"/>
        </w:rPr>
        <w:t>Bank as defined in Section 3(a)(6) of the Act (15 U.S.C. 78c).</w:t>
      </w:r>
    </w:p>
    <w:p>
      <w:pPr>
        <w:spacing w:after="0" w:line="135" w:lineRule="exact"/>
        <w:rPr>
          <w:sz w:val="20"/>
          <w:szCs w:val="20"/>
          <w:color w:val="auto"/>
        </w:rPr>
      </w:pPr>
    </w:p>
    <w:p>
      <w:pPr>
        <w:spacing w:after="0"/>
        <w:rPr>
          <w:sz w:val="20"/>
          <w:szCs w:val="20"/>
          <w:color w:val="auto"/>
        </w:rPr>
      </w:pPr>
      <w:r>
        <w:rPr>
          <w:rFonts w:ascii="Arial" w:cs="Arial" w:eastAsia="Arial" w:hAnsi="Arial"/>
          <w:sz w:val="23"/>
          <w:szCs w:val="23"/>
          <w:color w:val="auto"/>
        </w:rPr>
        <w:t>Insurance Company as defined in Section 3(a)(19) of the Act (15 U.S.C. 78c).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Investment Company registered under Section 8 of the Investment Company Act of 1940 (15 U.S.C.</w:t>
      </w: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color w:val="auto"/>
        </w:rPr>
        <w:t>80a-8).</w:t>
      </w:r>
    </w:p>
    <w:p>
      <w:pPr>
        <w:spacing w:after="0" w:line="115" w:lineRule="exact"/>
        <w:rPr>
          <w:sz w:val="20"/>
          <w:szCs w:val="20"/>
          <w:color w:val="auto"/>
        </w:rPr>
      </w:pPr>
    </w:p>
    <w:p>
      <w:pPr>
        <w:spacing w:after="0"/>
        <w:rPr>
          <w:sz w:val="20"/>
          <w:szCs w:val="20"/>
          <w:color w:val="auto"/>
        </w:rPr>
      </w:pPr>
      <w:r>
        <w:rPr>
          <w:rFonts w:ascii="Arial" w:cs="Arial" w:eastAsia="Arial" w:hAnsi="Arial"/>
          <w:sz w:val="23"/>
          <w:szCs w:val="23"/>
          <w:color w:val="auto"/>
        </w:rPr>
        <w:t>An investment adviser in accordance with Rule 240.13d-1(b)(1)(ii)(E);</w:t>
      </w:r>
    </w:p>
    <w:p>
      <w:pPr>
        <w:spacing w:after="0" w:line="135" w:lineRule="exact"/>
        <w:rPr>
          <w:sz w:val="20"/>
          <w:szCs w:val="20"/>
          <w:color w:val="auto"/>
        </w:rPr>
      </w:pPr>
    </w:p>
    <w:p>
      <w:pPr>
        <w:ind w:right="560"/>
        <w:spacing w:after="0" w:line="396" w:lineRule="auto"/>
        <w:rPr>
          <w:sz w:val="20"/>
          <w:szCs w:val="20"/>
          <w:color w:val="auto"/>
        </w:rPr>
      </w:pPr>
      <w:r>
        <w:rPr>
          <w:rFonts w:ascii="Arial" w:cs="Arial" w:eastAsia="Arial" w:hAnsi="Arial"/>
          <w:sz w:val="21"/>
          <w:szCs w:val="21"/>
          <w:color w:val="auto"/>
        </w:rPr>
        <w:t>An employee benefit plan or endowment fund in accordance with Rule 240.13d-1(b)(1)(ii)(F); A parent holding company or control person in accordance with Rule 240.13d-1(b)(1)(ii)(G);</w:t>
      </w:r>
    </w:p>
    <w:p>
      <w:pPr>
        <w:spacing w:after="0" w:line="2" w:lineRule="exact"/>
        <w:rPr>
          <w:sz w:val="20"/>
          <w:szCs w:val="20"/>
          <w:color w:val="auto"/>
        </w:rPr>
      </w:pPr>
    </w:p>
    <w:p>
      <w:pPr>
        <w:ind w:right="340"/>
        <w:spacing w:after="0" w:line="257" w:lineRule="auto"/>
        <w:rPr>
          <w:sz w:val="20"/>
          <w:szCs w:val="20"/>
          <w:color w:val="auto"/>
        </w:rPr>
      </w:pPr>
      <w:r>
        <w:rPr>
          <w:rFonts w:ascii="Arial" w:cs="Arial" w:eastAsia="Arial" w:hAnsi="Arial"/>
          <w:sz w:val="23"/>
          <w:szCs w:val="23"/>
          <w:color w:val="auto"/>
        </w:rPr>
        <w:t>A savings association as defined in Section 3(b) of the Federal Deposit Insurance Act (12 U.S.C. 1813);</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23"/>
          <w:szCs w:val="23"/>
          <w:color w:val="auto"/>
        </w:rPr>
        <w:t>A church plan that is excluded from the definition of an investment company under Section 3(c)(14) of the Investment Company Act of 1940 (15 U.S.C. 80a-3);</w:t>
      </w:r>
    </w:p>
    <w:p>
      <w:pPr>
        <w:spacing w:after="0" w:line="90" w:lineRule="exact"/>
        <w:rPr>
          <w:sz w:val="20"/>
          <w:szCs w:val="20"/>
          <w:color w:val="auto"/>
        </w:rPr>
      </w:pPr>
    </w:p>
    <w:p>
      <w:pPr>
        <w:spacing w:after="0"/>
        <w:rPr>
          <w:sz w:val="20"/>
          <w:szCs w:val="20"/>
          <w:color w:val="auto"/>
        </w:rPr>
      </w:pPr>
      <w:r>
        <w:rPr>
          <w:rFonts w:ascii="Arial" w:cs="Arial" w:eastAsia="Arial" w:hAnsi="Arial"/>
          <w:sz w:val="23"/>
          <w:szCs w:val="23"/>
          <w:color w:val="auto"/>
        </w:rPr>
        <w:t>Group, in accordance with Rule 240.13d-1(b)(1)(ii)(J).</w:t>
      </w:r>
    </w:p>
    <w:p>
      <w:pPr>
        <w:spacing w:after="0" w:line="534" w:lineRule="exact"/>
        <w:rPr>
          <w:sz w:val="20"/>
          <w:szCs w:val="20"/>
          <w:color w:val="auto"/>
        </w:rPr>
      </w:pPr>
    </w:p>
    <w:p>
      <w:pPr>
        <w:sectPr>
          <w:pgSz w:w="12240" w:h="15840" w:orient="portrait"/>
          <w:cols w:equalWidth="0" w:num="2">
            <w:col w:w="2100" w:space="480"/>
            <w:col w:w="9180"/>
          </w:cols>
          <w:pgMar w:left="200" w:top="298" w:right="280" w:bottom="0" w:gutter="0" w:footer="0" w:header="0"/>
          <w:type w:val="continuous"/>
        </w:sectPr>
      </w:pPr>
    </w:p>
    <w:p>
      <w:pPr>
        <w:ind w:right="820"/>
        <w:spacing w:after="0" w:line="257" w:lineRule="auto"/>
        <w:rPr>
          <w:sz w:val="20"/>
          <w:szCs w:val="20"/>
          <w:color w:val="auto"/>
        </w:rPr>
      </w:pPr>
      <w:r>
        <w:rPr>
          <w:rFonts w:ascii="Arial" w:cs="Arial" w:eastAsia="Arial" w:hAnsi="Arial"/>
          <w:sz w:val="23"/>
          <w:szCs w:val="23"/>
          <w:color w:val="auto"/>
        </w:rPr>
        <w:t>Provide the following information regarding the aggregate number and percentage of the class of securities of the issuer identified in Item 1.</w:t>
      </w:r>
    </w:p>
    <w:p>
      <w:pPr>
        <w:spacing w:after="0" w:line="90" w:lineRule="exact"/>
        <w:rPr>
          <w:sz w:val="20"/>
          <w:szCs w:val="20"/>
          <w:color w:val="auto"/>
        </w:rPr>
      </w:pPr>
    </w:p>
    <w:p>
      <w:pPr>
        <w:ind w:left="1720" w:hanging="751"/>
        <w:spacing w:after="0"/>
        <w:tabs>
          <w:tab w:leader="none" w:pos="1720" w:val="left"/>
        </w:tabs>
        <w:numPr>
          <w:ilvl w:val="0"/>
          <w:numId w:val="4"/>
        </w:numPr>
        <w:rPr>
          <w:rFonts w:ascii="Arial" w:cs="Arial" w:eastAsia="Arial" w:hAnsi="Arial"/>
          <w:sz w:val="23"/>
          <w:szCs w:val="23"/>
          <w:color w:val="auto"/>
        </w:rPr>
      </w:pPr>
      <w:r>
        <w:rPr>
          <w:rFonts w:ascii="Arial" w:cs="Arial" w:eastAsia="Arial" w:hAnsi="Arial"/>
          <w:sz w:val="23"/>
          <w:szCs w:val="23"/>
          <w:color w:val="auto"/>
        </w:rPr>
        <w:t>Amount Beneficially Owned:</w:t>
      </w:r>
    </w:p>
    <w:p>
      <w:pPr>
        <w:spacing w:after="0" w:line="134" w:lineRule="exact"/>
        <w:rPr>
          <w:rFonts w:ascii="Arial" w:cs="Arial" w:eastAsia="Arial" w:hAnsi="Arial"/>
          <w:sz w:val="23"/>
          <w:szCs w:val="23"/>
          <w:color w:val="auto"/>
        </w:rPr>
      </w:pPr>
    </w:p>
    <w:p>
      <w:pPr>
        <w:ind w:left="1720" w:right="220"/>
        <w:spacing w:after="0" w:line="257" w:lineRule="auto"/>
        <w:rPr>
          <w:rFonts w:ascii="Arial" w:cs="Arial" w:eastAsia="Arial" w:hAnsi="Arial"/>
          <w:sz w:val="23"/>
          <w:szCs w:val="23"/>
          <w:color w:val="auto"/>
        </w:rPr>
      </w:pPr>
      <w:r>
        <w:rPr>
          <w:rFonts w:ascii="Arial" w:cs="Arial" w:eastAsia="Arial" w:hAnsi="Arial"/>
          <w:sz w:val="23"/>
          <w:szCs w:val="23"/>
          <w:color w:val="auto"/>
        </w:rPr>
        <w:t>1,971,995 shares of Class A Common Stock consisting of shares beneficially owned by MFS and/or certain other non-reporting entities.</w:t>
      </w:r>
    </w:p>
    <w:p>
      <w:pPr>
        <w:spacing w:after="0" w:line="89" w:lineRule="exact"/>
        <w:rPr>
          <w:rFonts w:ascii="Arial" w:cs="Arial" w:eastAsia="Arial" w:hAnsi="Arial"/>
          <w:sz w:val="23"/>
          <w:szCs w:val="23"/>
          <w:color w:val="auto"/>
        </w:rPr>
      </w:pPr>
    </w:p>
    <w:p>
      <w:pPr>
        <w:ind w:left="1720" w:right="8480" w:hanging="751"/>
        <w:spacing w:after="0" w:line="362" w:lineRule="auto"/>
        <w:tabs>
          <w:tab w:leader="none" w:pos="1720" w:val="left"/>
        </w:tabs>
        <w:numPr>
          <w:ilvl w:val="0"/>
          <w:numId w:val="4"/>
        </w:numPr>
        <w:rPr>
          <w:rFonts w:ascii="Arial" w:cs="Arial" w:eastAsia="Arial" w:hAnsi="Arial"/>
          <w:sz w:val="23"/>
          <w:szCs w:val="23"/>
          <w:color w:val="auto"/>
        </w:rPr>
      </w:pPr>
      <w:r>
        <w:rPr>
          <w:rFonts w:ascii="Arial" w:cs="Arial" w:eastAsia="Arial" w:hAnsi="Arial"/>
          <w:sz w:val="23"/>
          <w:szCs w:val="23"/>
          <w:color w:val="auto"/>
        </w:rPr>
        <w:t>Percent of Class: 5.7%</w:t>
      </w:r>
    </w:p>
    <w:p>
      <w:pPr>
        <w:sectPr>
          <w:pgSz w:w="12240" w:h="15840" w:orient="portrait"/>
          <w:cols w:equalWidth="0" w:num="1">
            <w:col w:w="11760"/>
          </w:cols>
          <w:pgMar w:left="200" w:top="298" w:right="280" w:bottom="0" w:gutter="0" w:footer="0" w:header="0"/>
          <w:type w:val="continuous"/>
        </w:sectPr>
      </w:pPr>
    </w:p>
    <w:p>
      <w:pPr>
        <w:spacing w:after="0" w:line="1" w:lineRule="exact"/>
        <w:rPr>
          <w:sz w:val="20"/>
          <w:szCs w:val="20"/>
          <w:color w:val="auto"/>
        </w:rPr>
      </w:pPr>
    </w:p>
    <w:p>
      <w:pPr>
        <w:ind w:left="1720" w:hanging="751"/>
        <w:spacing w:after="0"/>
        <w:tabs>
          <w:tab w:leader="none" w:pos="1720" w:val="left"/>
        </w:tabs>
        <w:numPr>
          <w:ilvl w:val="0"/>
          <w:numId w:val="5"/>
        </w:numPr>
        <w:rPr>
          <w:rFonts w:ascii="Arial" w:cs="Arial" w:eastAsia="Arial" w:hAnsi="Arial"/>
          <w:sz w:val="23"/>
          <w:szCs w:val="23"/>
          <w:color w:val="auto"/>
        </w:rPr>
      </w:pPr>
      <w:r>
        <w:rPr>
          <w:rFonts w:ascii="Arial" w:cs="Arial" w:eastAsia="Arial" w:hAnsi="Arial"/>
          <w:sz w:val="23"/>
          <w:szCs w:val="23"/>
          <w:color w:val="auto"/>
        </w:rPr>
        <w:t>Number of shares as to which such person has:</w:t>
      </w:r>
    </w:p>
    <w:p>
      <w:pPr>
        <w:spacing w:after="0" w:line="134" w:lineRule="exact"/>
        <w:rPr>
          <w:rFonts w:ascii="Arial" w:cs="Arial" w:eastAsia="Arial" w:hAnsi="Arial"/>
          <w:sz w:val="23"/>
          <w:szCs w:val="23"/>
          <w:color w:val="auto"/>
        </w:rPr>
      </w:pPr>
    </w:p>
    <w:p>
      <w:pPr>
        <w:ind w:left="2580" w:hanging="855"/>
        <w:spacing w:after="0"/>
        <w:tabs>
          <w:tab w:leader="none" w:pos="2580" w:val="left"/>
        </w:tabs>
        <w:numPr>
          <w:ilvl w:val="1"/>
          <w:numId w:val="5"/>
        </w:numPr>
        <w:rPr>
          <w:rFonts w:ascii="Arial" w:cs="Arial" w:eastAsia="Arial" w:hAnsi="Arial"/>
          <w:sz w:val="23"/>
          <w:szCs w:val="23"/>
          <w:color w:val="auto"/>
        </w:rPr>
      </w:pPr>
      <w:r>
        <w:rPr>
          <w:rFonts w:ascii="Arial" w:cs="Arial" w:eastAsia="Arial" w:hAnsi="Arial"/>
          <w:sz w:val="23"/>
          <w:szCs w:val="23"/>
          <w:color w:val="auto"/>
        </w:rPr>
        <w:t>sole power to vote or to direct the vote</w:t>
      </w:r>
    </w:p>
    <w:p>
      <w:pPr>
        <w:spacing w:after="0" w:line="134" w:lineRule="exact"/>
        <w:rPr>
          <w:rFonts w:ascii="Arial" w:cs="Arial" w:eastAsia="Arial" w:hAnsi="Arial"/>
          <w:sz w:val="23"/>
          <w:szCs w:val="23"/>
          <w:color w:val="auto"/>
        </w:rPr>
      </w:pPr>
    </w:p>
    <w:p>
      <w:pPr>
        <w:ind w:left="2580" w:hanging="855"/>
        <w:spacing w:after="0"/>
        <w:tabs>
          <w:tab w:leader="none" w:pos="2580" w:val="left"/>
        </w:tabs>
        <w:numPr>
          <w:ilvl w:val="1"/>
          <w:numId w:val="5"/>
        </w:numPr>
        <w:rPr>
          <w:rFonts w:ascii="Arial" w:cs="Arial" w:eastAsia="Arial" w:hAnsi="Arial"/>
          <w:sz w:val="23"/>
          <w:szCs w:val="23"/>
          <w:color w:val="auto"/>
        </w:rPr>
      </w:pPr>
      <w:r>
        <w:rPr>
          <w:rFonts w:ascii="Arial" w:cs="Arial" w:eastAsia="Arial" w:hAnsi="Arial"/>
          <w:sz w:val="23"/>
          <w:szCs w:val="23"/>
          <w:color w:val="auto"/>
        </w:rPr>
        <w:t>shared power to vote or to direct the vote</w:t>
      </w:r>
    </w:p>
    <w:p>
      <w:pPr>
        <w:spacing w:after="0" w:line="134" w:lineRule="exact"/>
        <w:rPr>
          <w:rFonts w:ascii="Arial" w:cs="Arial" w:eastAsia="Arial" w:hAnsi="Arial"/>
          <w:sz w:val="23"/>
          <w:szCs w:val="23"/>
          <w:color w:val="auto"/>
        </w:rPr>
      </w:pPr>
    </w:p>
    <w:p>
      <w:pPr>
        <w:ind w:left="2580" w:hanging="855"/>
        <w:spacing w:after="0" w:line="184" w:lineRule="auto"/>
        <w:tabs>
          <w:tab w:leader="none" w:pos="2580" w:val="left"/>
        </w:tabs>
        <w:numPr>
          <w:ilvl w:val="1"/>
          <w:numId w:val="5"/>
        </w:numPr>
        <w:rPr>
          <w:rFonts w:ascii="Arial" w:cs="Arial" w:eastAsia="Arial" w:hAnsi="Arial"/>
          <w:sz w:val="41"/>
          <w:szCs w:val="41"/>
          <w:color w:val="auto"/>
          <w:vertAlign w:val="subscript"/>
        </w:rPr>
      </w:pPr>
      <w:r>
        <w:rPr>
          <w:rFonts w:ascii="Arial" w:cs="Arial" w:eastAsia="Arial" w:hAnsi="Arial"/>
          <w:sz w:val="21"/>
          <w:szCs w:val="21"/>
          <w:color w:val="auto"/>
        </w:rPr>
        <w:t>sole power to dispose or to direct the disposition of</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1,971,995</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color w:val="auto"/>
        </w:rPr>
        <w:t>0</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1,971,995</w:t>
      </w:r>
    </w:p>
    <w:p>
      <w:pPr>
        <w:sectPr>
          <w:pgSz w:w="12240" w:h="15840" w:orient="portrait"/>
          <w:cols w:equalWidth="0" w:num="2">
            <w:col w:w="7000" w:space="340"/>
            <w:col w:w="4420"/>
          </w:cols>
          <w:pgMar w:left="200" w:top="298" w:right="280" w:bottom="0" w:gutter="0" w:footer="0" w:header="0"/>
          <w:type w:val="continuous"/>
        </w:sectPr>
      </w:pPr>
    </w:p>
    <w:bookmarkStart w:id="3" w:name="page4"/>
    <w:bookmarkEnd w:id="3"/>
    <w:tbl>
      <w:tblPr>
        <w:tblLayout w:type="fixed"/>
        <w:tblInd w:w="1720" w:type="dxa"/>
        <w:tblCellMar>
          <w:top w:w="0" w:type="dxa"/>
          <w:left w:w="0" w:type="dxa"/>
          <w:bottom w:w="0" w:type="dxa"/>
          <w:right w:w="0" w:type="dxa"/>
        </w:tblCellMar>
      </w:tblPr>
      <w:tr>
        <w:trPr>
          <w:trHeight w:val="233"/>
        </w:trPr>
        <w:tc>
          <w:tcPr>
            <w:tcW w:w="600" w:type="dxa"/>
            <w:vAlign w:val="bottom"/>
          </w:tcPr>
          <w:p>
            <w:pPr>
              <w:spacing w:after="0" w:line="233" w:lineRule="exact"/>
              <w:rPr>
                <w:sz w:val="20"/>
                <w:szCs w:val="20"/>
                <w:color w:val="auto"/>
              </w:rPr>
            </w:pPr>
            <w:r>
              <w:rPr>
                <w:rFonts w:ascii="Arial" w:cs="Arial" w:eastAsia="Arial" w:hAnsi="Arial"/>
                <w:sz w:val="23"/>
                <w:szCs w:val="23"/>
                <w:color w:val="auto"/>
              </w:rPr>
              <w:t>(iv)</w:t>
            </w:r>
          </w:p>
        </w:tc>
        <w:tc>
          <w:tcPr>
            <w:tcW w:w="4440" w:type="dxa"/>
            <w:vAlign w:val="bottom"/>
          </w:tcPr>
          <w:p>
            <w:pPr>
              <w:ind w:left="260"/>
              <w:spacing w:after="0" w:line="233" w:lineRule="exact"/>
              <w:rPr>
                <w:sz w:val="20"/>
                <w:szCs w:val="20"/>
                <w:color w:val="auto"/>
              </w:rPr>
            </w:pPr>
            <w:r>
              <w:rPr>
                <w:rFonts w:ascii="Arial" w:cs="Arial" w:eastAsia="Arial" w:hAnsi="Arial"/>
                <w:sz w:val="23"/>
                <w:szCs w:val="23"/>
                <w:color w:val="auto"/>
              </w:rPr>
              <w:t>shared power to dispose or to direct the</w:t>
            </w:r>
          </w:p>
        </w:tc>
        <w:tc>
          <w:tcPr>
            <w:tcW w:w="700" w:type="dxa"/>
            <w:vAlign w:val="bottom"/>
          </w:tcPr>
          <w:p>
            <w:pPr>
              <w:jc w:val="right"/>
              <w:spacing w:after="0" w:line="233" w:lineRule="exact"/>
              <w:rPr>
                <w:sz w:val="20"/>
                <w:szCs w:val="20"/>
                <w:color w:val="auto"/>
              </w:rPr>
            </w:pPr>
            <w:r>
              <w:rPr>
                <w:rFonts w:ascii="Arial" w:cs="Arial" w:eastAsia="Arial" w:hAnsi="Arial"/>
                <w:sz w:val="23"/>
                <w:szCs w:val="23"/>
                <w:color w:val="auto"/>
              </w:rPr>
              <w:t>0</w:t>
            </w:r>
          </w:p>
        </w:tc>
      </w:tr>
      <w:tr>
        <w:trPr>
          <w:trHeight w:val="291"/>
        </w:trPr>
        <w:tc>
          <w:tcPr>
            <w:tcW w:w="600" w:type="dxa"/>
            <w:vAlign w:val="bottom"/>
          </w:tcPr>
          <w:p>
            <w:pPr>
              <w:spacing w:after="0"/>
              <w:rPr>
                <w:sz w:val="24"/>
                <w:szCs w:val="24"/>
                <w:color w:val="auto"/>
              </w:rPr>
            </w:pPr>
          </w:p>
        </w:tc>
        <w:tc>
          <w:tcPr>
            <w:tcW w:w="4440" w:type="dxa"/>
            <w:vAlign w:val="bottom"/>
          </w:tcPr>
          <w:p>
            <w:pPr>
              <w:ind w:left="260"/>
              <w:spacing w:after="0"/>
              <w:rPr>
                <w:sz w:val="20"/>
                <w:szCs w:val="20"/>
                <w:color w:val="auto"/>
              </w:rPr>
            </w:pPr>
            <w:r>
              <w:rPr>
                <w:rFonts w:ascii="Arial" w:cs="Arial" w:eastAsia="Arial" w:hAnsi="Arial"/>
                <w:sz w:val="23"/>
                <w:szCs w:val="23"/>
                <w:color w:val="auto"/>
              </w:rPr>
              <w:t>disposition of</w:t>
            </w:r>
          </w:p>
        </w:tc>
        <w:tc>
          <w:tcPr>
            <w:tcW w:w="700" w:type="dxa"/>
            <w:vAlign w:val="bottom"/>
          </w:tcPr>
          <w:p>
            <w:pPr>
              <w:spacing w:after="0"/>
              <w:rPr>
                <w:sz w:val="24"/>
                <w:szCs w:val="24"/>
                <w:color w:val="auto"/>
              </w:rPr>
            </w:pPr>
          </w:p>
        </w:tc>
      </w:tr>
    </w:tbl>
    <w:p>
      <w:pPr>
        <w:spacing w:after="0" w:line="102" w:lineRule="exact"/>
        <w:rPr>
          <w:sz w:val="20"/>
          <w:szCs w:val="20"/>
          <w:color w:val="auto"/>
        </w:rPr>
      </w:pPr>
    </w:p>
    <w:p>
      <w:pPr>
        <w:spacing w:after="0"/>
        <w:tabs>
          <w:tab w:leader="none" w:pos="940" w:val="left"/>
        </w:tabs>
        <w:rPr>
          <w:sz w:val="20"/>
          <w:szCs w:val="20"/>
          <w:color w:val="auto"/>
        </w:rPr>
      </w:pPr>
      <w:r>
        <w:rPr>
          <w:rFonts w:ascii="Arial" w:cs="Arial" w:eastAsia="Arial" w:hAnsi="Arial"/>
          <w:sz w:val="23"/>
          <w:szCs w:val="23"/>
          <w:b w:val="1"/>
          <w:bCs w:val="1"/>
          <w:color w:val="auto"/>
        </w:rPr>
        <w:t>Item 5.</w:t>
      </w:r>
      <w:r>
        <w:rPr>
          <w:sz w:val="20"/>
          <w:szCs w:val="20"/>
          <w:color w:val="auto"/>
        </w:rPr>
        <w:tab/>
      </w:r>
      <w:r>
        <w:rPr>
          <w:rFonts w:ascii="Arial" w:cs="Arial" w:eastAsia="Arial" w:hAnsi="Arial"/>
          <w:sz w:val="20"/>
          <w:szCs w:val="20"/>
          <w:b w:val="1"/>
          <w:bCs w:val="1"/>
          <w:color w:val="auto"/>
        </w:rPr>
        <w:t>Ownership of Five Percent or Less of Class.</w:t>
      </w:r>
    </w:p>
    <w:p>
      <w:pPr>
        <w:spacing w:after="0" w:line="141" w:lineRule="exact"/>
        <w:rPr>
          <w:sz w:val="20"/>
          <w:szCs w:val="20"/>
          <w:color w:val="auto"/>
        </w:rPr>
      </w:pPr>
    </w:p>
    <w:p>
      <w:pPr>
        <w:ind w:left="960" w:right="360"/>
        <w:spacing w:after="0" w:line="279"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62" w:lineRule="exact"/>
        <w:rPr>
          <w:sz w:val="20"/>
          <w:szCs w:val="20"/>
          <w:color w:val="auto"/>
        </w:rPr>
      </w:pPr>
    </w:p>
    <w:p>
      <w:pPr>
        <w:spacing w:after="0"/>
        <w:tabs>
          <w:tab w:leader="none" w:pos="940" w:val="left"/>
        </w:tabs>
        <w:rPr>
          <w:sz w:val="20"/>
          <w:szCs w:val="20"/>
          <w:color w:val="auto"/>
        </w:rPr>
      </w:pPr>
      <w:r>
        <w:rPr>
          <w:rFonts w:ascii="Arial" w:cs="Arial" w:eastAsia="Arial" w:hAnsi="Arial"/>
          <w:sz w:val="23"/>
          <w:szCs w:val="23"/>
          <w:b w:val="1"/>
          <w:bCs w:val="1"/>
          <w:color w:val="auto"/>
        </w:rPr>
        <w:t>Item 6.</w:t>
      </w:r>
      <w:r>
        <w:rPr>
          <w:sz w:val="20"/>
          <w:szCs w:val="20"/>
          <w:color w:val="auto"/>
        </w:rPr>
        <w:tab/>
      </w:r>
      <w:r>
        <w:rPr>
          <w:rFonts w:ascii="Arial" w:cs="Arial" w:eastAsia="Arial" w:hAnsi="Arial"/>
          <w:sz w:val="20"/>
          <w:szCs w:val="20"/>
          <w:b w:val="1"/>
          <w:bCs w:val="1"/>
          <w:color w:val="auto"/>
        </w:rPr>
        <w:t>Ownership of More than Five Percent on Behalf of Another Person.</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23"/>
          <w:szCs w:val="23"/>
          <w:color w:val="auto"/>
        </w:rPr>
        <w:t>Not Applicable</w:t>
      </w:r>
    </w:p>
    <w:p>
      <w:pPr>
        <w:spacing w:after="0" w:line="129" w:lineRule="exact"/>
        <w:rPr>
          <w:sz w:val="20"/>
          <w:szCs w:val="20"/>
          <w:color w:val="auto"/>
        </w:rPr>
      </w:pPr>
    </w:p>
    <w:p>
      <w:pPr>
        <w:ind w:left="960" w:right="460" w:hanging="969"/>
        <w:spacing w:after="0" w:line="262" w:lineRule="auto"/>
        <w:tabs>
          <w:tab w:leader="none" w:pos="940" w:val="left"/>
        </w:tabs>
        <w:rPr>
          <w:sz w:val="20"/>
          <w:szCs w:val="20"/>
          <w:color w:val="auto"/>
        </w:rPr>
      </w:pPr>
      <w:r>
        <w:rPr>
          <w:rFonts w:ascii="Arial" w:cs="Arial" w:eastAsia="Arial" w:hAnsi="Arial"/>
          <w:sz w:val="23"/>
          <w:szCs w:val="23"/>
          <w:b w:val="1"/>
          <w:bCs w:val="1"/>
          <w:color w:val="auto"/>
        </w:rPr>
        <w:t>Item 7.</w:t>
        <w:tab/>
        <w:t>Identification and Classification of the Subsidiary Which Acquired the Security Being Reported on by the Parent Holding Company.</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23"/>
          <w:szCs w:val="23"/>
          <w:color w:val="auto"/>
        </w:rPr>
        <w:t>Not Applicable</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23"/>
          <w:szCs w:val="23"/>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23"/>
          <w:szCs w:val="23"/>
          <w:color w:val="auto"/>
        </w:rPr>
        <w:t>Not Applicable</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23"/>
          <w:szCs w:val="23"/>
          <w:b w:val="1"/>
          <w:bCs w:val="1"/>
          <w:color w:val="auto"/>
        </w:rPr>
        <w:t>Item 9.</w:t>
      </w:r>
      <w:r>
        <w:rPr>
          <w:sz w:val="20"/>
          <w:szCs w:val="20"/>
          <w:color w:val="auto"/>
        </w:rPr>
        <w:tab/>
      </w:r>
      <w:r>
        <w:rPr>
          <w:rFonts w:ascii="Arial" w:cs="Arial" w:eastAsia="Arial" w:hAnsi="Arial"/>
          <w:sz w:val="20"/>
          <w:szCs w:val="20"/>
          <w:b w:val="1"/>
          <w:bCs w:val="1"/>
          <w:color w:val="auto"/>
        </w:rPr>
        <w:t>Notice of Dissolution of Group.</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23"/>
          <w:szCs w:val="23"/>
          <w:color w:val="auto"/>
        </w:rPr>
        <w:t>Not Applicable</w:t>
      </w:r>
    </w:p>
    <w:p>
      <w:pPr>
        <w:spacing w:after="0" w:line="12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Certification.</w:t>
      </w:r>
    </w:p>
    <w:p>
      <w:pPr>
        <w:spacing w:after="0" w:line="255" w:lineRule="exact"/>
        <w:rPr>
          <w:sz w:val="20"/>
          <w:szCs w:val="20"/>
          <w:color w:val="auto"/>
        </w:rPr>
      </w:pPr>
    </w:p>
    <w:p>
      <w:pPr>
        <w:ind w:left="960"/>
        <w:spacing w:after="0" w:line="271"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2240" w:h="15840" w:orient="portrait"/>
          <w:cols w:equalWidth="0" w:num="1">
            <w:col w:w="11700"/>
          </w:cols>
          <w:pgMar w:left="200" w:top="0" w:right="340"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72390</wp:posOffset>
            </wp:positionH>
            <wp:positionV relativeFrom="page">
              <wp:posOffset>0</wp:posOffset>
            </wp:positionV>
            <wp:extent cx="7642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42860" cy="8890"/>
                    </a:xfrm>
                    <a:prstGeom prst="rect">
                      <a:avLst/>
                    </a:prstGeom>
                    <a:noFill/>
                  </pic:spPr>
                </pic:pic>
              </a:graphicData>
            </a:graphic>
          </wp:anchor>
        </w:drawing>
        <w:t>SIGNATURE</w:t>
      </w:r>
    </w:p>
    <w:p>
      <w:pPr>
        <w:spacing w:after="0" w:line="355" w:lineRule="exact"/>
        <w:rPr>
          <w:sz w:val="20"/>
          <w:szCs w:val="20"/>
          <w:color w:val="auto"/>
        </w:rPr>
      </w:pPr>
    </w:p>
    <w:p>
      <w:pPr>
        <w:ind w:right="180"/>
        <w:spacing w:after="0" w:line="257" w:lineRule="auto"/>
        <w:rPr>
          <w:sz w:val="20"/>
          <w:szCs w:val="20"/>
          <w:color w:val="auto"/>
        </w:rPr>
      </w:pPr>
      <w:r>
        <w:rPr>
          <w:rFonts w:ascii="Arial" w:cs="Arial" w:eastAsia="Arial" w:hAnsi="Arial"/>
          <w:sz w:val="23"/>
          <w:szCs w:val="23"/>
          <w:color w:val="auto"/>
        </w:rPr>
        <w:t>After reasonable inquiry and to the best of my knowledge and belief, I certify that the information set forth in this statement is true, complete and correct.</w:t>
      </w:r>
    </w:p>
    <w:p>
      <w:pPr>
        <w:spacing w:after="0" w:line="261"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Massachusetts Financial Services Company</w:t>
      </w:r>
    </w:p>
    <w:p>
      <w:pPr>
        <w:spacing w:after="0" w:line="72" w:lineRule="exact"/>
        <w:rPr>
          <w:sz w:val="20"/>
          <w:szCs w:val="20"/>
          <w:color w:val="auto"/>
        </w:rPr>
      </w:pPr>
    </w:p>
    <w:p>
      <w:pPr>
        <w:ind w:left="49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Robert R. Flaherty</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23"/>
          <w:szCs w:val="23"/>
          <w:color w:val="auto"/>
        </w:rPr>
        <w:t>Date: February 13, 2019</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23"/>
          <w:szCs w:val="23"/>
          <w:color w:val="auto"/>
        </w:rPr>
        <w:t>Name: Robert R. Flaherty</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23"/>
          <w:szCs w:val="23"/>
          <w:color w:val="auto"/>
        </w:rPr>
        <w:t>Title: Vice President</w:t>
      </w:r>
    </w:p>
    <w:sectPr>
      <w:pgSz w:w="12240" w:h="15840" w:orient="portrait"/>
      <w:cols w:equalWidth="0" w:num="1">
        <w:col w:w="9440"/>
      </w:cols>
      <w:pgMar w:left="1360" w:top="2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2019-12-20T00:27:08Z</dcterms:created>
  <dcterms:modified xsi:type="dcterms:W3CDTF">2019-12-20T00:27:08Z</dcterms:modified>
</cp:coreProperties>
</file>