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860425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817880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76" w:lineRule="exact"/>
        <w:rPr>
          <w:sz w:val="24"/>
          <w:szCs w:val="24"/>
          <w:color w:val="auto"/>
        </w:rPr>
      </w:pPr>
    </w:p>
    <w:p>
      <w:pPr>
        <w:ind w:left="500" w:right="3900" w:hanging="249"/>
        <w:spacing w:after="0" w:line="391" w:lineRule="auto"/>
        <w:tabs>
          <w:tab w:leader="none" w:pos="62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March 31, 2021</w:t>
      </w:r>
    </w:p>
    <w:p>
      <w:pPr>
        <w:spacing w:after="0" w:line="122" w:lineRule="exact"/>
        <w:rPr>
          <w:rFonts w:ascii="MS PGothic" w:cs="MS PGothic" w:eastAsia="MS PGothic" w:hAnsi="MS PGothic"/>
          <w:sz w:val="18"/>
          <w:szCs w:val="18"/>
          <w:color w:val="auto"/>
        </w:rPr>
      </w:pPr>
    </w:p>
    <w:p>
      <w:pPr>
        <w:ind w:left="4160" w:right="3840" w:hanging="3875"/>
        <w:spacing w:after="0" w:line="555" w:lineRule="auto"/>
        <w:tabs>
          <w:tab w:leader="none" w:pos="661" w:val="left"/>
        </w:tabs>
        <w:numPr>
          <w:ilvl w:val="1"/>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Commission File Number: 333-203369</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Clearway Energy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30" w:lineRule="exact"/>
        <w:rPr>
          <w:sz w:val="24"/>
          <w:szCs w:val="24"/>
          <w:color w:val="auto"/>
        </w:rPr>
      </w:pPr>
    </w:p>
    <w:p>
      <w:pPr>
        <w:jc w:val="center"/>
        <w:ind w:right="4040"/>
        <w:spacing w:after="0"/>
        <w:rPr>
          <w:sz w:val="20"/>
          <w:szCs w:val="20"/>
          <w:color w:val="auto"/>
        </w:rPr>
      </w:pPr>
      <w:r>
        <w:rPr>
          <w:rFonts w:ascii="Arial" w:cs="Arial" w:eastAsia="Arial" w:hAnsi="Arial"/>
          <w:sz w:val="18"/>
          <w:szCs w:val="18"/>
          <w:b w:val="1"/>
          <w:bCs w:val="1"/>
          <w:color w:val="auto"/>
        </w:rPr>
        <w:t>Delaware</w:t>
      </w:r>
    </w:p>
    <w:p>
      <w:pPr>
        <w:spacing w:after="0" w:line="11" w:lineRule="exact"/>
        <w:rPr>
          <w:sz w:val="24"/>
          <w:szCs w:val="24"/>
          <w:color w:val="auto"/>
        </w:rPr>
      </w:pPr>
    </w:p>
    <w:p>
      <w:pPr>
        <w:jc w:val="center"/>
        <w:ind w:right="4040"/>
        <w:spacing w:after="0"/>
        <w:rPr>
          <w:sz w:val="20"/>
          <w:szCs w:val="20"/>
          <w:color w:val="auto"/>
        </w:rPr>
      </w:pPr>
      <w:r>
        <w:rPr>
          <w:rFonts w:ascii="Arial" w:cs="Arial" w:eastAsia="Arial" w:hAnsi="Arial"/>
          <w:sz w:val="18"/>
          <w:szCs w:val="18"/>
          <w:color w:val="auto"/>
        </w:rPr>
        <w:t>(State or other jurisdiction</w:t>
      </w:r>
    </w:p>
    <w:p>
      <w:pPr>
        <w:jc w:val="center"/>
        <w:ind w:right="4040"/>
        <w:spacing w:after="0"/>
        <w:rPr>
          <w:sz w:val="20"/>
          <w:szCs w:val="20"/>
          <w:color w:val="auto"/>
        </w:rPr>
      </w:pPr>
      <w:r>
        <w:rPr>
          <w:rFonts w:ascii="Arial" w:cs="Arial" w:eastAsia="Arial" w:hAnsi="Arial"/>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32-0407370</w:t>
      </w:r>
    </w:p>
    <w:p>
      <w:pPr>
        <w:spacing w:after="0" w:line="11" w:lineRule="exact"/>
        <w:rPr>
          <w:sz w:val="24"/>
          <w:szCs w:val="24"/>
          <w:color w:val="auto"/>
        </w:rPr>
      </w:pPr>
    </w:p>
    <w:p>
      <w:pPr>
        <w:jc w:val="center"/>
        <w:ind w:right="1420"/>
        <w:spacing w:after="0"/>
        <w:rPr>
          <w:sz w:val="20"/>
          <w:szCs w:val="20"/>
          <w:color w:val="auto"/>
        </w:rPr>
      </w:pPr>
      <w:r>
        <w:rPr>
          <w:rFonts w:ascii="Arial" w:cs="Arial" w:eastAsia="Arial" w:hAnsi="Arial"/>
          <w:sz w:val="18"/>
          <w:szCs w:val="18"/>
          <w:color w:val="auto"/>
        </w:rPr>
        <w:t>(I.R.S. Employer</w:t>
      </w:r>
    </w:p>
    <w:p>
      <w:pPr>
        <w:jc w:val="center"/>
        <w:ind w:right="1420"/>
        <w:spacing w:after="0"/>
        <w:rPr>
          <w:sz w:val="20"/>
          <w:szCs w:val="20"/>
          <w:color w:val="auto"/>
        </w:rPr>
      </w:pPr>
      <w:r>
        <w:rPr>
          <w:rFonts w:ascii="Arial" w:cs="Arial" w:eastAsia="Arial" w:hAnsi="Arial"/>
          <w:sz w:val="17"/>
          <w:szCs w:val="17"/>
          <w:color w:val="auto"/>
        </w:rPr>
        <w:t>Identification No.)</w:t>
      </w:r>
    </w:p>
    <w:p>
      <w:pPr>
        <w:spacing w:after="0" w:line="68" w:lineRule="exact"/>
        <w:rPr>
          <w:sz w:val="24"/>
          <w:szCs w:val="24"/>
          <w:color w:val="auto"/>
        </w:rPr>
      </w:pPr>
    </w:p>
    <w:p>
      <w:pPr>
        <w:sectPr>
          <w:pgSz w:w="11900" w:h="16838" w:orient="portrait"/>
          <w:cols w:equalWidth="0" w:num="2">
            <w:col w:w="7760" w:space="720"/>
            <w:col w:w="2760"/>
          </w:cols>
          <w:pgMar w:left="320" w:top="1440" w:right="339" w:bottom="1440" w:gutter="0" w:footer="0" w:header="0"/>
          <w:type w:val="continuous"/>
        </w:sectPr>
      </w:pPr>
    </w:p>
    <w:p>
      <w:pPr>
        <w:ind w:left="2160" w:right="100" w:hanging="1477"/>
        <w:spacing w:after="0" w:line="297" w:lineRule="auto"/>
        <w:rPr>
          <w:sz w:val="20"/>
          <w:szCs w:val="20"/>
          <w:color w:val="auto"/>
        </w:rPr>
      </w:pPr>
      <w:r>
        <w:rPr>
          <w:rFonts w:ascii="Arial" w:cs="Arial" w:eastAsia="Arial" w:hAnsi="Arial"/>
          <w:sz w:val="18"/>
          <w:szCs w:val="18"/>
          <w:b w:val="1"/>
          <w:bCs w:val="1"/>
          <w:color w:val="auto"/>
        </w:rPr>
        <w:t>300 Carnegie Center, Suite 300</w:t>
      </w:r>
      <w:r>
        <w:rPr>
          <w:sz w:val="20"/>
          <w:szCs w:val="20"/>
          <w:color w:val="auto"/>
        </w:rPr>
        <w:t xml:space="preserve"> </w:t>
      </w:r>
      <w:r>
        <w:rPr>
          <w:rFonts w:ascii="Arial" w:cs="Arial" w:eastAsia="Arial" w:hAnsi="Arial"/>
          <w:sz w:val="18"/>
          <w:szCs w:val="18"/>
          <w:b w:val="1"/>
          <w:bCs w:val="1"/>
          <w:color w:val="auto"/>
        </w:rPr>
        <w:t xml:space="preserve">Princeton </w:t>
      </w: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08540</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6"/>
          <w:szCs w:val="16"/>
          <w:color w:val="auto"/>
        </w:rPr>
        <w:t>(Zip Code)</w:t>
      </w:r>
    </w:p>
    <w:p>
      <w:pPr>
        <w:spacing w:after="0" w:line="242" w:lineRule="exact"/>
        <w:rPr>
          <w:sz w:val="24"/>
          <w:szCs w:val="24"/>
          <w:color w:val="auto"/>
        </w:rPr>
      </w:pPr>
    </w:p>
    <w:p>
      <w:pPr>
        <w:sectPr>
          <w:pgSz w:w="11900" w:h="16838" w:orient="portrait"/>
          <w:cols w:equalWidth="0" w:num="3">
            <w:col w:w="5120" w:space="720"/>
            <w:col w:w="2180" w:space="720"/>
            <w:col w:w="2500"/>
          </w:cols>
          <w:pgMar w:left="320" w:top="1440"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122" w:lineRule="exact"/>
        <w:rPr>
          <w:sz w:val="24"/>
          <w:szCs w:val="24"/>
          <w:color w:val="auto"/>
        </w:rPr>
      </w:pPr>
    </w:p>
    <w:p>
      <w:pPr>
        <w:jc w:val="both"/>
        <w:ind w:firstLine="283"/>
        <w:spacing w:after="0" w:line="29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 xml:space="preserve">Yes </w:t>
      </w:r>
      <w:r>
        <w:rPr>
          <w:rFonts w:ascii="Arial" w:cs="Arial" w:eastAsia="Arial" w:hAnsi="Arial"/>
          <w:sz w:val="16"/>
          <w:szCs w:val="16"/>
          <w:color w:val="auto"/>
        </w:rPr>
        <w:t>x</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o</w:t>
      </w:r>
    </w:p>
    <w:p>
      <w:pPr>
        <w:spacing w:after="0" w:line="101" w:lineRule="exact"/>
        <w:rPr>
          <w:sz w:val="24"/>
          <w:szCs w:val="24"/>
          <w:color w:val="auto"/>
        </w:rPr>
      </w:pPr>
    </w:p>
    <w:p>
      <w:pPr>
        <w:jc w:val="both"/>
        <w:ind w:firstLine="283"/>
        <w:spacing w:after="0" w:line="310"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Arial" w:cs="Arial" w:eastAsia="Arial" w:hAnsi="Arial"/>
          <w:sz w:val="15"/>
          <w:szCs w:val="15"/>
          <w:b w:val="1"/>
          <w:bCs w:val="1"/>
          <w:color w:val="auto"/>
        </w:rPr>
        <w:t>Yes</w:t>
      </w:r>
      <w:r>
        <w:rPr>
          <w:rFonts w:ascii="Arial" w:cs="Arial" w:eastAsia="Arial" w:hAnsi="Arial"/>
          <w:sz w:val="15"/>
          <w:szCs w:val="15"/>
          <w:color w:val="auto"/>
        </w:rPr>
        <w:t xml:space="preserve"> x </w:t>
      </w:r>
      <w:r>
        <w:rPr>
          <w:rFonts w:ascii="Arial" w:cs="Arial" w:eastAsia="Arial" w:hAnsi="Arial"/>
          <w:sz w:val="15"/>
          <w:szCs w:val="15"/>
          <w:b w:val="1"/>
          <w:bCs w:val="1"/>
          <w:color w:val="auto"/>
        </w:rPr>
        <w:t>No</w:t>
      </w:r>
      <w:r>
        <w:rPr>
          <w:rFonts w:ascii="Arial" w:cs="Arial" w:eastAsia="Arial" w:hAnsi="Arial"/>
          <w:sz w:val="15"/>
          <w:szCs w:val="15"/>
          <w:color w:val="auto"/>
        </w:rPr>
        <w:t xml:space="preserve"> o</w:t>
      </w:r>
    </w:p>
    <w:p>
      <w:pPr>
        <w:spacing w:after="0" w:line="40" w:lineRule="exact"/>
        <w:rPr>
          <w:sz w:val="24"/>
          <w:szCs w:val="24"/>
          <w:color w:val="auto"/>
        </w:rPr>
      </w:pPr>
    </w:p>
    <w:p>
      <w:pPr>
        <w:jc w:val="both"/>
        <w:ind w:firstLine="283"/>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200" w:type="dxa"/>
        <w:tblCellMar>
          <w:top w:w="0" w:type="dxa"/>
          <w:left w:w="0" w:type="dxa"/>
          <w:bottom w:w="0" w:type="dxa"/>
          <w:right w:w="0" w:type="dxa"/>
        </w:tblCellMar>
      </w:tblPr>
      <w:tr>
        <w:trPr>
          <w:trHeight w:val="229"/>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144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32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920" w:type="dxa"/>
            <w:vAlign w:val="bottom"/>
          </w:tcPr>
          <w:p>
            <w:pPr>
              <w:ind w:left="7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0" w:lineRule="exact"/>
        <w:rPr>
          <w:sz w:val="24"/>
          <w:szCs w:val="24"/>
          <w:color w:val="auto"/>
        </w:rPr>
      </w:pPr>
    </w:p>
    <w:p>
      <w:pPr>
        <w:spacing w:after="0" w:line="202" w:lineRule="exact"/>
        <w:rPr>
          <w:sz w:val="24"/>
          <w:szCs w:val="24"/>
          <w:color w:val="auto"/>
        </w:rPr>
      </w:pPr>
    </w:p>
    <w:p>
      <w:pPr>
        <w:ind w:firstLine="324"/>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64" w:lineRule="exact"/>
        <w:rPr>
          <w:sz w:val="24"/>
          <w:szCs w:val="24"/>
          <w:color w:val="auto"/>
        </w:rPr>
      </w:pPr>
    </w:p>
    <w:p>
      <w:pPr>
        <w:ind w:left="30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76" w:lineRule="exact"/>
        <w:rPr>
          <w:sz w:val="24"/>
          <w:szCs w:val="24"/>
          <w:color w:val="auto"/>
        </w:rPr>
      </w:pPr>
    </w:p>
    <w:p>
      <w:pPr>
        <w:ind w:left="5100"/>
        <w:spacing w:after="0" w:line="196" w:lineRule="exact"/>
        <w:tabs>
          <w:tab w:leader="none" w:pos="5800" w:val="left"/>
        </w:tabs>
        <w:rPr>
          <w:sz w:val="20"/>
          <w:szCs w:val="20"/>
          <w:color w:val="auto"/>
        </w:rPr>
      </w:pPr>
      <w:r>
        <w:rPr>
          <w:rFonts w:ascii="Arial" w:cs="Arial" w:eastAsia="Arial" w:hAnsi="Arial"/>
          <w:sz w:val="16"/>
          <w:szCs w:val="16"/>
          <w:b w:val="1"/>
          <w:bCs w:val="1"/>
          <w:color w:val="auto"/>
        </w:rPr>
        <w:t xml:space="preserve">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b w:val="1"/>
          <w:bCs w:val="1"/>
          <w:color w:val="auto"/>
        </w:rPr>
        <w:t xml:space="preserve">No </w:t>
      </w:r>
      <w:r>
        <w:rPr>
          <w:rFonts w:ascii="Arial" w:cs="Arial" w:eastAsia="Arial" w:hAnsi="Arial"/>
          <w:sz w:val="15"/>
          <w:szCs w:val="15"/>
          <w:color w:val="auto"/>
        </w:rPr>
        <w:t>x</w:t>
      </w:r>
    </w:p>
    <w:p>
      <w:pPr>
        <w:spacing w:after="0" w:line="166" w:lineRule="exact"/>
        <w:rPr>
          <w:sz w:val="24"/>
          <w:szCs w:val="24"/>
          <w:color w:val="auto"/>
        </w:rPr>
      </w:pPr>
    </w:p>
    <w:p>
      <w:pPr>
        <w:ind w:firstLine="283"/>
        <w:spacing w:after="0" w:line="275" w:lineRule="auto"/>
        <w:rPr>
          <w:sz w:val="20"/>
          <w:szCs w:val="20"/>
          <w:color w:val="auto"/>
        </w:rPr>
      </w:pPr>
      <w:r>
        <w:rPr>
          <w:rFonts w:ascii="Arial" w:cs="Arial" w:eastAsia="Arial" w:hAnsi="Arial"/>
          <w:sz w:val="16"/>
          <w:szCs w:val="16"/>
          <w:color w:val="auto"/>
        </w:rPr>
        <w:t>As of April 30, 2021, there were 34,599,645 Class A units outstanding, 42,738,750 Class B units outstanding, 81,654,563 Class C units outstanding, and 42,738,750 Class D units outstanding. There is no public market for the registrant's outstanding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805815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21590</wp:posOffset>
            </wp:positionV>
            <wp:extent cx="69265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6580" cy="1714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-3810</wp:posOffset>
            </wp:positionV>
            <wp:extent cx="69265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26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b w:val="1"/>
                <w:bCs w:val="1"/>
                <w:color w:val="0000FF"/>
              </w:rPr>
              <w:t>CAUTIONARY STATEMENT REGARDING FORWARD LOOKING INFORMATION</w:t>
            </w:r>
          </w:p>
        </w:tc>
        <w:tc>
          <w:tcPr>
            <w:tcW w:w="4180" w:type="dxa"/>
            <w:vAlign w:val="bottom"/>
            <w:gridSpan w:val="4"/>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2">
              <w:r>
                <w:rPr>
                  <w:rFonts w:ascii="Arial" w:cs="Arial" w:eastAsia="Arial" w:hAnsi="Arial"/>
                  <w:sz w:val="18"/>
                  <w:szCs w:val="18"/>
                  <w:color w:val="0000FF"/>
                  <w:w w:val="79"/>
                </w:rPr>
                <w:t>3</w:t>
              </w:r>
            </w:hyperlink>
          </w:p>
        </w:tc>
        <w:tc>
          <w:tcPr>
            <w:tcW w:w="0" w:type="dxa"/>
            <w:vAlign w:val="bottom"/>
          </w:tcPr>
          <w:p>
            <w:pPr>
              <w:spacing w:after="0"/>
              <w:rPr>
                <w:sz w:val="1"/>
                <w:szCs w:val="1"/>
                <w:color w:val="auto"/>
              </w:rPr>
            </w:pPr>
          </w:p>
        </w:tc>
      </w:tr>
      <w:tr>
        <w:trPr>
          <w:trHeight w:val="209"/>
        </w:trPr>
        <w:tc>
          <w:tcPr>
            <w:tcW w:w="11000" w:type="dxa"/>
            <w:vAlign w:val="bottom"/>
            <w:gridSpan w:val="20"/>
          </w:tcPr>
          <w:p>
            <w:pPr>
              <w:spacing w:after="0"/>
              <w:rPr>
                <w:sz w:val="20"/>
                <w:szCs w:val="20"/>
                <w:color w:val="auto"/>
              </w:rPr>
            </w:pPr>
            <w:r>
              <w:rPr>
                <w:rFonts w:ascii="Arial" w:cs="Arial" w:eastAsia="Arial" w:hAnsi="Arial"/>
                <w:sz w:val="18"/>
                <w:szCs w:val="18"/>
                <w:b w:val="1"/>
                <w:bCs w:val="1"/>
                <w:color w:val="0000FF"/>
              </w:rPr>
              <w:t>GLOSSARY OF TERMS</w:t>
            </w:r>
          </w:p>
        </w:tc>
        <w:tc>
          <w:tcPr>
            <w:tcW w:w="180" w:type="dxa"/>
            <w:vAlign w:val="bottom"/>
            <w:gridSpan w:val="2"/>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bottom w:val="single" w:sz="8" w:color="0000FF"/>
            </w:tcBorders>
            <w:gridSpan w:val="12"/>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740" w:type="dxa"/>
            <w:vAlign w:val="bottom"/>
            <w:gridSpan w:val="8"/>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800" w:type="dxa"/>
            <w:vAlign w:val="bottom"/>
            <w:gridSpan w:val="19"/>
          </w:tcPr>
          <w:p>
            <w:pPr>
              <w:spacing w:after="0"/>
              <w:rPr>
                <w:sz w:val="20"/>
                <w:szCs w:val="20"/>
                <w:color w:val="auto"/>
              </w:rPr>
            </w:pPr>
            <w:r>
              <w:rPr>
                <w:rFonts w:ascii="Arial" w:cs="Arial" w:eastAsia="Arial" w:hAnsi="Arial"/>
                <w:sz w:val="18"/>
                <w:szCs w:val="18"/>
                <w:color w:val="0000FF"/>
              </w:rPr>
              <w:t>ITEM 1 — FINANCIAL STATEMENTS AND NOTES</w:t>
            </w:r>
          </w:p>
        </w:tc>
        <w:tc>
          <w:tcPr>
            <w:tcW w:w="180" w:type="dxa"/>
            <w:vAlign w:val="bottom"/>
            <w:gridSpan w:val="2"/>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10800" w:type="dxa"/>
            <w:vAlign w:val="bottom"/>
            <w:gridSpan w:val="19"/>
          </w:tcPr>
          <w:p>
            <w:pPr>
              <w:spacing w:after="0"/>
              <w:rPr>
                <w:sz w:val="20"/>
                <w:szCs w:val="20"/>
                <w:color w:val="auto"/>
              </w:rPr>
            </w:pPr>
            <w:r>
              <w:rPr>
                <w:rFonts w:ascii="Arial" w:cs="Arial" w:eastAsia="Arial" w:hAnsi="Arial"/>
                <w:sz w:val="18"/>
                <w:szCs w:val="18"/>
                <w:color w:val="0000FF"/>
              </w:rPr>
              <w:t>ITEM 2 — MANAGEMENT’S DISCUSSION AND ANALYSIS OF FINANCIAL CONDITION AND RESULTS OF</w:t>
            </w:r>
          </w:p>
        </w:tc>
        <w:tc>
          <w:tcPr>
            <w:tcW w:w="180" w:type="dxa"/>
            <w:vAlign w:val="bottom"/>
            <w:gridSpan w:val="2"/>
            <w:vMerge w:val="restart"/>
          </w:tcPr>
          <w:p>
            <w:pPr>
              <w:jc w:val="right"/>
              <w:spacing w:after="0"/>
              <w:rPr>
                <w:rFonts w:ascii="Arial" w:cs="Arial" w:eastAsia="Arial" w:hAnsi="Arial"/>
                <w:sz w:val="18"/>
                <w:szCs w:val="18"/>
                <w:color w:val="0000FF"/>
                <w:w w:val="79"/>
              </w:rPr>
            </w:pPr>
            <w:hyperlink w:anchor="page32">
              <w:r>
                <w:rPr>
                  <w:rFonts w:ascii="Arial" w:cs="Arial" w:eastAsia="Arial" w:hAnsi="Arial"/>
                  <w:sz w:val="18"/>
                  <w:szCs w:val="18"/>
                  <w:color w:val="0000FF"/>
                  <w:w w:val="79"/>
                </w:rPr>
                <w:t>33</w:t>
              </w:r>
            </w:hyperlink>
          </w:p>
        </w:tc>
        <w:tc>
          <w:tcPr>
            <w:tcW w:w="0" w:type="dxa"/>
            <w:vAlign w:val="bottom"/>
          </w:tcPr>
          <w:p>
            <w:pPr>
              <w:spacing w:after="0"/>
              <w:rPr>
                <w:sz w:val="1"/>
                <w:szCs w:val="1"/>
                <w:color w:val="auto"/>
              </w:rPr>
            </w:pPr>
          </w:p>
        </w:tc>
      </w:tr>
      <w:tr>
        <w:trPr>
          <w:trHeight w:val="155"/>
        </w:trPr>
        <w:tc>
          <w:tcPr>
            <w:tcW w:w="200" w:type="dxa"/>
            <w:vAlign w:val="bottom"/>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7560" w:type="dxa"/>
            <w:vAlign w:val="bottom"/>
            <w:tcBorders>
              <w:top w:val="single" w:sz="8" w:color="0000FF"/>
            </w:tcBorders>
            <w:gridSpan w:val="16"/>
          </w:tcPr>
          <w:p>
            <w:pPr>
              <w:spacing w:after="0" w:line="156" w:lineRule="exact"/>
              <w:rPr>
                <w:sz w:val="20"/>
                <w:szCs w:val="20"/>
                <w:color w:val="auto"/>
              </w:rPr>
            </w:pPr>
            <w:r>
              <w:rPr>
                <w:rFonts w:ascii="Arial" w:cs="Arial" w:eastAsia="Arial" w:hAnsi="Arial"/>
                <w:sz w:val="18"/>
                <w:szCs w:val="18"/>
                <w:color w:val="0000FF"/>
              </w:rPr>
              <w:t>OPERATIONS</w:t>
            </w:r>
          </w:p>
        </w:tc>
        <w:tc>
          <w:tcPr>
            <w:tcW w:w="2180" w:type="dxa"/>
            <w:vAlign w:val="bottom"/>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700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8"/>
              </w:rPr>
              <w:t>ITEM 3 — QUANTITATIVE AND QUALITATIVE DISCLOSURES ABOUT MARKET RISK</w:t>
            </w:r>
          </w:p>
        </w:tc>
        <w:tc>
          <w:tcPr>
            <w:tcW w:w="3800" w:type="dxa"/>
            <w:vAlign w:val="bottom"/>
            <w:gridSpan w:val="2"/>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52</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34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5"/>
              </w:rPr>
              <w:t>ITEM 4 — CONTROLS AND PROCEDURES</w:t>
            </w:r>
          </w:p>
        </w:tc>
        <w:tc>
          <w:tcPr>
            <w:tcW w:w="7340" w:type="dxa"/>
            <w:vAlign w:val="bottom"/>
            <w:gridSpan w:val="6"/>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53</w:t>
              </w:r>
            </w:hyperlink>
          </w:p>
        </w:tc>
        <w:tc>
          <w:tcPr>
            <w:tcW w:w="0" w:type="dxa"/>
            <w:vAlign w:val="bottom"/>
          </w:tcPr>
          <w:p>
            <w:pPr>
              <w:spacing w:after="0"/>
              <w:rPr>
                <w:sz w:val="1"/>
                <w:szCs w:val="1"/>
                <w:color w:val="auto"/>
              </w:rPr>
            </w:pPr>
          </w:p>
        </w:tc>
      </w:tr>
      <w:tr>
        <w:trPr>
          <w:trHeight w:val="209"/>
        </w:trPr>
        <w:tc>
          <w:tcPr>
            <w:tcW w:w="29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b w:val="1"/>
                <w:bCs w:val="1"/>
                <w:color w:val="0000FF"/>
              </w:rPr>
              <w:t>PART II — OTHER INFORMATION</w:t>
            </w:r>
          </w:p>
        </w:tc>
        <w:tc>
          <w:tcPr>
            <w:tcW w:w="8040" w:type="dxa"/>
            <w:vAlign w:val="bottom"/>
            <w:gridSpan w:val="9"/>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10800" w:type="dxa"/>
            <w:vAlign w:val="bottom"/>
            <w:gridSpan w:val="19"/>
          </w:tcPr>
          <w:p>
            <w:pPr>
              <w:spacing w:after="0"/>
              <w:rPr>
                <w:sz w:val="20"/>
                <w:szCs w:val="20"/>
                <w:color w:val="auto"/>
              </w:rPr>
            </w:pPr>
            <w:r>
              <w:rPr>
                <w:rFonts w:ascii="Arial" w:cs="Arial" w:eastAsia="Arial" w:hAnsi="Arial"/>
                <w:sz w:val="18"/>
                <w:szCs w:val="18"/>
                <w:color w:val="0000FF"/>
              </w:rPr>
              <w:t>ITEM 1 — LEGAL PROCEEDINGS</w:t>
            </w:r>
          </w:p>
        </w:tc>
        <w:tc>
          <w:tcPr>
            <w:tcW w:w="180" w:type="dxa"/>
            <w:vAlign w:val="bottom"/>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22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6"/>
              </w:rPr>
              <w:t>ITEM 1A — RISK FACTORS</w:t>
            </w:r>
          </w:p>
        </w:tc>
        <w:tc>
          <w:tcPr>
            <w:tcW w:w="480" w:type="dxa"/>
            <w:vAlign w:val="bottom"/>
            <w:tcBorders>
              <w:top w:val="single" w:sz="8" w:color="0000FF"/>
            </w:tcBorders>
          </w:tcPr>
          <w:p>
            <w:pPr>
              <w:spacing w:after="0"/>
              <w:rPr>
                <w:sz w:val="18"/>
                <w:szCs w:val="18"/>
                <w:color w:val="auto"/>
              </w:rPr>
            </w:pPr>
          </w:p>
        </w:tc>
        <w:tc>
          <w:tcPr>
            <w:tcW w:w="8080" w:type="dxa"/>
            <w:vAlign w:val="bottom"/>
            <w:gridSpan w:val="11"/>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800" w:type="dxa"/>
            <w:vAlign w:val="bottom"/>
            <w:gridSpan w:val="19"/>
          </w:tcPr>
          <w:p>
            <w:pPr>
              <w:spacing w:after="0"/>
              <w:rPr>
                <w:sz w:val="20"/>
                <w:szCs w:val="20"/>
                <w:color w:val="auto"/>
              </w:rPr>
            </w:pPr>
            <w:r>
              <w:rPr>
                <w:rFonts w:ascii="Arial" w:cs="Arial" w:eastAsia="Arial" w:hAnsi="Arial"/>
                <w:sz w:val="18"/>
                <w:szCs w:val="18"/>
                <w:color w:val="0000FF"/>
              </w:rPr>
              <w:t>ITEM 2 — UNREGISTERED SALES OF EQUITY SECURITIES AND USE OF PROCEEDS</w:t>
            </w:r>
          </w:p>
        </w:tc>
        <w:tc>
          <w:tcPr>
            <w:tcW w:w="180" w:type="dxa"/>
            <w:vAlign w:val="bottom"/>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9"/>
              </w:rPr>
              <w:t>ITEM 3</w:t>
            </w:r>
          </w:p>
        </w:tc>
        <w:tc>
          <w:tcPr>
            <w:tcW w:w="3460" w:type="dxa"/>
            <w:vAlign w:val="bottom"/>
            <w:tcBorders>
              <w:top w:val="single" w:sz="8" w:color="0000FF"/>
              <w:bottom w:val="single" w:sz="8" w:color="0000FF"/>
            </w:tcBorders>
            <w:gridSpan w:val="13"/>
          </w:tcPr>
          <w:p>
            <w:pPr>
              <w:ind w:left="20"/>
              <w:spacing w:after="0"/>
              <w:rPr>
                <w:sz w:val="20"/>
                <w:szCs w:val="20"/>
                <w:color w:val="auto"/>
              </w:rPr>
            </w:pPr>
            <w:r>
              <w:rPr>
                <w:rFonts w:ascii="Arial" w:cs="Arial" w:eastAsia="Arial" w:hAnsi="Arial"/>
                <w:sz w:val="18"/>
                <w:szCs w:val="18"/>
                <w:color w:val="0000FF"/>
                <w:w w:val="94"/>
              </w:rPr>
              <w:t>— DEFAULTS UPON SENIOR SECURITIES</w:t>
            </w:r>
          </w:p>
        </w:tc>
        <w:tc>
          <w:tcPr>
            <w:tcW w:w="2860" w:type="dxa"/>
            <w:vAlign w:val="bottom"/>
            <w:tcBorders>
              <w:top w:val="single" w:sz="8" w:color="0000FF"/>
            </w:tcBorders>
            <w:gridSpan w:val="2"/>
          </w:tcPr>
          <w:p>
            <w:pPr>
              <w:spacing w:after="0"/>
              <w:rPr>
                <w:sz w:val="18"/>
                <w:szCs w:val="18"/>
                <w:color w:val="auto"/>
              </w:rPr>
            </w:pPr>
          </w:p>
        </w:tc>
        <w:tc>
          <w:tcPr>
            <w:tcW w:w="3880" w:type="dxa"/>
            <w:vAlign w:val="bottom"/>
            <w:gridSpan w:val="3"/>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4</w:t>
            </w:r>
          </w:p>
        </w:tc>
        <w:tc>
          <w:tcPr>
            <w:tcW w:w="2700" w:type="dxa"/>
            <w:vAlign w:val="bottom"/>
            <w:tcBorders>
              <w:bottom w:val="single" w:sz="8" w:color="0000FF"/>
            </w:tcBorders>
            <w:gridSpan w:val="11"/>
          </w:tcPr>
          <w:p>
            <w:pPr>
              <w:ind w:left="20"/>
              <w:spacing w:after="0"/>
              <w:rPr>
                <w:sz w:val="20"/>
                <w:szCs w:val="20"/>
                <w:color w:val="auto"/>
              </w:rPr>
            </w:pPr>
            <w:r>
              <w:rPr>
                <w:rFonts w:ascii="Arial" w:cs="Arial" w:eastAsia="Arial" w:hAnsi="Arial"/>
                <w:sz w:val="18"/>
                <w:szCs w:val="18"/>
                <w:color w:val="0000FF"/>
                <w:w w:val="95"/>
              </w:rPr>
              <w:t>— MINE SAFETY DISCLOSURES</w:t>
            </w:r>
          </w:p>
        </w:tc>
        <w:tc>
          <w:tcPr>
            <w:tcW w:w="7500" w:type="dxa"/>
            <w:vAlign w:val="bottom"/>
            <w:gridSpan w:val="7"/>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10"/>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5</w:t>
            </w:r>
          </w:p>
        </w:tc>
        <w:tc>
          <w:tcPr>
            <w:tcW w:w="2140" w:type="dxa"/>
            <w:vAlign w:val="bottom"/>
            <w:tcBorders>
              <w:bottom w:val="single" w:sz="8" w:color="0000FF"/>
            </w:tcBorders>
            <w:gridSpan w:val="8"/>
          </w:tcPr>
          <w:p>
            <w:pPr>
              <w:ind w:left="20"/>
              <w:spacing w:after="0"/>
              <w:rPr>
                <w:sz w:val="20"/>
                <w:szCs w:val="20"/>
                <w:color w:val="auto"/>
              </w:rPr>
            </w:pPr>
            <w:r>
              <w:rPr>
                <w:rFonts w:ascii="Arial" w:cs="Arial" w:eastAsia="Arial" w:hAnsi="Arial"/>
                <w:sz w:val="18"/>
                <w:szCs w:val="18"/>
                <w:color w:val="0000FF"/>
                <w:w w:val="96"/>
              </w:rPr>
              <w:t>— OTHER INFORMATION</w:t>
            </w:r>
          </w:p>
        </w:tc>
        <w:tc>
          <w:tcPr>
            <w:tcW w:w="8060" w:type="dxa"/>
            <w:vAlign w:val="bottom"/>
            <w:gridSpan w:val="10"/>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54</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9"/>
              </w:rPr>
              <w:t>ITEM 6</w:t>
            </w:r>
          </w:p>
        </w:tc>
        <w:tc>
          <w:tcPr>
            <w:tcW w:w="1080" w:type="dxa"/>
            <w:vAlign w:val="bottom"/>
            <w:tcBorders>
              <w:bottom w:val="single" w:sz="8" w:color="0000FF"/>
            </w:tcBorders>
            <w:gridSpan w:val="3"/>
          </w:tcPr>
          <w:p>
            <w:pPr>
              <w:ind w:left="20"/>
              <w:spacing w:after="0"/>
              <w:rPr>
                <w:sz w:val="20"/>
                <w:szCs w:val="20"/>
                <w:color w:val="auto"/>
              </w:rPr>
            </w:pPr>
            <w:r>
              <w:rPr>
                <w:rFonts w:ascii="Arial" w:cs="Arial" w:eastAsia="Arial" w:hAnsi="Arial"/>
                <w:sz w:val="18"/>
                <w:szCs w:val="18"/>
                <w:color w:val="0000FF"/>
                <w:w w:val="98"/>
              </w:rPr>
              <w:t>— EXHIBITS</w:t>
            </w:r>
          </w:p>
        </w:tc>
        <w:tc>
          <w:tcPr>
            <w:tcW w:w="9120" w:type="dxa"/>
            <w:vAlign w:val="bottom"/>
            <w:gridSpan w:val="15"/>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4">
              <w:r>
                <w:rPr>
                  <w:rFonts w:ascii="Arial" w:cs="Arial" w:eastAsia="Arial" w:hAnsi="Arial"/>
                  <w:sz w:val="18"/>
                  <w:szCs w:val="18"/>
                  <w:color w:val="0000FF"/>
                  <w:w w:val="79"/>
                </w:rPr>
                <w:t>55</w:t>
              </w:r>
            </w:hyperlink>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10800" w:type="dxa"/>
            <w:vAlign w:val="bottom"/>
            <w:gridSpan w:val="19"/>
          </w:tcPr>
          <w:p>
            <w:pPr>
              <w:spacing w:after="0"/>
              <w:rPr>
                <w:sz w:val="20"/>
                <w:szCs w:val="20"/>
                <w:color w:val="auto"/>
              </w:rPr>
            </w:pPr>
            <w:r>
              <w:rPr>
                <w:rFonts w:ascii="Arial" w:cs="Arial" w:eastAsia="Arial" w:hAnsi="Arial"/>
                <w:sz w:val="18"/>
                <w:szCs w:val="18"/>
                <w:b w:val="1"/>
                <w:bCs w:val="1"/>
                <w:color w:val="0000FF"/>
              </w:rPr>
              <w:t>SIGNATURES</w:t>
            </w:r>
          </w:p>
        </w:tc>
        <w:tc>
          <w:tcPr>
            <w:tcW w:w="180" w:type="dxa"/>
            <w:vAlign w:val="bottom"/>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56</w:t>
              </w:r>
            </w:hyperlink>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215"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 xml:space="preserve">This Quarterly Report on Form 10-Q of Clearway Energy LLC,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Part I of the Company's Annual Report on Form 10-K for the year ended December 31, 2020, as well as the following:</w:t>
      </w:r>
    </w:p>
    <w:p>
      <w:pPr>
        <w:spacing w:after="0" w:line="13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maintain and grow its quarterly distributions;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COVID-19 or any other pandemic;</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risks related to the Company's relationships with GIP and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successfully identify, evaluate and consummate acquisitions from third parties;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acquire assets from GIP or CEG;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raise additional capital due to its indebtedness, corporate structure, market conditions or otherwise;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63" w:lineRule="exact"/>
        <w:rPr>
          <w:rFonts w:ascii="Arial" w:cs="Arial" w:eastAsia="Arial" w:hAnsi="Arial"/>
          <w:sz w:val="18"/>
          <w:szCs w:val="18"/>
          <w:color w:val="auto"/>
        </w:rPr>
      </w:pPr>
    </w:p>
    <w:p>
      <w:pPr>
        <w:jc w:val="both"/>
        <w:ind w:left="660" w:hanging="328"/>
        <w:spacing w:after="0" w:line="275"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14"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the Company's offtake agreements to fulfill their obligations under such agreements;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ability to enter into contracts to sell power and procure fuel on acceptable terms and prices as current offtake agreements expire;</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8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and in the indentures governing the Senior Notes;</w:t>
      </w:r>
    </w:p>
    <w:p>
      <w:pPr>
        <w:spacing w:after="0" w:line="2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engage in successful mergers and acquisitions activity; and</w:t>
      </w:r>
    </w:p>
    <w:p>
      <w:pPr>
        <w:spacing w:after="0" w:line="6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8"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8520" w:type="dxa"/>
            <w:vAlign w:val="bottom"/>
          </w:tcPr>
          <w:p>
            <w:pPr>
              <w:ind w:left="1920"/>
              <w:spacing w:after="0"/>
              <w:rPr>
                <w:sz w:val="20"/>
                <w:szCs w:val="20"/>
                <w:color w:val="auto"/>
              </w:rPr>
            </w:pPr>
            <w:r>
              <w:rPr>
                <w:rFonts w:ascii="Arial" w:cs="Arial" w:eastAsia="Arial" w:hAnsi="Arial"/>
                <w:sz w:val="18"/>
                <w:szCs w:val="18"/>
                <w:b w:val="1"/>
                <w:bCs w:val="1"/>
                <w:color w:val="auto"/>
              </w:rPr>
              <w:t>GLOSSARY OF TERMS</w:t>
            </w:r>
          </w:p>
        </w:tc>
        <w:tc>
          <w:tcPr>
            <w:tcW w:w="0" w:type="dxa"/>
            <w:vAlign w:val="bottom"/>
          </w:tcPr>
          <w:p>
            <w:pPr>
              <w:spacing w:after="0"/>
              <w:rPr>
                <w:sz w:val="1"/>
                <w:szCs w:val="1"/>
                <w:color w:val="auto"/>
              </w:rPr>
            </w:pPr>
          </w:p>
        </w:tc>
      </w:tr>
      <w:tr>
        <w:trPr>
          <w:trHeight w:val="378"/>
        </w:trPr>
        <w:tc>
          <w:tcPr>
            <w:tcW w:w="11240" w:type="dxa"/>
            <w:vAlign w:val="bottom"/>
            <w:gridSpan w:val="2"/>
          </w:tcPr>
          <w:p>
            <w:pPr>
              <w:ind w:left="300"/>
              <w:spacing w:after="0"/>
              <w:rPr>
                <w:sz w:val="20"/>
                <w:szCs w:val="20"/>
                <w:color w:val="auto"/>
              </w:rPr>
            </w:pPr>
            <w:r>
              <w:rPr>
                <w:rFonts w:ascii="Arial" w:cs="Arial" w:eastAsia="Arial" w:hAnsi="Arial"/>
                <w:sz w:val="18"/>
                <w:szCs w:val="18"/>
                <w:color w:val="auto"/>
              </w:rPr>
              <w:t>When the following terms and abbreviations appear in the text of this report, they have the meanings indicated below:</w:t>
            </w:r>
          </w:p>
        </w:tc>
        <w:tc>
          <w:tcPr>
            <w:tcW w:w="0" w:type="dxa"/>
            <w:vAlign w:val="bottom"/>
          </w:tcPr>
          <w:p>
            <w:pPr>
              <w:spacing w:after="0"/>
              <w:rPr>
                <w:sz w:val="1"/>
                <w:szCs w:val="1"/>
                <w:color w:val="auto"/>
              </w:rPr>
            </w:pPr>
          </w:p>
        </w:tc>
      </w:tr>
      <w:tr>
        <w:trPr>
          <w:trHeight w:val="202"/>
        </w:trPr>
        <w:tc>
          <w:tcPr>
            <w:tcW w:w="2720" w:type="dxa"/>
            <w:vAlign w:val="bottom"/>
          </w:tcPr>
          <w:p>
            <w:pPr>
              <w:ind w:left="20"/>
              <w:spacing w:after="0" w:line="202" w:lineRule="exact"/>
              <w:rPr>
                <w:sz w:val="20"/>
                <w:szCs w:val="20"/>
                <w:color w:val="auto"/>
              </w:rPr>
            </w:pPr>
            <w:r>
              <w:rPr>
                <w:rFonts w:ascii="Arial" w:cs="Arial" w:eastAsia="Arial" w:hAnsi="Arial"/>
                <w:sz w:val="18"/>
                <w:szCs w:val="18"/>
                <w:color w:val="auto"/>
              </w:rPr>
              <w:t>2025 Senior Notes</w:t>
            </w:r>
          </w:p>
        </w:tc>
        <w:tc>
          <w:tcPr>
            <w:tcW w:w="8520" w:type="dxa"/>
            <w:vAlign w:val="bottom"/>
          </w:tcPr>
          <w:p>
            <w:pPr>
              <w:ind w:left="280"/>
              <w:spacing w:after="0" w:line="202" w:lineRule="exact"/>
              <w:rPr>
                <w:sz w:val="20"/>
                <w:szCs w:val="20"/>
                <w:color w:val="auto"/>
              </w:rPr>
            </w:pPr>
            <w:r>
              <w:rPr>
                <w:rFonts w:ascii="Arial" w:cs="Arial" w:eastAsia="Arial" w:hAnsi="Arial"/>
                <w:sz w:val="18"/>
                <w:szCs w:val="18"/>
                <w:color w:val="auto"/>
                <w:w w:val="90"/>
              </w:rPr>
              <w:t>$600 million aggregate principal amount of 5.750% unsecured senior notes due 2025, issued by Clearway Energy</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 which were repaid in March 2021</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2026 Senior Notes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$350 million aggregate principal amount of 5.00% unsecured senior notes due 2026, issued by Clearway Energy</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2028 Senior Notes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0"/>
              </w:rPr>
              <w:t>$850 million aggregate principal amount of 4.750% unsecured senior notes due 2028, issued by Clearway Energy</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2031 Senior Notes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0"/>
              </w:rPr>
              <w:t>$925 million aggregate principal amount of 3.750% unsecured senior notes due 2031, issued by Clearway Energy</w:t>
            </w:r>
          </w:p>
        </w:tc>
        <w:tc>
          <w:tcPr>
            <w:tcW w:w="0" w:type="dxa"/>
            <w:vAlign w:val="bottom"/>
          </w:tcPr>
          <w:p>
            <w:pPr>
              <w:spacing w:after="0"/>
              <w:rPr>
                <w:sz w:val="1"/>
                <w:szCs w:val="1"/>
                <w:color w:val="auto"/>
              </w:rPr>
            </w:pPr>
          </w:p>
        </w:tc>
      </w:tr>
      <w:tr>
        <w:trPr>
          <w:trHeight w:val="230"/>
        </w:trPr>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Adjusted EBITDA</w:t>
            </w:r>
          </w:p>
        </w:tc>
        <w:tc>
          <w:tcPr>
            <w:tcW w:w="8520" w:type="dxa"/>
            <w:vAlign w:val="bottom"/>
          </w:tcPr>
          <w:p>
            <w:pPr>
              <w:ind w:left="280"/>
              <w:spacing w:after="0"/>
              <w:rPr>
                <w:sz w:val="20"/>
                <w:szCs w:val="20"/>
                <w:color w:val="auto"/>
              </w:rPr>
            </w:pPr>
            <w:r>
              <w:rPr>
                <w:rFonts w:ascii="Arial" w:cs="Arial" w:eastAsia="Arial" w:hAnsi="Arial"/>
                <w:sz w:val="18"/>
                <w:szCs w:val="18"/>
                <w:color w:val="auto"/>
              </w:rPr>
              <w:t>Operating LLC</w:t>
            </w:r>
          </w:p>
        </w:tc>
        <w:tc>
          <w:tcPr>
            <w:tcW w:w="0" w:type="dxa"/>
            <w:vAlign w:val="bottom"/>
          </w:tcPr>
          <w:p>
            <w:pPr>
              <w:spacing w:after="0"/>
              <w:rPr>
                <w:sz w:val="1"/>
                <w:szCs w:val="1"/>
                <w:color w:val="auto"/>
              </w:rPr>
            </w:pPr>
          </w:p>
        </w:tc>
      </w:tr>
      <w:tr>
        <w:trPr>
          <w:trHeight w:val="214"/>
        </w:trPr>
        <w:tc>
          <w:tcPr>
            <w:tcW w:w="2720" w:type="dxa"/>
            <w:vAlign w:val="bottom"/>
            <w:vMerge w:val="continue"/>
          </w:tcPr>
          <w:p>
            <w:pPr>
              <w:spacing w:after="0"/>
              <w:rPr>
                <w:sz w:val="18"/>
                <w:szCs w:val="18"/>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w w:val="91"/>
              </w:rPr>
              <w:t>A non-GAAP measure, represents earnings before interest, tax, depreciation and amortization adjusted for mark-</w:t>
            </w: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8520" w:type="dxa"/>
            <w:vAlign w:val="bottom"/>
          </w:tcPr>
          <w:p>
            <w:pPr>
              <w:ind w:left="280"/>
              <w:spacing w:after="0" w:line="202" w:lineRule="exact"/>
              <w:rPr>
                <w:sz w:val="20"/>
                <w:szCs w:val="20"/>
                <w:color w:val="auto"/>
              </w:rPr>
            </w:pPr>
            <w:r>
              <w:rPr>
                <w:rFonts w:ascii="Arial" w:cs="Arial" w:eastAsia="Arial" w:hAnsi="Arial"/>
                <w:sz w:val="18"/>
                <w:szCs w:val="18"/>
                <w:color w:val="auto"/>
                <w:w w:val="93"/>
              </w:rPr>
              <w:t>to-market gains or losses, asset write offs and impairments; and factors which the Company does not consider</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indicative of future operating performance</w:t>
            </w:r>
          </w:p>
        </w:tc>
        <w:tc>
          <w:tcPr>
            <w:tcW w:w="0" w:type="dxa"/>
            <w:vAlign w:val="bottom"/>
          </w:tcPr>
          <w:p>
            <w:pPr>
              <w:spacing w:after="0"/>
              <w:rPr>
                <w:sz w:val="1"/>
                <w:szCs w:val="1"/>
                <w:color w:val="auto"/>
              </w:rPr>
            </w:pP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AOCI</w:t>
            </w:r>
          </w:p>
        </w:tc>
        <w:tc>
          <w:tcPr>
            <w:tcW w:w="85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0" w:type="dxa"/>
            <w:vAlign w:val="bottom"/>
          </w:tcPr>
          <w:p>
            <w:pPr>
              <w:spacing w:after="0"/>
              <w:rPr>
                <w:sz w:val="1"/>
                <w:szCs w:val="1"/>
                <w:color w:val="auto"/>
              </w:rPr>
            </w:pPr>
          </w:p>
        </w:tc>
      </w:tr>
      <w:tr>
        <w:trPr>
          <w:trHeight w:val="405"/>
        </w:trPr>
        <w:tc>
          <w:tcPr>
            <w:tcW w:w="2720" w:type="dxa"/>
            <w:vAlign w:val="bottom"/>
          </w:tcPr>
          <w:p>
            <w:pPr>
              <w:ind w:left="20"/>
              <w:spacing w:after="0"/>
              <w:rPr>
                <w:sz w:val="20"/>
                <w:szCs w:val="20"/>
                <w:color w:val="auto"/>
              </w:rPr>
            </w:pPr>
            <w:r>
              <w:rPr>
                <w:rFonts w:ascii="Arial" w:cs="Arial" w:eastAsia="Arial" w:hAnsi="Arial"/>
                <w:sz w:val="18"/>
                <w:szCs w:val="18"/>
                <w:color w:val="auto"/>
              </w:rPr>
              <w:t>AOCL</w:t>
            </w:r>
          </w:p>
        </w:tc>
        <w:tc>
          <w:tcPr>
            <w:tcW w:w="852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0" w:type="dxa"/>
            <w:vAlign w:val="bottom"/>
          </w:tcPr>
          <w:p>
            <w:pPr>
              <w:spacing w:after="0"/>
              <w:rPr>
                <w:sz w:val="1"/>
                <w:szCs w:val="1"/>
                <w:color w:val="auto"/>
              </w:rPr>
            </w:pPr>
          </w:p>
        </w:tc>
      </w:tr>
      <w:tr>
        <w:trPr>
          <w:trHeight w:val="351"/>
        </w:trPr>
        <w:tc>
          <w:tcPr>
            <w:tcW w:w="2720" w:type="dxa"/>
            <w:vAlign w:val="bottom"/>
          </w:tcPr>
          <w:p>
            <w:pPr>
              <w:ind w:left="20"/>
              <w:spacing w:after="0"/>
              <w:rPr>
                <w:sz w:val="20"/>
                <w:szCs w:val="20"/>
                <w:color w:val="auto"/>
              </w:rPr>
            </w:pPr>
            <w:r>
              <w:rPr>
                <w:rFonts w:ascii="Arial" w:cs="Arial" w:eastAsia="Arial" w:hAnsi="Arial"/>
                <w:sz w:val="18"/>
                <w:szCs w:val="18"/>
                <w:color w:val="auto"/>
              </w:rPr>
              <w:t>ASC</w:t>
            </w:r>
          </w:p>
        </w:tc>
        <w:tc>
          <w:tcPr>
            <w:tcW w:w="8520" w:type="dxa"/>
            <w:vAlign w:val="bottom"/>
          </w:tcPr>
          <w:p>
            <w:pPr>
              <w:ind w:left="280"/>
              <w:spacing w:after="0"/>
              <w:rPr>
                <w:sz w:val="20"/>
                <w:szCs w:val="20"/>
                <w:color w:val="auto"/>
              </w:rPr>
            </w:pPr>
            <w:r>
              <w:rPr>
                <w:rFonts w:ascii="Arial" w:cs="Arial" w:eastAsia="Arial" w:hAnsi="Arial"/>
                <w:sz w:val="18"/>
                <w:szCs w:val="18"/>
                <w:color w:val="auto"/>
              </w:rPr>
              <w:t>The FASB Accounting Standards Codification, which the FASB established as the source of</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authoritative GAAP</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ASU</w:t>
            </w:r>
          </w:p>
        </w:tc>
        <w:tc>
          <w:tcPr>
            <w:tcW w:w="8520" w:type="dxa"/>
            <w:vAlign w:val="bottom"/>
          </w:tcPr>
          <w:p>
            <w:pPr>
              <w:ind w:left="280"/>
              <w:spacing w:after="0"/>
              <w:rPr>
                <w:sz w:val="20"/>
                <w:szCs w:val="20"/>
                <w:color w:val="auto"/>
              </w:rPr>
            </w:pPr>
            <w:r>
              <w:rPr>
                <w:rFonts w:ascii="Arial" w:cs="Arial" w:eastAsia="Arial" w:hAnsi="Arial"/>
                <w:sz w:val="18"/>
                <w:szCs w:val="18"/>
                <w:color w:val="auto"/>
              </w:rPr>
              <w:t>Accounting Standards Updates - updates to the ASC</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ATM Programs</w:t>
            </w:r>
          </w:p>
        </w:tc>
        <w:tc>
          <w:tcPr>
            <w:tcW w:w="8520" w:type="dxa"/>
            <w:vAlign w:val="bottom"/>
          </w:tcPr>
          <w:p>
            <w:pPr>
              <w:ind w:left="280"/>
              <w:spacing w:after="0"/>
              <w:rPr>
                <w:sz w:val="20"/>
                <w:szCs w:val="20"/>
                <w:color w:val="auto"/>
              </w:rPr>
            </w:pPr>
            <w:r>
              <w:rPr>
                <w:rFonts w:ascii="Arial" w:cs="Arial" w:eastAsia="Arial" w:hAnsi="Arial"/>
                <w:sz w:val="18"/>
                <w:szCs w:val="18"/>
                <w:color w:val="auto"/>
              </w:rPr>
              <w:t>At-The-Market Equity Offering Programs</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CAFD</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6"/>
              </w:rPr>
              <w:t>A non-GAAP measure, Cash Available for Distribution is defined as of March 31, 2021 as Adjusted EBITDA</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rPr>
              <w:t>plus cash distributions/return of investment from unconsolidated affiliates, adjustments to reflect CAFD</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7"/>
              </w:rPr>
              <w:t>generated by unconsolidated investments that were not able to distribute project dividends prior to PG&amp;E's</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2"/>
              </w:rPr>
              <w:t>emergence from bankruptcy on July 1, 2020 and subsequent release post-bankruptcy, cash receipts from notes</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0"/>
              </w:rPr>
              <w:t>receivable, cash distributions from noncontrolling interests, adjustments to reflect sales-type lease cash payments,</w:t>
            </w:r>
          </w:p>
        </w:tc>
        <w:tc>
          <w:tcPr>
            <w:tcW w:w="0" w:type="dxa"/>
            <w:vAlign w:val="bottom"/>
          </w:tcPr>
          <w:p>
            <w:pPr>
              <w:spacing w:after="0"/>
              <w:rPr>
                <w:sz w:val="1"/>
                <w:szCs w:val="1"/>
                <w:color w:val="auto"/>
              </w:rPr>
            </w:pPr>
          </w:p>
        </w:tc>
      </w:tr>
      <w:tr>
        <w:trPr>
          <w:trHeight w:val="176"/>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3"/>
              </w:rPr>
              <w:t>less cash distributions to noncontrolling interests, maintenance capital expenditures, pro-rata Adjusted EBITDA</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5"/>
              </w:rPr>
              <w:t>from unconsolidated affiliates, cash interest paid, income taxes paid, principal amortization of indebtedness,</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changes in prepaid and accrued capacity payments, and adjusted for development expenses.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CEG</w:t>
            </w:r>
          </w:p>
        </w:tc>
        <w:tc>
          <w:tcPr>
            <w:tcW w:w="8520" w:type="dxa"/>
            <w:vAlign w:val="bottom"/>
          </w:tcPr>
          <w:p>
            <w:pPr>
              <w:ind w:left="280"/>
              <w:spacing w:after="0"/>
              <w:rPr>
                <w:sz w:val="20"/>
                <w:szCs w:val="20"/>
                <w:color w:val="auto"/>
              </w:rPr>
            </w:pPr>
            <w:r>
              <w:rPr>
                <w:rFonts w:ascii="Arial" w:cs="Arial" w:eastAsia="Arial" w:hAnsi="Arial"/>
                <w:sz w:val="18"/>
                <w:szCs w:val="18"/>
                <w:color w:val="auto"/>
              </w:rPr>
              <w:t>Clearway Energy Group LLC (formerly Zephyr Renewables LLC)</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CEG Master Services Agreement</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3"/>
              </w:rPr>
              <w:t>Master Services Agreements entered into as of August 31, 2018 between the Company, Clearway Energy LLC</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and Clearway Energy Operating LLC, and CEG</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LLC</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The holding company through which the projects are owned by Clearway Energy Group LLC, the holder of Class</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w w:val="95"/>
              </w:rPr>
              <w:t>B and Class D units of the Company, and Clearway Energy, Inc., the holder of the Class A and Class C units</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Clearway Energy Group LLC</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The holder of Clearway Energy, Inc.'s Class B and Class D common shares and Clearway Energy LLC's Class B</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and Class D units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Clearway Energy Operating LLC</w:t>
            </w:r>
          </w:p>
        </w:tc>
        <w:tc>
          <w:tcPr>
            <w:tcW w:w="8520" w:type="dxa"/>
            <w:vAlign w:val="bottom"/>
          </w:tcPr>
          <w:p>
            <w:pPr>
              <w:ind w:left="280"/>
              <w:spacing w:after="0"/>
              <w:rPr>
                <w:sz w:val="20"/>
                <w:szCs w:val="20"/>
                <w:color w:val="auto"/>
              </w:rPr>
            </w:pPr>
            <w:r>
              <w:rPr>
                <w:rFonts w:ascii="Arial" w:cs="Arial" w:eastAsia="Arial" w:hAnsi="Arial"/>
                <w:sz w:val="18"/>
                <w:szCs w:val="18"/>
                <w:color w:val="auto"/>
              </w:rPr>
              <w:t>The holder of the project assets that are owned by Clearway Energy LLC</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COD</w:t>
            </w:r>
          </w:p>
        </w:tc>
        <w:tc>
          <w:tcPr>
            <w:tcW w:w="8520" w:type="dxa"/>
            <w:vAlign w:val="bottom"/>
          </w:tcPr>
          <w:p>
            <w:pPr>
              <w:ind w:left="280"/>
              <w:spacing w:after="0"/>
              <w:rPr>
                <w:sz w:val="20"/>
                <w:szCs w:val="20"/>
                <w:color w:val="auto"/>
              </w:rPr>
            </w:pPr>
            <w:r>
              <w:rPr>
                <w:rFonts w:ascii="Arial" w:cs="Arial" w:eastAsia="Arial" w:hAnsi="Arial"/>
                <w:sz w:val="18"/>
                <w:szCs w:val="18"/>
                <w:color w:val="auto"/>
              </w:rPr>
              <w:t>Commercial Operation Date</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Company</w:t>
            </w:r>
          </w:p>
        </w:tc>
        <w:tc>
          <w:tcPr>
            <w:tcW w:w="8520" w:type="dxa"/>
            <w:vAlign w:val="bottom"/>
          </w:tcPr>
          <w:p>
            <w:pPr>
              <w:ind w:left="280"/>
              <w:spacing w:after="0"/>
              <w:rPr>
                <w:sz w:val="20"/>
                <w:szCs w:val="20"/>
                <w:color w:val="auto"/>
              </w:rPr>
            </w:pPr>
            <w:r>
              <w:rPr>
                <w:rFonts w:ascii="Arial" w:cs="Arial" w:eastAsia="Arial" w:hAnsi="Arial"/>
                <w:sz w:val="18"/>
                <w:szCs w:val="18"/>
                <w:color w:val="auto"/>
              </w:rPr>
              <w:t>Clearway Energy LLC, together with its consolidated subsidiaries</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CVSR</w:t>
            </w:r>
          </w:p>
        </w:tc>
        <w:tc>
          <w:tcPr>
            <w:tcW w:w="8520" w:type="dxa"/>
            <w:vAlign w:val="bottom"/>
          </w:tcPr>
          <w:p>
            <w:pPr>
              <w:ind w:left="280"/>
              <w:spacing w:after="0"/>
              <w:rPr>
                <w:sz w:val="20"/>
                <w:szCs w:val="20"/>
                <w:color w:val="auto"/>
              </w:rPr>
            </w:pPr>
            <w:r>
              <w:rPr>
                <w:rFonts w:ascii="Arial" w:cs="Arial" w:eastAsia="Arial" w:hAnsi="Arial"/>
                <w:sz w:val="18"/>
                <w:szCs w:val="18"/>
                <w:color w:val="auto"/>
              </w:rPr>
              <w:t>California Valley Solar Ranch</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CVSR Holdco</w:t>
            </w:r>
          </w:p>
        </w:tc>
        <w:tc>
          <w:tcPr>
            <w:tcW w:w="8520" w:type="dxa"/>
            <w:vAlign w:val="bottom"/>
          </w:tcPr>
          <w:p>
            <w:pPr>
              <w:ind w:left="280"/>
              <w:spacing w:after="0"/>
              <w:rPr>
                <w:sz w:val="20"/>
                <w:szCs w:val="20"/>
                <w:color w:val="auto"/>
              </w:rPr>
            </w:pPr>
            <w:r>
              <w:rPr>
                <w:rFonts w:ascii="Arial" w:cs="Arial" w:eastAsia="Arial" w:hAnsi="Arial"/>
                <w:sz w:val="18"/>
                <w:szCs w:val="18"/>
                <w:color w:val="auto"/>
              </w:rPr>
              <w:t>CVSR Holdco LLC, the indirect owner of CVSR</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Distributed Solar</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4"/>
              </w:rPr>
              <w:t>Solar power projects, typically less than 20 MW in size (on an alternating current, or AC, basis), that primarily</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2"/>
              </w:rPr>
              <w:t>sell power produced to customers for usage on site, or are interconnected to sell power into the local distribution</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grid</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Drop Down Assets</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4"/>
              </w:rPr>
              <w:t>Collectively, assets under common control acquired by the Company from NRG from January 1, 2014 through</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5"/>
              </w:rPr>
              <w:t>the period ended August 31, 2018 and from CEG from August 31, 2018 through the period ended March 31,</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76"/>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Economic Gross Margin</w:t>
            </w: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1"/>
              </w:rPr>
              <w:t>A non-GAAP measure, energy and capacity revenue, less cost of fuels. See Item 2 — Management's Discussion</w:t>
            </w:r>
          </w:p>
        </w:tc>
        <w:tc>
          <w:tcPr>
            <w:tcW w:w="0" w:type="dxa"/>
            <w:vAlign w:val="bottom"/>
          </w:tcPr>
          <w:p>
            <w:pPr>
              <w:spacing w:after="0"/>
              <w:rPr>
                <w:sz w:val="1"/>
                <w:szCs w:val="1"/>
                <w:color w:val="auto"/>
              </w:rPr>
            </w:pPr>
          </w:p>
        </w:tc>
      </w:tr>
      <w:tr>
        <w:trPr>
          <w:trHeight w:val="175"/>
        </w:trPr>
        <w:tc>
          <w:tcPr>
            <w:tcW w:w="2720" w:type="dxa"/>
            <w:vAlign w:val="bottom"/>
          </w:tcPr>
          <w:p>
            <w:pPr>
              <w:spacing w:after="0"/>
              <w:rPr>
                <w:sz w:val="15"/>
                <w:szCs w:val="15"/>
                <w:color w:val="auto"/>
              </w:rPr>
            </w:pPr>
          </w:p>
        </w:tc>
        <w:tc>
          <w:tcPr>
            <w:tcW w:w="8520" w:type="dxa"/>
            <w:vAlign w:val="bottom"/>
          </w:tcPr>
          <w:p>
            <w:pPr>
              <w:ind w:left="280"/>
              <w:spacing w:after="0" w:line="176" w:lineRule="exact"/>
              <w:rPr>
                <w:sz w:val="20"/>
                <w:szCs w:val="20"/>
                <w:color w:val="auto"/>
              </w:rPr>
            </w:pPr>
            <w:r>
              <w:rPr>
                <w:rFonts w:ascii="Arial" w:cs="Arial" w:eastAsia="Arial" w:hAnsi="Arial"/>
                <w:sz w:val="18"/>
                <w:szCs w:val="18"/>
                <w:color w:val="auto"/>
                <w:w w:val="96"/>
              </w:rPr>
              <w:t>and Analysis of Financial Condition and Results of Operations — Management's discussion of the results of</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19"/>
                <w:szCs w:val="19"/>
                <w:color w:val="auto"/>
              </w:rPr>
            </w:pPr>
          </w:p>
        </w:tc>
        <w:tc>
          <w:tcPr>
            <w:tcW w:w="8520" w:type="dxa"/>
            <w:vAlign w:val="bottom"/>
          </w:tcPr>
          <w:p>
            <w:pPr>
              <w:ind w:left="280"/>
              <w:spacing w:after="0"/>
              <w:rPr>
                <w:sz w:val="20"/>
                <w:szCs w:val="20"/>
                <w:color w:val="auto"/>
              </w:rPr>
            </w:pPr>
            <w:r>
              <w:rPr>
                <w:rFonts w:ascii="Arial" w:cs="Arial" w:eastAsia="Arial" w:hAnsi="Arial"/>
                <w:sz w:val="18"/>
                <w:szCs w:val="18"/>
                <w:color w:val="auto"/>
              </w:rPr>
              <w:t>operations for the quarters ended March 31, 2021 and 2020 for a discussion of this measure.</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ECP</w:t>
            </w:r>
          </w:p>
        </w:tc>
        <w:tc>
          <w:tcPr>
            <w:tcW w:w="8520" w:type="dxa"/>
            <w:vAlign w:val="bottom"/>
          </w:tcPr>
          <w:p>
            <w:pPr>
              <w:ind w:left="280"/>
              <w:spacing w:after="0"/>
              <w:rPr>
                <w:sz w:val="20"/>
                <w:szCs w:val="20"/>
                <w:color w:val="auto"/>
              </w:rPr>
            </w:pPr>
            <w:r>
              <w:rPr>
                <w:rFonts w:ascii="Arial" w:cs="Arial" w:eastAsia="Arial" w:hAnsi="Arial"/>
                <w:sz w:val="18"/>
                <w:szCs w:val="18"/>
                <w:color w:val="auto"/>
              </w:rPr>
              <w:t>Energy Center Pittsburgh LLC, a subsidiary of the Company</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EPA</w:t>
            </w:r>
          </w:p>
        </w:tc>
        <w:tc>
          <w:tcPr>
            <w:tcW w:w="8520" w:type="dxa"/>
            <w:vAlign w:val="bottom"/>
            <w:vMerge w:val="restart"/>
          </w:tcPr>
          <w:p>
            <w:pPr>
              <w:ind w:left="280"/>
              <w:spacing w:after="0"/>
              <w:rPr>
                <w:sz w:val="20"/>
                <w:szCs w:val="20"/>
                <w:color w:val="auto"/>
              </w:rPr>
            </w:pPr>
            <w:r>
              <w:rPr>
                <w:rFonts w:ascii="Arial" w:cs="Arial" w:eastAsia="Arial" w:hAnsi="Arial"/>
                <w:sz w:val="18"/>
                <w:szCs w:val="18"/>
                <w:color w:val="auto"/>
              </w:rPr>
              <w:t>United States Environmental Protection Agency</w:t>
            </w:r>
          </w:p>
        </w:tc>
        <w:tc>
          <w:tcPr>
            <w:tcW w:w="0" w:type="dxa"/>
            <w:vAlign w:val="bottom"/>
          </w:tcPr>
          <w:p>
            <w:pPr>
              <w:spacing w:after="0"/>
              <w:rPr>
                <w:sz w:val="1"/>
                <w:szCs w:val="1"/>
                <w:color w:val="auto"/>
              </w:rPr>
            </w:pPr>
          </w:p>
        </w:tc>
      </w:tr>
      <w:tr>
        <w:trPr>
          <w:trHeight w:val="94"/>
        </w:trPr>
        <w:tc>
          <w:tcPr>
            <w:tcW w:w="2720" w:type="dxa"/>
            <w:vAlign w:val="bottom"/>
          </w:tcPr>
          <w:p>
            <w:pPr>
              <w:spacing w:after="0"/>
              <w:rPr>
                <w:sz w:val="8"/>
                <w:szCs w:val="8"/>
                <w:color w:val="auto"/>
              </w:rPr>
            </w:pPr>
          </w:p>
        </w:tc>
        <w:tc>
          <w:tcPr>
            <w:tcW w:w="8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Exchange Act</w:t>
            </w:r>
          </w:p>
        </w:tc>
        <w:tc>
          <w:tcPr>
            <w:tcW w:w="8520" w:type="dxa"/>
            <w:vAlign w:val="bottom"/>
          </w:tcPr>
          <w:p>
            <w:pPr>
              <w:ind w:left="280"/>
              <w:spacing w:after="0"/>
              <w:rPr>
                <w:sz w:val="20"/>
                <w:szCs w:val="20"/>
                <w:color w:val="auto"/>
              </w:rPr>
            </w:pPr>
            <w:r>
              <w:rPr>
                <w:rFonts w:ascii="Arial" w:cs="Arial" w:eastAsia="Arial" w:hAnsi="Arial"/>
                <w:sz w:val="18"/>
                <w:szCs w:val="18"/>
                <w:color w:val="auto"/>
              </w:rPr>
              <w:t>The Securities Exchange Act of 1934, as amended</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FASB</w:t>
            </w:r>
          </w:p>
        </w:tc>
        <w:tc>
          <w:tcPr>
            <w:tcW w:w="8520" w:type="dxa"/>
            <w:vAlign w:val="bottom"/>
          </w:tcPr>
          <w:p>
            <w:pPr>
              <w:ind w:left="280"/>
              <w:spacing w:after="0"/>
              <w:rPr>
                <w:sz w:val="20"/>
                <w:szCs w:val="20"/>
                <w:color w:val="auto"/>
              </w:rPr>
            </w:pPr>
            <w:r>
              <w:rPr>
                <w:rFonts w:ascii="Arial" w:cs="Arial" w:eastAsia="Arial" w:hAnsi="Arial"/>
                <w:sz w:val="18"/>
                <w:szCs w:val="18"/>
                <w:color w:val="auto"/>
              </w:rPr>
              <w:t>Financial Accounting Standards Board</w:t>
            </w:r>
          </w:p>
        </w:tc>
        <w:tc>
          <w:tcPr>
            <w:tcW w:w="0" w:type="dxa"/>
            <w:vAlign w:val="bottom"/>
          </w:tcPr>
          <w:p>
            <w:pPr>
              <w:spacing w:after="0"/>
              <w:rPr>
                <w:sz w:val="1"/>
                <w:szCs w:val="1"/>
                <w:color w:val="auto"/>
              </w:rPr>
            </w:pPr>
          </w:p>
        </w:tc>
      </w:tr>
      <w:tr>
        <w:trPr>
          <w:trHeight w:val="878"/>
        </w:trPr>
        <w:tc>
          <w:tcPr>
            <w:tcW w:w="2720" w:type="dxa"/>
            <w:vAlign w:val="bottom"/>
          </w:tcPr>
          <w:p>
            <w:pPr>
              <w:spacing w:after="0"/>
              <w:rPr>
                <w:sz w:val="24"/>
                <w:szCs w:val="24"/>
                <w:color w:val="auto"/>
              </w:rPr>
            </w:pPr>
          </w:p>
        </w:tc>
        <w:tc>
          <w:tcPr>
            <w:tcW w:w="8520" w:type="dxa"/>
            <w:vAlign w:val="bottom"/>
          </w:tcPr>
          <w:p>
            <w:pPr>
              <w:ind w:left="28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15"/>
        </w:trPr>
        <w:tc>
          <w:tcPr>
            <w:tcW w:w="2720" w:type="dxa"/>
            <w:vAlign w:val="bottom"/>
            <w:tcBorders>
              <w:bottom w:val="single" w:sz="8" w:color="9A9A9A"/>
            </w:tcBorders>
          </w:tcPr>
          <w:p>
            <w:pPr>
              <w:spacing w:after="0"/>
              <w:rPr>
                <w:sz w:val="10"/>
                <w:szCs w:val="10"/>
                <w:color w:val="auto"/>
              </w:rPr>
            </w:pPr>
          </w:p>
        </w:tc>
        <w:tc>
          <w:tcPr>
            <w:tcW w:w="85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GAAP</w:t>
            </w:r>
          </w:p>
        </w:tc>
        <w:tc>
          <w:tcPr>
            <w:tcW w:w="8960" w:type="dxa"/>
            <w:vAlign w:val="bottom"/>
          </w:tcPr>
          <w:p>
            <w:pPr>
              <w:ind w:left="760"/>
              <w:spacing w:after="0"/>
              <w:rPr>
                <w:sz w:val="20"/>
                <w:szCs w:val="20"/>
                <w:color w:val="auto"/>
              </w:rPr>
            </w:pPr>
            <w:r>
              <w:rPr>
                <w:rFonts w:ascii="Arial" w:cs="Arial" w:eastAsia="Arial" w:hAnsi="Arial"/>
                <w:sz w:val="18"/>
                <w:szCs w:val="18"/>
                <w:color w:val="auto"/>
              </w:rPr>
              <w:t>Accounting principles generally accepted in the U.S.</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GenConn</w:t>
            </w:r>
          </w:p>
        </w:tc>
        <w:tc>
          <w:tcPr>
            <w:tcW w:w="8960" w:type="dxa"/>
            <w:vAlign w:val="bottom"/>
          </w:tcPr>
          <w:p>
            <w:pPr>
              <w:ind w:left="760"/>
              <w:spacing w:after="0"/>
              <w:rPr>
                <w:sz w:val="20"/>
                <w:szCs w:val="20"/>
                <w:color w:val="auto"/>
              </w:rPr>
            </w:pPr>
            <w:r>
              <w:rPr>
                <w:rFonts w:ascii="Arial" w:cs="Arial" w:eastAsia="Arial" w:hAnsi="Arial"/>
                <w:sz w:val="18"/>
                <w:szCs w:val="18"/>
                <w:color w:val="auto"/>
              </w:rPr>
              <w:t>GenConn Energy LLC</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GIP</w:t>
            </w:r>
          </w:p>
        </w:tc>
        <w:tc>
          <w:tcPr>
            <w:tcW w:w="8960" w:type="dxa"/>
            <w:vAlign w:val="bottom"/>
            <w:vMerge w:val="restart"/>
          </w:tcPr>
          <w:p>
            <w:pPr>
              <w:ind w:left="760"/>
              <w:spacing w:after="0"/>
              <w:rPr>
                <w:sz w:val="20"/>
                <w:szCs w:val="20"/>
                <w:color w:val="auto"/>
              </w:rPr>
            </w:pPr>
            <w:r>
              <w:rPr>
                <w:rFonts w:ascii="Arial" w:cs="Arial" w:eastAsia="Arial" w:hAnsi="Arial"/>
                <w:sz w:val="18"/>
                <w:szCs w:val="18"/>
                <w:color w:val="auto"/>
                <w:w w:val="93"/>
              </w:rPr>
              <w:t>Collectively, Global Infrastructure Partners III-C Intermediate AIV 3, L.P., Global Infrastructure Partners III-A/B</w:t>
            </w:r>
          </w:p>
        </w:tc>
        <w:tc>
          <w:tcPr>
            <w:tcW w:w="0" w:type="dxa"/>
            <w:vAlign w:val="bottom"/>
          </w:tcPr>
          <w:p>
            <w:pPr>
              <w:spacing w:after="0"/>
              <w:rPr>
                <w:sz w:val="1"/>
                <w:szCs w:val="1"/>
                <w:color w:val="auto"/>
              </w:rPr>
            </w:pPr>
          </w:p>
        </w:tc>
      </w:tr>
      <w:tr>
        <w:trPr>
          <w:trHeight w:val="41"/>
        </w:trPr>
        <w:tc>
          <w:tcPr>
            <w:tcW w:w="2220" w:type="dxa"/>
            <w:vAlign w:val="bottom"/>
          </w:tcPr>
          <w:p>
            <w:pPr>
              <w:spacing w:after="0"/>
              <w:rPr>
                <w:sz w:val="3"/>
                <w:szCs w:val="3"/>
                <w:color w:val="auto"/>
              </w:rPr>
            </w:pPr>
          </w:p>
        </w:tc>
        <w:tc>
          <w:tcPr>
            <w:tcW w:w="896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8960" w:type="dxa"/>
            <w:vAlign w:val="bottom"/>
          </w:tcPr>
          <w:p>
            <w:pPr>
              <w:ind w:left="760"/>
              <w:spacing w:after="0" w:line="176" w:lineRule="exact"/>
              <w:rPr>
                <w:sz w:val="20"/>
                <w:szCs w:val="20"/>
                <w:color w:val="auto"/>
              </w:rPr>
            </w:pPr>
            <w:r>
              <w:rPr>
                <w:rFonts w:ascii="Arial" w:cs="Arial" w:eastAsia="Arial" w:hAnsi="Arial"/>
                <w:sz w:val="18"/>
                <w:szCs w:val="18"/>
                <w:color w:val="auto"/>
                <w:w w:val="94"/>
              </w:rPr>
              <w:t>AIV 3, L.P., Global Infrastructure Partners III-C Intermediate AIV 2, L.P., Global Infrastructure Partners III-C2</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Intermediate AIV, L.P. and GIP III Zephyr Friends &amp; Family, LLC</w:t>
            </w:r>
          </w:p>
        </w:tc>
        <w:tc>
          <w:tcPr>
            <w:tcW w:w="0" w:type="dxa"/>
            <w:vAlign w:val="bottom"/>
          </w:tcPr>
          <w:p>
            <w:pPr>
              <w:spacing w:after="0"/>
              <w:rPr>
                <w:sz w:val="1"/>
                <w:szCs w:val="1"/>
                <w:color w:val="auto"/>
              </w:rPr>
            </w:pPr>
          </w:p>
        </w:tc>
      </w:tr>
      <w:tr>
        <w:trPr>
          <w:trHeight w:val="309"/>
        </w:trPr>
        <w:tc>
          <w:tcPr>
            <w:tcW w:w="2220" w:type="dxa"/>
            <w:vAlign w:val="bottom"/>
          </w:tcPr>
          <w:p>
            <w:pPr>
              <w:spacing w:after="0"/>
              <w:rPr>
                <w:sz w:val="20"/>
                <w:szCs w:val="20"/>
                <w:color w:val="auto"/>
              </w:rPr>
            </w:pPr>
            <w:r>
              <w:rPr>
                <w:rFonts w:ascii="Arial" w:cs="Arial" w:eastAsia="Arial" w:hAnsi="Arial"/>
                <w:sz w:val="18"/>
                <w:szCs w:val="18"/>
                <w:color w:val="auto"/>
              </w:rPr>
              <w:t>HLBV</w:t>
            </w:r>
          </w:p>
        </w:tc>
        <w:tc>
          <w:tcPr>
            <w:tcW w:w="8960" w:type="dxa"/>
            <w:vAlign w:val="bottom"/>
          </w:tcPr>
          <w:p>
            <w:pPr>
              <w:ind w:left="760"/>
              <w:spacing w:after="0"/>
              <w:rPr>
                <w:sz w:val="20"/>
                <w:szCs w:val="20"/>
                <w:color w:val="auto"/>
              </w:rPr>
            </w:pPr>
            <w:r>
              <w:rPr>
                <w:rFonts w:ascii="Arial" w:cs="Arial" w:eastAsia="Arial" w:hAnsi="Arial"/>
                <w:sz w:val="18"/>
                <w:szCs w:val="18"/>
                <w:color w:val="auto"/>
              </w:rPr>
              <w:t>Hypothetical Liquidation at Book Value</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LIBOR</w:t>
            </w:r>
          </w:p>
        </w:tc>
        <w:tc>
          <w:tcPr>
            <w:tcW w:w="8960" w:type="dxa"/>
            <w:vAlign w:val="bottom"/>
          </w:tcPr>
          <w:p>
            <w:pPr>
              <w:ind w:left="760"/>
              <w:spacing w:after="0"/>
              <w:rPr>
                <w:sz w:val="20"/>
                <w:szCs w:val="20"/>
                <w:color w:val="auto"/>
              </w:rPr>
            </w:pPr>
            <w:r>
              <w:rPr>
                <w:rFonts w:ascii="Arial" w:cs="Arial" w:eastAsia="Arial" w:hAnsi="Arial"/>
                <w:sz w:val="18"/>
                <w:szCs w:val="18"/>
                <w:color w:val="auto"/>
              </w:rPr>
              <w:t>London Inter-Bank Offered Rate</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MBTA</w:t>
            </w:r>
          </w:p>
        </w:tc>
        <w:tc>
          <w:tcPr>
            <w:tcW w:w="8960" w:type="dxa"/>
            <w:vAlign w:val="bottom"/>
          </w:tcPr>
          <w:p>
            <w:pPr>
              <w:ind w:left="760"/>
              <w:spacing w:after="0"/>
              <w:rPr>
                <w:sz w:val="20"/>
                <w:szCs w:val="20"/>
                <w:color w:val="auto"/>
              </w:rPr>
            </w:pPr>
            <w:r>
              <w:rPr>
                <w:rFonts w:ascii="Arial" w:cs="Arial" w:eastAsia="Arial" w:hAnsi="Arial"/>
                <w:sz w:val="18"/>
                <w:szCs w:val="18"/>
                <w:color w:val="auto"/>
              </w:rPr>
              <w:t>Migratory Bird Treaty Act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MMBtu</w:t>
            </w:r>
          </w:p>
        </w:tc>
        <w:tc>
          <w:tcPr>
            <w:tcW w:w="8960" w:type="dxa"/>
            <w:vAlign w:val="bottom"/>
          </w:tcPr>
          <w:p>
            <w:pPr>
              <w:ind w:left="760"/>
              <w:spacing w:after="0"/>
              <w:rPr>
                <w:sz w:val="20"/>
                <w:szCs w:val="20"/>
                <w:color w:val="auto"/>
              </w:rPr>
            </w:pPr>
            <w:r>
              <w:rPr>
                <w:rFonts w:ascii="Arial" w:cs="Arial" w:eastAsia="Arial" w:hAnsi="Arial"/>
                <w:sz w:val="18"/>
                <w:szCs w:val="18"/>
                <w:color w:val="auto"/>
              </w:rPr>
              <w:t>Million British Thermal Units</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MW</w:t>
            </w:r>
          </w:p>
        </w:tc>
        <w:tc>
          <w:tcPr>
            <w:tcW w:w="8960" w:type="dxa"/>
            <w:vAlign w:val="bottom"/>
          </w:tcPr>
          <w:p>
            <w:pPr>
              <w:ind w:left="760"/>
              <w:spacing w:after="0"/>
              <w:rPr>
                <w:sz w:val="20"/>
                <w:szCs w:val="20"/>
                <w:color w:val="auto"/>
              </w:rPr>
            </w:pPr>
            <w:r>
              <w:rPr>
                <w:rFonts w:ascii="Arial" w:cs="Arial" w:eastAsia="Arial" w:hAnsi="Arial"/>
                <w:sz w:val="18"/>
                <w:szCs w:val="18"/>
                <w:color w:val="auto"/>
              </w:rPr>
              <w:t>Megawatt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MWh</w:t>
            </w:r>
          </w:p>
        </w:tc>
        <w:tc>
          <w:tcPr>
            <w:tcW w:w="8960" w:type="dxa"/>
            <w:vAlign w:val="bottom"/>
          </w:tcPr>
          <w:p>
            <w:pPr>
              <w:ind w:left="760"/>
              <w:spacing w:after="0"/>
              <w:rPr>
                <w:sz w:val="20"/>
                <w:szCs w:val="20"/>
                <w:color w:val="auto"/>
              </w:rPr>
            </w:pPr>
            <w:r>
              <w:rPr>
                <w:rFonts w:ascii="Arial" w:cs="Arial" w:eastAsia="Arial" w:hAnsi="Arial"/>
                <w:sz w:val="18"/>
                <w:szCs w:val="18"/>
                <w:color w:val="auto"/>
              </w:rPr>
              <w:t>Saleable megawatt hours, net of internal/parasitic load megawatt-hours</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MWt</w:t>
            </w:r>
          </w:p>
        </w:tc>
        <w:tc>
          <w:tcPr>
            <w:tcW w:w="8960" w:type="dxa"/>
            <w:vAlign w:val="bottom"/>
          </w:tcPr>
          <w:p>
            <w:pPr>
              <w:ind w:left="760"/>
              <w:spacing w:after="0"/>
              <w:rPr>
                <w:sz w:val="20"/>
                <w:szCs w:val="20"/>
                <w:color w:val="auto"/>
              </w:rPr>
            </w:pPr>
            <w:r>
              <w:rPr>
                <w:rFonts w:ascii="Arial" w:cs="Arial" w:eastAsia="Arial" w:hAnsi="Arial"/>
                <w:sz w:val="18"/>
                <w:szCs w:val="18"/>
                <w:color w:val="auto"/>
              </w:rPr>
              <w:t>Megawatts Thermal Equivalent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Net Exposure</w:t>
            </w:r>
          </w:p>
        </w:tc>
        <w:tc>
          <w:tcPr>
            <w:tcW w:w="8960" w:type="dxa"/>
            <w:vAlign w:val="bottom"/>
          </w:tcPr>
          <w:p>
            <w:pPr>
              <w:ind w:left="760"/>
              <w:spacing w:after="0"/>
              <w:rPr>
                <w:sz w:val="20"/>
                <w:szCs w:val="20"/>
                <w:color w:val="auto"/>
              </w:rPr>
            </w:pPr>
            <w:r>
              <w:rPr>
                <w:rFonts w:ascii="Arial" w:cs="Arial" w:eastAsia="Arial" w:hAnsi="Arial"/>
                <w:sz w:val="18"/>
                <w:szCs w:val="18"/>
                <w:color w:val="auto"/>
              </w:rPr>
              <w:t>Counterparty credit exposure to Clearway Energy, Inc. net of collateral</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NOLs</w:t>
            </w:r>
          </w:p>
        </w:tc>
        <w:tc>
          <w:tcPr>
            <w:tcW w:w="8960" w:type="dxa"/>
            <w:vAlign w:val="bottom"/>
          </w:tcPr>
          <w:p>
            <w:pPr>
              <w:ind w:left="760"/>
              <w:spacing w:after="0"/>
              <w:rPr>
                <w:sz w:val="20"/>
                <w:szCs w:val="20"/>
                <w:color w:val="auto"/>
              </w:rPr>
            </w:pPr>
            <w:r>
              <w:rPr>
                <w:rFonts w:ascii="Arial" w:cs="Arial" w:eastAsia="Arial" w:hAnsi="Arial"/>
                <w:sz w:val="18"/>
                <w:szCs w:val="18"/>
                <w:color w:val="auto"/>
              </w:rPr>
              <w:t>Net Operating Losses</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NPPD</w:t>
            </w:r>
          </w:p>
        </w:tc>
        <w:tc>
          <w:tcPr>
            <w:tcW w:w="8960" w:type="dxa"/>
            <w:vAlign w:val="bottom"/>
          </w:tcPr>
          <w:p>
            <w:pPr>
              <w:ind w:left="760"/>
              <w:spacing w:after="0"/>
              <w:rPr>
                <w:sz w:val="20"/>
                <w:szCs w:val="20"/>
                <w:color w:val="auto"/>
              </w:rPr>
            </w:pPr>
            <w:r>
              <w:rPr>
                <w:rFonts w:ascii="Arial" w:cs="Arial" w:eastAsia="Arial" w:hAnsi="Arial"/>
                <w:sz w:val="18"/>
                <w:szCs w:val="18"/>
                <w:color w:val="auto"/>
              </w:rPr>
              <w:t>Nebraska Public Power District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NRG</w:t>
            </w:r>
          </w:p>
        </w:tc>
        <w:tc>
          <w:tcPr>
            <w:tcW w:w="8960" w:type="dxa"/>
            <w:vAlign w:val="bottom"/>
          </w:tcPr>
          <w:p>
            <w:pPr>
              <w:ind w:left="760"/>
              <w:spacing w:after="0"/>
              <w:rPr>
                <w:sz w:val="20"/>
                <w:szCs w:val="20"/>
                <w:color w:val="auto"/>
              </w:rPr>
            </w:pPr>
            <w:r>
              <w:rPr>
                <w:rFonts w:ascii="Arial" w:cs="Arial" w:eastAsia="Arial" w:hAnsi="Arial"/>
                <w:sz w:val="18"/>
                <w:szCs w:val="18"/>
                <w:color w:val="auto"/>
              </w:rPr>
              <w:t>NRG Energy, Inc.</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OCL</w:t>
            </w:r>
          </w:p>
        </w:tc>
        <w:tc>
          <w:tcPr>
            <w:tcW w:w="8960" w:type="dxa"/>
            <w:vAlign w:val="bottom"/>
          </w:tcPr>
          <w:p>
            <w:pPr>
              <w:ind w:left="760"/>
              <w:spacing w:after="0"/>
              <w:rPr>
                <w:sz w:val="20"/>
                <w:szCs w:val="20"/>
                <w:color w:val="auto"/>
              </w:rPr>
            </w:pPr>
            <w:r>
              <w:rPr>
                <w:rFonts w:ascii="Arial" w:cs="Arial" w:eastAsia="Arial" w:hAnsi="Arial"/>
                <w:sz w:val="18"/>
                <w:szCs w:val="18"/>
                <w:color w:val="auto"/>
              </w:rPr>
              <w:t>Other comprehensive loss</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O&amp;M</w:t>
            </w:r>
          </w:p>
        </w:tc>
        <w:tc>
          <w:tcPr>
            <w:tcW w:w="8960" w:type="dxa"/>
            <w:vAlign w:val="bottom"/>
          </w:tcPr>
          <w:p>
            <w:pPr>
              <w:ind w:left="760"/>
              <w:spacing w:after="0"/>
              <w:rPr>
                <w:sz w:val="20"/>
                <w:szCs w:val="20"/>
                <w:color w:val="auto"/>
              </w:rPr>
            </w:pPr>
            <w:r>
              <w:rPr>
                <w:rFonts w:ascii="Arial" w:cs="Arial" w:eastAsia="Arial" w:hAnsi="Arial"/>
                <w:sz w:val="18"/>
                <w:szCs w:val="18"/>
                <w:color w:val="auto"/>
              </w:rPr>
              <w:t>Operations and Maintenance</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PG&amp;E</w:t>
            </w:r>
          </w:p>
        </w:tc>
        <w:tc>
          <w:tcPr>
            <w:tcW w:w="8960" w:type="dxa"/>
            <w:vAlign w:val="bottom"/>
          </w:tcPr>
          <w:p>
            <w:pPr>
              <w:ind w:left="760"/>
              <w:spacing w:after="0"/>
              <w:rPr>
                <w:sz w:val="20"/>
                <w:szCs w:val="20"/>
                <w:color w:val="auto"/>
              </w:rPr>
            </w:pPr>
            <w:r>
              <w:rPr>
                <w:rFonts w:ascii="Arial" w:cs="Arial" w:eastAsia="Arial" w:hAnsi="Arial"/>
                <w:sz w:val="18"/>
                <w:szCs w:val="18"/>
                <w:color w:val="auto"/>
              </w:rPr>
              <w:t>Pacific Gas and Electric Company</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PPA</w:t>
            </w:r>
          </w:p>
        </w:tc>
        <w:tc>
          <w:tcPr>
            <w:tcW w:w="8960" w:type="dxa"/>
            <w:vAlign w:val="bottom"/>
          </w:tcPr>
          <w:p>
            <w:pPr>
              <w:ind w:left="760"/>
              <w:spacing w:after="0"/>
              <w:rPr>
                <w:sz w:val="20"/>
                <w:szCs w:val="20"/>
                <w:color w:val="auto"/>
              </w:rPr>
            </w:pPr>
            <w:r>
              <w:rPr>
                <w:rFonts w:ascii="Arial" w:cs="Arial" w:eastAsia="Arial" w:hAnsi="Arial"/>
                <w:sz w:val="18"/>
                <w:szCs w:val="18"/>
                <w:color w:val="auto"/>
              </w:rPr>
              <w:t>Power Purchase Agreement</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PTC</w:t>
            </w:r>
          </w:p>
        </w:tc>
        <w:tc>
          <w:tcPr>
            <w:tcW w:w="8960" w:type="dxa"/>
            <w:vAlign w:val="bottom"/>
          </w:tcPr>
          <w:p>
            <w:pPr>
              <w:ind w:left="760"/>
              <w:spacing w:after="0"/>
              <w:rPr>
                <w:sz w:val="20"/>
                <w:szCs w:val="20"/>
                <w:color w:val="auto"/>
              </w:rPr>
            </w:pPr>
            <w:r>
              <w:rPr>
                <w:rFonts w:ascii="Arial" w:cs="Arial" w:eastAsia="Arial" w:hAnsi="Arial"/>
                <w:sz w:val="18"/>
                <w:szCs w:val="18"/>
                <w:color w:val="auto"/>
              </w:rPr>
              <w:t>Production Tax Credit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RENOM</w:t>
            </w:r>
          </w:p>
        </w:tc>
        <w:tc>
          <w:tcPr>
            <w:tcW w:w="8960" w:type="dxa"/>
            <w:vAlign w:val="bottom"/>
          </w:tcPr>
          <w:p>
            <w:pPr>
              <w:ind w:left="760"/>
              <w:spacing w:after="0"/>
              <w:rPr>
                <w:sz w:val="20"/>
                <w:szCs w:val="20"/>
                <w:color w:val="auto"/>
              </w:rPr>
            </w:pPr>
            <w:r>
              <w:rPr>
                <w:rFonts w:ascii="Arial" w:cs="Arial" w:eastAsia="Arial" w:hAnsi="Arial"/>
                <w:sz w:val="18"/>
                <w:szCs w:val="18"/>
                <w:color w:val="auto"/>
              </w:rPr>
              <w:t>Clearway Renewable Operation &amp; Maintenance LLC</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RTO</w:t>
            </w:r>
          </w:p>
        </w:tc>
        <w:tc>
          <w:tcPr>
            <w:tcW w:w="8960" w:type="dxa"/>
            <w:vAlign w:val="bottom"/>
          </w:tcPr>
          <w:p>
            <w:pPr>
              <w:ind w:left="760"/>
              <w:spacing w:after="0"/>
              <w:rPr>
                <w:sz w:val="20"/>
                <w:szCs w:val="20"/>
                <w:color w:val="auto"/>
              </w:rPr>
            </w:pPr>
            <w:r>
              <w:rPr>
                <w:rFonts w:ascii="Arial" w:cs="Arial" w:eastAsia="Arial" w:hAnsi="Arial"/>
                <w:sz w:val="18"/>
                <w:szCs w:val="18"/>
                <w:color w:val="auto"/>
              </w:rPr>
              <w:t>Regional Transmission Organization</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SCE</w:t>
            </w:r>
          </w:p>
        </w:tc>
        <w:tc>
          <w:tcPr>
            <w:tcW w:w="8960" w:type="dxa"/>
            <w:vAlign w:val="bottom"/>
          </w:tcPr>
          <w:p>
            <w:pPr>
              <w:ind w:left="760"/>
              <w:spacing w:after="0"/>
              <w:rPr>
                <w:sz w:val="20"/>
                <w:szCs w:val="20"/>
                <w:color w:val="auto"/>
              </w:rPr>
            </w:pPr>
            <w:r>
              <w:rPr>
                <w:rFonts w:ascii="Arial" w:cs="Arial" w:eastAsia="Arial" w:hAnsi="Arial"/>
                <w:sz w:val="18"/>
                <w:szCs w:val="18"/>
                <w:color w:val="auto"/>
              </w:rPr>
              <w:t>Southern California Edison</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SEC</w:t>
            </w:r>
          </w:p>
        </w:tc>
        <w:tc>
          <w:tcPr>
            <w:tcW w:w="8960" w:type="dxa"/>
            <w:vAlign w:val="bottom"/>
          </w:tcPr>
          <w:p>
            <w:pPr>
              <w:ind w:left="760"/>
              <w:spacing w:after="0"/>
              <w:rPr>
                <w:sz w:val="20"/>
                <w:szCs w:val="20"/>
                <w:color w:val="auto"/>
              </w:rPr>
            </w:pPr>
            <w:r>
              <w:rPr>
                <w:rFonts w:ascii="Arial" w:cs="Arial" w:eastAsia="Arial" w:hAnsi="Arial"/>
                <w:sz w:val="18"/>
                <w:szCs w:val="18"/>
                <w:color w:val="auto"/>
              </w:rPr>
              <w:t>U.S. Securities and Exchange Commission</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Senior Notes</w:t>
            </w:r>
          </w:p>
        </w:tc>
        <w:tc>
          <w:tcPr>
            <w:tcW w:w="8960" w:type="dxa"/>
            <w:vAlign w:val="bottom"/>
          </w:tcPr>
          <w:p>
            <w:pPr>
              <w:ind w:left="760"/>
              <w:spacing w:after="0"/>
              <w:rPr>
                <w:sz w:val="20"/>
                <w:szCs w:val="20"/>
                <w:color w:val="auto"/>
              </w:rPr>
            </w:pPr>
            <w:r>
              <w:rPr>
                <w:rFonts w:ascii="Arial" w:cs="Arial" w:eastAsia="Arial" w:hAnsi="Arial"/>
                <w:sz w:val="18"/>
                <w:szCs w:val="18"/>
                <w:color w:val="auto"/>
              </w:rPr>
              <w:t>Collectively, the 2026 Senior Notes, the 2028 Senior Notes and the 2031 Senior Notes</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SPP</w:t>
            </w:r>
          </w:p>
        </w:tc>
        <w:tc>
          <w:tcPr>
            <w:tcW w:w="8960" w:type="dxa"/>
            <w:vAlign w:val="bottom"/>
          </w:tcPr>
          <w:p>
            <w:pPr>
              <w:ind w:left="760"/>
              <w:spacing w:after="0"/>
              <w:rPr>
                <w:sz w:val="20"/>
                <w:szCs w:val="20"/>
                <w:color w:val="auto"/>
              </w:rPr>
            </w:pPr>
            <w:r>
              <w:rPr>
                <w:rFonts w:ascii="Arial" w:cs="Arial" w:eastAsia="Arial" w:hAnsi="Arial"/>
                <w:sz w:val="18"/>
                <w:szCs w:val="18"/>
                <w:color w:val="auto"/>
              </w:rPr>
              <w:t>Solar Power Partners</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SREC</w:t>
            </w:r>
          </w:p>
        </w:tc>
        <w:tc>
          <w:tcPr>
            <w:tcW w:w="8960" w:type="dxa"/>
            <w:vAlign w:val="bottom"/>
          </w:tcPr>
          <w:p>
            <w:pPr>
              <w:ind w:left="760"/>
              <w:spacing w:after="0"/>
              <w:rPr>
                <w:sz w:val="20"/>
                <w:szCs w:val="20"/>
                <w:color w:val="auto"/>
              </w:rPr>
            </w:pPr>
            <w:r>
              <w:rPr>
                <w:rFonts w:ascii="Arial" w:cs="Arial" w:eastAsia="Arial" w:hAnsi="Arial"/>
                <w:sz w:val="18"/>
                <w:szCs w:val="18"/>
                <w:color w:val="auto"/>
              </w:rPr>
              <w:t>Solar Renewable Energy Credit</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Tax Act</w:t>
            </w:r>
          </w:p>
        </w:tc>
        <w:tc>
          <w:tcPr>
            <w:tcW w:w="8960" w:type="dxa"/>
            <w:vAlign w:val="bottom"/>
          </w:tcPr>
          <w:p>
            <w:pPr>
              <w:ind w:left="760"/>
              <w:spacing w:after="0"/>
              <w:rPr>
                <w:sz w:val="20"/>
                <w:szCs w:val="20"/>
                <w:color w:val="auto"/>
              </w:rPr>
            </w:pPr>
            <w:r>
              <w:rPr>
                <w:rFonts w:ascii="Arial" w:cs="Arial" w:eastAsia="Arial" w:hAnsi="Arial"/>
                <w:sz w:val="18"/>
                <w:szCs w:val="18"/>
                <w:color w:val="auto"/>
              </w:rPr>
              <w:t>Tax Cuts and Jobs Act of 2017</w:t>
            </w:r>
          </w:p>
        </w:tc>
        <w:tc>
          <w:tcPr>
            <w:tcW w:w="0" w:type="dxa"/>
            <w:vAlign w:val="bottom"/>
          </w:tcPr>
          <w:p>
            <w:pPr>
              <w:spacing w:after="0"/>
              <w:rPr>
                <w:sz w:val="1"/>
                <w:szCs w:val="1"/>
                <w:color w:val="auto"/>
              </w:rPr>
            </w:pPr>
          </w:p>
        </w:tc>
      </w:tr>
      <w:tr>
        <w:trPr>
          <w:trHeight w:val="176"/>
        </w:trPr>
        <w:tc>
          <w:tcPr>
            <w:tcW w:w="2220" w:type="dxa"/>
            <w:vAlign w:val="bottom"/>
          </w:tcPr>
          <w:p>
            <w:pPr>
              <w:spacing w:after="0" w:line="176" w:lineRule="exact"/>
              <w:rPr>
                <w:sz w:val="20"/>
                <w:szCs w:val="20"/>
                <w:color w:val="auto"/>
              </w:rPr>
            </w:pPr>
            <w:r>
              <w:rPr>
                <w:rFonts w:ascii="Arial" w:cs="Arial" w:eastAsia="Arial" w:hAnsi="Arial"/>
                <w:sz w:val="18"/>
                <w:szCs w:val="18"/>
                <w:color w:val="auto"/>
              </w:rPr>
              <w:t>Thermal Business</w:t>
            </w:r>
          </w:p>
        </w:tc>
        <w:tc>
          <w:tcPr>
            <w:tcW w:w="8960" w:type="dxa"/>
            <w:vAlign w:val="bottom"/>
          </w:tcPr>
          <w:p>
            <w:pPr>
              <w:ind w:left="760"/>
              <w:spacing w:after="0" w:line="176" w:lineRule="exact"/>
              <w:rPr>
                <w:sz w:val="20"/>
                <w:szCs w:val="20"/>
                <w:color w:val="auto"/>
              </w:rPr>
            </w:pPr>
            <w:r>
              <w:rPr>
                <w:rFonts w:ascii="Arial" w:cs="Arial" w:eastAsia="Arial" w:hAnsi="Arial"/>
                <w:sz w:val="18"/>
                <w:szCs w:val="18"/>
                <w:color w:val="auto"/>
                <w:w w:val="92"/>
              </w:rPr>
              <w:t>The Company's thermal business, which consists of thermal infrastructure assets that provide steam, hot water</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8960" w:type="dxa"/>
            <w:vAlign w:val="bottom"/>
          </w:tcPr>
          <w:p>
            <w:pPr>
              <w:ind w:left="760"/>
              <w:spacing w:after="0" w:line="176" w:lineRule="exact"/>
              <w:rPr>
                <w:sz w:val="20"/>
                <w:szCs w:val="20"/>
                <w:color w:val="auto"/>
              </w:rPr>
            </w:pPr>
            <w:r>
              <w:rPr>
                <w:rFonts w:ascii="Arial" w:cs="Arial" w:eastAsia="Arial" w:hAnsi="Arial"/>
                <w:sz w:val="18"/>
                <w:szCs w:val="18"/>
                <w:color w:val="auto"/>
                <w:w w:val="95"/>
              </w:rPr>
              <w:t>and/or chilled water, and in some instances electricity, to commercial businesses, universities, hospitals and</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governmental units</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20"/>
                <w:szCs w:val="20"/>
                <w:color w:val="auto"/>
              </w:rPr>
            </w:pPr>
            <w:r>
              <w:rPr>
                <w:rFonts w:ascii="Arial" w:cs="Arial" w:eastAsia="Arial" w:hAnsi="Arial"/>
                <w:sz w:val="18"/>
                <w:szCs w:val="18"/>
                <w:color w:val="auto"/>
              </w:rPr>
              <w:t>U.S.</w:t>
            </w:r>
          </w:p>
        </w:tc>
        <w:tc>
          <w:tcPr>
            <w:tcW w:w="8960" w:type="dxa"/>
            <w:vAlign w:val="bottom"/>
          </w:tcPr>
          <w:p>
            <w:pPr>
              <w:ind w:left="76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176"/>
        </w:trPr>
        <w:tc>
          <w:tcPr>
            <w:tcW w:w="2220" w:type="dxa"/>
            <w:vAlign w:val="bottom"/>
          </w:tcPr>
          <w:p>
            <w:pPr>
              <w:spacing w:after="0" w:line="176" w:lineRule="exact"/>
              <w:rPr>
                <w:sz w:val="20"/>
                <w:szCs w:val="20"/>
                <w:color w:val="auto"/>
              </w:rPr>
            </w:pPr>
            <w:r>
              <w:rPr>
                <w:rFonts w:ascii="Arial" w:cs="Arial" w:eastAsia="Arial" w:hAnsi="Arial"/>
                <w:sz w:val="18"/>
                <w:szCs w:val="18"/>
                <w:color w:val="auto"/>
              </w:rPr>
              <w:t>Utah Solar Portfolio</w:t>
            </w:r>
          </w:p>
        </w:tc>
        <w:tc>
          <w:tcPr>
            <w:tcW w:w="8960" w:type="dxa"/>
            <w:vAlign w:val="bottom"/>
          </w:tcPr>
          <w:p>
            <w:pPr>
              <w:ind w:left="760"/>
              <w:spacing w:after="0" w:line="176" w:lineRule="exact"/>
              <w:rPr>
                <w:sz w:val="20"/>
                <w:szCs w:val="20"/>
                <w:color w:val="auto"/>
              </w:rPr>
            </w:pPr>
            <w:r>
              <w:rPr>
                <w:rFonts w:ascii="Arial" w:cs="Arial" w:eastAsia="Arial" w:hAnsi="Arial"/>
                <w:sz w:val="18"/>
                <w:szCs w:val="18"/>
                <w:color w:val="auto"/>
                <w:w w:val="94"/>
              </w:rPr>
              <w:t>Collection consists of Four Brothers Solar, LLC, Granite Mountain Holdings, LLC, and Iron Springs Holdings,</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8960" w:type="dxa"/>
            <w:vAlign w:val="bottom"/>
          </w:tcPr>
          <w:p>
            <w:pPr>
              <w:ind w:left="760"/>
              <w:spacing w:after="0" w:line="176" w:lineRule="exact"/>
              <w:rPr>
                <w:sz w:val="20"/>
                <w:szCs w:val="20"/>
                <w:color w:val="auto"/>
              </w:rPr>
            </w:pPr>
            <w:r>
              <w:rPr>
                <w:rFonts w:ascii="Arial" w:cs="Arial" w:eastAsia="Arial" w:hAnsi="Arial"/>
                <w:sz w:val="18"/>
                <w:szCs w:val="18"/>
                <w:color w:val="auto"/>
                <w:w w:val="94"/>
              </w:rPr>
              <w:t>LLC, which are equity investments owned by Four Brothers Capital, LLC, Granite Mountain Capital, LLC, and</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Iron Springs Capital, LLC, respectively</w:t>
            </w:r>
          </w:p>
        </w:tc>
        <w:tc>
          <w:tcPr>
            <w:tcW w:w="0" w:type="dxa"/>
            <w:vAlign w:val="bottom"/>
          </w:tcPr>
          <w:p>
            <w:pPr>
              <w:spacing w:after="0"/>
              <w:rPr>
                <w:sz w:val="1"/>
                <w:szCs w:val="1"/>
                <w:color w:val="auto"/>
              </w:rPr>
            </w:pPr>
          </w:p>
        </w:tc>
      </w:tr>
      <w:tr>
        <w:trPr>
          <w:trHeight w:val="176"/>
        </w:trPr>
        <w:tc>
          <w:tcPr>
            <w:tcW w:w="2220" w:type="dxa"/>
            <w:vAlign w:val="bottom"/>
          </w:tcPr>
          <w:p>
            <w:pPr>
              <w:spacing w:after="0" w:line="176" w:lineRule="exact"/>
              <w:rPr>
                <w:sz w:val="20"/>
                <w:szCs w:val="20"/>
                <w:color w:val="auto"/>
              </w:rPr>
            </w:pPr>
            <w:r>
              <w:rPr>
                <w:rFonts w:ascii="Arial" w:cs="Arial" w:eastAsia="Arial" w:hAnsi="Arial"/>
                <w:sz w:val="18"/>
                <w:szCs w:val="18"/>
                <w:color w:val="auto"/>
              </w:rPr>
              <w:t>Utility Scale Solar</w:t>
            </w:r>
          </w:p>
        </w:tc>
        <w:tc>
          <w:tcPr>
            <w:tcW w:w="8960" w:type="dxa"/>
            <w:vAlign w:val="bottom"/>
          </w:tcPr>
          <w:p>
            <w:pPr>
              <w:ind w:left="760"/>
              <w:spacing w:after="0" w:line="176" w:lineRule="exact"/>
              <w:rPr>
                <w:sz w:val="20"/>
                <w:szCs w:val="20"/>
                <w:color w:val="auto"/>
              </w:rPr>
            </w:pPr>
            <w:r>
              <w:rPr>
                <w:rFonts w:ascii="Arial" w:cs="Arial" w:eastAsia="Arial" w:hAnsi="Arial"/>
                <w:sz w:val="18"/>
                <w:szCs w:val="18"/>
                <w:color w:val="auto"/>
                <w:w w:val="98"/>
              </w:rPr>
              <w:t>Solar power projects, typically 20 MW or greater in size (on an alternating current, or AC, basis), that are</w:t>
            </w:r>
          </w:p>
        </w:tc>
        <w:tc>
          <w:tcPr>
            <w:tcW w:w="0" w:type="dxa"/>
            <w:vAlign w:val="bottom"/>
          </w:tcPr>
          <w:p>
            <w:pPr>
              <w:spacing w:after="0"/>
              <w:rPr>
                <w:sz w:val="1"/>
                <w:szCs w:val="1"/>
                <w:color w:val="auto"/>
              </w:rPr>
            </w:pPr>
          </w:p>
        </w:tc>
      </w:tr>
      <w:tr>
        <w:trPr>
          <w:trHeight w:val="229"/>
        </w:trPr>
        <w:tc>
          <w:tcPr>
            <w:tcW w:w="2220" w:type="dxa"/>
            <w:vAlign w:val="bottom"/>
          </w:tcPr>
          <w:p>
            <w:pPr>
              <w:spacing w:after="0"/>
              <w:rPr>
                <w:sz w:val="19"/>
                <w:szCs w:val="19"/>
                <w:color w:val="auto"/>
              </w:rPr>
            </w:pPr>
          </w:p>
        </w:tc>
        <w:tc>
          <w:tcPr>
            <w:tcW w:w="8960" w:type="dxa"/>
            <w:vAlign w:val="bottom"/>
          </w:tcPr>
          <w:p>
            <w:pPr>
              <w:ind w:left="760"/>
              <w:spacing w:after="0"/>
              <w:rPr>
                <w:sz w:val="20"/>
                <w:szCs w:val="20"/>
                <w:color w:val="auto"/>
              </w:rPr>
            </w:pPr>
            <w:r>
              <w:rPr>
                <w:rFonts w:ascii="Arial" w:cs="Arial" w:eastAsia="Arial" w:hAnsi="Arial"/>
                <w:sz w:val="18"/>
                <w:szCs w:val="18"/>
                <w:color w:val="auto"/>
              </w:rPr>
              <w:t>interconnected into the transmission or distribution grid to sell power at a wholesale level</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VaR</w:t>
            </w:r>
          </w:p>
        </w:tc>
        <w:tc>
          <w:tcPr>
            <w:tcW w:w="8960" w:type="dxa"/>
            <w:vAlign w:val="bottom"/>
          </w:tcPr>
          <w:p>
            <w:pPr>
              <w:ind w:left="760"/>
              <w:spacing w:after="0"/>
              <w:rPr>
                <w:sz w:val="20"/>
                <w:szCs w:val="20"/>
                <w:color w:val="auto"/>
              </w:rPr>
            </w:pPr>
            <w:r>
              <w:rPr>
                <w:rFonts w:ascii="Arial" w:cs="Arial" w:eastAsia="Arial" w:hAnsi="Arial"/>
                <w:sz w:val="18"/>
                <w:szCs w:val="18"/>
                <w:color w:val="auto"/>
              </w:rPr>
              <w:t>Value at Risk</w:t>
            </w:r>
          </w:p>
        </w:tc>
        <w:tc>
          <w:tcPr>
            <w:tcW w:w="0" w:type="dxa"/>
            <w:vAlign w:val="bottom"/>
          </w:tcPr>
          <w:p>
            <w:pPr>
              <w:spacing w:after="0"/>
              <w:rPr>
                <w:sz w:val="1"/>
                <w:szCs w:val="1"/>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VIE</w:t>
            </w:r>
          </w:p>
        </w:tc>
        <w:tc>
          <w:tcPr>
            <w:tcW w:w="8960" w:type="dxa"/>
            <w:vAlign w:val="bottom"/>
          </w:tcPr>
          <w:p>
            <w:pPr>
              <w:ind w:left="760"/>
              <w:spacing w:after="0"/>
              <w:rPr>
                <w:sz w:val="20"/>
                <w:szCs w:val="20"/>
                <w:color w:val="auto"/>
              </w:rPr>
            </w:pPr>
            <w:r>
              <w:rPr>
                <w:rFonts w:ascii="Arial" w:cs="Arial" w:eastAsia="Arial" w:hAnsi="Arial"/>
                <w:sz w:val="18"/>
                <w:szCs w:val="18"/>
                <w:color w:val="auto"/>
              </w:rPr>
              <w:t>Variable Interest Entity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935" w:right="379" w:bottom="1440" w:gutter="0" w:footer="0" w:header="0"/>
        </w:sectPr>
      </w:pPr>
    </w:p>
    <w:bookmarkStart w:id="5" w:name="page6"/>
    <w:bookmarkEnd w:id="5"/>
    <w:p>
      <w:pPr>
        <w:ind w:left="294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ITEM 1 — FINANCIAL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331"/>
              <w:spacing w:after="0"/>
              <w:rPr>
                <w:sz w:val="20"/>
                <w:szCs w:val="20"/>
                <w:color w:val="auto"/>
              </w:rPr>
            </w:pPr>
            <w:r>
              <w:rPr>
                <w:rFonts w:ascii="Arial" w:cs="Arial" w:eastAsia="Arial" w:hAnsi="Arial"/>
                <w:sz w:val="14"/>
                <w:szCs w:val="14"/>
                <w:b w:val="1"/>
                <w:bCs w:val="1"/>
                <w:color w:val="auto"/>
              </w:rPr>
              <w:t>Three months ended March 31,</w:t>
            </w:r>
          </w:p>
        </w:tc>
      </w:tr>
      <w:tr>
        <w:trPr>
          <w:trHeight w:val="188"/>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r>
      <w:tr>
        <w:trPr>
          <w:trHeight w:val="211"/>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revenues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r>
      <w:tr>
        <w:trPr>
          <w:trHeight w:val="21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29"/>
        </w:trPr>
        <w:tc>
          <w:tcPr>
            <w:tcW w:w="6000" w:type="dxa"/>
            <w:vAlign w:val="bottom"/>
          </w:tcPr>
          <w:p>
            <w:pPr>
              <w:ind w:left="140"/>
              <w:spacing w:after="0"/>
              <w:rPr>
                <w:sz w:val="20"/>
                <w:szCs w:val="20"/>
                <w:color w:val="auto"/>
              </w:rPr>
            </w:pPr>
            <w:r>
              <w:rPr>
                <w:rFonts w:ascii="Arial" w:cs="Arial" w:eastAsia="Arial" w:hAnsi="Arial"/>
                <w:sz w:val="18"/>
                <w:szCs w:val="18"/>
                <w:color w:val="auto"/>
              </w:rPr>
              <w:t>Cost of operations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29"/>
        </w:trPr>
        <w:tc>
          <w:tcPr>
            <w:tcW w:w="600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Development costs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operating costs and expenses</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0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6000" w:type="dxa"/>
            <w:vAlign w:val="bottom"/>
          </w:tcPr>
          <w:p>
            <w:pPr>
              <w:ind w:left="140"/>
              <w:spacing w:after="0"/>
              <w:rPr>
                <w:sz w:val="20"/>
                <w:szCs w:val="20"/>
                <w:color w:val="auto"/>
              </w:rPr>
            </w:pPr>
            <w:r>
              <w:rPr>
                <w:rFonts w:ascii="Arial" w:cs="Arial" w:eastAsia="Arial" w:hAnsi="Arial"/>
                <w:sz w:val="18"/>
                <w:szCs w:val="18"/>
                <w:color w:val="auto"/>
              </w:rPr>
              <w:t>Equity in earnings (losses) of unconsolidated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income, net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000" w:type="dxa"/>
            <w:vAlign w:val="bottom"/>
          </w:tcPr>
          <w:p>
            <w:pPr>
              <w:ind w:left="14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0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23"/>
        </w:trPr>
        <w:tc>
          <w:tcPr>
            <w:tcW w:w="6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0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7"/>
              </w:rPr>
              <w:t>Less: Loss attributable to noncontrolling interests and redeemable interests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Clearway Energy, LLC</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2140" w:type="dxa"/>
            <w:vAlign w:val="bottom"/>
            <w:tcBorders>
              <w:bottom w:val="single" w:sz="8" w:color="auto"/>
            </w:tcBorders>
            <w:gridSpan w:val="5"/>
          </w:tcPr>
          <w:p>
            <w:pPr>
              <w:jc w:val="right"/>
              <w:ind w:right="33"/>
              <w:spacing w:after="0"/>
              <w:rPr>
                <w:sz w:val="20"/>
                <w:szCs w:val="20"/>
                <w:color w:val="auto"/>
              </w:rPr>
            </w:pPr>
            <w:r>
              <w:rPr>
                <w:rFonts w:ascii="Arial" w:cs="Arial" w:eastAsia="Arial" w:hAnsi="Arial"/>
                <w:sz w:val="14"/>
                <w:szCs w:val="14"/>
                <w:b w:val="1"/>
                <w:bCs w:val="1"/>
                <w:color w:val="auto"/>
                <w:w w:val="96"/>
              </w:rPr>
              <w:t>Three months ended March 31,</w:t>
            </w:r>
          </w:p>
        </w:tc>
      </w:tr>
      <w:tr>
        <w:trPr>
          <w:trHeight w:val="188"/>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2020</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center"/>
              <w:ind w:left="353"/>
              <w:spacing w:after="0"/>
              <w:rPr>
                <w:sz w:val="20"/>
                <w:szCs w:val="20"/>
                <w:color w:val="auto"/>
              </w:rPr>
            </w:pPr>
            <w:r>
              <w:rPr>
                <w:rFonts w:ascii="Arial" w:cs="Arial" w:eastAsia="Arial" w:hAnsi="Arial"/>
                <w:sz w:val="18"/>
                <w:szCs w:val="18"/>
                <w:color w:val="auto"/>
                <w:w w:val="93"/>
              </w:rPr>
              <w:t>(96)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Unrealized gain (loss) on derivatives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393"/>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93"/>
              <w:spacing w:after="0"/>
              <w:rPr>
                <w:sz w:val="20"/>
                <w:szCs w:val="20"/>
                <w:color w:val="auto"/>
              </w:rPr>
            </w:pPr>
            <w:r>
              <w:rPr>
                <w:rFonts w:ascii="Arial" w:cs="Arial" w:eastAsia="Arial" w:hAnsi="Arial"/>
                <w:sz w:val="18"/>
                <w:szCs w:val="18"/>
                <w:color w:val="auto"/>
                <w:w w:val="89"/>
              </w:rPr>
              <w:t>13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(83)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2"/>
              </w:rPr>
              <w:t>Less: Comprehensive loss attributable to noncontrolling interests and redeemable interests</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353"/>
              <w:spacing w:after="0"/>
              <w:rPr>
                <w:sz w:val="20"/>
                <w:szCs w:val="20"/>
                <w:color w:val="auto"/>
              </w:rPr>
            </w:pPr>
            <w:r>
              <w:rPr>
                <w:rFonts w:ascii="Arial" w:cs="Arial" w:eastAsia="Arial" w:hAnsi="Arial"/>
                <w:sz w:val="18"/>
                <w:szCs w:val="18"/>
                <w:color w:val="auto"/>
                <w:w w:val="93"/>
              </w:rPr>
              <w:t>(64)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Loss Attributable to Clearway Energy LLC</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center"/>
              <w:ind w:left="353"/>
              <w:spacing w:after="0"/>
              <w:rPr>
                <w:sz w:val="20"/>
                <w:szCs w:val="20"/>
                <w:color w:val="auto"/>
              </w:rPr>
            </w:pPr>
            <w:r>
              <w:rPr>
                <w:rFonts w:ascii="Arial" w:cs="Arial" w:eastAsia="Arial" w:hAnsi="Arial"/>
                <w:sz w:val="18"/>
                <w:szCs w:val="18"/>
                <w:color w:val="auto"/>
                <w:w w:val="93"/>
              </w:rPr>
              <w:t>(19)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891" w:right="1440" w:bottom="1440" w:gutter="0" w:footer="0" w:header="0"/>
        </w:sectPr>
      </w:pPr>
    </w:p>
    <w:bookmarkStart w:id="8" w:name="page9"/>
    <w:bookmarkEnd w:id="8"/>
    <w:p>
      <w:pPr>
        <w:jc w:val="center"/>
        <w:ind w:right="-99"/>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0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151"/>
              <w:spacing w:after="0"/>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97"/>
        </w:trPr>
        <w:tc>
          <w:tcPr>
            <w:tcW w:w="7500" w:type="dxa"/>
            <w:vAlign w:val="bottom"/>
          </w:tcPr>
          <w:p>
            <w:pPr>
              <w:ind w:left="346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7"/>
                <w:szCs w:val="17"/>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9"/>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r>
      <w:tr>
        <w:trPr>
          <w:trHeight w:val="233"/>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7500" w:type="dxa"/>
            <w:vAlign w:val="bottom"/>
          </w:tcPr>
          <w:p>
            <w:pPr>
              <w:ind w:left="18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receivable — trade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Inventory</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Prepayments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3"/>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7,217</w:t>
            </w: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Other Assets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2"/>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Equity investments in affiliates</w:t>
            </w: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Intangible assets for power purchase agreements,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7500" w:type="dxa"/>
            <w:vAlign w:val="bottom"/>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Right of use assets,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9"/>
        </w:trPr>
        <w:tc>
          <w:tcPr>
            <w:tcW w:w="75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non-current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75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r>
      <w:tr>
        <w:trPr>
          <w:trHeight w:val="22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11,724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10,488</w:t>
            </w: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83"/>
        </w:trPr>
        <w:tc>
          <w:tcPr>
            <w:tcW w:w="7500" w:type="dxa"/>
            <w:vAlign w:val="bottom"/>
            <w:shd w:val="clear" w:color="auto" w:fill="CCEEFF"/>
          </w:tcPr>
          <w:p>
            <w:pPr>
              <w:ind w:left="2260"/>
              <w:spacing w:after="0"/>
              <w:rPr>
                <w:sz w:val="20"/>
                <w:szCs w:val="20"/>
                <w:color w:val="auto"/>
              </w:rPr>
            </w:pPr>
            <w:r>
              <w:rPr>
                <w:rFonts w:ascii="Arial" w:cs="Arial" w:eastAsia="Arial" w:hAnsi="Arial"/>
                <w:sz w:val="16"/>
                <w:szCs w:val="16"/>
                <w:b w:val="1"/>
                <w:bCs w:val="1"/>
                <w:color w:val="auto"/>
              </w:rPr>
              <w:t>LIABILITIES AND MEMBERS' EQUITY</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r>
      <w:tr>
        <w:trPr>
          <w:trHeight w:val="21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32"/>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portion of long-term debt — external</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Current portion of long-term debt — affiliate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30"/>
        </w:trPr>
        <w:tc>
          <w:tcPr>
            <w:tcW w:w="7500" w:type="dxa"/>
            <w:vAlign w:val="bottom"/>
          </w:tcPr>
          <w:p>
            <w:pPr>
              <w:ind w:left="180"/>
              <w:spacing w:after="0"/>
              <w:rPr>
                <w:sz w:val="20"/>
                <w:szCs w:val="20"/>
                <w:color w:val="auto"/>
              </w:rPr>
            </w:pPr>
            <w:r>
              <w:rPr>
                <w:rFonts w:ascii="Arial" w:cs="Arial" w:eastAsia="Arial" w:hAnsi="Arial"/>
                <w:sz w:val="16"/>
                <w:szCs w:val="16"/>
                <w:color w:val="auto"/>
              </w:rPr>
              <w:t>Accounts payable — affiliates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500" w:type="dxa"/>
            <w:vAlign w:val="bottom"/>
          </w:tcPr>
          <w:p>
            <w:pPr>
              <w:ind w:left="180"/>
              <w:spacing w:after="0"/>
              <w:rPr>
                <w:sz w:val="20"/>
                <w:szCs w:val="20"/>
                <w:color w:val="auto"/>
              </w:rPr>
            </w:pPr>
            <w:r>
              <w:rPr>
                <w:rFonts w:ascii="Arial" w:cs="Arial" w:eastAsia="Arial" w:hAnsi="Arial"/>
                <w:sz w:val="16"/>
                <w:szCs w:val="16"/>
                <w:color w:val="auto"/>
              </w:rPr>
              <w:t>Accrued interest expense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w:t>
            </w:r>
          </w:p>
        </w:tc>
      </w:tr>
      <w:tr>
        <w:trPr>
          <w:trHeight w:val="196"/>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Liabilities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6"/>
                <w:szCs w:val="16"/>
                <w:color w:val="auto"/>
              </w:rPr>
              <w:t>Long-term debt — external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7,463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6,585</w:t>
            </w:r>
          </w:p>
        </w:tc>
      </w:tr>
      <w:tr>
        <w:trPr>
          <w:trHeight w:val="230"/>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Derivative instruments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r>
      <w:tr>
        <w:trPr>
          <w:trHeight w:val="230"/>
        </w:trPr>
        <w:tc>
          <w:tcPr>
            <w:tcW w:w="7500" w:type="dxa"/>
            <w:vAlign w:val="bottom"/>
          </w:tcPr>
          <w:p>
            <w:pPr>
              <w:ind w:left="200"/>
              <w:spacing w:after="0"/>
              <w:rPr>
                <w:sz w:val="20"/>
                <w:szCs w:val="20"/>
                <w:color w:val="auto"/>
              </w:rPr>
            </w:pPr>
            <w:r>
              <w:rPr>
                <w:rFonts w:ascii="Arial" w:cs="Arial" w:eastAsia="Arial" w:hAnsi="Arial"/>
                <w:sz w:val="16"/>
                <w:szCs w:val="16"/>
                <w:color w:val="auto"/>
              </w:rPr>
              <w:t>Long-term lease liabilities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30"/>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Other non-current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3"/>
        </w:trPr>
        <w:tc>
          <w:tcPr>
            <w:tcW w:w="750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Total non-current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7,238</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r>
      <w:tr>
        <w:trPr>
          <w:trHeight w:val="193"/>
        </w:trPr>
        <w:tc>
          <w:tcPr>
            <w:tcW w:w="750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Members' Equity</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7500" w:type="dxa"/>
            <w:vAlign w:val="bottom"/>
          </w:tcPr>
          <w:p>
            <w:pPr>
              <w:ind w:left="200"/>
              <w:spacing w:after="0"/>
              <w:rPr>
                <w:sz w:val="20"/>
                <w:szCs w:val="20"/>
                <w:color w:val="auto"/>
              </w:rPr>
            </w:pPr>
            <w:r>
              <w:rPr>
                <w:rFonts w:ascii="Arial" w:cs="Arial" w:eastAsia="Arial" w:hAnsi="Arial"/>
                <w:sz w:val="16"/>
                <w:szCs w:val="16"/>
                <w:color w:val="auto"/>
              </w:rPr>
              <w:t>Contributed capital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1,723</w:t>
            </w:r>
          </w:p>
        </w:tc>
      </w:tr>
      <w:tr>
        <w:trPr>
          <w:trHeight w:val="230"/>
        </w:trPr>
        <w:tc>
          <w:tcPr>
            <w:tcW w:w="75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Accumulated deficit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50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75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w:t>
            </w:r>
          </w:p>
        </w:tc>
      </w:tr>
      <w:tr>
        <w:trPr>
          <w:trHeight w:val="223"/>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Total Members' Equity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r>
      <w:tr>
        <w:trPr>
          <w:trHeight w:val="24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Liabilities and Members’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10,488</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CLEARWAY ENERGY LLC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186"/>
        </w:trPr>
        <w:tc>
          <w:tcPr>
            <w:tcW w:w="84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r>
      <w:tr>
        <w:trPr>
          <w:trHeight w:val="212"/>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29"/>
        </w:trPr>
        <w:tc>
          <w:tcPr>
            <w:tcW w:w="8440" w:type="dxa"/>
            <w:vAlign w:val="bottom"/>
          </w:tcPr>
          <w:p>
            <w:pPr>
              <w:ind w:left="1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 (earnings) losses of unconsolidated affiliates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Distributions from unconsolidated affiliates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Amortization of financing costs and debt discounts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Loss on debt extinguishment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Reduction in carrying amount of right-of-use assets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Changes in derivative instruments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30"/>
        </w:trPr>
        <w:tc>
          <w:tcPr>
            <w:tcW w:w="8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used in changes in other working capital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Changes in prepaid and accrued liabilities for tolling agreements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other working capital</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09"/>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Acquisition of Agua Caliente, net of cash acquired</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Drop Down Asset</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Return of investment from unconsolidated affiliates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Investments in unconsolidated affiliates</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of assets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8440" w:type="dxa"/>
            <w:vAlign w:val="bottom"/>
          </w:tcPr>
          <w:p>
            <w:pPr>
              <w:ind w:left="340"/>
              <w:spacing w:after="0"/>
              <w:rPr>
                <w:sz w:val="20"/>
                <w:szCs w:val="20"/>
                <w:color w:val="auto"/>
              </w:rPr>
            </w:pPr>
            <w:r>
              <w:rPr>
                <w:rFonts w:ascii="Arial" w:cs="Arial" w:eastAsia="Arial" w:hAnsi="Arial"/>
                <w:sz w:val="18"/>
                <w:szCs w:val="18"/>
                <w:color w:val="auto"/>
              </w:rPr>
              <w:t>Insurance proceeds</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8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84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contributions from noncontrolling interests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Contributions from CEG</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proceeds from the issuance of Class C units</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Payments of distributions</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revolving credit facility</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Payments for the revolving credit facility</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the issuance of long-term debt — external</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Proceeds from issuance of long-term debt — affiliate</w:t>
            </w:r>
          </w:p>
        </w:tc>
        <w:tc>
          <w:tcPr>
            <w:tcW w:w="26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 issuance costs</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40" w:type="dxa"/>
            <w:vAlign w:val="bottom"/>
          </w:tcPr>
          <w:p>
            <w:pPr>
              <w:ind w:left="340"/>
              <w:spacing w:after="0"/>
              <w:rPr>
                <w:sz w:val="20"/>
                <w:szCs w:val="20"/>
                <w:color w:val="auto"/>
              </w:rPr>
            </w:pPr>
            <w:r>
              <w:rPr>
                <w:rFonts w:ascii="Arial" w:cs="Arial" w:eastAsia="Arial" w:hAnsi="Arial"/>
                <w:sz w:val="18"/>
                <w:szCs w:val="18"/>
                <w:color w:val="auto"/>
              </w:rPr>
              <w:t>Payments for long-term debt — external</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r>
      <w:tr>
        <w:trPr>
          <w:trHeight w:val="223"/>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Cash Equivalents and Restricted Cash</w:t>
            </w: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84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r>
      <w:tr>
        <w:trPr>
          <w:trHeight w:val="248"/>
        </w:trPr>
        <w:tc>
          <w:tcPr>
            <w:tcW w:w="8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9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center"/>
              <w:ind w:right="6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1"/>
                <w:szCs w:val="11"/>
                <w:color w:val="auto"/>
              </w:rPr>
            </w:pPr>
          </w:p>
        </w:tc>
        <w:tc>
          <w:tcPr>
            <w:tcW w:w="124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5"/>
              </w:rPr>
              <w:t>Members'</w:t>
            </w:r>
          </w:p>
        </w:tc>
        <w:tc>
          <w:tcPr>
            <w:tcW w:w="0" w:type="dxa"/>
            <w:vAlign w:val="bottom"/>
          </w:tcPr>
          <w:p>
            <w:pPr>
              <w:spacing w:after="0"/>
              <w:rPr>
                <w:sz w:val="1"/>
                <w:szCs w:val="1"/>
                <w:color w:val="auto"/>
              </w:rPr>
            </w:pPr>
          </w:p>
        </w:tc>
      </w:tr>
      <w:tr>
        <w:trPr>
          <w:trHeight w:val="188"/>
        </w:trPr>
        <w:tc>
          <w:tcPr>
            <w:tcW w:w="5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9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1"/>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center"/>
              <w:ind w:left="641"/>
              <w:spacing w:after="0"/>
              <w:rPr>
                <w:sz w:val="20"/>
                <w:szCs w:val="20"/>
                <w:color w:val="auto"/>
              </w:rPr>
            </w:pPr>
            <w:r>
              <w:rPr>
                <w:rFonts w:ascii="Arial" w:cs="Arial" w:eastAsia="Arial" w:hAnsi="Arial"/>
                <w:sz w:val="16"/>
                <w:szCs w:val="16"/>
                <w:color w:val="auto"/>
                <w:w w:val="98"/>
              </w:rPr>
              <w:t>(50)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center"/>
              <w:ind w:left="741"/>
              <w:spacing w:after="0"/>
              <w:rPr>
                <w:sz w:val="20"/>
                <w:szCs w:val="20"/>
                <w:color w:val="auto"/>
              </w:rPr>
            </w:pPr>
            <w:r>
              <w:rPr>
                <w:rFonts w:ascii="Arial" w:cs="Arial" w:eastAsia="Arial" w:hAnsi="Arial"/>
                <w:sz w:val="16"/>
                <w:szCs w:val="16"/>
                <w:color w:val="auto"/>
                <w:w w:val="91"/>
              </w:rPr>
              <w:t>(33)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Net loss</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40" w:type="dxa"/>
            <w:vAlign w:val="bottom"/>
          </w:tcPr>
          <w:p>
            <w:pPr>
              <w:jc w:val="center"/>
              <w:ind w:left="641"/>
              <w:spacing w:after="0"/>
              <w:rPr>
                <w:sz w:val="20"/>
                <w:szCs w:val="20"/>
                <w:color w:val="auto"/>
              </w:rPr>
            </w:pPr>
            <w:r>
              <w:rPr>
                <w:rFonts w:ascii="Arial" w:cs="Arial" w:eastAsia="Arial" w:hAnsi="Arial"/>
                <w:sz w:val="16"/>
                <w:szCs w:val="16"/>
                <w:color w:val="auto"/>
                <w:w w:val="98"/>
              </w:rPr>
              <w:t>(29)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Unrealized gain on derivatives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761"/>
              <w:spacing w:after="0"/>
              <w:rPr>
                <w:sz w:val="20"/>
                <w:szCs w:val="20"/>
                <w:color w:val="auto"/>
              </w:rPr>
            </w:pPr>
            <w:r>
              <w:rPr>
                <w:rFonts w:ascii="Arial" w:cs="Arial" w:eastAsia="Arial" w:hAnsi="Arial"/>
                <w:sz w:val="16"/>
                <w:szCs w:val="16"/>
                <w:color w:val="auto"/>
                <w:w w:val="89"/>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(Distributions) contributions from CEG, non-cash</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Contributions from noncontrolling interests, net of distributions, cash</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Agua Caliente acquisition</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Rattlesnake Drop Down</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(118)</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3"/>
        </w:trPr>
        <w:tc>
          <w:tcPr>
            <w:tcW w:w="502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left="56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40" w:type="dxa"/>
            <w:vAlign w:val="bottom"/>
            <w:gridSpan w:val="2"/>
          </w:tcPr>
          <w:p>
            <w:pPr>
              <w:jc w:val="center"/>
              <w:ind w:left="641"/>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35"/>
        </w:trPr>
        <w:tc>
          <w:tcPr>
            <w:tcW w:w="5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as of March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center"/>
              <w:ind w:left="641"/>
              <w:spacing w:after="0"/>
              <w:rPr>
                <w:sz w:val="20"/>
                <w:szCs w:val="20"/>
                <w:color w:val="auto"/>
              </w:rPr>
            </w:pPr>
            <w:r>
              <w:rPr>
                <w:rFonts w:ascii="Arial" w:cs="Arial" w:eastAsia="Arial" w:hAnsi="Arial"/>
                <w:sz w:val="16"/>
                <w:szCs w:val="16"/>
                <w:color w:val="auto"/>
                <w:w w:val="98"/>
              </w:rPr>
              <w:t>(79)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center"/>
              <w:ind w:left="741"/>
              <w:spacing w:after="0"/>
              <w:rPr>
                <w:sz w:val="20"/>
                <w:szCs w:val="20"/>
                <w:color w:val="auto"/>
              </w:rPr>
            </w:pPr>
            <w:r>
              <w:rPr>
                <w:rFonts w:ascii="Arial" w:cs="Arial" w:eastAsia="Arial" w:hAnsi="Arial"/>
                <w:sz w:val="16"/>
                <w:szCs w:val="16"/>
                <w:color w:val="auto"/>
                <w:w w:val="91"/>
              </w:rPr>
              <w:t>(23)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2,873</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MEMBERS' EQUITY</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2020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center"/>
              <w:ind w:right="8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5"/>
        </w:trPr>
        <w:tc>
          <w:tcPr>
            <w:tcW w:w="5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Contributed</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1"/>
                <w:szCs w:val="11"/>
                <w:color w:val="auto"/>
              </w:rPr>
            </w:pPr>
          </w:p>
        </w:tc>
        <w:tc>
          <w:tcPr>
            <w:tcW w:w="12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Noncontrolling</w:t>
            </w:r>
          </w:p>
        </w:tc>
        <w:tc>
          <w:tcPr>
            <w:tcW w:w="16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(Accumulated</w:t>
            </w:r>
          </w:p>
        </w:tc>
        <w:tc>
          <w:tcPr>
            <w:tcW w:w="14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81"/>
              <w:spacing w:after="0" w:line="135" w:lineRule="exact"/>
              <w:rPr>
                <w:sz w:val="20"/>
                <w:szCs w:val="20"/>
                <w:color w:val="auto"/>
              </w:rPr>
            </w:pPr>
            <w:r>
              <w:rPr>
                <w:rFonts w:ascii="Arial" w:cs="Arial" w:eastAsia="Arial" w:hAnsi="Arial"/>
                <w:sz w:val="14"/>
                <w:szCs w:val="14"/>
                <w:b w:val="1"/>
                <w:bCs w:val="1"/>
                <w:color w:val="auto"/>
                <w:w w:val="98"/>
              </w:rPr>
              <w:t>Members'</w:t>
            </w:r>
          </w:p>
        </w:tc>
        <w:tc>
          <w:tcPr>
            <w:tcW w:w="0" w:type="dxa"/>
            <w:vAlign w:val="bottom"/>
          </w:tcPr>
          <w:p>
            <w:pPr>
              <w:spacing w:after="0"/>
              <w:rPr>
                <w:sz w:val="1"/>
                <w:szCs w:val="1"/>
                <w:color w:val="auto"/>
              </w:rPr>
            </w:pPr>
          </w:p>
        </w:tc>
      </w:tr>
      <w:tr>
        <w:trPr>
          <w:trHeight w:val="186"/>
        </w:trPr>
        <w:tc>
          <w:tcPr>
            <w:tcW w:w="51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Deficit)</w:t>
            </w: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160" w:type="dxa"/>
            <w:vAlign w:val="bottom"/>
          </w:tcPr>
          <w:p>
            <w:pPr>
              <w:spacing w:after="0"/>
              <w:rPr>
                <w:sz w:val="16"/>
                <w:szCs w:val="16"/>
                <w:color w:val="auto"/>
              </w:rPr>
            </w:pPr>
          </w:p>
        </w:tc>
        <w:tc>
          <w:tcPr>
            <w:tcW w:w="880" w:type="dxa"/>
            <w:vAlign w:val="bottom"/>
          </w:tcPr>
          <w:p>
            <w:pPr>
              <w:jc w:val="center"/>
              <w:ind w:right="81"/>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09"/>
        </w:trPr>
        <w:tc>
          <w:tcPr>
            <w:tcW w:w="5100" w:type="dxa"/>
            <w:vAlign w:val="bottom"/>
          </w:tcPr>
          <w:p>
            <w:pPr>
              <w:ind w:left="20"/>
              <w:spacing w:after="0"/>
              <w:rPr>
                <w:sz w:val="20"/>
                <w:szCs w:val="20"/>
                <w:color w:val="auto"/>
              </w:rPr>
            </w:pPr>
            <w:r>
              <w:rPr>
                <w:rFonts w:ascii="Arial" w:cs="Arial" w:eastAsia="Arial" w:hAnsi="Arial"/>
                <w:sz w:val="16"/>
                <w:szCs w:val="16"/>
                <w:b w:val="1"/>
                <w:bCs w:val="1"/>
                <w:color w:val="auto"/>
              </w:rPr>
              <w:t>Balances at December 31, 2019</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1,882</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center"/>
              <w:ind w:left="742"/>
              <w:spacing w:after="0"/>
              <w:rPr>
                <w:sz w:val="20"/>
                <w:szCs w:val="20"/>
                <w:color w:val="auto"/>
              </w:rPr>
            </w:pPr>
            <w:r>
              <w:rPr>
                <w:rFonts w:ascii="Arial" w:cs="Arial" w:eastAsia="Arial" w:hAnsi="Arial"/>
                <w:sz w:val="16"/>
                <w:szCs w:val="16"/>
                <w:color w:val="auto"/>
                <w:w w:val="91"/>
              </w:rPr>
              <w:t>(37)</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ind w:right="1"/>
              <w:spacing w:after="0"/>
              <w:rPr>
                <w:sz w:val="20"/>
                <w:szCs w:val="20"/>
                <w:color w:val="auto"/>
              </w:rPr>
            </w:pPr>
            <w:r>
              <w:rPr>
                <w:rFonts w:ascii="Arial" w:cs="Arial" w:eastAsia="Arial" w:hAnsi="Arial"/>
                <w:sz w:val="16"/>
                <w:szCs w:val="16"/>
                <w:color w:val="auto"/>
              </w:rPr>
              <w:t>323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2,173</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Unrealized loss on derivatives</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center"/>
              <w:ind w:left="742"/>
              <w:spacing w:after="0"/>
              <w:rPr>
                <w:sz w:val="20"/>
                <w:szCs w:val="20"/>
                <w:color w:val="auto"/>
              </w:rPr>
            </w:pPr>
            <w:r>
              <w:rPr>
                <w:rFonts w:ascii="Arial" w:cs="Arial" w:eastAsia="Arial" w:hAnsi="Arial"/>
                <w:sz w:val="16"/>
                <w:szCs w:val="16"/>
                <w:color w:val="auto"/>
                <w:w w:val="91"/>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Contributions from CEG, cash</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Contributions from tax equity interests, net of distributions, cash</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proceeds from the sales of units, Clearway Energy, Inc.</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Distributions to tax equity investors, non-cash</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1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Distributions paid to CEG on Class B and Class D units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13"/>
        </w:trPr>
        <w:tc>
          <w:tcPr>
            <w:tcW w:w="5100" w:type="dxa"/>
            <w:vAlign w:val="bottom"/>
          </w:tcPr>
          <w:p>
            <w:pPr>
              <w:ind w:left="120"/>
              <w:spacing w:after="0"/>
              <w:rPr>
                <w:sz w:val="20"/>
                <w:szCs w:val="20"/>
                <w:color w:val="auto"/>
              </w:rPr>
            </w:pPr>
            <w:r>
              <w:rPr>
                <w:rFonts w:ascii="Arial" w:cs="Arial" w:eastAsia="Arial" w:hAnsi="Arial"/>
                <w:sz w:val="16"/>
                <w:szCs w:val="16"/>
                <w:color w:val="auto"/>
              </w:rPr>
              <w:t>Distributions paid to Clearway Energy, Inc.</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60" w:type="dxa"/>
            <w:vAlign w:val="bottom"/>
            <w:gridSpan w:val="2"/>
          </w:tcPr>
          <w:p>
            <w:pPr>
              <w:jc w:val="center"/>
              <w:ind w:left="662"/>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34"/>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Balances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center"/>
              <w:ind w:left="742"/>
              <w:spacing w:after="0"/>
              <w:rPr>
                <w:sz w:val="20"/>
                <w:szCs w:val="20"/>
                <w:color w:val="auto"/>
              </w:rPr>
            </w:pPr>
            <w:r>
              <w:rPr>
                <w:rFonts w:ascii="Arial" w:cs="Arial" w:eastAsia="Arial" w:hAnsi="Arial"/>
                <w:sz w:val="16"/>
                <w:szCs w:val="16"/>
                <w:color w:val="auto"/>
                <w:w w:val="91"/>
              </w:rPr>
              <w:t>(51)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2,151</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CLEARWAY ENERGY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w:t>
      </w:r>
      <w:r>
        <w:rPr>
          <w:rFonts w:ascii="Arial" w:cs="Arial" w:eastAsia="Arial" w:hAnsi="Arial"/>
          <w:sz w:val="18"/>
          <w:szCs w:val="18"/>
          <w:b w:val="1"/>
          <w:bCs w:val="1"/>
          <w:i w:val="1"/>
          <w:iCs w:val="1"/>
          <w:color w:val="auto"/>
        </w:rPr>
        <w:t>Nature of Business</w:t>
      </w:r>
    </w:p>
    <w:p>
      <w:pPr>
        <w:spacing w:after="0" w:line="175"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energy and transport sectors, and Global Infrastructure Partners III is its third equity fund. The Company is sponsored by GIP through GIP's portfolio company, CEG.</w:t>
      </w:r>
    </w:p>
    <w:p>
      <w:pPr>
        <w:spacing w:after="0" w:line="11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is one of the largest renewable energy owners in the U.S. with over 4,200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w:t>
      </w:r>
    </w:p>
    <w:p>
      <w:pPr>
        <w:spacing w:after="0" w:line="37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Clearway Energy, Inc. consolidates the results of the Company through its controlling interest, with CEG's interest shown as non-controlling interest in the financial statements. The holders of the Clearway Energy, Inc.'s outstanding shares of Class A and Class C common stock are entitled to dividends as declared. CEG receives its distributions from the Company through its ownership of the Company's Class B and Class D units.</w:t>
      </w:r>
    </w:p>
    <w:p>
      <w:pPr>
        <w:spacing w:after="0" w:line="11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Clearway Energy, Inc. owns 57.65% of the economic interests of the Company, with CEG owning 42.35% of the economic interests of the Company as of March 31,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ind w:left="420"/>
        <w:spacing w:after="0"/>
        <w:rPr>
          <w:sz w:val="20"/>
          <w:szCs w:val="20"/>
          <w:color w:val="auto"/>
        </w:rPr>
      </w:pPr>
      <w:r>
        <w:rPr>
          <w:rFonts w:ascii="Arial" w:cs="Arial" w:eastAsia="Arial" w:hAnsi="Arial"/>
          <w:sz w:val="18"/>
          <w:szCs w:val="18"/>
          <w:color w:val="auto"/>
        </w:rPr>
        <w:t>The following table represents the structure of the Company as of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5863590" cy="43287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63590" cy="4328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2020 Form 10-K. Interim results are not necessarily indicative of results for a full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March 31, 2021, and the results of operations, comprehensive income (loss) and cash flows for the three months ended March 31, 2021 and 2020.</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Cash and Cash Equivalents, and Restricted Cash</w:t>
      </w:r>
    </w:p>
    <w:p>
      <w:pPr>
        <w:spacing w:after="0" w:line="171" w:lineRule="exact"/>
        <w:rPr>
          <w:sz w:val="20"/>
          <w:szCs w:val="20"/>
          <w:color w:val="auto"/>
        </w:rPr>
      </w:pPr>
    </w:p>
    <w:p>
      <w:pPr>
        <w:jc w:val="both"/>
        <w:ind w:right="20" w:firstLine="445"/>
        <w:spacing w:after="0" w:line="308" w:lineRule="auto"/>
        <w:rPr>
          <w:sz w:val="20"/>
          <w:szCs w:val="20"/>
          <w:color w:val="auto"/>
        </w:rPr>
      </w:pPr>
      <w:r>
        <w:rPr>
          <w:rFonts w:ascii="Arial" w:cs="Arial" w:eastAsia="Arial" w:hAnsi="Arial"/>
          <w:sz w:val="17"/>
          <w:szCs w:val="17"/>
          <w:color w:val="auto"/>
        </w:rPr>
        <w:t>Cash and cash equivalents include highly liquid investments with an original maturity of three months or less at the time of purchase. Cash and cash equivalents held at project subsidiaries was $111 million and $149 million as of March 31, 2021 and December 31, 2020, respectively.</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8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December 31, 2020</w:t>
            </w:r>
          </w:p>
        </w:tc>
      </w:tr>
      <w:tr>
        <w:trPr>
          <w:trHeight w:val="187"/>
        </w:trPr>
        <w:tc>
          <w:tcPr>
            <w:tcW w:w="7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6"/>
                <w:szCs w:val="16"/>
                <w:color w:val="auto"/>
              </w:rPr>
            </w:pPr>
          </w:p>
        </w:tc>
      </w:tr>
      <w:tr>
        <w:trPr>
          <w:trHeight w:val="231"/>
        </w:trPr>
        <w:tc>
          <w:tcPr>
            <w:tcW w:w="7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jc w:val="right"/>
              <w:ind w:right="1156"/>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30"/>
        </w:trPr>
        <w:tc>
          <w:tcPr>
            <w:tcW w:w="7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Restricted cash</w:t>
            </w:r>
          </w:p>
        </w:tc>
        <w:tc>
          <w:tcPr>
            <w:tcW w:w="13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cash equivalents and restricted cash shown in the statement of cash flows</w:t>
            </w:r>
          </w:p>
        </w:tc>
        <w:tc>
          <w:tcPr>
            <w:tcW w:w="1340" w:type="dxa"/>
            <w:vAlign w:val="bottom"/>
            <w:tcBorders>
              <w:bottom w:val="single" w:sz="8" w:color="auto"/>
            </w:tcBorders>
            <w:shd w:val="clear" w:color="auto" w:fill="CCEEFF"/>
          </w:tcPr>
          <w:p>
            <w:pPr>
              <w:jc w:val="right"/>
              <w:ind w:right="115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Restricted cash consists primarily of funds held to satisfy the requirements of certain debt agreements and funds held within the Company's projects that are restricted in their use. As of March 31, 2021, these restricted funds were comprised of $114 million designated to fund operating expenses, approximately $45 million designated for current debt service payments, and $93 million restricted for reserves including debt service, performance obligations and other reserves, as well as capital expenditures. The remaining $35 million is held in distribution reserve accounts.</w:t>
      </w:r>
    </w:p>
    <w:p>
      <w:pPr>
        <w:spacing w:after="0" w:line="117"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2020, the members of the partnerships holding the Oahu Solar and Kawailoa Solar projects submitted applications to the state of Hawaii for refundable tax credits based on the cost of construction of the projects. The Company recorded a receivable for these refundable tax credits of $49 million which is reflected in prepayments and other current assets on the Company's consolidated balance sheet as of March 31, 2021 with an offsetting reduction to the construction costs in property, plant and equipment, net. The Company received the cash proceeds from the refundable tax credits on April 7, 2021. In accordance with the projects' related agreements, the cash will be held in a restricted account and utilized to offset future invoiced amounts under the projects PPAs.</w:t>
      </w:r>
    </w:p>
    <w:p>
      <w:pPr>
        <w:spacing w:after="0" w:line="138"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Accumulated Depreciation, Accumulated Amortization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accumulated depreciation included in the property, plant and equipment, net, and accumulated amortization included in intangible assets, net, respectively, as of March 31, 2021 and December 31, 2020:</w:t>
      </w:r>
    </w:p>
    <w:p>
      <w:pPr>
        <w:spacing w:after="0" w:line="157" w:lineRule="exact"/>
        <w:rPr>
          <w:sz w:val="20"/>
          <w:szCs w:val="20"/>
          <w:color w:val="auto"/>
        </w:rPr>
      </w:pPr>
    </w:p>
    <w:tbl>
      <w:tblPr>
        <w:tblLayout w:type="fixed"/>
        <w:tblInd w:w="200" w:type="dxa"/>
        <w:tblCellMar>
          <w:top w:w="0" w:type="dxa"/>
          <w:left w:w="0" w:type="dxa"/>
          <w:bottom w:w="0" w:type="dxa"/>
          <w:right w:w="0" w:type="dxa"/>
        </w:tblCellMar>
      </w:tblPr>
      <w:tr>
        <w:trPr>
          <w:trHeight w:val="213"/>
        </w:trPr>
        <w:tc>
          <w:tcPr>
            <w:tcW w:w="7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297"/>
              <w:spacing w:after="0"/>
              <w:rPr>
                <w:sz w:val="20"/>
                <w:szCs w:val="20"/>
                <w:color w:val="auto"/>
              </w:rPr>
            </w:pPr>
            <w:r>
              <w:rPr>
                <w:rFonts w:ascii="Arial" w:cs="Arial" w:eastAsia="Arial" w:hAnsi="Arial"/>
                <w:sz w:val="16"/>
                <w:szCs w:val="16"/>
                <w:b w:val="1"/>
                <w:bCs w:val="1"/>
                <w:color w:val="auto"/>
              </w:rPr>
              <w:t>March 31, 2021</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53"/>
              <w:spacing w:after="0"/>
              <w:rPr>
                <w:sz w:val="20"/>
                <w:szCs w:val="20"/>
                <w:color w:val="auto"/>
              </w:rPr>
            </w:pPr>
            <w:r>
              <w:rPr>
                <w:rFonts w:ascii="Arial" w:cs="Arial" w:eastAsia="Arial" w:hAnsi="Arial"/>
                <w:sz w:val="16"/>
                <w:szCs w:val="16"/>
                <w:b w:val="1"/>
                <w:bCs w:val="1"/>
                <w:color w:val="auto"/>
                <w:w w:val="94"/>
              </w:rPr>
              <w:t>December 31, 2020</w:t>
            </w:r>
          </w:p>
        </w:tc>
      </w:tr>
      <w:tr>
        <w:trPr>
          <w:trHeight w:val="184"/>
        </w:trPr>
        <w:tc>
          <w:tcPr>
            <w:tcW w:w="7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60" w:type="dxa"/>
            <w:vAlign w:val="bottom"/>
            <w:gridSpan w:val="3"/>
          </w:tcPr>
          <w:p>
            <w:pPr>
              <w:jc w:val="right"/>
              <w:ind w:right="1393"/>
              <w:spacing w:after="0"/>
              <w:rPr>
                <w:sz w:val="20"/>
                <w:szCs w:val="20"/>
                <w:color w:val="auto"/>
              </w:rPr>
            </w:pPr>
            <w:r>
              <w:rPr>
                <w:rFonts w:ascii="Arial" w:cs="Arial" w:eastAsia="Arial" w:hAnsi="Arial"/>
                <w:sz w:val="14"/>
                <w:szCs w:val="14"/>
                <w:b w:val="1"/>
                <w:bCs w:val="1"/>
                <w:color w:val="auto"/>
              </w:rPr>
              <w:t>(In millions)</w:t>
            </w:r>
          </w:p>
        </w:tc>
      </w:tr>
      <w:tr>
        <w:trPr>
          <w:trHeight w:val="231"/>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Accumulated Depreciation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2,447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w:t>
            </w: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Intangible Assets Accumulated Amortization</w:t>
            </w:r>
          </w:p>
        </w:tc>
        <w:tc>
          <w:tcPr>
            <w:tcW w:w="240" w:type="dxa"/>
            <w:vAlign w:val="bottom"/>
          </w:tcPr>
          <w:p>
            <w:pPr>
              <w:spacing w:after="0"/>
              <w:rPr>
                <w:sz w:val="20"/>
                <w:szCs w:val="20"/>
                <w:color w:val="auto"/>
              </w:rPr>
            </w:pPr>
          </w:p>
        </w:tc>
        <w:tc>
          <w:tcPr>
            <w:tcW w:w="1580" w:type="dxa"/>
            <w:vAlign w:val="bottom"/>
          </w:tcPr>
          <w:p>
            <w:pPr>
              <w:jc w:val="right"/>
              <w:ind w:right="17"/>
              <w:spacing w:after="0"/>
              <w:rPr>
                <w:sz w:val="20"/>
                <w:szCs w:val="20"/>
                <w:color w:val="auto"/>
              </w:rPr>
            </w:pPr>
            <w:r>
              <w:rPr>
                <w:rFonts w:ascii="Arial" w:cs="Arial" w:eastAsia="Arial" w:hAnsi="Arial"/>
                <w:sz w:val="18"/>
                <w:szCs w:val="18"/>
                <w:color w:val="auto"/>
              </w:rPr>
              <w:t>519</w:t>
            </w:r>
          </w:p>
        </w:tc>
        <w:tc>
          <w:tcPr>
            <w:tcW w:w="26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487</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lists distributions paid on the Company's Class A, B, C and D units during the three months ended March 31, 2021:</w:t>
      </w:r>
    </w:p>
    <w:p>
      <w:pPr>
        <w:spacing w:after="0" w:line="203"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First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900" w:val="left"/>
          <w:tab w:leader="none" w:pos="10740" w:val="left"/>
        </w:tabs>
        <w:rPr>
          <w:sz w:val="20"/>
          <w:szCs w:val="20"/>
          <w:color w:val="auto"/>
        </w:rPr>
      </w:pPr>
      <w:r>
        <w:rPr>
          <w:rFonts w:ascii="Arial" w:cs="Arial" w:eastAsia="Arial" w:hAnsi="Arial"/>
          <w:sz w:val="18"/>
          <w:szCs w:val="18"/>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0.324</w:t>
      </w:r>
    </w:p>
    <w:p>
      <w:pPr>
        <w:spacing w:after="0" w:line="27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29, 2021 the Company declared a distribution on its Class A, Class B, Class C and Class D units of $0.329 per unit payable on June 15, 2021 to unit holders of record as of June 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The Company applies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or Topic 606, when recognizing revenue associated with its contracts with customers. The Company's policies with respect to its various revenue streams are detailed below. In general, the Company applies the invoicing practical expedient to recognize revenue for the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revenue streams detailed below, except in circumstances where the invoiced amount does not represent the value transferred to the customer.</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Thermal Revenues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2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contracts for steam and chilled water are long-term contracts, the Company has performance obligations under these contracts that have not yet been satisfied. These performance obligations have transaction prices that are both fixed and variable, and that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Power Purchase Agreements, or PPAs</w:t>
      </w:r>
    </w:p>
    <w:p>
      <w:pPr>
        <w:spacing w:after="0" w:line="17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Certain of these leases have no minimum lease payments and all of the rental income under these leases is recorded as contingent rent on an actual basis when the electricity is delivered.</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Renewable Energy Credits, or RECs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7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left="420"/>
        <w:spacing w:after="0"/>
        <w:rPr>
          <w:sz w:val="20"/>
          <w:szCs w:val="20"/>
          <w:color w:val="auto"/>
        </w:rPr>
      </w:pPr>
      <w:r>
        <w:rPr>
          <w:rFonts w:ascii="Arial" w:cs="Arial" w:eastAsia="Arial" w:hAnsi="Arial"/>
          <w:sz w:val="18"/>
          <w:szCs w:val="18"/>
          <w:i w:val="1"/>
          <w:iCs w:val="1"/>
          <w:color w:val="auto"/>
        </w:rPr>
        <w:t>Disaggregated Revenues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represent the Company’s disaggregation of revenue from contracts with customers along with the reportable segment for each category for the three months ended March 31, 2021 and 2020,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8"/>
          </w:tcPr>
          <w:p>
            <w:pPr>
              <w:ind w:left="1080"/>
              <w:spacing w:after="0"/>
              <w:rPr>
                <w:sz w:val="20"/>
                <w:szCs w:val="20"/>
                <w:color w:val="auto"/>
              </w:rPr>
            </w:pPr>
            <w:r>
              <w:rPr>
                <w:rFonts w:ascii="Arial" w:cs="Arial" w:eastAsia="Arial" w:hAnsi="Arial"/>
                <w:sz w:val="14"/>
                <w:szCs w:val="14"/>
                <w:b w:val="1"/>
                <w:bCs w:val="1"/>
                <w:color w:val="auto"/>
              </w:rPr>
              <w:t>Three months ended March 31, 2021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1"/>
                <w:szCs w:val="11"/>
                <w:color w:val="auto"/>
              </w:rPr>
            </w:pPr>
          </w:p>
        </w:tc>
        <w:tc>
          <w:tcPr>
            <w:tcW w:w="126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2"/>
              </w:rPr>
              <w:t>Conventional</w:t>
            </w:r>
          </w:p>
        </w:tc>
        <w:tc>
          <w:tcPr>
            <w:tcW w:w="140" w:type="dxa"/>
            <w:vAlign w:val="bottom"/>
          </w:tcPr>
          <w:p>
            <w:pPr>
              <w:spacing w:after="0"/>
              <w:rPr>
                <w:sz w:val="11"/>
                <w:szCs w:val="11"/>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Renewables</w:t>
            </w:r>
          </w:p>
        </w:tc>
        <w:tc>
          <w:tcPr>
            <w:tcW w:w="180" w:type="dxa"/>
            <w:vAlign w:val="bottom"/>
          </w:tcPr>
          <w:p>
            <w:pPr>
              <w:spacing w:after="0"/>
              <w:rPr>
                <w:sz w:val="11"/>
                <w:szCs w:val="11"/>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Generation</w:t>
            </w: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02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line="230" w:lineRule="exact"/>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Mark-to-market for economic hedges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602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1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Mark-to-market for economic hedges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Less: Lease revenue</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Contract amortization</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020" w:type="dxa"/>
            <w:vAlign w:val="bottom"/>
          </w:tcPr>
          <w:p>
            <w:pPr>
              <w:ind w:left="120"/>
              <w:spacing w:after="0"/>
              <w:rPr>
                <w:sz w:val="20"/>
                <w:szCs w:val="20"/>
                <w:color w:val="auto"/>
              </w:rPr>
            </w:pPr>
            <w:r>
              <w:rPr>
                <w:rFonts w:ascii="Arial" w:cs="Arial" w:eastAsia="Arial" w:hAnsi="Arial"/>
                <w:sz w:val="18"/>
                <w:szCs w:val="18"/>
                <w:color w:val="auto"/>
              </w:rPr>
              <w:t>Total revenue from contracts with customers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0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Conventional</w:t>
            </w:r>
          </w:p>
        </w:tc>
        <w:tc>
          <w:tcPr>
            <w:tcW w:w="260" w:type="dxa"/>
            <w:vAlign w:val="bottom"/>
          </w:tcPr>
          <w:p>
            <w:pPr>
              <w:spacing w:after="0"/>
              <w:rPr>
                <w:sz w:val="14"/>
                <w:szCs w:val="14"/>
                <w:color w:val="auto"/>
              </w:rPr>
            </w:pPr>
          </w:p>
        </w:tc>
        <w:tc>
          <w:tcPr>
            <w:tcW w:w="1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Renewables</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7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0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Generation</w:t>
            </w: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9"/>
        </w:trPr>
        <w:tc>
          <w:tcPr>
            <w:tcW w:w="204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20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Three months ended March 31, 2020</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1"/>
                <w:szCs w:val="11"/>
                <w:color w:val="auto"/>
              </w:rPr>
            </w:pPr>
          </w:p>
        </w:tc>
        <w:tc>
          <w:tcPr>
            <w:tcW w:w="1140" w:type="dxa"/>
            <w:vAlign w:val="bottom"/>
          </w:tcPr>
          <w:p>
            <w:pPr>
              <w:jc w:val="right"/>
              <w:ind w:right="153"/>
              <w:spacing w:after="0" w:line="135" w:lineRule="exact"/>
              <w:rPr>
                <w:sz w:val="20"/>
                <w:szCs w:val="20"/>
                <w:color w:val="auto"/>
              </w:rPr>
            </w:pPr>
            <w:r>
              <w:rPr>
                <w:rFonts w:ascii="Arial" w:cs="Arial" w:eastAsia="Arial" w:hAnsi="Arial"/>
                <w:sz w:val="14"/>
                <w:szCs w:val="14"/>
                <w:b w:val="1"/>
                <w:bCs w:val="1"/>
                <w:color w:val="auto"/>
                <w:w w:val="99"/>
              </w:rPr>
              <w:t>Conventional</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200" w:type="dxa"/>
            <w:vAlign w:val="bottom"/>
          </w:tcPr>
          <w:p>
            <w:pPr>
              <w:spacing w:after="0"/>
              <w:rPr>
                <w:sz w:val="11"/>
                <w:szCs w:val="11"/>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Thermal</w:t>
            </w:r>
          </w:p>
        </w:tc>
        <w:tc>
          <w:tcPr>
            <w:tcW w:w="240" w:type="dxa"/>
            <w:vAlign w:val="bottom"/>
          </w:tcPr>
          <w:p>
            <w:pPr>
              <w:spacing w:after="0"/>
              <w:rPr>
                <w:sz w:val="11"/>
                <w:szCs w:val="11"/>
                <w:color w:val="auto"/>
              </w:rPr>
            </w:pPr>
          </w:p>
        </w:tc>
        <w:tc>
          <w:tcPr>
            <w:tcW w:w="76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233"/>
              <w:spacing w:after="0"/>
              <w:rPr>
                <w:sz w:val="20"/>
                <w:szCs w:val="20"/>
                <w:color w:val="auto"/>
              </w:rPr>
            </w:pPr>
            <w:r>
              <w:rPr>
                <w:rFonts w:ascii="Arial" w:cs="Arial" w:eastAsia="Arial" w:hAnsi="Arial"/>
                <w:sz w:val="14"/>
                <w:szCs w:val="14"/>
                <w:b w:val="1"/>
                <w:bCs w:val="1"/>
                <w:color w:val="auto"/>
              </w:rPr>
              <w:t>Generation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6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Energy revenue</w:t>
            </w:r>
            <w:r>
              <w:rPr>
                <w:rFonts w:ascii="Arial" w:cs="Arial" w:eastAsia="Arial" w:hAnsi="Arial"/>
                <w:sz w:val="23"/>
                <w:szCs w:val="23"/>
                <w:color w:val="auto"/>
                <w:vertAlign w:val="superscript"/>
              </w:rPr>
              <w:t>(a)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30"/>
        </w:trPr>
        <w:tc>
          <w:tcPr>
            <w:tcW w:w="5660" w:type="dxa"/>
            <w:vAlign w:val="bottom"/>
          </w:tcPr>
          <w:p>
            <w:pPr>
              <w:ind w:left="20"/>
              <w:spacing w:after="0" w:line="230" w:lineRule="exact"/>
              <w:rPr>
                <w:sz w:val="20"/>
                <w:szCs w:val="20"/>
                <w:color w:val="auto"/>
              </w:rPr>
            </w:pPr>
            <w:r>
              <w:rPr>
                <w:rFonts w:ascii="Arial" w:cs="Arial" w:eastAsia="Arial" w:hAnsi="Arial"/>
                <w:sz w:val="18"/>
                <w:szCs w:val="18"/>
                <w:color w:val="auto"/>
              </w:rPr>
              <w:t>Capacity revenue</w:t>
            </w:r>
            <w:r>
              <w:rPr>
                <w:rFonts w:ascii="Arial" w:cs="Arial" w:eastAsia="Arial" w:hAnsi="Arial"/>
                <w:sz w:val="23"/>
                <w:szCs w:val="23"/>
                <w:color w:val="auto"/>
                <w:vertAlign w:val="superscript"/>
              </w:rPr>
              <w:t>(a)</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Mark-to-market for economic hedges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revenue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5660" w:type="dxa"/>
            <w:vAlign w:val="bottom"/>
          </w:tcPr>
          <w:p>
            <w:pPr>
              <w:ind w:left="140"/>
              <w:spacing w:after="0"/>
              <w:rPr>
                <w:sz w:val="20"/>
                <w:szCs w:val="20"/>
                <w:color w:val="auto"/>
              </w:rPr>
            </w:pPr>
            <w:r>
              <w:rPr>
                <w:rFonts w:ascii="Arial" w:cs="Arial" w:eastAsia="Arial" w:hAnsi="Arial"/>
                <w:sz w:val="18"/>
                <w:szCs w:val="18"/>
                <w:color w:val="auto"/>
              </w:rPr>
              <w:t>Total operating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revenue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3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Contract amortization</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8"/>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from contracts with customers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240" w:hanging="151"/>
        <w:spacing w:after="0"/>
        <w:tabs>
          <w:tab w:leader="none" w:pos="240"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The following amounts of energy and capacity revenue relate to leases and are accounted for under ASC 842:</w:t>
      </w:r>
    </w:p>
    <w:p>
      <w:pPr>
        <w:spacing w:after="0" w:line="156" w:lineRule="exact"/>
        <w:rPr>
          <w:sz w:val="20"/>
          <w:szCs w:val="20"/>
          <w:color w:val="auto"/>
        </w:rPr>
      </w:pPr>
    </w:p>
    <w:tbl>
      <w:tblPr>
        <w:tblLayout w:type="fixed"/>
        <w:tblInd w:w="1220" w:type="dxa"/>
        <w:tblCellMar>
          <w:top w:w="0" w:type="dxa"/>
          <w:left w:w="0" w:type="dxa"/>
          <w:bottom w:w="0" w:type="dxa"/>
          <w:right w:w="0" w:type="dxa"/>
        </w:tblCellMar>
      </w:tblPr>
      <w:tr>
        <w:trPr>
          <w:trHeight w:val="161"/>
        </w:trPr>
        <w:tc>
          <w:tcPr>
            <w:tcW w:w="1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Conventional</w:t>
            </w:r>
          </w:p>
        </w:tc>
        <w:tc>
          <w:tcPr>
            <w:tcW w:w="200" w:type="dxa"/>
            <w:vAlign w:val="bottom"/>
          </w:tcPr>
          <w:p>
            <w:pPr>
              <w:spacing w:after="0"/>
              <w:rPr>
                <w:sz w:val="14"/>
                <w:szCs w:val="14"/>
                <w:color w:val="auto"/>
              </w:rPr>
            </w:pPr>
          </w:p>
        </w:tc>
        <w:tc>
          <w:tcPr>
            <w:tcW w:w="1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Renewables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Thermal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9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1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Generation</w:t>
            </w:r>
          </w:p>
        </w:tc>
        <w:tc>
          <w:tcPr>
            <w:tcW w:w="20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1800" w:type="dxa"/>
            <w:vAlign w:val="bottom"/>
          </w:tcPr>
          <w:p>
            <w:pPr>
              <w:ind w:left="20"/>
              <w:spacing w:after="0"/>
              <w:rPr>
                <w:sz w:val="20"/>
                <w:szCs w:val="20"/>
                <w:color w:val="auto"/>
              </w:rPr>
            </w:pPr>
            <w:r>
              <w:rPr>
                <w:rFonts w:ascii="Arial" w:cs="Arial" w:eastAsia="Arial" w:hAnsi="Arial"/>
                <w:sz w:val="18"/>
                <w:szCs w:val="18"/>
                <w:color w:val="auto"/>
              </w:rPr>
              <w:t>Capacity revenue</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36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8"/>
        </w:trPr>
        <w:tc>
          <w:tcPr>
            <w:tcW w:w="18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ind w:right="696"/>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Contract Amortization</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6" w:name="page17"/>
    <w:bookmarkEnd w:id="16"/>
    <w:p>
      <w:pPr>
        <w:ind w:left="500"/>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reflects the contract assets and liabilities included on the Company’s balance sheet as of March 31, 2021 and December 31, 2020:</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2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March 31, 2021</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w w:val="91"/>
              </w:rPr>
              <w:t>December 31, 2020</w:t>
            </w:r>
          </w:p>
        </w:tc>
        <w:tc>
          <w:tcPr>
            <w:tcW w:w="380" w:type="dxa"/>
            <w:vAlign w:val="bottom"/>
            <w:tcBorders>
              <w:bottom w:val="single" w:sz="8" w:color="auto"/>
            </w:tcBorders>
          </w:tcPr>
          <w:p>
            <w:pPr>
              <w:spacing w:after="0"/>
              <w:rPr>
                <w:sz w:val="18"/>
                <w:szCs w:val="18"/>
                <w:color w:val="auto"/>
              </w:rPr>
            </w:pPr>
          </w:p>
        </w:tc>
      </w:tr>
      <w:tr>
        <w:trPr>
          <w:trHeight w:val="226"/>
        </w:trPr>
        <w:tc>
          <w:tcPr>
            <w:tcW w:w="7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220" w:type="dxa"/>
            <w:vAlign w:val="bottom"/>
            <w:gridSpan w:val="3"/>
          </w:tcPr>
          <w:p>
            <w:pPr>
              <w:jc w:val="center"/>
              <w:ind w:right="1053"/>
              <w:spacing w:after="0"/>
              <w:rPr>
                <w:sz w:val="20"/>
                <w:szCs w:val="20"/>
                <w:color w:val="auto"/>
              </w:rPr>
            </w:pPr>
            <w:r>
              <w:rPr>
                <w:rFonts w:ascii="Arial" w:cs="Arial" w:eastAsia="Arial" w:hAnsi="Arial"/>
                <w:sz w:val="18"/>
                <w:szCs w:val="18"/>
                <w:b w:val="1"/>
                <w:bCs w:val="1"/>
                <w:color w:val="auto"/>
                <w:w w:val="94"/>
              </w:rPr>
              <w:t>(In millions)</w:t>
            </w:r>
          </w:p>
        </w:tc>
        <w:tc>
          <w:tcPr>
            <w:tcW w:w="380" w:type="dxa"/>
            <w:vAlign w:val="bottom"/>
          </w:tcPr>
          <w:p>
            <w:pPr>
              <w:spacing w:after="0"/>
              <w:rPr>
                <w:sz w:val="19"/>
                <w:szCs w:val="19"/>
                <w:color w:val="auto"/>
              </w:rPr>
            </w:pPr>
          </w:p>
        </w:tc>
      </w:tr>
      <w:tr>
        <w:trPr>
          <w:trHeight w:val="229"/>
        </w:trPr>
        <w:tc>
          <w:tcPr>
            <w:tcW w:w="7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 net - Contracts with customers</w:t>
            </w:r>
          </w:p>
        </w:tc>
        <w:tc>
          <w:tcPr>
            <w:tcW w:w="1520" w:type="dxa"/>
            <w:vAlign w:val="bottom"/>
            <w:shd w:val="clear" w:color="auto" w:fill="CCEEFF"/>
          </w:tcPr>
          <w:p>
            <w:pPr>
              <w:jc w:val="right"/>
              <w:ind w:right="1313"/>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ind w:right="1533"/>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9"/>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receivable, net - Leases</w:t>
            </w:r>
          </w:p>
        </w:tc>
        <w:tc>
          <w:tcPr>
            <w:tcW w:w="15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48"/>
        </w:trPr>
        <w:tc>
          <w:tcPr>
            <w:tcW w:w="7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accounts receivable, net</w:t>
            </w:r>
          </w:p>
        </w:tc>
        <w:tc>
          <w:tcPr>
            <w:tcW w:w="1520" w:type="dxa"/>
            <w:vAlign w:val="bottom"/>
            <w:tcBorders>
              <w:bottom w:val="single" w:sz="8" w:color="auto"/>
            </w:tcBorders>
            <w:shd w:val="clear" w:color="auto" w:fill="CCEEFF"/>
          </w:tcPr>
          <w:p>
            <w:pPr>
              <w:jc w:val="right"/>
              <w:ind w:right="1313"/>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auto"/>
            </w:tcBorders>
            <w:shd w:val="clear" w:color="auto" w:fill="CCEEFF"/>
          </w:tcPr>
          <w:p>
            <w:pPr>
              <w:jc w:val="center"/>
              <w:ind w:right="1533"/>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143</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March 2020, the FASB issued ASU No. 2020-4, Facilitation of the Effects of Reference Rate Reform on Financial Reporting. The amendments provide for optional expedients and exceptions for applying GAAP to contracts, hedging relationships and other transactions affected by reference rate reform if certain criteria is met. These amendments apply only to contracts that reference LIBOR or another reference rate expected to be discontinued because of reference rate reform. The guidance is effective for all entities as of March 12, 2020 through December 31, 2022. The Company intends to apply the amendments to all its eligible contract modifications where applicable during the reference rate reform period.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 </w:t>
      </w:r>
      <w:r>
        <w:rPr>
          <w:rFonts w:ascii="Arial" w:cs="Arial" w:eastAsia="Arial" w:hAnsi="Arial"/>
          <w:sz w:val="18"/>
          <w:szCs w:val="18"/>
          <w:b w:val="1"/>
          <w:bCs w:val="1"/>
          <w:i w:val="1"/>
          <w:iCs w:val="1"/>
          <w:color w:val="auto"/>
        </w:rPr>
        <w:t>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1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b w:val="1"/>
          <w:bCs w:val="1"/>
          <w:i w:val="1"/>
          <w:iCs w:val="1"/>
          <w:color w:val="auto"/>
        </w:rPr>
        <w:t xml:space="preserve">Rattlesnake Drop Down — </w:t>
      </w:r>
      <w:r>
        <w:rPr>
          <w:rFonts w:ascii="Arial" w:cs="Arial" w:eastAsia="Arial" w:hAnsi="Arial"/>
          <w:sz w:val="16"/>
          <w:szCs w:val="16"/>
          <w:color w:val="auto"/>
        </w:rPr>
        <w:t>On January 12, 2021, the Company acquired CEG's equity interest and a third party investor's minority interest in CWSP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Rattlesnake Holding LLC for $132 million. CWSP Rattlesnake Holding LLC indirectly consolidates the Rattlesnake wind project, a 160 MW wind facility with 144 MW of deliverable capacity in Adams County, Washington, as further described in Note 4, </w:t>
      </w:r>
      <w:r>
        <w:rPr>
          <w:rFonts w:ascii="Arial" w:cs="Arial" w:eastAsia="Arial" w:hAnsi="Arial"/>
          <w:sz w:val="16"/>
          <w:szCs w:val="16"/>
          <w:i w:val="1"/>
          <w:iCs w:val="1"/>
          <w:color w:val="auto"/>
        </w:rPr>
        <w:t>Investments Accounted for by the Equity Method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Variable Interest Entities. </w:t>
      </w:r>
      <w:r>
        <w:rPr>
          <w:rFonts w:ascii="Arial" w:cs="Arial" w:eastAsia="Arial" w:hAnsi="Arial"/>
          <w:sz w:val="16"/>
          <w:szCs w:val="16"/>
          <w:color w:val="auto"/>
        </w:rPr>
        <w:t>The project has a 20-year PPA with Avista Corporation, which began when the facility reached commercial operations in</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2020. The Rattlesnake operations are included in the Company's Renewables segment. The acquisition was determined to be an asset acquisition and not a business combination, therefore the Company consolidated the financial information for Rattlesnake on a prospective basis. The membership interests acquired by the Company relate to interests under common control by GIP and were recorded at historical cost. The difference between the cash paid of $132 million and the historical cost of the Company's acquired interests of $14 million was recorded as an adjustment to contributed capital.</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ind w:left="420"/>
        <w:spacing w:after="0"/>
        <w:rPr>
          <w:sz w:val="20"/>
          <w:szCs w:val="20"/>
          <w:color w:val="auto"/>
        </w:rPr>
      </w:pPr>
      <w:r>
        <w:rPr>
          <w:rFonts w:ascii="Arial" w:cs="Arial" w:eastAsia="Arial" w:hAnsi="Arial"/>
          <w:sz w:val="18"/>
          <w:szCs w:val="18"/>
          <w:color w:val="auto"/>
        </w:rPr>
        <w:t>The following is a summary of assets and liabilities transferred in connection with the acquisition as of January 12, 2021:</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8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952"/>
              <w:spacing w:after="0"/>
              <w:rPr>
                <w:sz w:val="20"/>
                <w:szCs w:val="20"/>
                <w:color w:val="auto"/>
              </w:rPr>
            </w:pPr>
            <w:r>
              <w:rPr>
                <w:rFonts w:ascii="Arial" w:cs="Arial" w:eastAsia="Arial" w:hAnsi="Arial"/>
                <w:sz w:val="14"/>
                <w:szCs w:val="14"/>
                <w:b w:val="1"/>
                <w:bCs w:val="1"/>
                <w:color w:val="auto"/>
              </w:rPr>
              <w:t>Rattlesnake</w:t>
            </w:r>
          </w:p>
        </w:tc>
      </w:tr>
      <w:tr>
        <w:trPr>
          <w:trHeight w:val="226"/>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Assets</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Right-of-use asset</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3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assets acquired</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r>
      <w:tr>
        <w:trPr>
          <w:trHeight w:val="250"/>
        </w:trPr>
        <w:tc>
          <w:tcPr>
            <w:tcW w:w="83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40" w:type="dxa"/>
            <w:vAlign w:val="bottom"/>
            <w:shd w:val="clear" w:color="auto" w:fill="CCEEFF"/>
          </w:tcPr>
          <w:p>
            <w:pPr>
              <w:spacing w:after="0"/>
              <w:rPr>
                <w:sz w:val="21"/>
                <w:szCs w:val="21"/>
                <w:color w:val="auto"/>
              </w:rPr>
            </w:pPr>
          </w:p>
        </w:tc>
      </w:tr>
      <w:tr>
        <w:trPr>
          <w:trHeight w:val="229"/>
        </w:trPr>
        <w:tc>
          <w:tcPr>
            <w:tcW w:w="8380" w:type="dxa"/>
            <w:vAlign w:val="bottom"/>
          </w:tcPr>
          <w:p>
            <w:pPr>
              <w:ind w:left="140"/>
              <w:spacing w:after="0" w:line="230" w:lineRule="exact"/>
              <w:rPr>
                <w:sz w:val="20"/>
                <w:szCs w:val="20"/>
                <w:color w:val="auto"/>
              </w:rPr>
            </w:pPr>
            <w:r>
              <w:rPr>
                <w:rFonts w:ascii="Arial" w:cs="Arial" w:eastAsia="Arial" w:hAnsi="Arial"/>
                <w:sz w:val="18"/>
                <w:szCs w:val="18"/>
                <w:color w:val="auto"/>
              </w:rPr>
              <w:t>Debt</w:t>
            </w:r>
            <w:r>
              <w:rPr>
                <w:rFonts w:ascii="Arial" w:cs="Arial" w:eastAsia="Arial" w:hAnsi="Arial"/>
                <w:sz w:val="23"/>
                <w:szCs w:val="23"/>
                <w:color w:val="auto"/>
                <w:vertAlign w:val="superscript"/>
              </w:rPr>
              <w:t>(a)</w:t>
            </w:r>
          </w:p>
        </w:tc>
        <w:tc>
          <w:tcPr>
            <w:tcW w:w="58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lease liabilities</w:t>
            </w:r>
          </w:p>
        </w:tc>
        <w:tc>
          <w:tcPr>
            <w:tcW w:w="58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 and non-current liabilities</w:t>
            </w:r>
          </w:p>
        </w:tc>
        <w:tc>
          <w:tcPr>
            <w:tcW w:w="58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80" w:type="dxa"/>
            <w:vAlign w:val="bottom"/>
            <w:tcBorders>
              <w:bottom w:val="single" w:sz="8" w:color="auto"/>
            </w:tcBorders>
            <w:shd w:val="clear" w:color="auto" w:fill="CCEEFF"/>
          </w:tcPr>
          <w:p>
            <w:pPr>
              <w:spacing w:after="0"/>
              <w:rPr>
                <w:sz w:val="19"/>
                <w:szCs w:val="19"/>
                <w:color w:val="auto"/>
              </w:rPr>
            </w:pP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23"/>
        </w:trPr>
        <w:tc>
          <w:tcPr>
            <w:tcW w:w="838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1"/>
        </w:trPr>
        <w:tc>
          <w:tcPr>
            <w:tcW w:w="8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both"/>
        <w:ind w:firstLine="413"/>
        <w:spacing w:after="0" w:line="257" w:lineRule="auto"/>
        <w:tabs>
          <w:tab w:leader="none" w:pos="625"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Repaid at acquisition date utilizing $107 million contributed by tax equity investor recorded in noncontrolling interest and $103 million contributed by CEG, both recorded as contributed capital. Of the $210 million contributed, $176 million was utilized to pay down the acquired debt, $29 million was utilized to fund project reserve accounts and $5 million was utilized to pay associated fees.</w:t>
      </w:r>
    </w:p>
    <w:p>
      <w:pPr>
        <w:spacing w:after="0" w:line="1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i w:val="1"/>
          <w:iCs w:val="1"/>
          <w:color w:val="auto"/>
        </w:rPr>
        <w:t xml:space="preserve">Agua Caliente Acquisition — </w:t>
      </w:r>
      <w:r>
        <w:rPr>
          <w:rFonts w:ascii="Arial" w:cs="Arial" w:eastAsia="Arial" w:hAnsi="Arial"/>
          <w:sz w:val="18"/>
          <w:szCs w:val="18"/>
          <w:color w:val="auto"/>
        </w:rPr>
        <w:t>On February 3, 2021, the Company acquired Agua Caliente Borrower 1 LLC from NRG Energy, Inc. for $202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Agua Caliente Borrower 1 LLC indirectly owns a 35% equity interest in Agua Caliente,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and consolidates Agua Caliente. The Agua Caliente operations are included in the Company's Renewables segment. The acquisition was determined to be an asset acquisition and the cash consideration of $202 million, net of restricted cash acquired of $91 million, represented a net cash outflow of $111 million, which was allocated to the fair value of the assets and liabilities acquired on the acquisition date. A third party investor holds the remaining 49% equity interest in Agua Caliente, which is reflected in noncontrolling interest, which was valued at historical carrying amount increased for the incremental fair value determined at the acquisition date.</w:t>
      </w:r>
    </w:p>
    <w:p>
      <w:pPr>
        <w:spacing w:after="0" w:line="1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a summary of assets and liabilities acquired in connection with the acquisition as of February 3, 2021:</w:t>
      </w: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millions)</w:t>
            </w:r>
          </w:p>
        </w:tc>
        <w:tc>
          <w:tcPr>
            <w:tcW w:w="5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ind w:right="872"/>
              <w:spacing w:after="0"/>
              <w:rPr>
                <w:sz w:val="20"/>
                <w:szCs w:val="20"/>
                <w:color w:val="auto"/>
              </w:rPr>
            </w:pPr>
            <w:r>
              <w:rPr>
                <w:rFonts w:ascii="Arial" w:cs="Arial" w:eastAsia="Arial" w:hAnsi="Arial"/>
                <w:sz w:val="14"/>
                <w:szCs w:val="14"/>
                <w:b w:val="1"/>
                <w:bCs w:val="1"/>
                <w:color w:val="auto"/>
              </w:rPr>
              <w:t>Agua Caliente</w:t>
            </w:r>
          </w:p>
        </w:tc>
      </w:tr>
      <w:tr>
        <w:trPr>
          <w:trHeight w:val="226"/>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cash</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5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 for power purchase agreement, net</w:t>
            </w:r>
          </w:p>
        </w:tc>
        <w:tc>
          <w:tcPr>
            <w:tcW w:w="5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w:t>
            </w:r>
          </w:p>
        </w:tc>
      </w:tr>
      <w:tr>
        <w:trPr>
          <w:trHeight w:val="230"/>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currents assets</w:t>
            </w: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assets acquired</w:t>
            </w:r>
          </w:p>
        </w:tc>
        <w:tc>
          <w:tcPr>
            <w:tcW w:w="5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50"/>
        </w:trPr>
        <w:tc>
          <w:tcPr>
            <w:tcW w:w="8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520" w:type="dxa"/>
            <w:vAlign w:val="bottom"/>
            <w:shd w:val="clear" w:color="auto" w:fill="CCEEFF"/>
          </w:tcPr>
          <w:p>
            <w:pPr>
              <w:spacing w:after="0"/>
              <w:rPr>
                <w:sz w:val="19"/>
                <w:szCs w:val="19"/>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3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Debt</w:t>
            </w:r>
          </w:p>
        </w:tc>
        <w:tc>
          <w:tcPr>
            <w:tcW w:w="5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r>
      <w:tr>
        <w:trPr>
          <w:trHeight w:val="223"/>
        </w:trPr>
        <w:tc>
          <w:tcPr>
            <w:tcW w:w="83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liabilities assumed</w:t>
            </w:r>
          </w:p>
        </w:tc>
        <w:tc>
          <w:tcPr>
            <w:tcW w:w="5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r>
      <w:tr>
        <w:trPr>
          <w:trHeight w:val="223"/>
        </w:trPr>
        <w:tc>
          <w:tcPr>
            <w:tcW w:w="832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520" w:type="dxa"/>
            <w:vAlign w:val="bottom"/>
          </w:tcPr>
          <w:p>
            <w:pPr>
              <w:spacing w:after="0"/>
              <w:rPr>
                <w:sz w:val="19"/>
                <w:szCs w:val="19"/>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Equity method investment removed</w:t>
            </w:r>
          </w:p>
        </w:tc>
        <w:tc>
          <w:tcPr>
            <w:tcW w:w="520" w:type="dxa"/>
            <w:vAlign w:val="bottom"/>
            <w:tcBorders>
              <w:bottom w:val="single" w:sz="8" w:color="auto"/>
            </w:tcBorders>
            <w:shd w:val="clear" w:color="auto" w:fill="CCEEFF"/>
          </w:tcPr>
          <w:p>
            <w:pPr>
              <w:spacing w:after="0"/>
              <w:rPr>
                <w:sz w:val="19"/>
                <w:szCs w:val="19"/>
                <w:color w:val="auto"/>
              </w:rPr>
            </w:pPr>
          </w:p>
        </w:tc>
        <w:tc>
          <w:tcPr>
            <w:tcW w:w="2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8320" w:type="dxa"/>
            <w:vAlign w:val="bottom"/>
          </w:tcPr>
          <w:p>
            <w:pPr>
              <w:ind w:left="260"/>
              <w:spacing w:after="0"/>
              <w:rPr>
                <w:sz w:val="20"/>
                <w:szCs w:val="20"/>
                <w:color w:val="auto"/>
              </w:rPr>
            </w:pPr>
            <w:r>
              <w:rPr>
                <w:rFonts w:ascii="Arial" w:cs="Arial" w:eastAsia="Arial" w:hAnsi="Arial"/>
                <w:sz w:val="18"/>
                <w:szCs w:val="18"/>
                <w:color w:val="auto"/>
              </w:rPr>
              <w:t>Net assets acquired</w:t>
            </w:r>
          </w:p>
        </w:tc>
        <w:tc>
          <w:tcPr>
            <w:tcW w:w="5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8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Fair value measurement</w:t>
      </w:r>
      <w:r>
        <w:rPr>
          <w:rFonts w:ascii="Arial" w:cs="Arial" w:eastAsia="Arial" w:hAnsi="Arial"/>
          <w:sz w:val="18"/>
          <w:szCs w:val="18"/>
          <w:color w:val="auto"/>
        </w:rPr>
        <w:t>s</w:t>
      </w:r>
    </w:p>
    <w:p>
      <w:pPr>
        <w:spacing w:after="0" w:line="17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fair values of the property, plant and equipment, and intangible assets at the acquisition date were measured primarily based on significant inputs that are not observable in the market and thus represent a Level 3 measurement as defined in ASC 820. Significant inputs were as follows:</w:t>
      </w:r>
    </w:p>
    <w:p>
      <w:pPr>
        <w:spacing w:after="0" w:line="92"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i w:val="1"/>
          <w:iCs w:val="1"/>
          <w:color w:val="auto"/>
        </w:rPr>
        <w:t xml:space="preserve">Property, plant and equipment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estimated fair values were determined primarily based on an income method using discounted cash flows and</w:t>
      </w:r>
      <w:r>
        <w:rPr>
          <w:rFonts w:ascii="Arial" w:cs="Arial" w:eastAsia="Arial" w:hAnsi="Arial"/>
          <w:sz w:val="18"/>
          <w:szCs w:val="18"/>
          <w:i w:val="1"/>
          <w:iCs w:val="1"/>
          <w:color w:val="auto"/>
        </w:rPr>
        <w:t xml:space="preserve"> </w:t>
      </w:r>
      <w:r>
        <w:rPr>
          <w:rFonts w:ascii="Arial" w:cs="Arial" w:eastAsia="Arial" w:hAnsi="Arial"/>
          <w:sz w:val="18"/>
          <w:szCs w:val="18"/>
          <w:color w:val="auto"/>
        </w:rPr>
        <w:t>validated using a cost approach based on the replacement cost of the assets less economic obsolescence. The income approach was applied by determining the enterprise value for each acquired entity and subtracting the fair value of the intangible assets and working capital to determine the implied value of the tangible fixed assets. This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jc w:val="both"/>
        <w:spacing w:after="0" w:line="263" w:lineRule="auto"/>
        <w:rPr>
          <w:sz w:val="20"/>
          <w:szCs w:val="20"/>
          <w:color w:val="auto"/>
        </w:rPr>
      </w:pPr>
      <w:r>
        <w:rPr>
          <w:rFonts w:ascii="Arial" w:cs="Arial" w:eastAsia="Arial" w:hAnsi="Arial"/>
          <w:sz w:val="18"/>
          <w:szCs w:val="18"/>
          <w:color w:val="auto"/>
        </w:rPr>
        <w:t>methodology was primarily relied upon as the forecasted cash flows incorporate the specific attributes of each asset including age, useful life, equipment condition, and technology. The income approach also allows for an accurate reflection of current and expected market dynamics such as supply and demand and the regulatory environment as of the acquisition date.</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Intangible assets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PPA acquired was determined utilizing a variation of the income approach where the incremental future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resulting from the acquired PPA compared to the cash flows based on current market prices were discounted to present value at the weighted average cost of debt of the utility off-taker, as the PPA was determined to be a debt-like instrument for the off-taker. The values were corroborated with available market data. The PPA value will be amortized over a period of 19 years.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 of the long-term debt was determined by discounting future cash flows at current interest rates for similar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equivalent credit quality.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recorded the noncontrolling interest utilizing the cost accumulation model, as the acquisition was an asset</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which maintained the carrying value for the pre-existing equity, with the value increased incrementally based on the value of the Company's newly acquired interest.</w:t>
      </w:r>
    </w:p>
    <w:p>
      <w:pPr>
        <w:spacing w:after="0" w:line="13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b w:val="1"/>
          <w:bCs w:val="1"/>
          <w:i w:val="1"/>
          <w:iCs w:val="1"/>
          <w:color w:val="auto"/>
        </w:rPr>
        <w:t xml:space="preserve">Mt. Storm Wind Acquisition — </w:t>
      </w:r>
      <w:r>
        <w:rPr>
          <w:rFonts w:ascii="Arial" w:cs="Arial" w:eastAsia="Arial" w:hAnsi="Arial"/>
          <w:sz w:val="18"/>
          <w:szCs w:val="18"/>
          <w:color w:val="auto"/>
        </w:rPr>
        <w:t>On April 23, 2021, the Company acquired 100% of the equity interests in NedPower Mount Storm LLC, or Mt.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Storm, from a third party for approximately $96 million, excluding working capital adjustments. Mt. Storm is a 264 MW wind project located in Grant County, West Virginia. Mt. Storm will have a 10-year energy hedge with an investment-grade counterparty.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Dispositions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b w:val="1"/>
          <w:bCs w:val="1"/>
          <w:i w:val="1"/>
          <w:iCs w:val="1"/>
          <w:color w:val="auto"/>
        </w:rPr>
        <w:t xml:space="preserve">Sale of Assets </w:t>
      </w:r>
      <w:r>
        <w:rPr>
          <w:rFonts w:ascii="Arial" w:cs="Arial" w:eastAsia="Arial" w:hAnsi="Arial"/>
          <w:sz w:val="18"/>
          <w:szCs w:val="18"/>
          <w:color w:val="auto"/>
        </w:rPr>
        <w:t>— On March 3, 2020, the Company, through Clearway Thermal LLC, sold 100% of its interests in Energy Center Dover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 Center Smyrna LLC to DB Energy Assets, LLC for cash proceeds of approximately $15 million.</w:t>
      </w:r>
    </w:p>
    <w:p>
      <w:pPr>
        <w:spacing w:after="0" w:line="200" w:lineRule="exact"/>
        <w:rPr>
          <w:sz w:val="20"/>
          <w:szCs w:val="20"/>
          <w:color w:val="auto"/>
        </w:rPr>
      </w:pPr>
    </w:p>
    <w:p>
      <w:pPr>
        <w:spacing w:after="0" w:line="317" w:lineRule="exact"/>
        <w:rPr>
          <w:sz w:val="20"/>
          <w:szCs w:val="20"/>
          <w:color w:val="auto"/>
        </w:rPr>
      </w:pPr>
    </w:p>
    <w:p>
      <w:pPr>
        <w:ind w:right="4620"/>
        <w:spacing w:after="0" w:line="282" w:lineRule="auto"/>
        <w:rPr>
          <w:sz w:val="20"/>
          <w:szCs w:val="20"/>
          <w:color w:val="auto"/>
        </w:rPr>
      </w:pPr>
      <w:r>
        <w:rPr>
          <w:rFonts w:ascii="Arial" w:cs="Arial" w:eastAsia="Arial" w:hAnsi="Arial"/>
          <w:sz w:val="18"/>
          <w:szCs w:val="18"/>
          <w:b w:val="1"/>
          <w:bCs w:val="1"/>
          <w:color w:val="auto"/>
        </w:rPr>
        <w:t xml:space="preserve">Note 4 — </w:t>
      </w:r>
      <w:r>
        <w:rPr>
          <w:rFonts w:ascii="Arial" w:cs="Arial" w:eastAsia="Arial" w:hAnsi="Arial"/>
          <w:sz w:val="18"/>
          <w:szCs w:val="18"/>
          <w:b w:val="1"/>
          <w:bCs w:val="1"/>
          <w:i w:val="1"/>
          <w:iCs w:val="1"/>
          <w:color w:val="auto"/>
        </w:rPr>
        <w:t>Investments Accounted for by the Equity Method and Variable Interest Entities</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Entities that are Consolidated</w:t>
      </w:r>
    </w:p>
    <w:p>
      <w:pPr>
        <w:spacing w:after="0" w:line="11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The Company has a controlling financial interest in certain entities which have been identified as VIEs under ASC 810, </w:t>
      </w:r>
      <w:r>
        <w:rPr>
          <w:rFonts w:ascii="Arial" w:cs="Arial" w:eastAsia="Arial" w:hAnsi="Arial"/>
          <w:sz w:val="18"/>
          <w:szCs w:val="18"/>
          <w:i w:val="1"/>
          <w:iCs w:val="1"/>
          <w:color w:val="auto"/>
        </w:rPr>
        <w:t>Consolidation</w:t>
      </w:r>
      <w:r>
        <w:rPr>
          <w:rFonts w:ascii="Arial" w:cs="Arial" w:eastAsia="Arial" w:hAnsi="Arial"/>
          <w:sz w:val="18"/>
          <w:szCs w:val="18"/>
          <w:color w:val="auto"/>
        </w:rPr>
        <w:t xml:space="preserve">. These arrangements are primarily related to tax equity arrangements entered into with third parties in order to monetize certain tax attributes associated with wind and solar facilities, as further described under Item 15 — Note 5, </w:t>
      </w:r>
      <w:r>
        <w:rPr>
          <w:rFonts w:ascii="Arial" w:cs="Arial" w:eastAsia="Arial" w:hAnsi="Arial"/>
          <w:sz w:val="18"/>
          <w:szCs w:val="18"/>
          <w:i w:val="1"/>
          <w:iCs w:val="1"/>
          <w:color w:val="auto"/>
        </w:rPr>
        <w:t>Investments Accounted for by the Equity Method and Variable Interest Entities,</w:t>
      </w:r>
      <w:r>
        <w:rPr>
          <w:rFonts w:ascii="Arial" w:cs="Arial" w:eastAsia="Arial" w:hAnsi="Arial"/>
          <w:sz w:val="18"/>
          <w:szCs w:val="18"/>
          <w:color w:val="auto"/>
        </w:rPr>
        <w:t xml:space="preserve"> </w:t>
      </w:r>
      <w:r>
        <w:rPr>
          <w:rFonts w:ascii="Arial" w:cs="Arial" w:eastAsia="Arial" w:hAnsi="Arial"/>
          <w:sz w:val="18"/>
          <w:szCs w:val="18"/>
          <w:color w:val="231F20"/>
        </w:rPr>
        <w:t>to the</w:t>
      </w:r>
      <w:r>
        <w:rPr>
          <w:rFonts w:ascii="Arial" w:cs="Arial" w:eastAsia="Arial" w:hAnsi="Arial"/>
          <w:sz w:val="18"/>
          <w:szCs w:val="18"/>
          <w:color w:val="auto"/>
        </w:rPr>
        <w:t xml:space="preserve"> </w:t>
      </w:r>
      <w:r>
        <w:rPr>
          <w:rFonts w:ascii="Arial" w:cs="Arial" w:eastAsia="Arial" w:hAnsi="Arial"/>
          <w:sz w:val="18"/>
          <w:szCs w:val="18"/>
          <w:color w:val="231F20"/>
        </w:rPr>
        <w:t xml:space="preserve">consolidated financial statements included in the Company's </w:t>
      </w:r>
      <w:r>
        <w:rPr>
          <w:rFonts w:ascii="Arial" w:cs="Arial" w:eastAsia="Arial" w:hAnsi="Arial"/>
          <w:sz w:val="18"/>
          <w:szCs w:val="18"/>
          <w:color w:val="000000"/>
        </w:rPr>
        <w:t>2020</w:t>
      </w:r>
      <w:r>
        <w:rPr>
          <w:rFonts w:ascii="Arial" w:cs="Arial" w:eastAsia="Arial" w:hAnsi="Arial"/>
          <w:sz w:val="18"/>
          <w:szCs w:val="18"/>
          <w:color w:val="231F20"/>
        </w:rPr>
        <w:t xml:space="preserve"> Form 10</w:t>
      </w:r>
      <w:r>
        <w:rPr>
          <w:rFonts w:ascii="Arial" w:cs="Arial" w:eastAsia="Arial" w:hAnsi="Arial"/>
          <w:sz w:val="18"/>
          <w:szCs w:val="18"/>
          <w:color w:val="000000"/>
        </w:rPr>
        <w:t>-K.</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9" w:name="page20"/>
    <w:bookmarkEnd w:id="19"/>
    <w:p>
      <w:pPr>
        <w:ind w:left="420"/>
        <w:spacing w:after="0"/>
        <w:rPr>
          <w:sz w:val="20"/>
          <w:szCs w:val="20"/>
          <w:color w:val="auto"/>
        </w:rPr>
      </w:pPr>
      <w:r>
        <w:rPr>
          <w:rFonts w:ascii="Arial" w:cs="Arial" w:eastAsia="Arial" w:hAnsi="Arial"/>
          <w:sz w:val="18"/>
          <w:szCs w:val="18"/>
          <w:color w:val="auto"/>
        </w:rPr>
        <w:t>Summarized financial information for the Company's consolidated VIEs consisted of the following as of March 31, 2021: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3"/>
                <w:szCs w:val="13"/>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Alta TE Holdco</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Buckthorn</w:t>
            </w:r>
          </w:p>
        </w:tc>
        <w:tc>
          <w:tcPr>
            <w:tcW w:w="180" w:type="dxa"/>
            <w:vAlign w:val="bottom"/>
          </w:tcPr>
          <w:p>
            <w:pPr>
              <w:spacing w:after="0"/>
              <w:rPr>
                <w:sz w:val="13"/>
                <w:szCs w:val="13"/>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DGPV Funds</w:t>
            </w:r>
            <w:r>
              <w:rPr>
                <w:rFonts w:ascii="Arial" w:cs="Arial" w:eastAsia="Arial" w:hAnsi="Arial"/>
                <w:sz w:val="16"/>
                <w:szCs w:val="16"/>
                <w:b w:val="1"/>
                <w:bCs w:val="1"/>
                <w:color w:val="auto"/>
                <w:vertAlign w:val="superscript"/>
              </w:rPr>
              <w:t>(a)</w:t>
            </w:r>
          </w:p>
        </w:tc>
        <w:tc>
          <w:tcPr>
            <w:tcW w:w="13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w w:val="98"/>
              </w:rPr>
              <w:t>Kawailoa Partnership</w:t>
            </w: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Langford TE</w:t>
            </w:r>
          </w:p>
        </w:tc>
        <w:tc>
          <w:tcPr>
            <w:tcW w:w="1300" w:type="dxa"/>
            <w:vAlign w:val="bottom"/>
            <w:gridSpan w:val="2"/>
          </w:tcPr>
          <w:p>
            <w:pPr>
              <w:ind w:left="40"/>
              <w:spacing w:after="0"/>
              <w:rPr>
                <w:sz w:val="20"/>
                <w:szCs w:val="20"/>
                <w:color w:val="auto"/>
              </w:rPr>
            </w:pPr>
            <w:r>
              <w:rPr>
                <w:rFonts w:ascii="Arial" w:cs="Arial" w:eastAsia="Arial" w:hAnsi="Arial"/>
                <w:sz w:val="13"/>
                <w:szCs w:val="13"/>
                <w:b w:val="1"/>
                <w:bCs w:val="1"/>
                <w:color w:val="auto"/>
                <w:w w:val="87"/>
              </w:rPr>
              <w:t>Lighthouse Renewable</w:t>
            </w:r>
          </w:p>
        </w:tc>
        <w:tc>
          <w:tcPr>
            <w:tcW w:w="0" w:type="dxa"/>
            <w:vAlign w:val="bottom"/>
          </w:tcPr>
          <w:p>
            <w:pPr>
              <w:spacing w:after="0"/>
              <w:rPr>
                <w:sz w:val="1"/>
                <w:szCs w:val="1"/>
                <w:color w:val="auto"/>
              </w:rPr>
            </w:pPr>
          </w:p>
        </w:tc>
      </w:tr>
      <w:tr>
        <w:trPr>
          <w:trHeight w:val="175"/>
        </w:trPr>
        <w:tc>
          <w:tcPr>
            <w:tcW w:w="30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Renewables, LLC</w:t>
            </w:r>
          </w:p>
        </w:tc>
        <w:tc>
          <w:tcPr>
            <w:tcW w:w="1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Partnership LLC</w:t>
            </w:r>
          </w:p>
        </w:tc>
        <w:tc>
          <w:tcPr>
            <w:tcW w:w="220" w:type="dxa"/>
            <w:vAlign w:val="bottom"/>
          </w:tcPr>
          <w:p>
            <w:pPr>
              <w:spacing w:after="0"/>
              <w:rPr>
                <w:sz w:val="15"/>
                <w:szCs w:val="15"/>
                <w:color w:val="auto"/>
              </w:rPr>
            </w:pPr>
          </w:p>
        </w:tc>
        <w:tc>
          <w:tcPr>
            <w:tcW w:w="1080" w:type="dxa"/>
            <w:vAlign w:val="bottom"/>
          </w:tcPr>
          <w:p>
            <w:pPr>
              <w:jc w:val="right"/>
              <w:ind w:right="233"/>
              <w:spacing w:after="0"/>
              <w:rPr>
                <w:sz w:val="20"/>
                <w:szCs w:val="20"/>
                <w:color w:val="auto"/>
              </w:rPr>
            </w:pPr>
            <w:r>
              <w:rPr>
                <w:rFonts w:ascii="Arial" w:cs="Arial" w:eastAsia="Arial" w:hAnsi="Arial"/>
                <w:sz w:val="13"/>
                <w:szCs w:val="13"/>
                <w:b w:val="1"/>
                <w:bCs w:val="1"/>
                <w:color w:val="auto"/>
              </w:rPr>
              <w:t>Holdco LLC</w:t>
            </w: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3"/>
        </w:trPr>
        <w:tc>
          <w:tcPr>
            <w:tcW w:w="308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3080" w:type="dxa"/>
            <w:vAlign w:val="bottom"/>
          </w:tcPr>
          <w:p>
            <w:pPr>
              <w:ind w:left="140"/>
              <w:spacing w:after="0"/>
              <w:rPr>
                <w:sz w:val="20"/>
                <w:szCs w:val="20"/>
                <w:color w:val="auto"/>
              </w:rPr>
            </w:pPr>
            <w:r>
              <w:rPr>
                <w:rFonts w:ascii="Arial" w:cs="Arial" w:eastAsia="Arial" w:hAnsi="Arial"/>
                <w:sz w:val="18"/>
                <w:szCs w:val="18"/>
                <w:color w:val="auto"/>
                <w:w w:val="93"/>
              </w:rPr>
              <w:t>Net assets less noncontrolling interests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3798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right="220" w:firstLine="8"/>
        <w:spacing w:after="0" w:line="226" w:lineRule="auto"/>
        <w:tabs>
          <w:tab w:leader="none" w:pos="174" w:val="left"/>
        </w:tabs>
        <w:numPr>
          <w:ilvl w:val="0"/>
          <w:numId w:val="6"/>
        </w:numPr>
        <w:rPr>
          <w:rFonts w:ascii="Arial" w:cs="Arial" w:eastAsia="Arial" w:hAnsi="Arial"/>
          <w:sz w:val="20"/>
          <w:szCs w:val="20"/>
          <w:color w:val="auto"/>
          <w:vertAlign w:val="superscript"/>
        </w:rPr>
      </w:pPr>
      <w:r>
        <w:rPr>
          <w:rFonts w:ascii="Arial" w:cs="Arial" w:eastAsia="Arial" w:hAnsi="Arial"/>
          <w:sz w:val="13"/>
          <w:szCs w:val="13"/>
          <w:color w:val="auto"/>
        </w:rPr>
        <w:t>DGPV Funds is comprised of DGPV Fund 2 LLC, Clearway &amp; EFS Distributed Solar LLC, DGPV Fund 4 LLC, Golden Puma Fund LLC, Renew Solar CS4 Fund LLC and Chestnut Fund LLC.</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3"/>
                <w:szCs w:val="13"/>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Oahu</w:t>
            </w:r>
          </w:p>
        </w:tc>
        <w:tc>
          <w:tcPr>
            <w:tcW w:w="13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Pinnacle Repowering</w:t>
            </w:r>
          </w:p>
        </w:tc>
        <w:tc>
          <w:tcPr>
            <w:tcW w:w="160" w:type="dxa"/>
            <w:vAlign w:val="bottom"/>
          </w:tcPr>
          <w:p>
            <w:pPr>
              <w:spacing w:after="0"/>
              <w:rPr>
                <w:sz w:val="13"/>
                <w:szCs w:val="1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Rattlesnake TE</w:t>
            </w:r>
          </w:p>
        </w:tc>
        <w:tc>
          <w:tcPr>
            <w:tcW w:w="13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Rosie TargetCo LLC</w:t>
            </w:r>
          </w:p>
        </w:tc>
        <w:tc>
          <w:tcPr>
            <w:tcW w:w="220" w:type="dxa"/>
            <w:vAlign w:val="bottom"/>
          </w:tcPr>
          <w:p>
            <w:pPr>
              <w:spacing w:after="0"/>
              <w:rPr>
                <w:sz w:val="13"/>
                <w:szCs w:val="13"/>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Wildorado</w:t>
            </w:r>
          </w:p>
        </w:tc>
        <w:tc>
          <w:tcPr>
            <w:tcW w:w="260" w:type="dxa"/>
            <w:vAlign w:val="bottom"/>
          </w:tcPr>
          <w:p>
            <w:pPr>
              <w:spacing w:after="0"/>
              <w:rPr>
                <w:sz w:val="13"/>
                <w:szCs w:val="13"/>
                <w:color w:val="auto"/>
              </w:rPr>
            </w:pPr>
          </w:p>
        </w:tc>
        <w:tc>
          <w:tcPr>
            <w:tcW w:w="1020" w:type="dxa"/>
            <w:vAlign w:val="bottom"/>
            <w:vMerge w:val="restart"/>
          </w:tcPr>
          <w:p>
            <w:pPr>
              <w:jc w:val="right"/>
              <w:ind w:right="333"/>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6"/>
                <w:szCs w:val="16"/>
                <w:b w:val="1"/>
                <w:bCs w:val="1"/>
                <w:color w:val="auto"/>
                <w:vertAlign w:val="superscript"/>
              </w:rPr>
              <w:t>(a)</w:t>
            </w:r>
          </w:p>
        </w:tc>
        <w:tc>
          <w:tcPr>
            <w:tcW w:w="0" w:type="dxa"/>
            <w:vAlign w:val="bottom"/>
          </w:tcPr>
          <w:p>
            <w:pPr>
              <w:spacing w:after="0"/>
              <w:rPr>
                <w:sz w:val="1"/>
                <w:szCs w:val="1"/>
                <w:color w:val="auto"/>
              </w:rPr>
            </w:pPr>
          </w:p>
        </w:tc>
      </w:tr>
      <w:tr>
        <w:trPr>
          <w:trHeight w:val="176"/>
        </w:trPr>
        <w:tc>
          <w:tcPr>
            <w:tcW w:w="30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Solar Partnership</w:t>
            </w:r>
          </w:p>
        </w:tc>
        <w:tc>
          <w:tcPr>
            <w:tcW w:w="140" w:type="dxa"/>
            <w:vAlign w:val="bottom"/>
          </w:tcPr>
          <w:p>
            <w:pPr>
              <w:spacing w:after="0"/>
              <w:rPr>
                <w:sz w:val="15"/>
                <w:szCs w:val="15"/>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Partnership LLC</w:t>
            </w:r>
          </w:p>
        </w:tc>
        <w:tc>
          <w:tcPr>
            <w:tcW w:w="16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Holdco LLC</w:t>
            </w:r>
          </w:p>
        </w:tc>
        <w:tc>
          <w:tcPr>
            <w:tcW w:w="1380" w:type="dxa"/>
            <w:vAlign w:val="bottom"/>
            <w:gridSpan w:val="3"/>
            <w:vMerge w:val="continue"/>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20"/>
              <w:spacing w:after="0"/>
              <w:rPr>
                <w:sz w:val="20"/>
                <w:szCs w:val="20"/>
                <w:color w:val="auto"/>
              </w:rPr>
            </w:pPr>
            <w:r>
              <w:rPr>
                <w:rFonts w:ascii="Arial" w:cs="Arial" w:eastAsia="Arial" w:hAnsi="Arial"/>
                <w:sz w:val="13"/>
                <w:szCs w:val="13"/>
                <w:b w:val="1"/>
                <w:bCs w:val="1"/>
                <w:color w:val="auto"/>
              </w:rPr>
              <w:t>TE Holdco</w:t>
            </w:r>
          </w:p>
        </w:tc>
        <w:tc>
          <w:tcPr>
            <w:tcW w:w="26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300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9"/>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and non-current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3"/>
        </w:trPr>
        <w:tc>
          <w:tcPr>
            <w:tcW w:w="300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75"/>
        </w:trPr>
        <w:tc>
          <w:tcPr>
            <w:tcW w:w="3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Noncontrolling</w:t>
            </w:r>
          </w:p>
        </w:tc>
        <w:tc>
          <w:tcPr>
            <w:tcW w:w="14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Pr>
          <w:p>
            <w:pPr>
              <w:ind w:left="140"/>
              <w:spacing w:after="0"/>
              <w:rPr>
                <w:sz w:val="20"/>
                <w:szCs w:val="20"/>
                <w:color w:val="auto"/>
              </w:rPr>
            </w:pPr>
            <w:r>
              <w:rPr>
                <w:rFonts w:ascii="Arial" w:cs="Arial" w:eastAsia="Arial" w:hAnsi="Arial"/>
                <w:sz w:val="18"/>
                <w:szCs w:val="18"/>
                <w:color w:val="auto"/>
                <w:w w:val="90"/>
              </w:rPr>
              <w:t>Net assets less noncontrolling interests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left="180" w:hanging="172"/>
        <w:spacing w:after="0"/>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3"/>
          <w:szCs w:val="13"/>
          <w:color w:val="auto"/>
        </w:rPr>
        <w:t>Other is comprised of Crosswinds, Hardin, Elbow Creek Holdco and Spring Canyon projects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ind w:left="420"/>
        <w:spacing w:after="0"/>
        <w:rPr>
          <w:sz w:val="20"/>
          <w:szCs w:val="20"/>
          <w:color w:val="auto"/>
        </w:rPr>
      </w:pPr>
      <w:r>
        <w:rPr>
          <w:rFonts w:ascii="Arial" w:cs="Arial" w:eastAsia="Arial" w:hAnsi="Arial"/>
          <w:sz w:val="18"/>
          <w:szCs w:val="18"/>
          <w:color w:val="auto"/>
        </w:rPr>
        <w:t>The discussion below describes material changes to VIEs during the three months ended March 31, 2021.</w:t>
      </w:r>
    </w:p>
    <w:p>
      <w:pPr>
        <w:spacing w:after="0" w:line="158" w:lineRule="exact"/>
        <w:rPr>
          <w:sz w:val="20"/>
          <w:szCs w:val="20"/>
          <w:color w:val="auto"/>
        </w:rPr>
      </w:pPr>
    </w:p>
    <w:p>
      <w:pPr>
        <w:jc w:val="both"/>
        <w:ind w:firstLine="324"/>
        <w:spacing w:after="0" w:line="225" w:lineRule="auto"/>
        <w:rPr>
          <w:sz w:val="20"/>
          <w:szCs w:val="20"/>
          <w:color w:val="auto"/>
        </w:rPr>
      </w:pPr>
      <w:r>
        <w:rPr>
          <w:rFonts w:ascii="Arial" w:cs="Arial" w:eastAsia="Arial" w:hAnsi="Arial"/>
          <w:sz w:val="17"/>
          <w:szCs w:val="17"/>
          <w:b w:val="1"/>
          <w:bCs w:val="1"/>
          <w:i w:val="1"/>
          <w:iCs w:val="1"/>
          <w:color w:val="auto"/>
        </w:rPr>
        <w:t xml:space="preserve">Rattlesnake TE Holdco LLC — </w:t>
      </w:r>
      <w:r>
        <w:rPr>
          <w:rFonts w:ascii="Arial" w:cs="Arial" w:eastAsia="Arial" w:hAnsi="Arial"/>
          <w:sz w:val="17"/>
          <w:szCs w:val="17"/>
          <w:color w:val="auto"/>
        </w:rPr>
        <w:t>As described in Note 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Acquisitions and Dispositions</w:t>
      </w:r>
      <w:r>
        <w:rPr>
          <w:rFonts w:ascii="Arial" w:cs="Arial" w:eastAsia="Arial" w:hAnsi="Arial"/>
          <w:sz w:val="17"/>
          <w:szCs w:val="17"/>
          <w:color w:val="auto"/>
        </w:rPr>
        <w:t>, on January 12, 2021, the Company acquired CEG's equity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 and a third party investor's minority interest in CWSP Rattlesnake Holding LLC for $132 million. CWSP Rattlesnake Holding LLC owns Rattlesnake Class B LLC, which owns the Class B membership interests in Rattlesnake TE Holdco LLC, which is a VIE. Rattlesnake Class B LLC is the primary beneficiary and managing member and consolidates its interest in Rattlesnake TE Holdco LLC, which owns the Rattlesnake wind project. Subsequent to the acquisition, on January 12, 2021 the third party tax equity investor contributed $107 million into Rattlesnake TE Holdco LLC in exchange for the Class A membership interests. The proceeds from the tax equity contribution along with cash contributed by CEG were used to repay $176 million of the outstanding principal under the Rattlesnake Class B LLC credit facility.</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utilizes the HLBV method to determine the net income or loss allocated to tax equity noncontrolling interest.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b w:val="1"/>
          <w:bCs w:val="1"/>
          <w:i w:val="1"/>
          <w:iCs w:val="1"/>
          <w:color w:val="auto"/>
        </w:rPr>
        <w:t>Pinnacle Repowering Partnership LL</w:t>
      </w:r>
      <w:r>
        <w:rPr>
          <w:rFonts w:ascii="Arial" w:cs="Arial" w:eastAsia="Arial" w:hAnsi="Arial"/>
          <w:sz w:val="16"/>
          <w:szCs w:val="16"/>
          <w:color w:val="auto"/>
        </w:rPr>
        <w:t>C</w:t>
      </w:r>
      <w:r>
        <w:rPr>
          <w:rFonts w:ascii="Arial" w:cs="Arial" w:eastAsia="Arial" w:hAnsi="Arial"/>
          <w:sz w:val="16"/>
          <w:szCs w:val="16"/>
          <w:b w:val="1"/>
          <w:bCs w:val="1"/>
          <w:i w:val="1"/>
          <w:iCs w:val="1"/>
          <w:color w:val="auto"/>
        </w:rPr>
        <w:t xml:space="preserve"> — </w:t>
      </w:r>
      <w:r>
        <w:rPr>
          <w:rFonts w:ascii="Arial" w:cs="Arial" w:eastAsia="Arial" w:hAnsi="Arial"/>
          <w:sz w:val="16"/>
          <w:szCs w:val="16"/>
          <w:color w:val="auto"/>
        </w:rPr>
        <w:t>On February 26, 2021, the Company entered into an amended agreement with CWSP Pinnacle Holding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LLC, an indirect subsidiary of CEG, with respect to Pinnacle Repowering Partnership LLC in order to facilitate the repowering of the Pinnacle wind project, a 55 net MW wind facility located in Mineral County, West Virginia. On March 10, 2021, the Company contributed its interest in the Pinnacle wind project to Pinnacle Repowering Partnership LLC concurrent with entering into a financing agreement as further described in Note 7, </w:t>
      </w:r>
      <w:r>
        <w:rPr>
          <w:rFonts w:ascii="Arial" w:cs="Arial" w:eastAsia="Arial" w:hAnsi="Arial"/>
          <w:sz w:val="16"/>
          <w:szCs w:val="16"/>
          <w:i w:val="1"/>
          <w:iCs w:val="1"/>
          <w:color w:val="auto"/>
        </w:rPr>
        <w:t>Long-term Debt</w:t>
      </w:r>
      <w:r>
        <w:rPr>
          <w:rFonts w:ascii="Arial" w:cs="Arial" w:eastAsia="Arial" w:hAnsi="Arial"/>
          <w:sz w:val="16"/>
          <w:szCs w:val="16"/>
          <w:color w:val="auto"/>
        </w:rPr>
        <w:t>. The Company owns 100% of the Class A membership interests in Pinnacle Repowering Partnership LLC, which is a VIE, and the Company consolidates its interest as the primary beneficiary and managing member. CWSP Pinnacle Holding LLC owns 100% of the Class B membership interests in Pinnacle Repowering Partnership LLC and is entitled to allocations of 15% of the cash distributions from the partnership. On March 10, 2021, CWSP Pinnacle Holding LLC contributed $27 million in equipment to the partnership, which was a transfer of assets under common control and recorded at historical cost in property, plant and equipment, with a corresponding non-cash contribution in Pinnacle Repowering Partnership LLC's noncontrolling interests.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Entities that are not Consolidated</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under Item 15 — Note 5, </w:t>
      </w:r>
      <w:r>
        <w:rPr>
          <w:rFonts w:ascii="Arial" w:cs="Arial" w:eastAsia="Arial" w:hAnsi="Arial"/>
          <w:sz w:val="16"/>
          <w:szCs w:val="16"/>
          <w:i w:val="1"/>
          <w:iCs w:val="1"/>
          <w:color w:val="auto"/>
        </w:rPr>
        <w:t>Investments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Accounted for by the Equity Method and Variable Interest Entities, </w:t>
      </w:r>
      <w:r>
        <w:rPr>
          <w:rFonts w:ascii="Arial" w:cs="Arial" w:eastAsia="Arial" w:hAnsi="Arial"/>
          <w:sz w:val="16"/>
          <w:szCs w:val="16"/>
          <w:color w:val="221F1F"/>
        </w:rPr>
        <w:t>to the consolidated financial statements included in the Company's</w:t>
      </w:r>
      <w:r>
        <w:rPr>
          <w:rFonts w:ascii="Arial" w:cs="Arial" w:eastAsia="Arial" w:hAnsi="Arial"/>
          <w:sz w:val="16"/>
          <w:szCs w:val="16"/>
          <w:i w:val="1"/>
          <w:iCs w:val="1"/>
          <w:color w:val="auto"/>
        </w:rPr>
        <w:t xml:space="preserve"> </w:t>
      </w:r>
      <w:r>
        <w:rPr>
          <w:rFonts w:ascii="Arial" w:cs="Arial" w:eastAsia="Arial" w:hAnsi="Arial"/>
          <w:sz w:val="16"/>
          <w:szCs w:val="16"/>
          <w:color w:val="auto"/>
        </w:rPr>
        <w:t>2020</w:t>
      </w:r>
      <w:r>
        <w:rPr>
          <w:rFonts w:ascii="Arial" w:cs="Arial" w:eastAsia="Arial" w:hAnsi="Arial"/>
          <w:sz w:val="16"/>
          <w:szCs w:val="16"/>
          <w:i w:val="1"/>
          <w:iCs w:val="1"/>
          <w:color w:val="auto"/>
        </w:rPr>
        <w:t xml:space="preserve"> </w:t>
      </w:r>
      <w:r>
        <w:rPr>
          <w:rFonts w:ascii="Arial" w:cs="Arial" w:eastAsia="Arial" w:hAnsi="Arial"/>
          <w:sz w:val="16"/>
          <w:szCs w:val="16"/>
          <w:color w:val="221F1F"/>
        </w:rPr>
        <w:t>Form 10-K</w:t>
      </w:r>
      <w:r>
        <w:rPr>
          <w:rFonts w:ascii="Arial" w:cs="Arial" w:eastAsia="Arial" w:hAnsi="Arial"/>
          <w:sz w:val="16"/>
          <w:szCs w:val="16"/>
          <w:color w:val="auto"/>
        </w:rPr>
        <w:t>.</w:t>
      </w:r>
    </w:p>
    <w:p>
      <w:pPr>
        <w:spacing w:after="0" w:line="9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maximum exposure to loss as of March 31, 2021 is limited to its equity investment in the unconsolidated entities, as further summarized in the table below:</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4320" w:type="dxa"/>
            <w:vAlign w:val="bottom"/>
          </w:tcPr>
          <w:p>
            <w:pPr>
              <w:jc w:val="center"/>
              <w:ind w:left="2475"/>
              <w:spacing w:after="0"/>
              <w:rPr>
                <w:sz w:val="20"/>
                <w:szCs w:val="20"/>
                <w:color w:val="auto"/>
              </w:rPr>
            </w:pPr>
            <w:r>
              <w:rPr>
                <w:rFonts w:ascii="Arial" w:cs="Arial" w:eastAsia="Arial" w:hAnsi="Arial"/>
                <w:sz w:val="14"/>
                <w:szCs w:val="14"/>
                <w:b w:val="1"/>
                <w:bCs w:val="1"/>
                <w:color w:val="auto"/>
                <w:w w:val="89"/>
              </w:rPr>
              <w:t>Economic</w:t>
            </w:r>
          </w:p>
        </w:tc>
        <w:tc>
          <w:tcPr>
            <w:tcW w:w="260" w:type="dxa"/>
            <w:vAlign w:val="bottom"/>
          </w:tcPr>
          <w:p>
            <w:pPr>
              <w:spacing w:after="0"/>
              <w:rPr>
                <w:sz w:val="14"/>
                <w:szCs w:val="14"/>
                <w:color w:val="auto"/>
              </w:rPr>
            </w:pPr>
          </w:p>
        </w:tc>
        <w:tc>
          <w:tcPr>
            <w:tcW w:w="172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Investment Balance</w:t>
            </w:r>
          </w:p>
        </w:tc>
        <w:tc>
          <w:tcPr>
            <w:tcW w:w="0" w:type="dxa"/>
            <w:vAlign w:val="bottom"/>
          </w:tcPr>
          <w:p>
            <w:pPr>
              <w:spacing w:after="0"/>
              <w:rPr>
                <w:sz w:val="1"/>
                <w:szCs w:val="1"/>
                <w:color w:val="auto"/>
              </w:rPr>
            </w:pPr>
          </w:p>
        </w:tc>
      </w:tr>
      <w:tr>
        <w:trPr>
          <w:trHeight w:val="188"/>
        </w:trPr>
        <w:tc>
          <w:tcPr>
            <w:tcW w:w="4740" w:type="dxa"/>
            <w:vAlign w:val="bottom"/>
            <w:tcBorders>
              <w:bottom w:val="single" w:sz="8" w:color="auto"/>
            </w:tcBorders>
            <w:vMerge w:val="continue"/>
          </w:tcPr>
          <w:p>
            <w:pPr>
              <w:spacing w:after="0"/>
              <w:rPr>
                <w:sz w:val="16"/>
                <w:szCs w:val="16"/>
                <w:color w:val="auto"/>
              </w:rPr>
            </w:pPr>
          </w:p>
        </w:tc>
        <w:tc>
          <w:tcPr>
            <w:tcW w:w="4320" w:type="dxa"/>
            <w:vAlign w:val="bottom"/>
            <w:tcBorders>
              <w:bottom w:val="single" w:sz="8" w:color="auto"/>
            </w:tcBorders>
          </w:tcPr>
          <w:p>
            <w:pPr>
              <w:jc w:val="center"/>
              <w:ind w:left="2515"/>
              <w:spacing w:after="0"/>
              <w:rPr>
                <w:sz w:val="20"/>
                <w:szCs w:val="20"/>
                <w:color w:val="auto"/>
              </w:rPr>
            </w:pPr>
            <w:r>
              <w:rPr>
                <w:rFonts w:ascii="Arial" w:cs="Arial" w:eastAsia="Arial" w:hAnsi="Arial"/>
                <w:sz w:val="14"/>
                <w:szCs w:val="14"/>
                <w:b w:val="1"/>
                <w:bCs w:val="1"/>
                <w:color w:val="auto"/>
                <w:w w:val="94"/>
              </w:rPr>
              <w:t>Interest</w:t>
            </w:r>
          </w:p>
        </w:tc>
        <w:tc>
          <w:tcPr>
            <w:tcW w:w="2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tcPr>
          <w:p>
            <w:pPr>
              <w:jc w:val="right"/>
              <w:ind w:right="534"/>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31"/>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Avenal</w:t>
            </w:r>
          </w:p>
        </w:tc>
        <w:tc>
          <w:tcPr>
            <w:tcW w:w="432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88"/>
              </w:rPr>
              <w:t>50%</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740" w:type="dxa"/>
            <w:vAlign w:val="bottom"/>
          </w:tcPr>
          <w:p>
            <w:pPr>
              <w:ind w:left="20"/>
              <w:spacing w:after="0"/>
              <w:rPr>
                <w:sz w:val="20"/>
                <w:szCs w:val="20"/>
                <w:color w:val="auto"/>
              </w:rPr>
            </w:pPr>
            <w:r>
              <w:rPr>
                <w:rFonts w:ascii="Arial" w:cs="Arial" w:eastAsia="Arial" w:hAnsi="Arial"/>
                <w:sz w:val="18"/>
                <w:szCs w:val="18"/>
                <w:color w:val="auto"/>
              </w:rPr>
              <w:t>Desert Sunlight</w:t>
            </w:r>
          </w:p>
        </w:tc>
        <w:tc>
          <w:tcPr>
            <w:tcW w:w="4320" w:type="dxa"/>
            <w:vAlign w:val="bottom"/>
          </w:tcPr>
          <w:p>
            <w:pPr>
              <w:jc w:val="center"/>
              <w:ind w:left="2475"/>
              <w:spacing w:after="0"/>
              <w:rPr>
                <w:sz w:val="20"/>
                <w:szCs w:val="20"/>
                <w:color w:val="auto"/>
              </w:rPr>
            </w:pPr>
            <w:r>
              <w:rPr>
                <w:rFonts w:ascii="Arial" w:cs="Arial" w:eastAsia="Arial" w:hAnsi="Arial"/>
                <w:sz w:val="18"/>
                <w:szCs w:val="18"/>
                <w:color w:val="auto"/>
                <w:w w:val="88"/>
              </w:rPr>
              <w:t>25%</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Elkhorn Ridge</w:t>
            </w:r>
          </w:p>
        </w:tc>
        <w:tc>
          <w:tcPr>
            <w:tcW w:w="432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88"/>
              </w:rPr>
              <w:t>67%</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line="230" w:lineRule="exact"/>
              <w:rPr>
                <w:sz w:val="20"/>
                <w:szCs w:val="20"/>
                <w:color w:val="auto"/>
              </w:rPr>
            </w:pPr>
            <w:r>
              <w:rPr>
                <w:rFonts w:ascii="Arial" w:cs="Arial" w:eastAsia="Arial" w:hAnsi="Arial"/>
                <w:sz w:val="18"/>
                <w:szCs w:val="18"/>
                <w:color w:val="auto"/>
              </w:rPr>
              <w:t>GenConn</w:t>
            </w:r>
            <w:r>
              <w:rPr>
                <w:rFonts w:ascii="Arial" w:cs="Arial" w:eastAsia="Arial" w:hAnsi="Arial"/>
                <w:sz w:val="23"/>
                <w:szCs w:val="23"/>
                <w:color w:val="auto"/>
                <w:vertAlign w:val="superscript"/>
              </w:rPr>
              <w:t>(a)</w:t>
            </w:r>
          </w:p>
        </w:tc>
        <w:tc>
          <w:tcPr>
            <w:tcW w:w="4320" w:type="dxa"/>
            <w:vAlign w:val="bottom"/>
          </w:tcPr>
          <w:p>
            <w:pPr>
              <w:jc w:val="center"/>
              <w:ind w:left="2475"/>
              <w:spacing w:after="0"/>
              <w:rPr>
                <w:sz w:val="20"/>
                <w:szCs w:val="20"/>
                <w:color w:val="auto"/>
              </w:rPr>
            </w:pPr>
            <w:r>
              <w:rPr>
                <w:rFonts w:ascii="Arial" w:cs="Arial" w:eastAsia="Arial" w:hAnsi="Arial"/>
                <w:sz w:val="18"/>
                <w:szCs w:val="18"/>
                <w:color w:val="auto"/>
                <w:w w:val="88"/>
              </w:rPr>
              <w:t>50%</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San Juan Mesa</w:t>
            </w:r>
          </w:p>
        </w:tc>
        <w:tc>
          <w:tcPr>
            <w:tcW w:w="4320" w:type="dxa"/>
            <w:vAlign w:val="bottom"/>
            <w:shd w:val="clear" w:color="auto" w:fill="CCEEFF"/>
          </w:tcPr>
          <w:p>
            <w:pPr>
              <w:jc w:val="center"/>
              <w:ind w:left="2475"/>
              <w:spacing w:after="0"/>
              <w:rPr>
                <w:sz w:val="20"/>
                <w:szCs w:val="20"/>
                <w:color w:val="auto"/>
              </w:rPr>
            </w:pPr>
            <w:r>
              <w:rPr>
                <w:rFonts w:ascii="Arial" w:cs="Arial" w:eastAsia="Arial" w:hAnsi="Arial"/>
                <w:sz w:val="18"/>
                <w:szCs w:val="18"/>
                <w:color w:val="auto"/>
                <w:w w:val="88"/>
              </w:rPr>
              <w:t>75%</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47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Utah Solar Portfolio</w:t>
            </w:r>
            <w:r>
              <w:rPr>
                <w:rFonts w:ascii="Arial" w:cs="Arial" w:eastAsia="Arial" w:hAnsi="Arial"/>
                <w:sz w:val="23"/>
                <w:szCs w:val="23"/>
                <w:color w:val="auto"/>
                <w:vertAlign w:val="superscript"/>
              </w:rPr>
              <w:t>(b)</w:t>
            </w:r>
          </w:p>
        </w:tc>
        <w:tc>
          <w:tcPr>
            <w:tcW w:w="4320" w:type="dxa"/>
            <w:vAlign w:val="bottom"/>
            <w:tcBorders>
              <w:bottom w:val="single" w:sz="8" w:color="CCEEFF"/>
            </w:tcBorders>
          </w:tcPr>
          <w:p>
            <w:pPr>
              <w:jc w:val="center"/>
              <w:ind w:left="2475"/>
              <w:spacing w:after="0"/>
              <w:rPr>
                <w:sz w:val="20"/>
                <w:szCs w:val="20"/>
                <w:color w:val="auto"/>
              </w:rPr>
            </w:pPr>
            <w:r>
              <w:rPr>
                <w:rFonts w:ascii="Arial" w:cs="Arial" w:eastAsia="Arial" w:hAnsi="Arial"/>
                <w:sz w:val="18"/>
                <w:szCs w:val="18"/>
                <w:color w:val="auto"/>
                <w:w w:val="88"/>
              </w:rPr>
              <w:t>50%</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spacing w:after="0"/>
              <w:rPr>
                <w:sz w:val="21"/>
                <w:szCs w:val="21"/>
                <w:color w:val="auto"/>
              </w:rPr>
            </w:pPr>
          </w:p>
        </w:tc>
        <w:tc>
          <w:tcPr>
            <w:tcW w:w="43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7"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w:t>
      </w:r>
      <w:r>
        <w:rPr>
          <w:rFonts w:ascii="Arial" w:cs="Arial" w:eastAsia="Arial" w:hAnsi="Arial"/>
          <w:sz w:val="21"/>
          <w:szCs w:val="21"/>
          <w:color w:val="auto"/>
          <w:vertAlign w:val="superscript"/>
        </w:rPr>
        <w:t>a</w:t>
      </w:r>
      <w:r>
        <w:rPr>
          <w:rFonts w:ascii="Arial" w:cs="Arial" w:eastAsia="Arial" w:hAnsi="Arial"/>
          <w:sz w:val="23"/>
          <w:szCs w:val="23"/>
          <w:color w:val="auto"/>
          <w:vertAlign w:val="superscript"/>
        </w:rPr>
        <w:t>)</w:t>
      </w:r>
      <w:r>
        <w:rPr>
          <w:rFonts w:ascii="Arial" w:cs="Arial" w:eastAsia="Arial" w:hAnsi="Arial"/>
          <w:sz w:val="16"/>
          <w:szCs w:val="16"/>
          <w:color w:val="auto"/>
        </w:rPr>
        <w:t xml:space="preserve"> GenConn is a variable interest entity.</w:t>
      </w:r>
    </w:p>
    <w:p>
      <w:pPr>
        <w:ind w:right="140" w:firstLine="8"/>
        <w:spacing w:after="0"/>
        <w:tabs>
          <w:tab w:leader="none" w:pos="149"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Economic interest based on cash to be distributed. Four Brothers Solar, LLC, Granite Mountain Holdings, LLC and Iron Springs Holdings, LLC are tax equity structures and VIEs.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 xml:space="preserve">Note 5 — </w:t>
      </w:r>
      <w:r>
        <w:rPr>
          <w:rFonts w:ascii="Arial" w:cs="Arial" w:eastAsia="Arial" w:hAnsi="Arial"/>
          <w:sz w:val="18"/>
          <w:szCs w:val="18"/>
          <w:b w:val="1"/>
          <w:bCs w:val="1"/>
          <w:i w:val="1"/>
          <w:iCs w:val="1"/>
          <w:color w:val="auto"/>
        </w:rPr>
        <w:t>Fair Value of Financial Instruments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Accounting under ASC 820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86" w:lineRule="exact"/>
        <w:rPr>
          <w:sz w:val="20"/>
          <w:szCs w:val="20"/>
          <w:color w:val="auto"/>
        </w:rPr>
      </w:pPr>
    </w:p>
    <w:p>
      <w:pPr>
        <w:ind w:left="1220" w:hanging="240"/>
        <w:spacing w:after="0" w:line="277"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1—quoted prices (unadjusted) in active markets for identical assets or liabilities that the Company has the ability to access as of the measurement date.</w:t>
      </w:r>
    </w:p>
    <w:p>
      <w:pPr>
        <w:spacing w:after="0" w:line="8" w:lineRule="exact"/>
        <w:rPr>
          <w:rFonts w:ascii="Arial" w:cs="Arial" w:eastAsia="Arial" w:hAnsi="Arial"/>
          <w:sz w:val="18"/>
          <w:szCs w:val="18"/>
          <w:color w:val="auto"/>
        </w:rPr>
      </w:pPr>
    </w:p>
    <w:p>
      <w:pPr>
        <w:ind w:left="1220" w:hanging="240"/>
        <w:spacing w:after="0" w:line="277"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2—inputs other than quoted prices included within Level 1 that are directly observable for the asset or liability or indirectly observable through corroboration with observable market data.</w:t>
      </w:r>
    </w:p>
    <w:p>
      <w:pPr>
        <w:spacing w:after="0" w:line="8" w:lineRule="exact"/>
        <w:rPr>
          <w:rFonts w:ascii="Arial" w:cs="Arial" w:eastAsia="Arial" w:hAnsi="Arial"/>
          <w:sz w:val="18"/>
          <w:szCs w:val="18"/>
          <w:color w:val="auto"/>
        </w:rPr>
      </w:pPr>
    </w:p>
    <w:p>
      <w:pPr>
        <w:ind w:left="1220" w:right="20" w:hanging="240"/>
        <w:spacing w:after="0" w:line="277" w:lineRule="auto"/>
        <w:tabs>
          <w:tab w:leader="none" w:pos="1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3—unobservable inputs for the asset or liability only used when there is little, if any, market activity for the asset or liability at the measurement date.</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16"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cash and cash equivalents, restricted cash, accounts receivable — trade, accounts payable — trade, current portion of accounts payable — affiliates, accrued expenses and other liabilities, the carrying amounts approximate fair value because of the short-term maturity of those instruments and are classified as Level 1 within the fair value hierarchy.</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estimated carrying amounts and fair values of the Company’s recorded financial instruments not carried at fair market value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60" w:type="dxa"/>
            <w:vAlign w:val="bottom"/>
            <w:gridSpan w:val="4"/>
          </w:tcPr>
          <w:p>
            <w:pPr>
              <w:ind w:left="240"/>
              <w:spacing w:after="0"/>
              <w:rPr>
                <w:sz w:val="20"/>
                <w:szCs w:val="20"/>
                <w:color w:val="auto"/>
              </w:rPr>
            </w:pPr>
            <w:r>
              <w:rPr>
                <w:rFonts w:ascii="Arial" w:cs="Arial" w:eastAsia="Arial" w:hAnsi="Arial"/>
                <w:sz w:val="14"/>
                <w:szCs w:val="14"/>
                <w:b w:val="1"/>
                <w:bCs w:val="1"/>
                <w:color w:val="auto"/>
              </w:rPr>
              <w:t>As of March 31, 2021</w:t>
            </w:r>
          </w:p>
        </w:tc>
        <w:tc>
          <w:tcPr>
            <w:tcW w:w="400" w:type="dxa"/>
            <w:vAlign w:val="bottom"/>
          </w:tcPr>
          <w:p>
            <w:pPr>
              <w:spacing w:after="0"/>
              <w:rPr>
                <w:sz w:val="16"/>
                <w:szCs w:val="16"/>
                <w:color w:val="auto"/>
              </w:rPr>
            </w:pPr>
          </w:p>
        </w:tc>
        <w:tc>
          <w:tcPr>
            <w:tcW w:w="2100" w:type="dxa"/>
            <w:vAlign w:val="bottom"/>
            <w:gridSpan w:val="3"/>
          </w:tcPr>
          <w:p>
            <w:pPr>
              <w:jc w:val="right"/>
              <w:ind w:right="416"/>
              <w:spacing w:after="0"/>
              <w:rPr>
                <w:sz w:val="20"/>
                <w:szCs w:val="20"/>
                <w:color w:val="auto"/>
              </w:rPr>
            </w:pPr>
            <w:r>
              <w:rPr>
                <w:rFonts w:ascii="Arial" w:cs="Arial" w:eastAsia="Arial" w:hAnsi="Arial"/>
                <w:sz w:val="14"/>
                <w:szCs w:val="14"/>
                <w:b w:val="1"/>
                <w:bCs w:val="1"/>
                <w:color w:val="auto"/>
                <w:w w:val="95"/>
              </w:rPr>
              <w:t>As of December 31, 2020</w:t>
            </w:r>
          </w:p>
        </w:tc>
      </w:tr>
      <w:tr>
        <w:trPr>
          <w:trHeight w:val="187"/>
        </w:trPr>
        <w:tc>
          <w:tcPr>
            <w:tcW w:w="6020" w:type="dxa"/>
            <w:vAlign w:val="bottom"/>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Fair Value</w:t>
            </w:r>
          </w:p>
        </w:tc>
        <w:tc>
          <w:tcPr>
            <w:tcW w:w="120" w:type="dxa"/>
            <w:vAlign w:val="bottom"/>
            <w:tcBorders>
              <w:bottom w:val="single" w:sz="8" w:color="auto"/>
            </w:tcBorders>
          </w:tcPr>
          <w:p>
            <w:pPr>
              <w:spacing w:after="0"/>
              <w:rPr>
                <w:sz w:val="16"/>
                <w:szCs w:val="16"/>
                <w:color w:val="auto"/>
              </w:rPr>
            </w:pPr>
          </w:p>
        </w:tc>
        <w:tc>
          <w:tcPr>
            <w:tcW w:w="1240" w:type="dxa"/>
            <w:vAlign w:val="bottom"/>
            <w:tcBorders>
              <w:top w:val="single" w:sz="8" w:color="auto"/>
              <w:bottom w:val="single" w:sz="8" w:color="auto"/>
            </w:tcBorders>
            <w:gridSpan w:val="2"/>
          </w:tcPr>
          <w:p>
            <w:pPr>
              <w:jc w:val="right"/>
              <w:ind w:right="16"/>
              <w:spacing w:after="0"/>
              <w:rPr>
                <w:sz w:val="20"/>
                <w:szCs w:val="20"/>
                <w:color w:val="auto"/>
              </w:rPr>
            </w:pPr>
            <w:r>
              <w:rPr>
                <w:rFonts w:ascii="Arial" w:cs="Arial" w:eastAsia="Arial" w:hAnsi="Arial"/>
                <w:sz w:val="14"/>
                <w:szCs w:val="14"/>
                <w:b w:val="1"/>
                <w:bCs w:val="1"/>
                <w:color w:val="auto"/>
                <w:w w:val="97"/>
              </w:rPr>
              <w:t>Carrying Amount</w:t>
            </w:r>
          </w:p>
        </w:tc>
        <w:tc>
          <w:tcPr>
            <w:tcW w:w="26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Fair Value</w:t>
            </w:r>
          </w:p>
        </w:tc>
      </w:tr>
      <w:tr>
        <w:trPr>
          <w:trHeight w:val="179"/>
        </w:trPr>
        <w:tc>
          <w:tcPr>
            <w:tcW w:w="6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34"/>
        </w:trPr>
        <w:tc>
          <w:tcPr>
            <w:tcW w:w="60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9"/>
        </w:trPr>
        <w:tc>
          <w:tcPr>
            <w:tcW w:w="6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 — affiliate</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6020" w:type="dxa"/>
            <w:vAlign w:val="bottom"/>
          </w:tcPr>
          <w:p>
            <w:pPr>
              <w:ind w:left="140"/>
              <w:spacing w:after="0"/>
              <w:rPr>
                <w:sz w:val="20"/>
                <w:szCs w:val="20"/>
                <w:color w:val="auto"/>
              </w:rPr>
            </w:pPr>
            <w:r>
              <w:rPr>
                <w:rFonts w:ascii="Arial" w:cs="Arial" w:eastAsia="Arial" w:hAnsi="Arial"/>
                <w:sz w:val="18"/>
                <w:szCs w:val="18"/>
                <w:color w:val="auto"/>
              </w:rPr>
              <w:t xml:space="preserve">Long-term debt, including current portion — external </w:t>
            </w:r>
            <w:r>
              <w:rPr>
                <w:rFonts w:ascii="Arial" w:cs="Arial" w:eastAsia="Arial" w:hAnsi="Arial"/>
                <w:sz w:val="23"/>
                <w:szCs w:val="23"/>
                <w:color w:val="auto"/>
                <w:vertAlign w:val="superscript"/>
              </w:rPr>
              <w:t>(a)</w:t>
            </w:r>
          </w:p>
        </w:tc>
        <w:tc>
          <w:tcPr>
            <w:tcW w:w="360" w:type="dxa"/>
            <w:vAlign w:val="bottom"/>
          </w:tcPr>
          <w:p>
            <w:pPr>
              <w:spacing w:after="0"/>
              <w:rPr>
                <w:sz w:val="24"/>
                <w:szCs w:val="24"/>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8,046</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7,851</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7,048</w:t>
            </w: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13798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140" w:hanging="132"/>
        <w:spacing w:after="0"/>
        <w:tabs>
          <w:tab w:leader="none" w:pos="140" w:val="left"/>
        </w:tabs>
        <w:numPr>
          <w:ilvl w:val="0"/>
          <w:numId w:val="10"/>
        </w:numPr>
        <w:rPr>
          <w:rFonts w:ascii="Arial" w:cs="Arial" w:eastAsia="Arial" w:hAnsi="Arial"/>
          <w:sz w:val="16"/>
          <w:szCs w:val="16"/>
          <w:color w:val="auto"/>
          <w:vertAlign w:val="superscript"/>
        </w:rPr>
      </w:pPr>
      <w:r>
        <w:rPr>
          <w:rFonts w:ascii="Arial" w:cs="Arial" w:eastAsia="Arial" w:hAnsi="Arial"/>
          <w:sz w:val="12"/>
          <w:szCs w:val="12"/>
          <w:color w:val="auto"/>
        </w:rPr>
        <w:t>Excludes net debt issuance costs, which are recorded as a reduction to long-term debt on the Company's consolidated balance sheets.</w:t>
      </w:r>
    </w:p>
    <w:p>
      <w:pPr>
        <w:spacing w:after="0" w:line="9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fair value of the Company's publicly-traded long-term debt is based on quoted market prices and is classified as Level 2 within the fair value hierarchy. The fair value of debt securities, non-publicly traded long-term debt and certain notes receivable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March 31, 2021 and December 31, 2020:</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March 31, 2021</w:t>
            </w:r>
          </w:p>
        </w:tc>
        <w:tc>
          <w:tcPr>
            <w:tcW w:w="340" w:type="dxa"/>
            <w:vAlign w:val="bottom"/>
          </w:tcPr>
          <w:p>
            <w:pPr>
              <w:spacing w:after="0"/>
              <w:rPr>
                <w:sz w:val="16"/>
                <w:szCs w:val="16"/>
                <w:color w:val="auto"/>
              </w:rPr>
            </w:pPr>
          </w:p>
        </w:tc>
        <w:tc>
          <w:tcPr>
            <w:tcW w:w="2180" w:type="dxa"/>
            <w:vAlign w:val="bottom"/>
            <w:gridSpan w:val="3"/>
          </w:tcPr>
          <w:p>
            <w:pPr>
              <w:jc w:val="right"/>
              <w:ind w:right="439"/>
              <w:spacing w:after="0"/>
              <w:rPr>
                <w:sz w:val="20"/>
                <w:szCs w:val="20"/>
                <w:color w:val="auto"/>
              </w:rPr>
            </w:pPr>
            <w:r>
              <w:rPr>
                <w:rFonts w:ascii="Arial" w:cs="Arial" w:eastAsia="Arial" w:hAnsi="Arial"/>
                <w:sz w:val="14"/>
                <w:szCs w:val="14"/>
                <w:b w:val="1"/>
                <w:bCs w:val="1"/>
                <w:color w:val="auto"/>
                <w:w w:val="99"/>
              </w:rPr>
              <w:t>As of December 31, 2020</w:t>
            </w:r>
          </w:p>
        </w:tc>
      </w:tr>
      <w:tr>
        <w:trPr>
          <w:trHeight w:val="187"/>
        </w:trPr>
        <w:tc>
          <w:tcPr>
            <w:tcW w:w="60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w w:val="96"/>
              </w:rPr>
              <w:t>Level 2</w:t>
            </w: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Level 3</w:t>
            </w:r>
          </w:p>
        </w:tc>
      </w:tr>
      <w:tr>
        <w:trPr>
          <w:trHeight w:val="183"/>
        </w:trPr>
        <w:tc>
          <w:tcPr>
            <w:tcW w:w="6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31"/>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debt, including current portion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2,129</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5,723</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1,906</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records its derivative assets and liabilities at fair market value on its consolidated balance sheet. The following table presents assets and liabilities measured and recorded at fair value on the Company's consolidated balance sheets on a recurring basis and their level within the fair value hierarchy:</w:t>
      </w:r>
    </w:p>
    <w:p>
      <w:pPr>
        <w:spacing w:after="0" w:line="108"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As of March 31, 2021</w:t>
            </w:r>
          </w:p>
        </w:tc>
        <w:tc>
          <w:tcPr>
            <w:tcW w:w="340" w:type="dxa"/>
            <w:vAlign w:val="bottom"/>
          </w:tcPr>
          <w:p>
            <w:pPr>
              <w:spacing w:after="0"/>
              <w:rPr>
                <w:sz w:val="16"/>
                <w:szCs w:val="16"/>
                <w:color w:val="auto"/>
              </w:rPr>
            </w:pPr>
          </w:p>
        </w:tc>
        <w:tc>
          <w:tcPr>
            <w:tcW w:w="2920" w:type="dxa"/>
            <w:vAlign w:val="bottom"/>
            <w:gridSpan w:val="4"/>
          </w:tcPr>
          <w:p>
            <w:pPr>
              <w:ind w:left="520"/>
              <w:spacing w:after="0"/>
              <w:rPr>
                <w:sz w:val="20"/>
                <w:szCs w:val="20"/>
                <w:color w:val="auto"/>
              </w:rPr>
            </w:pPr>
            <w:r>
              <w:rPr>
                <w:rFonts w:ascii="Arial" w:cs="Arial" w:eastAsia="Arial" w:hAnsi="Arial"/>
                <w:sz w:val="14"/>
                <w:szCs w:val="14"/>
                <w:b w:val="1"/>
                <w:bCs w:val="1"/>
                <w:color w:val="auto"/>
              </w:rPr>
              <w:t>As of December 31, 2020</w:t>
            </w:r>
          </w:p>
        </w:tc>
      </w:tr>
      <w:tr>
        <w:trPr>
          <w:trHeight w:val="188"/>
        </w:trPr>
        <w:tc>
          <w:tcPr>
            <w:tcW w:w="482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640" w:type="dxa"/>
            <w:vAlign w:val="bottom"/>
            <w:tcBorders>
              <w:top w:val="single" w:sz="8" w:color="auto"/>
              <w:bottom w:val="single" w:sz="8" w:color="auto"/>
            </w:tcBorders>
            <w:gridSpan w:val="3"/>
          </w:tcPr>
          <w:p>
            <w:pPr>
              <w:jc w:val="right"/>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00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800" w:type="dxa"/>
            <w:vAlign w:val="bottom"/>
            <w:tcBorders>
              <w:top w:val="single" w:sz="8" w:color="auto"/>
              <w:bottom w:val="single" w:sz="8" w:color="auto"/>
            </w:tcBorders>
            <w:gridSpan w:val="3"/>
          </w:tcPr>
          <w:p>
            <w:pPr>
              <w:jc w:val="right"/>
              <w:ind w:right="30"/>
              <w:spacing w:after="0" w:line="189" w:lineRule="exact"/>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8"/>
                <w:szCs w:val="18"/>
                <w:b w:val="1"/>
                <w:bCs w:val="1"/>
                <w:color w:val="auto"/>
                <w:vertAlign w:val="superscript"/>
              </w:rPr>
              <w:t>(a)</w:t>
            </w:r>
          </w:p>
        </w:tc>
        <w:tc>
          <w:tcPr>
            <w:tcW w:w="1120" w:type="dxa"/>
            <w:vAlign w:val="bottom"/>
            <w:tcBorders>
              <w:top w:val="single" w:sz="8" w:color="auto"/>
              <w:bottom w:val="single" w:sz="8" w:color="auto"/>
            </w:tcBorders>
          </w:tcPr>
          <w:p>
            <w:pPr>
              <w:spacing w:after="0"/>
              <w:rPr>
                <w:sz w:val="16"/>
                <w:szCs w:val="16"/>
                <w:color w:val="auto"/>
              </w:rPr>
            </w:pPr>
          </w:p>
        </w:tc>
      </w:tr>
      <w:tr>
        <w:trPr>
          <w:trHeight w:val="181"/>
        </w:trPr>
        <w:tc>
          <w:tcPr>
            <w:tcW w:w="482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5"/>
                <w:szCs w:val="15"/>
                <w:color w:val="auto"/>
              </w:rPr>
            </w:pPr>
          </w:p>
        </w:tc>
        <w:tc>
          <w:tcPr>
            <w:tcW w:w="1000" w:type="dxa"/>
            <w:vAlign w:val="bottom"/>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5"/>
                <w:szCs w:val="15"/>
                <w:color w:val="auto"/>
              </w:rPr>
            </w:pPr>
          </w:p>
        </w:tc>
        <w:tc>
          <w:tcPr>
            <w:tcW w:w="1120" w:type="dxa"/>
            <w:vAlign w:val="bottom"/>
          </w:tcPr>
          <w:p>
            <w:pPr>
              <w:ind w:left="100"/>
              <w:spacing w:after="0"/>
              <w:rPr>
                <w:sz w:val="20"/>
                <w:szCs w:val="20"/>
                <w:color w:val="auto"/>
              </w:rPr>
            </w:pPr>
            <w:r>
              <w:rPr>
                <w:rFonts w:ascii="Arial" w:cs="Arial" w:eastAsia="Arial" w:hAnsi="Arial"/>
                <w:sz w:val="14"/>
                <w:szCs w:val="14"/>
                <w:b w:val="1"/>
                <w:bCs w:val="1"/>
                <w:color w:val="auto"/>
              </w:rPr>
              <w:t>Level 3</w:t>
            </w:r>
          </w:p>
        </w:tc>
      </w:tr>
      <w:tr>
        <w:trPr>
          <w:trHeight w:val="211"/>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2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Interest rate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shd w:val="clear" w:color="auto" w:fill="CCEEFF"/>
          </w:tcPr>
          <w:p>
            <w:pPr>
              <w:spacing w:after="0" w:line="230" w:lineRule="exact"/>
              <w:rPr>
                <w:sz w:val="20"/>
                <w:szCs w:val="20"/>
                <w:color w:val="auto"/>
              </w:rPr>
            </w:pPr>
            <w:r>
              <w:rPr>
                <w:rFonts w:ascii="Arial" w:cs="Arial" w:eastAsia="Arial" w:hAnsi="Arial"/>
                <w:sz w:val="18"/>
                <w:szCs w:val="18"/>
                <w:b w:val="1"/>
                <w:bCs w:val="1"/>
                <w:color w:val="auto"/>
              </w:rPr>
              <w:t xml:space="preserve">Other financial instruments </w:t>
            </w:r>
            <w:r>
              <w:rPr>
                <w:rFonts w:ascii="Arial" w:cs="Arial" w:eastAsia="Arial" w:hAnsi="Arial"/>
                <w:sz w:val="23"/>
                <w:szCs w:val="23"/>
                <w:b w:val="1"/>
                <w:bCs w:val="1"/>
                <w:color w:val="auto"/>
                <w:vertAlign w:val="superscript"/>
              </w:rPr>
              <w:t>(b)</w:t>
            </w:r>
          </w:p>
        </w:tc>
        <w:tc>
          <w:tcPr>
            <w:tcW w:w="2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29</w:t>
            </w:r>
          </w:p>
        </w:tc>
      </w:tr>
      <w:tr>
        <w:trPr>
          <w:trHeight w:val="223"/>
        </w:trPr>
        <w:tc>
          <w:tcPr>
            <w:tcW w:w="4820" w:type="dxa"/>
            <w:vAlign w:val="bottom"/>
          </w:tcPr>
          <w:p>
            <w:pPr>
              <w:ind w:left="5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29</w:t>
            </w: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4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Derivative liabilities:</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4820" w:type="dxa"/>
            <w:vAlign w:val="bottom"/>
          </w:tcPr>
          <w:p>
            <w:pPr>
              <w:ind w:left="160"/>
              <w:spacing w:after="0"/>
              <w:rPr>
                <w:sz w:val="20"/>
                <w:szCs w:val="20"/>
                <w:color w:val="auto"/>
              </w:rPr>
            </w:pPr>
            <w:r>
              <w:rPr>
                <w:rFonts w:ascii="Arial" w:cs="Arial" w:eastAsia="Arial" w:hAnsi="Arial"/>
                <w:sz w:val="18"/>
                <w:szCs w:val="18"/>
                <w:color w:val="auto"/>
              </w:rPr>
              <w:t>Commodity contracts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ind w:left="7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Pr>
          <w:p>
            <w:pPr>
              <w:ind w:left="860"/>
              <w:spacing w:after="0"/>
              <w:rPr>
                <w:sz w:val="20"/>
                <w:szCs w:val="20"/>
                <w:color w:val="auto"/>
              </w:rPr>
            </w:pPr>
            <w:r>
              <w:rPr>
                <w:rFonts w:ascii="Arial" w:cs="Arial" w:eastAsia="Arial" w:hAnsi="Arial"/>
                <w:sz w:val="18"/>
                <w:szCs w:val="18"/>
                <w:color w:val="auto"/>
              </w:rPr>
              <w:t>44</w:t>
            </w:r>
          </w:p>
        </w:tc>
      </w:tr>
      <w:tr>
        <w:trPr>
          <w:trHeight w:val="229"/>
        </w:trPr>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rate contracts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48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44</w:t>
            </w:r>
          </w:p>
        </w:tc>
      </w:tr>
      <w:tr>
        <w:trPr>
          <w:trHeight w:val="20"/>
        </w:trPr>
        <w:tc>
          <w:tcPr>
            <w:tcW w:w="4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480" w:hanging="148"/>
        <w:spacing w:after="0"/>
        <w:tabs>
          <w:tab w:leader="none" w:pos="4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There were no derivative assets classified as Level 1 or Level 3 and no liabilities classified as Level 1 as of March 31, 2021 and December 31, 2020.</w:t>
      </w:r>
    </w:p>
    <w:p>
      <w:pPr>
        <w:spacing w:after="0" w:line="37" w:lineRule="exact"/>
        <w:rPr>
          <w:rFonts w:ascii="Arial" w:cs="Arial" w:eastAsia="Arial" w:hAnsi="Arial"/>
          <w:sz w:val="18"/>
          <w:szCs w:val="18"/>
          <w:color w:val="auto"/>
          <w:vertAlign w:val="superscript"/>
        </w:rPr>
      </w:pPr>
    </w:p>
    <w:p>
      <w:pPr>
        <w:ind w:left="460" w:hanging="128"/>
        <w:spacing w:after="0"/>
        <w:tabs>
          <w:tab w:leader="none" w:pos="460" w:val="left"/>
        </w:tabs>
        <w:numPr>
          <w:ilvl w:val="0"/>
          <w:numId w:val="11"/>
        </w:numPr>
        <w:rPr>
          <w:rFonts w:ascii="Arial" w:cs="Arial" w:eastAsia="Arial" w:hAnsi="Arial"/>
          <w:sz w:val="9"/>
          <w:szCs w:val="9"/>
          <w:color w:val="auto"/>
        </w:rPr>
      </w:pPr>
      <w:r>
        <w:rPr>
          <w:rFonts w:ascii="Arial" w:cs="Arial" w:eastAsia="Arial" w:hAnsi="Arial"/>
          <w:sz w:val="16"/>
          <w:szCs w:val="16"/>
          <w:color w:val="auto"/>
        </w:rPr>
        <w:t>SREC contract acquired on November 2, 2020.</w:t>
      </w:r>
    </w:p>
    <w:p>
      <w:pPr>
        <w:spacing w:after="0" w:line="14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391"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8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241"/>
        </w:trPr>
        <w:tc>
          <w:tcPr>
            <w:tcW w:w="8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75"/>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29"/>
        </w:trPr>
        <w:tc>
          <w:tcPr>
            <w:tcW w:w="82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266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w w:val="93"/>
              </w:rPr>
              <w:t>Fair Value Measurement Using Significant</w:t>
            </w:r>
          </w:p>
        </w:tc>
        <w:tc>
          <w:tcPr>
            <w:tcW w:w="0" w:type="dxa"/>
            <w:vAlign w:val="bottom"/>
          </w:tcPr>
          <w:p>
            <w:pPr>
              <w:spacing w:after="0"/>
              <w:rPr>
                <w:sz w:val="1"/>
                <w:szCs w:val="1"/>
                <w:color w:val="auto"/>
              </w:rPr>
            </w:pPr>
          </w:p>
        </w:tc>
      </w:tr>
      <w:tr>
        <w:trPr>
          <w:trHeight w:val="188"/>
        </w:trPr>
        <w:tc>
          <w:tcPr>
            <w:tcW w:w="82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4"/>
                <w:szCs w:val="14"/>
                <w:b w:val="1"/>
                <w:bCs w:val="1"/>
                <w:color w:val="auto"/>
              </w:rPr>
              <w:t>Unobservable Inputs (Level 3)</w:t>
            </w:r>
          </w:p>
        </w:tc>
        <w:tc>
          <w:tcPr>
            <w:tcW w:w="0" w:type="dxa"/>
            <w:vAlign w:val="bottom"/>
          </w:tcPr>
          <w:p>
            <w:pPr>
              <w:spacing w:after="0"/>
              <w:rPr>
                <w:sz w:val="1"/>
                <w:szCs w:val="1"/>
                <w:color w:val="auto"/>
              </w:rPr>
            </w:pPr>
          </w:p>
        </w:tc>
      </w:tr>
      <w:tr>
        <w:trPr>
          <w:trHeight w:val="224"/>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Beginning balance</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losses for the period included in earnings</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Ending balance</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180"/>
              <w:spacing w:after="0" w:line="163" w:lineRule="exact"/>
              <w:rPr>
                <w:sz w:val="20"/>
                <w:szCs w:val="20"/>
                <w:color w:val="auto"/>
              </w:rPr>
            </w:pPr>
            <w:r>
              <w:rPr>
                <w:rFonts w:ascii="Arial" w:cs="Arial" w:eastAsia="Arial" w:hAnsi="Arial"/>
                <w:sz w:val="18"/>
                <w:szCs w:val="18"/>
                <w:color w:val="auto"/>
                <w:w w:val="95"/>
              </w:rPr>
              <w:t>Change in unrealized losses included in earnings for derivatives and other financial instruments held as of</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220" w:type="dxa"/>
            <w:vAlign w:val="bottom"/>
            <w:vMerge w:val="continue"/>
          </w:tcPr>
          <w:p>
            <w:pPr>
              <w:spacing w:after="0"/>
              <w:rPr>
                <w:sz w:val="10"/>
                <w:szCs w:val="10"/>
                <w:color w:val="auto"/>
              </w:rPr>
            </w:pPr>
          </w:p>
        </w:tc>
        <w:tc>
          <w:tcPr>
            <w:tcW w:w="24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March 31, 2021</w:t>
            </w:r>
          </w:p>
        </w:tc>
        <w:tc>
          <w:tcPr>
            <w:tcW w:w="2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and Financial Instruments Fair Value Measurements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contracts are non-exchange-traded and valued using prices provided by external sources. The Company uses quoted observable forward prices to value its energy contracts. To the extent that observable forward prices are not available, the quoted prices reflect the average of the forward prices from the prior year, adjusted for inflation. As of March 31, 2021, contracts valued with prices provided by models and other valuation techniques make up 46% of derivative liabilities and 100% of other financial instruments.</w:t>
      </w:r>
    </w:p>
    <w:p>
      <w:pPr>
        <w:spacing w:after="0" w:line="13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significant positions classified as Level 3 include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ind w:left="420"/>
        <w:spacing w:after="0"/>
        <w:rPr>
          <w:sz w:val="20"/>
          <w:szCs w:val="20"/>
          <w:color w:val="auto"/>
        </w:rPr>
      </w:pPr>
      <w:r>
        <w:rPr>
          <w:rFonts w:ascii="Arial" w:cs="Arial" w:eastAsia="Arial" w:hAnsi="Arial"/>
          <w:sz w:val="17"/>
          <w:szCs w:val="17"/>
          <w:color w:val="auto"/>
        </w:rPr>
        <w:t>The following table quantifies the significant unobservable inputs used in developing the fair value of the Company's Level 3 positions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March 31, 2021</w:t>
            </w:r>
          </w:p>
        </w:tc>
        <w:tc>
          <w:tcPr>
            <w:tcW w:w="1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Fair Value</w:t>
            </w:r>
          </w:p>
        </w:tc>
        <w:tc>
          <w:tcPr>
            <w:tcW w:w="12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92"/>
              </w:rPr>
              <w:t>Input/Range</w:t>
            </w:r>
          </w:p>
        </w:tc>
        <w:tc>
          <w:tcPr>
            <w:tcW w:w="12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Valuation</w:t>
            </w:r>
          </w:p>
        </w:tc>
        <w:tc>
          <w:tcPr>
            <w:tcW w:w="1780" w:type="dxa"/>
            <w:vAlign w:val="bottom"/>
          </w:tcPr>
          <w:p>
            <w:pPr>
              <w:jc w:val="center"/>
              <w:ind w:right="75"/>
              <w:spacing w:after="0" w:line="169" w:lineRule="exact"/>
              <w:rPr>
                <w:sz w:val="20"/>
                <w:szCs w:val="20"/>
                <w:color w:val="auto"/>
              </w:rPr>
            </w:pPr>
            <w:r>
              <w:rPr>
                <w:rFonts w:ascii="Arial" w:cs="Arial" w:eastAsia="Arial" w:hAnsi="Arial"/>
                <w:sz w:val="18"/>
                <w:szCs w:val="18"/>
                <w:b w:val="1"/>
                <w:bCs w:val="1"/>
                <w:color w:val="auto"/>
                <w:w w:val="89"/>
              </w:rPr>
              <w:t>Significant</w:t>
            </w: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Weighted</w:t>
            </w:r>
          </w:p>
        </w:tc>
        <w:tc>
          <w:tcPr>
            <w:tcW w:w="0" w:type="dxa"/>
            <w:vAlign w:val="bottom"/>
          </w:tcPr>
          <w:p>
            <w:pPr>
              <w:spacing w:after="0"/>
              <w:rPr>
                <w:sz w:val="1"/>
                <w:szCs w:val="1"/>
                <w:color w:val="auto"/>
              </w:rPr>
            </w:pPr>
          </w:p>
        </w:tc>
      </w:tr>
      <w:tr>
        <w:trPr>
          <w:trHeight w:val="175"/>
        </w:trPr>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Assets</w:t>
            </w:r>
          </w:p>
        </w:tc>
        <w:tc>
          <w:tcPr>
            <w:tcW w:w="1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Liabilities</w:t>
            </w:r>
          </w:p>
        </w:tc>
        <w:tc>
          <w:tcPr>
            <w:tcW w:w="1260" w:type="dxa"/>
            <w:vAlign w:val="bottom"/>
            <w:vMerge w:val="continue"/>
          </w:tcPr>
          <w:p>
            <w:pPr>
              <w:spacing w:after="0"/>
              <w:rPr>
                <w:sz w:val="15"/>
                <w:szCs w:val="15"/>
                <w:color w:val="auto"/>
              </w:rPr>
            </w:pPr>
          </w:p>
        </w:tc>
        <w:tc>
          <w:tcPr>
            <w:tcW w:w="1780" w:type="dxa"/>
            <w:vAlign w:val="bottom"/>
          </w:tcPr>
          <w:p>
            <w:pPr>
              <w:jc w:val="center"/>
              <w:ind w:right="75"/>
              <w:spacing w:after="0" w:line="176" w:lineRule="exact"/>
              <w:rPr>
                <w:sz w:val="20"/>
                <w:szCs w:val="20"/>
                <w:color w:val="auto"/>
              </w:rPr>
            </w:pPr>
            <w:r>
              <w:rPr>
                <w:rFonts w:ascii="Arial" w:cs="Arial" w:eastAsia="Arial" w:hAnsi="Arial"/>
                <w:sz w:val="18"/>
                <w:szCs w:val="18"/>
                <w:b w:val="1"/>
                <w:bCs w:val="1"/>
                <w:color w:val="auto"/>
                <w:w w:val="89"/>
              </w:rPr>
              <w:t>Unobservable</w:t>
            </w:r>
          </w:p>
        </w:tc>
        <w:tc>
          <w:tcPr>
            <w:tcW w:w="1200" w:type="dxa"/>
            <w:vAlign w:val="bottom"/>
            <w:vMerge w:val="restart"/>
          </w:tcPr>
          <w:p>
            <w:pPr>
              <w:jc w:val="right"/>
              <w:ind w:right="476"/>
              <w:spacing w:after="0"/>
              <w:rPr>
                <w:sz w:val="20"/>
                <w:szCs w:val="20"/>
                <w:color w:val="auto"/>
              </w:rPr>
            </w:pPr>
            <w:r>
              <w:rPr>
                <w:rFonts w:ascii="Arial" w:cs="Arial" w:eastAsia="Arial" w:hAnsi="Arial"/>
                <w:sz w:val="18"/>
                <w:szCs w:val="18"/>
                <w:b w:val="1"/>
                <w:bCs w:val="1"/>
                <w:color w:val="auto"/>
              </w:rPr>
              <w:t>Low</w:t>
            </w:r>
          </w:p>
        </w:tc>
        <w:tc>
          <w:tcPr>
            <w:tcW w:w="1400" w:type="dxa"/>
            <w:vAlign w:val="bottom"/>
            <w:vMerge w:val="restart"/>
          </w:tcPr>
          <w:p>
            <w:pPr>
              <w:jc w:val="center"/>
              <w:ind w:right="93"/>
              <w:spacing w:after="0"/>
              <w:rPr>
                <w:sz w:val="20"/>
                <w:szCs w:val="20"/>
                <w:color w:val="auto"/>
              </w:rPr>
            </w:pPr>
            <w:r>
              <w:rPr>
                <w:rFonts w:ascii="Arial" w:cs="Arial" w:eastAsia="Arial" w:hAnsi="Arial"/>
                <w:sz w:val="18"/>
                <w:szCs w:val="18"/>
                <w:b w:val="1"/>
                <w:bCs w:val="1"/>
                <w:color w:val="auto"/>
                <w:w w:val="94"/>
              </w:rPr>
              <w:t>High</w:t>
            </w: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Technique</w:t>
            </w:r>
          </w:p>
        </w:tc>
        <w:tc>
          <w:tcPr>
            <w:tcW w:w="1780" w:type="dxa"/>
            <w:vAlign w:val="bottom"/>
            <w:tcBorders>
              <w:bottom w:val="single" w:sz="8" w:color="auto"/>
            </w:tcBorders>
          </w:tcPr>
          <w:p>
            <w:pPr>
              <w:jc w:val="center"/>
              <w:ind w:right="75"/>
              <w:spacing w:after="0"/>
              <w:rPr>
                <w:sz w:val="20"/>
                <w:szCs w:val="20"/>
                <w:color w:val="auto"/>
              </w:rPr>
            </w:pPr>
            <w:r>
              <w:rPr>
                <w:rFonts w:ascii="Arial" w:cs="Arial" w:eastAsia="Arial" w:hAnsi="Arial"/>
                <w:sz w:val="18"/>
                <w:szCs w:val="18"/>
                <w:b w:val="1"/>
                <w:bCs w:val="1"/>
                <w:color w:val="auto"/>
                <w:w w:val="95"/>
              </w:rPr>
              <w:t>Input</w:t>
            </w:r>
          </w:p>
        </w:tc>
        <w:tc>
          <w:tcPr>
            <w:tcW w:w="120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23"/>
        </w:trPr>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ind w:left="320"/>
              <w:spacing w:after="0"/>
              <w:rPr>
                <w:sz w:val="20"/>
                <w:szCs w:val="20"/>
                <w:color w:val="auto"/>
              </w:rPr>
            </w:pPr>
            <w:r>
              <w:rPr>
                <w:rFonts w:ascii="Arial" w:cs="Arial" w:eastAsia="Arial" w:hAnsi="Arial"/>
                <w:sz w:val="18"/>
                <w:szCs w:val="18"/>
                <w:b w:val="1"/>
                <w:bCs w:val="1"/>
                <w:color w:val="auto"/>
                <w:w w:val="93"/>
              </w:rPr>
              <w:t>(In millions)</w:t>
            </w: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1740" w:type="dxa"/>
            <w:vAlign w:val="bottom"/>
            <w:vMerge w:val="restart"/>
            <w:shd w:val="clear" w:color="auto" w:fill="CCEEFF"/>
          </w:tcPr>
          <w:p>
            <w:pPr>
              <w:ind w:left="20"/>
              <w:spacing w:after="0"/>
              <w:rPr>
                <w:sz w:val="20"/>
                <w:szCs w:val="20"/>
                <w:color w:val="auto"/>
              </w:rPr>
            </w:pPr>
            <w:r>
              <w:rPr>
                <w:rFonts w:ascii="Arial" w:cs="Arial" w:eastAsia="Arial" w:hAnsi="Arial"/>
                <w:sz w:val="16"/>
                <w:szCs w:val="16"/>
                <w:b w:val="1"/>
                <w:bCs w:val="1"/>
                <w:color w:val="auto"/>
              </w:rPr>
              <w:t>Power Contracts</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vMerge w:val="restart"/>
            <w:shd w:val="clear" w:color="auto" w:fill="CCEEFF"/>
          </w:tcPr>
          <w:p>
            <w:pPr>
              <w:ind w:left="780"/>
              <w:spacing w:after="0"/>
              <w:rPr>
                <w:sz w:val="20"/>
                <w:szCs w:val="20"/>
                <w:color w:val="auto"/>
              </w:rPr>
            </w:pPr>
            <w:r>
              <w:rPr>
                <w:rFonts w:ascii="Arial" w:cs="Arial" w:eastAsia="Arial" w:hAnsi="Arial"/>
                <w:sz w:val="16"/>
                <w:szCs w:val="16"/>
                <w:color w:val="auto"/>
              </w:rPr>
              <w:t>— $</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60" w:type="dxa"/>
            <w:vAlign w:val="bottom"/>
            <w:shd w:val="clear" w:color="auto" w:fill="CCEEFF"/>
          </w:tcPr>
          <w:p>
            <w:pPr>
              <w:jc w:val="center"/>
              <w:spacing w:after="0" w:line="166" w:lineRule="exact"/>
              <w:rPr>
                <w:sz w:val="20"/>
                <w:szCs w:val="20"/>
                <w:color w:val="auto"/>
              </w:rPr>
            </w:pPr>
            <w:r>
              <w:rPr>
                <w:rFonts w:ascii="Arial" w:cs="Arial" w:eastAsia="Arial" w:hAnsi="Arial"/>
                <w:sz w:val="16"/>
                <w:szCs w:val="16"/>
                <w:color w:val="auto"/>
                <w:w w:val="90"/>
              </w:rPr>
              <w:t>Discounted Cash</w:t>
            </w:r>
          </w:p>
        </w:tc>
        <w:tc>
          <w:tcPr>
            <w:tcW w:w="1780" w:type="dxa"/>
            <w:vAlign w:val="bottom"/>
            <w:shd w:val="clear" w:color="auto" w:fill="CCEEFF"/>
          </w:tcPr>
          <w:p>
            <w:pPr>
              <w:jc w:val="center"/>
              <w:ind w:right="75"/>
              <w:spacing w:after="0" w:line="166" w:lineRule="exact"/>
              <w:rPr>
                <w:sz w:val="20"/>
                <w:szCs w:val="20"/>
                <w:color w:val="auto"/>
              </w:rPr>
            </w:pPr>
            <w:r>
              <w:rPr>
                <w:rFonts w:ascii="Arial" w:cs="Arial" w:eastAsia="Arial" w:hAnsi="Arial"/>
                <w:sz w:val="16"/>
                <w:szCs w:val="16"/>
                <w:color w:val="auto"/>
                <w:w w:val="92"/>
              </w:rPr>
              <w:t>Forward Market Price</w:t>
            </w:r>
          </w:p>
        </w:tc>
        <w:tc>
          <w:tcPr>
            <w:tcW w:w="1200" w:type="dxa"/>
            <w:vAlign w:val="bottom"/>
            <w:vMerge w:val="restart"/>
            <w:shd w:val="clear" w:color="auto" w:fill="CCEEFF"/>
          </w:tcPr>
          <w:p>
            <w:pPr>
              <w:jc w:val="right"/>
              <w:ind w:right="36"/>
              <w:spacing w:after="0"/>
              <w:rPr>
                <w:sz w:val="20"/>
                <w:szCs w:val="20"/>
                <w:color w:val="auto"/>
              </w:rPr>
            </w:pPr>
            <w:r>
              <w:rPr>
                <w:rFonts w:ascii="Arial" w:cs="Arial" w:eastAsia="Arial" w:hAnsi="Arial"/>
                <w:sz w:val="16"/>
                <w:szCs w:val="16"/>
                <w:color w:val="auto"/>
              </w:rPr>
              <w:t>12.11</w:t>
            </w:r>
          </w:p>
        </w:tc>
        <w:tc>
          <w:tcPr>
            <w:tcW w:w="1400" w:type="dxa"/>
            <w:vAlign w:val="bottom"/>
            <w:vMerge w:val="restart"/>
            <w:shd w:val="clear" w:color="auto" w:fill="CCEEFF"/>
          </w:tcPr>
          <w:p>
            <w:pPr>
              <w:jc w:val="right"/>
              <w:ind w:right="93"/>
              <w:spacing w:after="0"/>
              <w:rPr>
                <w:sz w:val="20"/>
                <w:szCs w:val="20"/>
                <w:color w:val="auto"/>
              </w:rPr>
            </w:pPr>
            <w:r>
              <w:rPr>
                <w:rFonts w:ascii="Arial" w:cs="Arial" w:eastAsia="Arial" w:hAnsi="Arial"/>
                <w:sz w:val="16"/>
                <w:szCs w:val="16"/>
                <w:color w:val="auto"/>
              </w:rPr>
              <w:t>42.96</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21.55</w:t>
            </w:r>
          </w:p>
        </w:tc>
        <w:tc>
          <w:tcPr>
            <w:tcW w:w="0" w:type="dxa"/>
            <w:vAlign w:val="bottom"/>
          </w:tcPr>
          <w:p>
            <w:pPr>
              <w:spacing w:after="0"/>
              <w:rPr>
                <w:sz w:val="1"/>
                <w:szCs w:val="1"/>
                <w:color w:val="auto"/>
              </w:rPr>
            </w:pPr>
          </w:p>
        </w:tc>
      </w:tr>
      <w:tr>
        <w:trPr>
          <w:trHeight w:val="212"/>
        </w:trPr>
        <w:tc>
          <w:tcPr>
            <w:tcW w:w="17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Flow</w:t>
            </w:r>
          </w:p>
        </w:tc>
        <w:tc>
          <w:tcPr>
            <w:tcW w:w="1780" w:type="dxa"/>
            <w:vAlign w:val="bottom"/>
            <w:shd w:val="clear" w:color="auto" w:fill="CCEEFF"/>
          </w:tcPr>
          <w:p>
            <w:pPr>
              <w:jc w:val="center"/>
              <w:ind w:right="75"/>
              <w:spacing w:after="0"/>
              <w:rPr>
                <w:sz w:val="20"/>
                <w:szCs w:val="20"/>
                <w:color w:val="auto"/>
              </w:rPr>
            </w:pPr>
            <w:r>
              <w:rPr>
                <w:rFonts w:ascii="Arial" w:cs="Arial" w:eastAsia="Arial" w:hAnsi="Arial"/>
                <w:sz w:val="16"/>
                <w:szCs w:val="16"/>
                <w:color w:val="auto"/>
                <w:w w:val="97"/>
              </w:rPr>
              <w:t>(per MWh)</w:t>
            </w:r>
          </w:p>
        </w:tc>
        <w:tc>
          <w:tcPr>
            <w:tcW w:w="1200" w:type="dxa"/>
            <w:vAlign w:val="bottom"/>
            <w:vMerge w:val="continue"/>
            <w:shd w:val="clear" w:color="auto" w:fill="CCEEFF"/>
          </w:tcPr>
          <w:p>
            <w:pPr>
              <w:spacing w:after="0"/>
              <w:rPr>
                <w:sz w:val="18"/>
                <w:szCs w:val="18"/>
                <w:color w:val="auto"/>
              </w:rPr>
            </w:pPr>
          </w:p>
        </w:tc>
        <w:tc>
          <w:tcPr>
            <w:tcW w:w="1400" w:type="dxa"/>
            <w:vAlign w:val="bottom"/>
            <w:vMerge w:val="continue"/>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780" w:type="dxa"/>
            <w:vAlign w:val="bottom"/>
          </w:tcPr>
          <w:p>
            <w:pPr>
              <w:jc w:val="center"/>
              <w:ind w:right="75"/>
              <w:spacing w:after="0" w:line="166" w:lineRule="exact"/>
              <w:rPr>
                <w:sz w:val="20"/>
                <w:szCs w:val="20"/>
                <w:color w:val="auto"/>
              </w:rPr>
            </w:pPr>
            <w:r>
              <w:rPr>
                <w:rFonts w:ascii="Arial" w:cs="Arial" w:eastAsia="Arial" w:hAnsi="Arial"/>
                <w:sz w:val="16"/>
                <w:szCs w:val="16"/>
                <w:color w:val="auto"/>
                <w:w w:val="88"/>
              </w:rPr>
              <w:t>Forecast annual</w:t>
            </w: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Financial</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60" w:type="dxa"/>
            <w:vAlign w:val="bottom"/>
            <w:vMerge w:val="restart"/>
          </w:tcPr>
          <w:p>
            <w:pPr>
              <w:jc w:val="center"/>
              <w:spacing w:after="0"/>
              <w:rPr>
                <w:sz w:val="20"/>
                <w:szCs w:val="20"/>
                <w:color w:val="auto"/>
              </w:rPr>
            </w:pPr>
            <w:r>
              <w:rPr>
                <w:rFonts w:ascii="Arial" w:cs="Arial" w:eastAsia="Arial" w:hAnsi="Arial"/>
                <w:sz w:val="16"/>
                <w:szCs w:val="16"/>
                <w:color w:val="auto"/>
                <w:w w:val="90"/>
              </w:rPr>
              <w:t>Discounted Cash</w:t>
            </w:r>
          </w:p>
        </w:tc>
        <w:tc>
          <w:tcPr>
            <w:tcW w:w="1780" w:type="dxa"/>
            <w:vAlign w:val="bottom"/>
          </w:tcPr>
          <w:p>
            <w:pPr>
              <w:jc w:val="center"/>
              <w:ind w:right="95"/>
              <w:spacing w:after="0" w:line="162" w:lineRule="exact"/>
              <w:rPr>
                <w:sz w:val="20"/>
                <w:szCs w:val="20"/>
                <w:color w:val="auto"/>
              </w:rPr>
            </w:pPr>
            <w:r>
              <w:rPr>
                <w:rFonts w:ascii="Arial" w:cs="Arial" w:eastAsia="Arial" w:hAnsi="Arial"/>
                <w:sz w:val="16"/>
                <w:szCs w:val="16"/>
                <w:color w:val="auto"/>
                <w:w w:val="92"/>
              </w:rPr>
              <w:t>generation levels of</w:t>
            </w: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740" w:type="dxa"/>
            <w:vAlign w:val="bottom"/>
            <w:vMerge w:val="continue"/>
          </w:tcPr>
          <w:p>
            <w:pPr>
              <w:spacing w:after="0"/>
              <w:rPr>
                <w:sz w:val="13"/>
                <w:szCs w:val="13"/>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280" w:type="dxa"/>
            <w:vAlign w:val="bottom"/>
            <w:vMerge w:val="restart"/>
          </w:tcPr>
          <w:p>
            <w:pPr>
              <w:ind w:left="780"/>
              <w:spacing w:after="0"/>
              <w:rPr>
                <w:sz w:val="20"/>
                <w:szCs w:val="20"/>
                <w:color w:val="auto"/>
              </w:rPr>
            </w:pPr>
            <w:r>
              <w:rPr>
                <w:rFonts w:ascii="Arial" w:cs="Arial" w:eastAsia="Arial" w:hAnsi="Arial"/>
                <w:sz w:val="16"/>
                <w:szCs w:val="16"/>
                <w:color w:val="auto"/>
              </w:rPr>
              <w:t>27 $</w:t>
            </w:r>
          </w:p>
        </w:tc>
        <w:tc>
          <w:tcPr>
            <w:tcW w:w="1120" w:type="dxa"/>
            <w:vAlign w:val="bottom"/>
            <w:vMerge w:val="restart"/>
          </w:tcPr>
          <w:p>
            <w:pPr>
              <w:jc w:val="center"/>
              <w:ind w:left="635"/>
              <w:spacing w:after="0"/>
              <w:rPr>
                <w:sz w:val="20"/>
                <w:szCs w:val="20"/>
                <w:color w:val="auto"/>
              </w:rPr>
            </w:pPr>
            <w:r>
              <w:rPr>
                <w:rFonts w:ascii="Arial" w:cs="Arial" w:eastAsia="Arial" w:hAnsi="Arial"/>
                <w:sz w:val="16"/>
                <w:szCs w:val="16"/>
                <w:color w:val="auto"/>
                <w:w w:val="99"/>
              </w:rPr>
              <w:t>—</w:t>
            </w:r>
          </w:p>
        </w:tc>
        <w:tc>
          <w:tcPr>
            <w:tcW w:w="1260" w:type="dxa"/>
            <w:vAlign w:val="bottom"/>
            <w:vMerge w:val="continue"/>
          </w:tcPr>
          <w:p>
            <w:pPr>
              <w:spacing w:after="0"/>
              <w:rPr>
                <w:sz w:val="13"/>
                <w:szCs w:val="13"/>
                <w:color w:val="auto"/>
              </w:rPr>
            </w:pPr>
          </w:p>
        </w:tc>
        <w:tc>
          <w:tcPr>
            <w:tcW w:w="1780" w:type="dxa"/>
            <w:vAlign w:val="bottom"/>
          </w:tcPr>
          <w:p>
            <w:pPr>
              <w:jc w:val="center"/>
              <w:ind w:right="75"/>
              <w:spacing w:after="0" w:line="158" w:lineRule="exact"/>
              <w:rPr>
                <w:sz w:val="20"/>
                <w:szCs w:val="20"/>
                <w:color w:val="auto"/>
              </w:rPr>
            </w:pPr>
            <w:r>
              <w:rPr>
                <w:rFonts w:ascii="Arial" w:cs="Arial" w:eastAsia="Arial" w:hAnsi="Arial"/>
                <w:sz w:val="16"/>
                <w:szCs w:val="16"/>
                <w:color w:val="auto"/>
                <w:w w:val="91"/>
              </w:rPr>
              <w:t>certain DG solar</w:t>
            </w:r>
          </w:p>
        </w:tc>
        <w:tc>
          <w:tcPr>
            <w:tcW w:w="2600" w:type="dxa"/>
            <w:vAlign w:val="bottom"/>
            <w:gridSpan w:val="2"/>
            <w:vMerge w:val="restart"/>
          </w:tcPr>
          <w:p>
            <w:pPr>
              <w:jc w:val="right"/>
              <w:ind w:right="353"/>
              <w:spacing w:after="0"/>
              <w:rPr>
                <w:sz w:val="20"/>
                <w:szCs w:val="20"/>
                <w:color w:val="auto"/>
              </w:rPr>
            </w:pPr>
            <w:r>
              <w:rPr>
                <w:rFonts w:ascii="Arial" w:cs="Arial" w:eastAsia="Arial" w:hAnsi="Arial"/>
                <w:sz w:val="16"/>
                <w:szCs w:val="16"/>
                <w:color w:val="auto"/>
              </w:rPr>
              <w:t>80,872 MWh 131,374 MWh</w:t>
            </w:r>
          </w:p>
        </w:tc>
        <w:tc>
          <w:tcPr>
            <w:tcW w:w="1220" w:type="dxa"/>
            <w:vAlign w:val="bottom"/>
            <w:vMerge w:val="restart"/>
          </w:tcPr>
          <w:p>
            <w:pPr>
              <w:ind w:left="260"/>
              <w:spacing w:after="0"/>
              <w:rPr>
                <w:sz w:val="20"/>
                <w:szCs w:val="20"/>
                <w:color w:val="auto"/>
              </w:rPr>
            </w:pPr>
            <w:r>
              <w:rPr>
                <w:rFonts w:ascii="Arial" w:cs="Arial" w:eastAsia="Arial" w:hAnsi="Arial"/>
                <w:sz w:val="16"/>
                <w:szCs w:val="16"/>
                <w:color w:val="auto"/>
                <w:w w:val="94"/>
              </w:rPr>
              <w:t>126,063 MWh</w:t>
            </w:r>
          </w:p>
        </w:tc>
        <w:tc>
          <w:tcPr>
            <w:tcW w:w="0" w:type="dxa"/>
            <w:vAlign w:val="bottom"/>
          </w:tcPr>
          <w:p>
            <w:pPr>
              <w:spacing w:after="0"/>
              <w:rPr>
                <w:sz w:val="1"/>
                <w:szCs w:val="1"/>
                <w:color w:val="auto"/>
              </w:rPr>
            </w:pPr>
          </w:p>
        </w:tc>
      </w:tr>
      <w:tr>
        <w:trPr>
          <w:trHeight w:val="210"/>
        </w:trPr>
        <w:tc>
          <w:tcPr>
            <w:tcW w:w="174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Flow</w:t>
            </w:r>
          </w:p>
        </w:tc>
        <w:tc>
          <w:tcPr>
            <w:tcW w:w="1780" w:type="dxa"/>
            <w:vAlign w:val="bottom"/>
          </w:tcPr>
          <w:p>
            <w:pPr>
              <w:jc w:val="center"/>
              <w:ind w:right="95"/>
              <w:spacing w:after="0"/>
              <w:rPr>
                <w:sz w:val="20"/>
                <w:szCs w:val="20"/>
                <w:color w:val="auto"/>
              </w:rPr>
            </w:pPr>
            <w:r>
              <w:rPr>
                <w:rFonts w:ascii="Arial" w:cs="Arial" w:eastAsia="Arial" w:hAnsi="Arial"/>
                <w:sz w:val="16"/>
                <w:szCs w:val="16"/>
                <w:color w:val="auto"/>
                <w:w w:val="98"/>
              </w:rPr>
              <w:t>facilities</w:t>
            </w:r>
          </w:p>
        </w:tc>
        <w:tc>
          <w:tcPr>
            <w:tcW w:w="2600" w:type="dxa"/>
            <w:vAlign w:val="bottom"/>
            <w:gridSpan w:val="2"/>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provides sensitivity of fair value measurements to increases/(decreases) in significant unobservable inputs as of March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Significant Observable Input</w:t>
            </w:r>
          </w:p>
        </w:tc>
        <w:tc>
          <w:tcPr>
            <w:tcW w:w="20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87"/>
              </w:rPr>
              <w:t>Position</w:t>
            </w:r>
          </w:p>
        </w:tc>
        <w:tc>
          <w:tcPr>
            <w:tcW w:w="2340" w:type="dxa"/>
            <w:vAlign w:val="bottom"/>
            <w:vMerge w:val="restart"/>
          </w:tcPr>
          <w:p>
            <w:pPr>
              <w:jc w:val="center"/>
              <w:ind w:left="170"/>
              <w:spacing w:after="0"/>
              <w:rPr>
                <w:sz w:val="20"/>
                <w:szCs w:val="20"/>
                <w:color w:val="auto"/>
              </w:rPr>
            </w:pPr>
            <w:r>
              <w:rPr>
                <w:rFonts w:ascii="Arial" w:cs="Arial" w:eastAsia="Arial" w:hAnsi="Arial"/>
                <w:sz w:val="18"/>
                <w:szCs w:val="18"/>
                <w:b w:val="1"/>
                <w:bCs w:val="1"/>
                <w:color w:val="auto"/>
                <w:w w:val="94"/>
              </w:rPr>
              <w:t>Change In Input</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3"/>
              </w:rPr>
              <w:t>Impact on Fair Value</w:t>
            </w:r>
          </w:p>
        </w:tc>
        <w:tc>
          <w:tcPr>
            <w:tcW w:w="0" w:type="dxa"/>
            <w:vAlign w:val="bottom"/>
          </w:tcPr>
          <w:p>
            <w:pPr>
              <w:spacing w:after="0"/>
              <w:rPr>
                <w:sz w:val="1"/>
                <w:szCs w:val="1"/>
                <w:color w:val="auto"/>
              </w:rPr>
            </w:pPr>
          </w:p>
        </w:tc>
      </w:tr>
      <w:tr>
        <w:trPr>
          <w:trHeight w:val="229"/>
        </w:trPr>
        <w:tc>
          <w:tcPr>
            <w:tcW w:w="4000" w:type="dxa"/>
            <w:vAlign w:val="bottom"/>
            <w:tcBorders>
              <w:bottom w:val="single" w:sz="8" w:color="auto"/>
            </w:tcBorders>
            <w:vMerge w:val="continue"/>
          </w:tcPr>
          <w:p>
            <w:pPr>
              <w:spacing w:after="0"/>
              <w:rPr>
                <w:sz w:val="19"/>
                <w:szCs w:val="19"/>
                <w:color w:val="auto"/>
              </w:rPr>
            </w:pPr>
          </w:p>
        </w:tc>
        <w:tc>
          <w:tcPr>
            <w:tcW w:w="2040" w:type="dxa"/>
            <w:vAlign w:val="bottom"/>
            <w:tcBorders>
              <w:bottom w:val="single" w:sz="8" w:color="auto"/>
            </w:tcBorders>
            <w:vMerge w:val="continue"/>
          </w:tcPr>
          <w:p>
            <w:pPr>
              <w:spacing w:after="0"/>
              <w:rPr>
                <w:sz w:val="19"/>
                <w:szCs w:val="19"/>
                <w:color w:val="auto"/>
              </w:rPr>
            </w:pPr>
          </w:p>
        </w:tc>
        <w:tc>
          <w:tcPr>
            <w:tcW w:w="2340" w:type="dxa"/>
            <w:vAlign w:val="bottom"/>
            <w:tcBorders>
              <w:bottom w:val="single" w:sz="8" w:color="auto"/>
            </w:tcBorders>
            <w:vMerge w:val="continue"/>
          </w:tcPr>
          <w:p>
            <w:pPr>
              <w:spacing w:after="0"/>
              <w:rPr>
                <w:sz w:val="19"/>
                <w:szCs w:val="19"/>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Measurement</w:t>
            </w:r>
          </w:p>
        </w:tc>
        <w:tc>
          <w:tcPr>
            <w:tcW w:w="0" w:type="dxa"/>
            <w:vAlign w:val="bottom"/>
          </w:tcPr>
          <w:p>
            <w:pPr>
              <w:spacing w:after="0"/>
              <w:rPr>
                <w:sz w:val="1"/>
                <w:szCs w:val="1"/>
                <w:color w:val="auto"/>
              </w:rPr>
            </w:pPr>
          </w:p>
        </w:tc>
      </w:tr>
      <w:tr>
        <w:trPr>
          <w:trHeight w:val="223"/>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Forward Market Price Power</w:t>
            </w:r>
          </w:p>
        </w:tc>
        <w:tc>
          <w:tcPr>
            <w:tcW w:w="20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6"/>
              </w:rPr>
              <w:t>Buy</w:t>
            </w:r>
          </w:p>
        </w:tc>
        <w:tc>
          <w:tcPr>
            <w:tcW w:w="23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r>
        <w:trPr>
          <w:trHeight w:val="229"/>
        </w:trPr>
        <w:tc>
          <w:tcPr>
            <w:tcW w:w="4000" w:type="dxa"/>
            <w:vAlign w:val="bottom"/>
          </w:tcPr>
          <w:p>
            <w:pPr>
              <w:jc w:val="center"/>
              <w:spacing w:after="0"/>
              <w:rPr>
                <w:sz w:val="20"/>
                <w:szCs w:val="20"/>
                <w:color w:val="auto"/>
              </w:rPr>
            </w:pPr>
            <w:r>
              <w:rPr>
                <w:rFonts w:ascii="Arial" w:cs="Arial" w:eastAsia="Arial" w:hAnsi="Arial"/>
                <w:sz w:val="18"/>
                <w:szCs w:val="18"/>
                <w:color w:val="auto"/>
                <w:w w:val="91"/>
              </w:rPr>
              <w:t>Forward Market Price Power</w:t>
            </w:r>
          </w:p>
        </w:tc>
        <w:tc>
          <w:tcPr>
            <w:tcW w:w="2040" w:type="dxa"/>
            <w:vAlign w:val="bottom"/>
          </w:tcPr>
          <w:p>
            <w:pPr>
              <w:jc w:val="center"/>
              <w:ind w:left="190"/>
              <w:spacing w:after="0"/>
              <w:rPr>
                <w:sz w:val="20"/>
                <w:szCs w:val="20"/>
                <w:color w:val="auto"/>
              </w:rPr>
            </w:pPr>
            <w:r>
              <w:rPr>
                <w:rFonts w:ascii="Arial" w:cs="Arial" w:eastAsia="Arial" w:hAnsi="Arial"/>
                <w:sz w:val="18"/>
                <w:szCs w:val="18"/>
                <w:color w:val="auto"/>
                <w:w w:val="93"/>
              </w:rPr>
              <w:t>Sell</w:t>
            </w:r>
          </w:p>
        </w:tc>
        <w:tc>
          <w:tcPr>
            <w:tcW w:w="2340" w:type="dxa"/>
            <w:vAlign w:val="bottom"/>
          </w:tcPr>
          <w:p>
            <w:pPr>
              <w:jc w:val="center"/>
              <w:ind w:left="150"/>
              <w:spacing w:after="0"/>
              <w:rPr>
                <w:sz w:val="20"/>
                <w:szCs w:val="20"/>
                <w:color w:val="auto"/>
              </w:rPr>
            </w:pPr>
            <w:r>
              <w:rPr>
                <w:rFonts w:ascii="Arial" w:cs="Arial" w:eastAsia="Arial" w:hAnsi="Arial"/>
                <w:sz w:val="18"/>
                <w:szCs w:val="18"/>
                <w:color w:val="auto"/>
                <w:w w:val="87"/>
              </w:rPr>
              <w:t>Increase/(Decrease)</w:t>
            </w: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Lower/(Higher)</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Forecast Generation Levels</w:t>
            </w:r>
          </w:p>
        </w:tc>
        <w:tc>
          <w:tcPr>
            <w:tcW w:w="2040" w:type="dxa"/>
            <w:vAlign w:val="bottom"/>
            <w:shd w:val="clear" w:color="auto" w:fill="CCEEFF"/>
          </w:tcPr>
          <w:p>
            <w:pPr>
              <w:jc w:val="center"/>
              <w:ind w:left="190"/>
              <w:spacing w:after="0"/>
              <w:rPr>
                <w:sz w:val="20"/>
                <w:szCs w:val="20"/>
                <w:color w:val="auto"/>
              </w:rPr>
            </w:pPr>
            <w:r>
              <w:rPr>
                <w:rFonts w:ascii="Arial" w:cs="Arial" w:eastAsia="Arial" w:hAnsi="Arial"/>
                <w:sz w:val="18"/>
                <w:szCs w:val="18"/>
                <w:color w:val="auto"/>
                <w:w w:val="93"/>
              </w:rPr>
              <w:t>Sell</w:t>
            </w:r>
          </w:p>
        </w:tc>
        <w:tc>
          <w:tcPr>
            <w:tcW w:w="234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7"/>
              </w:rPr>
              <w:t>Increase/(Decrease)</w:t>
            </w: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Higher/(Lower)</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March 31, 2021, the non-performance reserve was a $4 million gain recorded primarily to total operating revenues in the consolidated statement of operations. It is possible that future market prices could vary from those used in recording assets and liabilities and such variations could be material.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addition to the credit risk discussion as disclosed under Item 15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w:t>
      </w:r>
      <w:r>
        <w:rPr>
          <w:rFonts w:ascii="Arial" w:cs="Arial" w:eastAsia="Arial" w:hAnsi="Arial"/>
          <w:sz w:val="18"/>
          <w:szCs w:val="18"/>
          <w:color w:val="231F20"/>
        </w:rPr>
        <w:t>to the consolidated</w:t>
      </w:r>
      <w:r>
        <w:rPr>
          <w:rFonts w:ascii="Arial" w:cs="Arial" w:eastAsia="Arial" w:hAnsi="Arial"/>
          <w:sz w:val="18"/>
          <w:szCs w:val="18"/>
          <w:color w:val="auto"/>
        </w:rPr>
        <w:t xml:space="preserve"> </w:t>
      </w:r>
      <w:r>
        <w:rPr>
          <w:rFonts w:ascii="Arial" w:cs="Arial" w:eastAsia="Arial" w:hAnsi="Arial"/>
          <w:sz w:val="18"/>
          <w:szCs w:val="18"/>
          <w:color w:val="231F20"/>
        </w:rPr>
        <w:t xml:space="preserve">financial </w:t>
      </w:r>
      <w:r>
        <w:rPr>
          <w:rFonts w:ascii="Arial" w:cs="Arial" w:eastAsia="Arial" w:hAnsi="Arial"/>
          <w:sz w:val="18"/>
          <w:szCs w:val="18"/>
          <w:color w:val="000000"/>
        </w:rPr>
        <w:t>statements</w:t>
      </w:r>
      <w:r>
        <w:rPr>
          <w:rFonts w:ascii="Arial" w:cs="Arial" w:eastAsia="Arial" w:hAnsi="Arial"/>
          <w:sz w:val="18"/>
          <w:szCs w:val="18"/>
          <w:color w:val="231F20"/>
        </w:rPr>
        <w:t xml:space="preserve"> included in the Company's </w:t>
      </w:r>
      <w:r>
        <w:rPr>
          <w:rFonts w:ascii="Arial" w:cs="Arial" w:eastAsia="Arial" w:hAnsi="Arial"/>
          <w:sz w:val="18"/>
          <w:szCs w:val="18"/>
          <w:color w:val="000000"/>
        </w:rPr>
        <w:t>2020 Form 10-K, the following item is a discussion of the concentration of credit risk for the Company's</w:t>
      </w:r>
      <w:r>
        <w:rPr>
          <w:rFonts w:ascii="Arial" w:cs="Arial" w:eastAsia="Arial" w:hAnsi="Arial"/>
          <w:sz w:val="18"/>
          <w:szCs w:val="18"/>
          <w:color w:val="231F20"/>
        </w:rPr>
        <w:t xml:space="preserve"> </w:t>
      </w:r>
      <w:r>
        <w:rPr>
          <w:rFonts w:ascii="Arial" w:cs="Arial" w:eastAsia="Arial" w:hAnsi="Arial"/>
          <w:sz w:val="18"/>
          <w:szCs w:val="18"/>
          <w:color w:val="000000"/>
        </w:rPr>
        <w:t>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 on as needed basis; (iii) as applicable, 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4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 xml:space="preserve">Note 6 — </w:t>
      </w:r>
      <w:r>
        <w:rPr>
          <w:rFonts w:ascii="Arial" w:cs="Arial" w:eastAsia="Arial" w:hAnsi="Arial"/>
          <w:sz w:val="18"/>
          <w:szCs w:val="18"/>
          <w:b w:val="1"/>
          <w:bCs w:val="1"/>
          <w:i w:val="1"/>
          <w:iCs w:val="1"/>
          <w:color w:val="auto"/>
        </w:rPr>
        <w:t>Derivative Instruments and Hedging Activities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 xml:space="preserve">This footnote should be read in conjunction with the complete description under Item 15 — Note 7, </w:t>
      </w:r>
      <w:r>
        <w:rPr>
          <w:rFonts w:ascii="Arial" w:cs="Arial" w:eastAsia="Arial" w:hAnsi="Arial"/>
          <w:sz w:val="18"/>
          <w:szCs w:val="18"/>
          <w:i w:val="1"/>
          <w:iCs w:val="1"/>
          <w:color w:val="auto"/>
        </w:rPr>
        <w:t>Accounting for Derivative Instruments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Hedging Activities</w:t>
      </w:r>
      <w:r>
        <w:rPr>
          <w:rFonts w:ascii="Arial" w:cs="Arial" w:eastAsia="Arial" w:hAnsi="Arial"/>
          <w:sz w:val="18"/>
          <w:szCs w:val="18"/>
          <w:i w:val="1"/>
          <w:iCs w:val="1"/>
          <w:color w:val="231F20"/>
        </w:rPr>
        <w:t>,</w:t>
      </w:r>
      <w:r>
        <w:rPr>
          <w:rFonts w:ascii="Arial" w:cs="Arial" w:eastAsia="Arial" w:hAnsi="Arial"/>
          <w:sz w:val="18"/>
          <w:szCs w:val="18"/>
          <w:i w:val="1"/>
          <w:iCs w:val="1"/>
          <w:color w:val="auto"/>
        </w:rPr>
        <w:t xml:space="preserve"> </w:t>
      </w:r>
      <w:r>
        <w:rPr>
          <w:rFonts w:ascii="Arial" w:cs="Arial" w:eastAsia="Arial" w:hAnsi="Arial"/>
          <w:sz w:val="18"/>
          <w:szCs w:val="18"/>
          <w:color w:val="231F20"/>
        </w:rPr>
        <w:t>to the consolidated financial statements included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17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Company enters into interest rate swap agreements in order to hedge the variability of expected future cash interest payments. As of March 31, 2021, the Company had interest rate derivative instruments on non-recourse debt extending through 2044, a portion of which were designated as cash flow hedges. Under the interest rate swap agreements, the Company pays a fixed rate and the counterparties to the agreements pay a variable interest rate.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Energy-Related Commodities</w:t>
      </w:r>
    </w:p>
    <w:p>
      <w:pPr>
        <w:spacing w:after="0" w:line="17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March 31, 2021, the Company had energy-related derivative instruments extending through 2032. At March 31, 2021, these contracts were not designated as cash flow or fair value hedges.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Volumetric Underlying Derivative Transactions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the net notional volume buy/(sell) of the Company's open derivative transactions broken out by commodity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4"/>
                <w:szCs w:val="14"/>
                <w:b w:val="1"/>
                <w:bCs w:val="1"/>
                <w:color w:val="auto"/>
                <w:w w:val="93"/>
              </w:rPr>
              <w:t>Total Volume</w:t>
            </w:r>
          </w:p>
        </w:tc>
      </w:t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March 31, 2021</w:t>
            </w:r>
          </w:p>
        </w:tc>
        <w:tc>
          <w:tcPr>
            <w:tcW w:w="3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w w:val="91"/>
              </w:rPr>
              <w:t>December 31, 2020</w:t>
            </w:r>
          </w:p>
        </w:tc>
      </w:tr>
      <w:tr>
        <w:trPr>
          <w:trHeight w:val="145"/>
        </w:trPr>
        <w:tc>
          <w:tcPr>
            <w:tcW w:w="20" w:type="dxa"/>
            <w:vAlign w:val="bottom"/>
          </w:tcPr>
          <w:p>
            <w:pPr>
              <w:spacing w:after="0"/>
              <w:rPr>
                <w:sz w:val="12"/>
                <w:szCs w:val="12"/>
                <w:color w:val="auto"/>
              </w:rPr>
            </w:pPr>
          </w:p>
        </w:tc>
        <w:tc>
          <w:tcPr>
            <w:tcW w:w="132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Commodity</w:t>
            </w:r>
          </w:p>
        </w:tc>
        <w:tc>
          <w:tcPr>
            <w:tcW w:w="606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2"/>
                <w:szCs w:val="12"/>
                <w:color w:val="auto"/>
              </w:rPr>
            </w:pPr>
          </w:p>
        </w:tc>
        <w:tc>
          <w:tcPr>
            <w:tcW w:w="2000" w:type="dxa"/>
            <w:vAlign w:val="bottom"/>
            <w:gridSpan w:val="2"/>
          </w:tcPr>
          <w:p>
            <w:pPr>
              <w:jc w:val="center"/>
              <w:ind w:left="1159"/>
              <w:spacing w:after="0" w:line="145" w:lineRule="exact"/>
              <w:rPr>
                <w:sz w:val="20"/>
                <w:szCs w:val="20"/>
                <w:color w:val="auto"/>
              </w:rPr>
            </w:pPr>
            <w:r>
              <w:rPr>
                <w:rFonts w:ascii="Arial" w:cs="Arial" w:eastAsia="Arial" w:hAnsi="Arial"/>
                <w:sz w:val="14"/>
                <w:szCs w:val="14"/>
                <w:b w:val="1"/>
                <w:bCs w:val="1"/>
                <w:color w:val="auto"/>
                <w:w w:val="96"/>
              </w:rPr>
              <w:t>(In millions)</w:t>
            </w:r>
          </w:p>
        </w:tc>
        <w:tc>
          <w:tcPr>
            <w:tcW w:w="15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Natural Gas</w:t>
            </w: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MMBtu</w:t>
            </w:r>
          </w:p>
        </w:tc>
        <w:tc>
          <w:tcPr>
            <w:tcW w:w="28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w:t>
            </w:r>
          </w:p>
        </w:tc>
        <w:tc>
          <w:tcPr>
            <w:tcW w:w="3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1320" w:type="dxa"/>
            <w:vAlign w:val="bottom"/>
            <w:gridSpan w:val="2"/>
          </w:tcPr>
          <w:p>
            <w:pPr>
              <w:spacing w:after="0"/>
              <w:rPr>
                <w:sz w:val="20"/>
                <w:szCs w:val="20"/>
                <w:color w:val="auto"/>
              </w:rPr>
            </w:pPr>
            <w:r>
              <w:rPr>
                <w:rFonts w:ascii="Arial" w:cs="Arial" w:eastAsia="Arial" w:hAnsi="Arial"/>
                <w:sz w:val="18"/>
                <w:szCs w:val="18"/>
                <w:color w:val="auto"/>
              </w:rPr>
              <w:t>Power</w:t>
            </w:r>
          </w:p>
        </w:tc>
        <w:tc>
          <w:tcPr>
            <w:tcW w:w="6060" w:type="dxa"/>
            <w:vAlign w:val="bottom"/>
            <w:gridSpan w:val="2"/>
          </w:tcPr>
          <w:p>
            <w:pPr>
              <w:spacing w:after="0"/>
              <w:rPr>
                <w:sz w:val="20"/>
                <w:szCs w:val="20"/>
                <w:color w:val="auto"/>
              </w:rPr>
            </w:pPr>
            <w:r>
              <w:rPr>
                <w:rFonts w:ascii="Arial" w:cs="Arial" w:eastAsia="Arial" w:hAnsi="Arial"/>
                <w:sz w:val="18"/>
                <w:szCs w:val="18"/>
                <w:color w:val="auto"/>
              </w:rPr>
              <w:t>MWh</w:t>
            </w:r>
          </w:p>
        </w:tc>
        <w:tc>
          <w:tcPr>
            <w:tcW w:w="2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w:t>
            </w:r>
          </w:p>
        </w:tc>
        <w:tc>
          <w:tcPr>
            <w:tcW w:w="3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Dollars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1,517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w:t>
            </w: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Fair Value of Derivative Instruments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within the derivative instrument valuation on the balance sheet:</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5"/>
              </w:rPr>
              <w:t>Fair Value</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87"/>
        </w:trPr>
        <w:tc>
          <w:tcPr>
            <w:tcW w:w="4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Derivative Assets</w:t>
            </w:r>
          </w:p>
        </w:tc>
        <w:tc>
          <w:tcPr>
            <w:tcW w:w="220" w:type="dxa"/>
            <w:vAlign w:val="bottom"/>
          </w:tcPr>
          <w:p>
            <w:pPr>
              <w:spacing w:after="0"/>
              <w:rPr>
                <w:sz w:val="16"/>
                <w:szCs w:val="16"/>
                <w:color w:val="auto"/>
              </w:rPr>
            </w:pPr>
          </w:p>
        </w:tc>
        <w:tc>
          <w:tcPr>
            <w:tcW w:w="3100" w:type="dxa"/>
            <w:vAlign w:val="bottom"/>
            <w:gridSpan w:val="4"/>
          </w:tcPr>
          <w:p>
            <w:pPr>
              <w:jc w:val="right"/>
              <w:ind w:right="932"/>
              <w:spacing w:after="0"/>
              <w:rPr>
                <w:sz w:val="20"/>
                <w:szCs w:val="20"/>
                <w:color w:val="auto"/>
              </w:rPr>
            </w:pPr>
            <w:r>
              <w:rPr>
                <w:rFonts w:ascii="Arial" w:cs="Arial" w:eastAsia="Arial" w:hAnsi="Arial"/>
                <w:sz w:val="14"/>
                <w:szCs w:val="14"/>
                <w:b w:val="1"/>
                <w:bCs w:val="1"/>
                <w:color w:val="auto"/>
              </w:rPr>
              <w:t>Derivative Liabilities</w:t>
            </w:r>
          </w:p>
        </w:tc>
      </w:tr>
      <w:tr>
        <w:trPr>
          <w:trHeight w:val="183"/>
        </w:trPr>
        <w:tc>
          <w:tcPr>
            <w:tcW w:w="480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300" w:type="dxa"/>
            <w:vAlign w:val="bottom"/>
            <w:tcBorders>
              <w:top w:val="single" w:sz="8" w:color="auto"/>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Borders>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52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March 31, 2021</w:t>
            </w:r>
          </w:p>
        </w:tc>
        <w:tc>
          <w:tcPr>
            <w:tcW w:w="26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r>
      <w:tr>
        <w:trPr>
          <w:trHeight w:val="182"/>
        </w:trPr>
        <w:tc>
          <w:tcPr>
            <w:tcW w:w="4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(In millions)</w:t>
            </w: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1"/>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Designated as Cash Flow Hedges:</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jc w:val="center"/>
              <w:ind w:right="3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3"/>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Derivatives Designated as Cash Flow Hedges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Not Designated as Cash Flow Hedges: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29"/>
        </w:trPr>
        <w:tc>
          <w:tcPr>
            <w:tcW w:w="4800" w:type="dxa"/>
            <w:vAlign w:val="bottom"/>
          </w:tcPr>
          <w:p>
            <w:pPr>
              <w:ind w:left="140"/>
              <w:spacing w:after="0"/>
              <w:rPr>
                <w:sz w:val="20"/>
                <w:szCs w:val="20"/>
                <w:color w:val="auto"/>
              </w:rPr>
            </w:pPr>
            <w:r>
              <w:rPr>
                <w:rFonts w:ascii="Arial" w:cs="Arial" w:eastAsia="Arial" w:hAnsi="Arial"/>
                <w:sz w:val="18"/>
                <w:szCs w:val="18"/>
                <w:color w:val="auto"/>
              </w:rPr>
              <w:t>Interest rate contracts current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rate contracts long-term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Commodity contracts current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4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Commodity contracts long-term</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w w:val="97"/>
              </w:rPr>
              <w:t>Total Derivatives Not Designated as Cash Flow Hedges</w:t>
            </w: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4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center"/>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has elected to present derivative assets and liabilities on the balance sheet on a trade-by-trade basis and does not offset amounts at the counterparty master agreement level. As of March 31, 2021 and December 31, 2020, there was no outstanding collateral paid or received. The following tables summarize the offsetting of derivatives by counterparty master agreement level as of March 31, 2021 and December 31, 2020:</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March 31, 2021</w:t>
            </w:r>
          </w:p>
        </w:tc>
        <w:tc>
          <w:tcPr>
            <w:tcW w:w="240" w:type="dxa"/>
            <w:vAlign w:val="bottom"/>
          </w:tcPr>
          <w:p>
            <w:pPr>
              <w:spacing w:after="0"/>
              <w:rPr>
                <w:sz w:val="14"/>
                <w:szCs w:val="1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14"/>
                <w:szCs w:val="1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14"/>
                <w:szCs w:val="1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assets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4"/>
        </w:trPr>
        <w:tc>
          <w:tcPr>
            <w:tcW w:w="552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As of December 31, 2020</w:t>
            </w:r>
          </w:p>
        </w:tc>
        <w:tc>
          <w:tcPr>
            <w:tcW w:w="240" w:type="dxa"/>
            <w:vAlign w:val="bottom"/>
          </w:tcPr>
          <w:p>
            <w:pPr>
              <w:spacing w:after="0"/>
              <w:rPr>
                <w:sz w:val="24"/>
                <w:szCs w:val="24"/>
                <w:color w:val="auto"/>
              </w:rPr>
            </w:pPr>
          </w:p>
        </w:tc>
        <w:tc>
          <w:tcPr>
            <w:tcW w:w="1700" w:type="dxa"/>
            <w:vAlign w:val="bottom"/>
            <w:gridSpan w:val="2"/>
          </w:tcPr>
          <w:p>
            <w:pPr>
              <w:ind w:left="120"/>
              <w:spacing w:after="0"/>
              <w:rPr>
                <w:sz w:val="20"/>
                <w:szCs w:val="20"/>
                <w:color w:val="auto"/>
              </w:rPr>
            </w:pPr>
            <w:r>
              <w:rPr>
                <w:rFonts w:ascii="Arial" w:cs="Arial" w:eastAsia="Arial" w:hAnsi="Arial"/>
                <w:sz w:val="14"/>
                <w:szCs w:val="14"/>
                <w:b w:val="1"/>
                <w:bCs w:val="1"/>
                <w:color w:val="auto"/>
              </w:rPr>
              <w:t>Gross Amounts of</w:t>
            </w:r>
          </w:p>
        </w:tc>
        <w:tc>
          <w:tcPr>
            <w:tcW w:w="160" w:type="dxa"/>
            <w:vAlign w:val="bottom"/>
          </w:tcPr>
          <w:p>
            <w:pPr>
              <w:spacing w:after="0"/>
              <w:rPr>
                <w:sz w:val="24"/>
                <w:szCs w:val="24"/>
                <w:color w:val="auto"/>
              </w:rPr>
            </w:pPr>
          </w:p>
        </w:tc>
        <w:tc>
          <w:tcPr>
            <w:tcW w:w="1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Derivative Instruments</w:t>
            </w:r>
          </w:p>
        </w:tc>
        <w:tc>
          <w:tcPr>
            <w:tcW w:w="320" w:type="dxa"/>
            <w:vAlign w:val="bottom"/>
          </w:tcPr>
          <w:p>
            <w:pPr>
              <w:spacing w:after="0"/>
              <w:rPr>
                <w:sz w:val="24"/>
                <w:szCs w:val="24"/>
                <w:color w:val="auto"/>
              </w:rPr>
            </w:pPr>
          </w:p>
        </w:tc>
        <w:tc>
          <w:tcPr>
            <w:tcW w:w="1500" w:type="dxa"/>
            <w:vAlign w:val="bottom"/>
            <w:vMerge w:val="restart"/>
          </w:tcPr>
          <w:p>
            <w:pPr>
              <w:jc w:val="right"/>
              <w:ind w:right="453"/>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84"/>
        </w:trPr>
        <w:tc>
          <w:tcPr>
            <w:tcW w:w="5520" w:type="dxa"/>
            <w:vAlign w:val="bottom"/>
            <w:vMerge w:val="continue"/>
          </w:tcPr>
          <w:p>
            <w:pPr>
              <w:spacing w:after="0"/>
              <w:rPr>
                <w:sz w:val="16"/>
                <w:szCs w:val="16"/>
                <w:color w:val="auto"/>
              </w:rPr>
            </w:pPr>
          </w:p>
        </w:tc>
        <w:tc>
          <w:tcPr>
            <w:tcW w:w="1940" w:type="dxa"/>
            <w:vAlign w:val="bottom"/>
            <w:gridSpan w:val="3"/>
          </w:tcPr>
          <w:p>
            <w:pPr>
              <w:ind w:left="40"/>
              <w:spacing w:after="0"/>
              <w:rPr>
                <w:sz w:val="20"/>
                <w:szCs w:val="20"/>
                <w:color w:val="auto"/>
              </w:rPr>
            </w:pPr>
            <w:r>
              <w:rPr>
                <w:rFonts w:ascii="Arial" w:cs="Arial" w:eastAsia="Arial" w:hAnsi="Arial"/>
                <w:sz w:val="14"/>
                <w:szCs w:val="14"/>
                <w:b w:val="1"/>
                <w:bCs w:val="1"/>
                <w:color w:val="auto"/>
                <w:w w:val="95"/>
              </w:rPr>
              <w:t>Recognized Assets/Liabilities</w:t>
            </w:r>
          </w:p>
        </w:tc>
        <w:tc>
          <w:tcPr>
            <w:tcW w:w="160" w:type="dxa"/>
            <w:vAlign w:val="bottom"/>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80"/>
              <w:spacing w:after="0"/>
              <w:rPr>
                <w:sz w:val="20"/>
                <w:szCs w:val="20"/>
                <w:color w:val="auto"/>
              </w:rPr>
            </w:pPr>
            <w:r>
              <w:rPr>
                <w:rFonts w:ascii="Arial" w:cs="Arial" w:eastAsia="Arial" w:hAnsi="Arial"/>
                <w:sz w:val="18"/>
                <w:szCs w:val="18"/>
                <w:b w:val="1"/>
                <w:bCs w:val="1"/>
                <w:color w:val="auto"/>
              </w:rPr>
              <w:t>Commodity contracts</w:t>
            </w: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commodity contracts</w:t>
            </w: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contracts:</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220"/>
              <w:spacing w:after="0"/>
              <w:rPr>
                <w:sz w:val="20"/>
                <w:szCs w:val="20"/>
                <w:color w:val="auto"/>
              </w:rPr>
            </w:pPr>
            <w:r>
              <w:rPr>
                <w:rFonts w:ascii="Arial" w:cs="Arial" w:eastAsia="Arial" w:hAnsi="Arial"/>
                <w:sz w:val="18"/>
                <w:szCs w:val="18"/>
                <w:color w:val="auto"/>
              </w:rPr>
              <w:t>Derivative assets</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liabilities</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3"/>
        </w:trPr>
        <w:tc>
          <w:tcPr>
            <w:tcW w:w="5520" w:type="dxa"/>
            <w:vAlign w:val="bottom"/>
            <w:tcBorders>
              <w:bottom w:val="single" w:sz="8" w:color="CCEEFF"/>
            </w:tcBorders>
          </w:tcPr>
          <w:p>
            <w:pPr>
              <w:ind w:left="80"/>
              <w:spacing w:after="0"/>
              <w:rPr>
                <w:sz w:val="20"/>
                <w:szCs w:val="20"/>
                <w:color w:val="auto"/>
              </w:rPr>
            </w:pPr>
            <w:r>
              <w:rPr>
                <w:rFonts w:ascii="Arial" w:cs="Arial" w:eastAsia="Arial" w:hAnsi="Arial"/>
                <w:sz w:val="18"/>
                <w:szCs w:val="18"/>
                <w:b w:val="1"/>
                <w:bCs w:val="1"/>
                <w:color w:val="auto"/>
              </w:rPr>
              <w:t>Total interest rate contracts</w:t>
            </w: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derivative instruments</w:t>
            </w: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summarizes the effects on the Company’s accumulated OCL balance attributable to interest rate swaps designated as cash flow hedge derivatives</w:t>
      </w:r>
      <w:r>
        <w:rPr>
          <w:rFonts w:ascii="Arial" w:cs="Arial" w:eastAsia="Arial" w:hAnsi="Arial"/>
          <w:sz w:val="18"/>
          <w:szCs w:val="18"/>
          <w:b w:val="1"/>
          <w:bCs w:val="1"/>
          <w:color w:val="auto"/>
        </w:rPr>
        <w: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52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72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r>
      <w:tr>
        <w:trPr>
          <w:trHeight w:val="183"/>
        </w:trPr>
        <w:tc>
          <w:tcPr>
            <w:tcW w:w="8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5"/>
                <w:szCs w:val="15"/>
                <w:color w:val="auto"/>
              </w:rPr>
            </w:pPr>
          </w:p>
        </w:tc>
      </w:tr>
      <w:tr>
        <w:trPr>
          <w:trHeight w:val="23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Accumulated OCL beginning balance</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8720" w:type="dxa"/>
            <w:vAlign w:val="bottom"/>
          </w:tcPr>
          <w:p>
            <w:pPr>
              <w:ind w:left="20"/>
              <w:spacing w:after="0"/>
              <w:rPr>
                <w:sz w:val="20"/>
                <w:szCs w:val="20"/>
                <w:color w:val="auto"/>
              </w:rPr>
            </w:pPr>
            <w:r>
              <w:rPr>
                <w:rFonts w:ascii="Arial" w:cs="Arial" w:eastAsia="Arial" w:hAnsi="Arial"/>
                <w:sz w:val="18"/>
                <w:szCs w:val="18"/>
                <w:color w:val="auto"/>
              </w:rPr>
              <w:t>Reclassified from accumulated OCL to income due to realization of previously deferred amounts</w:t>
            </w:r>
          </w:p>
        </w:tc>
        <w:tc>
          <w:tcPr>
            <w:tcW w:w="8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of cash flow hedge accounting contracts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OCL ending balance</w:t>
            </w:r>
          </w:p>
        </w:tc>
        <w:tc>
          <w:tcPr>
            <w:tcW w:w="8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8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OCL attributable to noncontrolling interests</w:t>
            </w:r>
          </w:p>
        </w:tc>
        <w:tc>
          <w:tcPr>
            <w:tcW w:w="8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140"/>
              <w:spacing w:after="0"/>
              <w:rPr>
                <w:sz w:val="20"/>
                <w:szCs w:val="20"/>
                <w:color w:val="auto"/>
              </w:rPr>
            </w:pPr>
            <w:r>
              <w:rPr>
                <w:rFonts w:ascii="Arial" w:cs="Arial" w:eastAsia="Arial" w:hAnsi="Arial"/>
                <w:sz w:val="18"/>
                <w:szCs w:val="18"/>
                <w:color w:val="auto"/>
              </w:rPr>
              <w:t>Accumulated OCL attributable to Clearway Energy, Inc.</w:t>
            </w:r>
          </w:p>
        </w:tc>
        <w:tc>
          <w:tcPr>
            <w:tcW w:w="820" w:type="dxa"/>
            <w:vAlign w:val="bottom"/>
            <w:tcBorders>
              <w:bottom w:val="single" w:sz="8" w:color="auto"/>
            </w:tcBorders>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87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2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expected to be realized from OCL during the next 12 months</w:t>
            </w:r>
          </w:p>
        </w:tc>
        <w:tc>
          <w:tcPr>
            <w:tcW w:w="820" w:type="dxa"/>
            <w:vAlign w:val="bottom"/>
            <w:shd w:val="clear" w:color="auto" w:fill="CCEEFF"/>
          </w:tcPr>
          <w:p>
            <w:pPr>
              <w:jc w:val="right"/>
              <w:ind w:right="637"/>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Amounts reclassified from accumulated OCL into income are recorded to interest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Derivative Instruments on the Statements of Income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Gains and losses related to the Company's derivatives are recorded in the consolidated statement of operations as follows:</w:t>
      </w:r>
    </w:p>
    <w:p>
      <w:pPr>
        <w:spacing w:after="0" w:line="203" w:lineRule="exact"/>
        <w:rPr>
          <w:sz w:val="20"/>
          <w:szCs w:val="20"/>
          <w:color w:val="auto"/>
        </w:rPr>
      </w:pPr>
    </w:p>
    <w:tbl>
      <w:tblPr>
        <w:tblLayout w:type="fixed"/>
        <w:tblInd w:w="1180" w:type="dxa"/>
        <w:tblCellMar>
          <w:top w:w="0" w:type="dxa"/>
          <w:left w:w="0" w:type="dxa"/>
          <w:bottom w:w="0" w:type="dxa"/>
          <w:right w:w="0" w:type="dxa"/>
        </w:tblCellMar>
      </w:tblPr>
      <w:tr>
        <w:trPr>
          <w:trHeight w:val="192"/>
        </w:trPr>
        <w:tc>
          <w:tcPr>
            <w:tcW w:w="6500" w:type="dxa"/>
            <w:vAlign w:val="bottom"/>
          </w:tcPr>
          <w:p>
            <w:pPr>
              <w:spacing w:after="0"/>
              <w:rPr>
                <w:sz w:val="16"/>
                <w:szCs w:val="16"/>
                <w:color w:val="auto"/>
              </w:rPr>
            </w:pPr>
          </w:p>
        </w:tc>
        <w:tc>
          <w:tcPr>
            <w:tcW w:w="24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187"/>
        </w:trPr>
        <w:tc>
          <w:tcPr>
            <w:tcW w:w="65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2020</w:t>
            </w:r>
          </w:p>
        </w:tc>
      </w:tr>
      <w:tr>
        <w:trPr>
          <w:trHeight w:val="190"/>
        </w:trPr>
        <w:tc>
          <w:tcPr>
            <w:tcW w:w="65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center"/>
              <w:ind w:right="30"/>
              <w:spacing w:after="0"/>
              <w:rPr>
                <w:sz w:val="20"/>
                <w:szCs w:val="20"/>
                <w:color w:val="auto"/>
              </w:rPr>
            </w:pPr>
            <w:r>
              <w:rPr>
                <w:rFonts w:ascii="Arial" w:cs="Arial" w:eastAsia="Arial" w:hAnsi="Arial"/>
                <w:sz w:val="14"/>
                <w:szCs w:val="14"/>
                <w:b w:val="1"/>
                <w:bCs w:val="1"/>
                <w:color w:val="auto"/>
                <w:w w:val="94"/>
              </w:rPr>
              <w:t>(In millions)</w:t>
            </w:r>
          </w:p>
        </w:tc>
        <w:tc>
          <w:tcPr>
            <w:tcW w:w="720" w:type="dxa"/>
            <w:vAlign w:val="bottom"/>
            <w:shd w:val="clear" w:color="auto" w:fill="CCEEFF"/>
          </w:tcPr>
          <w:p>
            <w:pPr>
              <w:spacing w:after="0"/>
              <w:rPr>
                <w:sz w:val="16"/>
                <w:szCs w:val="16"/>
                <w:color w:val="auto"/>
              </w:rPr>
            </w:pP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Interest Rate Contracts (Interest Expense)</w:t>
            </w:r>
          </w:p>
        </w:tc>
        <w:tc>
          <w:tcPr>
            <w:tcW w:w="820" w:type="dxa"/>
            <w:vAlign w:val="bottom"/>
          </w:tcPr>
          <w:p>
            <w:pPr>
              <w:jc w:val="right"/>
              <w:ind w:right="642"/>
              <w:spacing w:after="0"/>
              <w:rPr>
                <w:sz w:val="20"/>
                <w:szCs w:val="20"/>
                <w:color w:val="auto"/>
              </w:rPr>
            </w:pPr>
            <w:r>
              <w:rPr>
                <w:rFonts w:ascii="Arial" w:cs="Arial" w:eastAsia="Arial" w:hAnsi="Arial"/>
                <w:sz w:val="18"/>
                <w:szCs w:val="18"/>
                <w:color w:val="242424"/>
                <w:w w:val="79"/>
              </w:rPr>
              <w:t>$</w:t>
            </w:r>
          </w:p>
        </w:tc>
        <w:tc>
          <w:tcPr>
            <w:tcW w:w="560" w:type="dxa"/>
            <w:vAlign w:val="bottom"/>
          </w:tcPr>
          <w:p>
            <w:pPr>
              <w:jc w:val="center"/>
              <w:ind w:left="56"/>
              <w:spacing w:after="0"/>
              <w:rPr>
                <w:sz w:val="20"/>
                <w:szCs w:val="20"/>
                <w:color w:val="auto"/>
              </w:rPr>
            </w:pPr>
            <w:r>
              <w:rPr>
                <w:rFonts w:ascii="Arial" w:cs="Arial" w:eastAsia="Arial" w:hAnsi="Arial"/>
                <w:sz w:val="18"/>
                <w:szCs w:val="18"/>
                <w:color w:val="242424"/>
                <w:w w:val="89"/>
              </w:rPr>
              <w:t>47</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5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Mark-to-market economic hedging activities </w:t>
            </w:r>
            <w:r>
              <w:rPr>
                <w:rFonts w:ascii="Arial" w:cs="Arial" w:eastAsia="Arial" w:hAnsi="Arial"/>
                <w:sz w:val="23"/>
                <w:szCs w:val="23"/>
                <w:color w:val="auto"/>
                <w:vertAlign w:val="superscript"/>
              </w:rPr>
              <w:t>(a)</w:t>
            </w:r>
          </w:p>
        </w:tc>
        <w:tc>
          <w:tcPr>
            <w:tcW w:w="8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242424"/>
              </w:rPr>
              <w:t>(22)</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308610</wp:posOffset>
            </wp:positionV>
            <wp:extent cx="1808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08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020" w:hanging="121"/>
        <w:spacing w:after="0"/>
        <w:tabs>
          <w:tab w:leader="none" w:pos="1020" w:val="left"/>
        </w:tabs>
        <w:numPr>
          <w:ilvl w:val="0"/>
          <w:numId w:val="12"/>
        </w:numPr>
        <w:rPr>
          <w:rFonts w:ascii="Arial" w:cs="Arial" w:eastAsia="Arial" w:hAnsi="Arial"/>
          <w:sz w:val="13"/>
          <w:szCs w:val="13"/>
          <w:color w:val="auto"/>
          <w:vertAlign w:val="superscript"/>
        </w:rPr>
      </w:pPr>
      <w:r>
        <w:rPr>
          <w:rFonts w:ascii="Arial" w:cs="Arial" w:eastAsia="Arial" w:hAnsi="Arial"/>
          <w:sz w:val="11"/>
          <w:szCs w:val="11"/>
          <w:color w:val="auto"/>
        </w:rPr>
        <w:t>Relates to long-term power hedges at Elbow Creek Wind Project LLC, or Elbow Creek, and Mesquite Star Special LLC, or Mesquite Star</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6" w:name="page27"/>
    <w:bookmarkEnd w:id="26"/>
    <w:p>
      <w:pPr>
        <w:jc w:val="both"/>
        <w:ind w:firstLine="405"/>
        <w:spacing w:after="0" w:line="259" w:lineRule="auto"/>
        <w:rPr>
          <w:sz w:val="20"/>
          <w:szCs w:val="20"/>
          <w:color w:val="auto"/>
        </w:rPr>
      </w:pPr>
      <w:r>
        <w:rPr>
          <w:rFonts w:ascii="Arial" w:cs="Arial" w:eastAsia="Arial" w:hAnsi="Arial"/>
          <w:sz w:val="18"/>
          <w:szCs w:val="18"/>
          <w:color w:val="auto"/>
        </w:rPr>
        <w:t>A portion of the Company’s derivative commodity contracts relates to its Thermal Business for the purchase of fuel/electricity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for a discussion regarding concentration of credit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 xml:space="preserve">Note 7 — </w:t>
      </w:r>
      <w:r>
        <w:rPr>
          <w:rFonts w:ascii="Arial" w:cs="Arial" w:eastAsia="Arial" w:hAnsi="Arial"/>
          <w:sz w:val="18"/>
          <w:szCs w:val="18"/>
          <w:b w:val="1"/>
          <w:bCs w:val="1"/>
          <w:i w:val="1"/>
          <w:iCs w:val="1"/>
          <w:color w:val="auto"/>
        </w:rPr>
        <w:t>Long-term Debt</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10,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w:t>
      </w:r>
      <w:r>
        <w:rPr>
          <w:rFonts w:ascii="Arial" w:cs="Arial" w:eastAsia="Arial" w:hAnsi="Arial"/>
          <w:sz w:val="18"/>
          <w:szCs w:val="18"/>
          <w:color w:val="231F20"/>
        </w:rPr>
        <w:t>to the consolidated financial</w:t>
      </w:r>
      <w:r>
        <w:rPr>
          <w:rFonts w:ascii="Arial" w:cs="Arial" w:eastAsia="Arial" w:hAnsi="Arial"/>
          <w:sz w:val="18"/>
          <w:szCs w:val="18"/>
          <w:color w:val="auto"/>
        </w:rPr>
        <w:t xml:space="preserve"> </w:t>
      </w:r>
      <w:r>
        <w:rPr>
          <w:rFonts w:ascii="Arial" w:cs="Arial" w:eastAsia="Arial" w:hAnsi="Arial"/>
          <w:sz w:val="18"/>
          <w:szCs w:val="18"/>
          <w:color w:val="231F20"/>
        </w:rPr>
        <w:t xml:space="preserve">statements included in the Company's </w:t>
      </w:r>
      <w:r>
        <w:rPr>
          <w:rFonts w:ascii="Arial" w:cs="Arial" w:eastAsia="Arial" w:hAnsi="Arial"/>
          <w:sz w:val="18"/>
          <w:szCs w:val="18"/>
          <w:color w:val="000000"/>
        </w:rPr>
        <w:t>2020 Form 10-K. Long-term debt consisted of the following:</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4"/>
                <w:szCs w:val="14"/>
                <w:color w:val="auto"/>
              </w:rPr>
            </w:pPr>
          </w:p>
        </w:tc>
        <w:tc>
          <w:tcPr>
            <w:tcW w:w="18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March 31, 2021 interest</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Letters of Credit</w:t>
            </w:r>
          </w:p>
        </w:tc>
        <w:tc>
          <w:tcPr>
            <w:tcW w:w="0" w:type="dxa"/>
            <w:vAlign w:val="bottom"/>
          </w:tcPr>
          <w:p>
            <w:pPr>
              <w:spacing w:after="0"/>
              <w:rPr>
                <w:sz w:val="1"/>
                <w:szCs w:val="1"/>
                <w:color w:val="auto"/>
              </w:rPr>
            </w:pPr>
          </w:p>
        </w:tc>
      </w:tr>
      <w:tr>
        <w:trPr>
          <w:trHeight w:val="135"/>
        </w:trPr>
        <w:tc>
          <w:tcPr>
            <w:tcW w:w="53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except rates)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17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Outstanding at March 31,</w:t>
            </w:r>
          </w:p>
        </w:tc>
        <w:tc>
          <w:tcPr>
            <w:tcW w:w="0" w:type="dxa"/>
            <w:vAlign w:val="bottom"/>
          </w:tcPr>
          <w:p>
            <w:pPr>
              <w:spacing w:after="0"/>
              <w:rPr>
                <w:sz w:val="1"/>
                <w:szCs w:val="1"/>
                <w:color w:val="auto"/>
              </w:rPr>
            </w:pPr>
          </w:p>
        </w:tc>
      </w:tr>
      <w:tr>
        <w:trPr>
          <w:trHeight w:val="188"/>
        </w:trPr>
        <w:tc>
          <w:tcPr>
            <w:tcW w:w="53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rate % (a)</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1"/>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Intercompany Note with Clearway Energy, Inc.</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1.490</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2025 Senior Notes</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600</w:t>
            </w:r>
          </w:p>
        </w:tc>
        <w:tc>
          <w:tcPr>
            <w:tcW w:w="1820" w:type="dxa"/>
            <w:vAlign w:val="bottom"/>
            <w:gridSpan w:val="2"/>
          </w:tcPr>
          <w:p>
            <w:pPr>
              <w:jc w:val="center"/>
              <w:ind w:left="1308"/>
              <w:spacing w:after="0"/>
              <w:rPr>
                <w:sz w:val="20"/>
                <w:szCs w:val="20"/>
                <w:color w:val="auto"/>
              </w:rPr>
            </w:pPr>
            <w:r>
              <w:rPr>
                <w:rFonts w:ascii="Arial" w:cs="Arial" w:eastAsia="Arial" w:hAnsi="Arial"/>
                <w:sz w:val="14"/>
                <w:szCs w:val="14"/>
                <w:color w:val="auto"/>
                <w:w w:val="91"/>
              </w:rPr>
              <w:t>5.750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 Senior Notes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5.000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2028 Senior Notes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850</w:t>
            </w:r>
          </w:p>
        </w:tc>
        <w:tc>
          <w:tcPr>
            <w:tcW w:w="1820" w:type="dxa"/>
            <w:vAlign w:val="bottom"/>
            <w:gridSpan w:val="2"/>
          </w:tcPr>
          <w:p>
            <w:pPr>
              <w:jc w:val="center"/>
              <w:ind w:left="1308"/>
              <w:spacing w:after="0"/>
              <w:rPr>
                <w:sz w:val="20"/>
                <w:szCs w:val="20"/>
                <w:color w:val="auto"/>
              </w:rPr>
            </w:pPr>
            <w:r>
              <w:rPr>
                <w:rFonts w:ascii="Arial" w:cs="Arial" w:eastAsia="Arial" w:hAnsi="Arial"/>
                <w:sz w:val="14"/>
                <w:szCs w:val="14"/>
                <w:color w:val="auto"/>
                <w:w w:val="91"/>
              </w:rPr>
              <w:t>4.750</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2031 Senior Notes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3.750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5360" w:type="dxa"/>
            <w:vAlign w:val="bottom"/>
          </w:tcPr>
          <w:p>
            <w:pPr>
              <w:ind w:left="20"/>
              <w:spacing w:after="0" w:line="166" w:lineRule="exact"/>
              <w:rPr>
                <w:sz w:val="20"/>
                <w:szCs w:val="20"/>
                <w:color w:val="auto"/>
              </w:rPr>
            </w:pPr>
            <w:r>
              <w:rPr>
                <w:rFonts w:ascii="Arial" w:cs="Arial" w:eastAsia="Arial" w:hAnsi="Arial"/>
                <w:sz w:val="16"/>
                <w:szCs w:val="16"/>
                <w:color w:val="auto"/>
                <w:w w:val="97"/>
              </w:rPr>
              <w:t>Clearway Energy LLC and Clearway Energy Operating LLC Revolving Credit</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2"/>
        </w:trPr>
        <w:tc>
          <w:tcPr>
            <w:tcW w:w="5360" w:type="dxa"/>
            <w:vAlign w:val="bottom"/>
          </w:tcPr>
          <w:p>
            <w:pPr>
              <w:ind w:left="20"/>
              <w:spacing w:after="0" w:line="213" w:lineRule="exact"/>
              <w:rPr>
                <w:sz w:val="20"/>
                <w:szCs w:val="20"/>
                <w:color w:val="auto"/>
              </w:rPr>
            </w:pPr>
            <w:r>
              <w:rPr>
                <w:rFonts w:ascii="Arial" w:cs="Arial" w:eastAsia="Arial" w:hAnsi="Arial"/>
                <w:sz w:val="16"/>
                <w:szCs w:val="16"/>
                <w:color w:val="auto"/>
              </w:rPr>
              <w:t xml:space="preserve">Facility, due 2023 </w:t>
            </w:r>
            <w:r>
              <w:rPr>
                <w:rFonts w:ascii="Arial" w:cs="Arial" w:eastAsia="Arial" w:hAnsi="Arial"/>
                <w:sz w:val="21"/>
                <w:szCs w:val="21"/>
                <w:color w:val="auto"/>
                <w:vertAlign w:val="superscript"/>
              </w:rPr>
              <w:t>(b)</w:t>
            </w: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L+1.500</w:t>
            </w: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Project-level debt: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Agua Caliente Solar LLC, due 2037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2.395- 3.633</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Asset Management LLC, due 2031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L+2.50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Alta Wind I-V lease financing arrangements, due 2034 and 2035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800</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5.696- 7.015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Alta Wind Realty Investments LLC, due 2031</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7.000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Borrego, due 2024 and 2038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1820" w:type="dxa"/>
            <w:vAlign w:val="bottom"/>
            <w:gridSpan w:val="2"/>
          </w:tcPr>
          <w:p>
            <w:pPr>
              <w:jc w:val="center"/>
              <w:ind w:left="1068"/>
              <w:spacing w:after="0"/>
              <w:rPr>
                <w:sz w:val="20"/>
                <w:szCs w:val="20"/>
                <w:color w:val="auto"/>
              </w:rPr>
            </w:pPr>
            <w:r>
              <w:rPr>
                <w:rFonts w:ascii="Arial" w:cs="Arial" w:eastAsia="Arial" w:hAnsi="Arial"/>
                <w:sz w:val="14"/>
                <w:szCs w:val="14"/>
                <w:color w:val="auto"/>
                <w:w w:val="92"/>
              </w:rPr>
              <w:t>Various</w:t>
            </w:r>
          </w:p>
        </w:tc>
        <w:tc>
          <w:tcPr>
            <w:tcW w:w="172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Buckthorn Solar, due 2025</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Carlsbad Energy Holdings LLC, due 2027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L+1.625</w:t>
            </w:r>
          </w:p>
        </w:tc>
        <w:tc>
          <w:tcPr>
            <w:tcW w:w="172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Carlsbad Energy Holdings LLC, due 2038</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4.120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Carlsbad Holdco, due 2038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210</w:t>
            </w:r>
          </w:p>
        </w:tc>
        <w:tc>
          <w:tcPr>
            <w:tcW w:w="1820" w:type="dxa"/>
            <w:vAlign w:val="bottom"/>
            <w:gridSpan w:val="2"/>
          </w:tcPr>
          <w:p>
            <w:pPr>
              <w:jc w:val="center"/>
              <w:ind w:left="1308"/>
              <w:spacing w:after="0"/>
              <w:rPr>
                <w:sz w:val="20"/>
                <w:szCs w:val="20"/>
                <w:color w:val="auto"/>
              </w:rPr>
            </w:pPr>
            <w:r>
              <w:rPr>
                <w:rFonts w:ascii="Arial" w:cs="Arial" w:eastAsia="Arial" w:hAnsi="Arial"/>
                <w:sz w:val="14"/>
                <w:szCs w:val="14"/>
                <w:color w:val="auto"/>
                <w:w w:val="91"/>
              </w:rPr>
              <w:t>4.210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CVSR Holdco Notes, due 2037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4.680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CVSR, due 2037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675</w:t>
            </w:r>
          </w:p>
        </w:tc>
        <w:tc>
          <w:tcPr>
            <w:tcW w:w="1820" w:type="dxa"/>
            <w:vAlign w:val="bottom"/>
            <w:gridSpan w:val="2"/>
          </w:tcPr>
          <w:p>
            <w:pPr>
              <w:jc w:val="right"/>
              <w:spacing w:after="0"/>
              <w:rPr>
                <w:sz w:val="20"/>
                <w:szCs w:val="20"/>
                <w:color w:val="auto"/>
              </w:rPr>
            </w:pPr>
            <w:r>
              <w:rPr>
                <w:rFonts w:ascii="Arial" w:cs="Arial" w:eastAsia="Arial" w:hAnsi="Arial"/>
                <w:sz w:val="14"/>
                <w:szCs w:val="14"/>
                <w:color w:val="auto"/>
              </w:rPr>
              <w:t>2.339 - 3.775</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DG-CS Master Borrower LLC, due 2040</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3.510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Duquesne, due 2059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95</w:t>
            </w:r>
          </w:p>
        </w:tc>
        <w:tc>
          <w:tcPr>
            <w:tcW w:w="1820" w:type="dxa"/>
            <w:vAlign w:val="bottom"/>
            <w:gridSpan w:val="2"/>
          </w:tcPr>
          <w:p>
            <w:pPr>
              <w:jc w:val="center"/>
              <w:ind w:left="1308"/>
              <w:spacing w:after="0"/>
              <w:rPr>
                <w:sz w:val="20"/>
                <w:szCs w:val="20"/>
                <w:color w:val="auto"/>
              </w:rPr>
            </w:pPr>
            <w:r>
              <w:rPr>
                <w:rFonts w:ascii="Arial" w:cs="Arial" w:eastAsia="Arial" w:hAnsi="Arial"/>
                <w:sz w:val="14"/>
                <w:szCs w:val="14"/>
                <w:color w:val="auto"/>
                <w:w w:val="91"/>
              </w:rPr>
              <w:t>4.620</w:t>
            </w:r>
          </w:p>
        </w:tc>
        <w:tc>
          <w:tcPr>
            <w:tcW w:w="1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 Segundo Energy Center, due 2023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L+1.875 - L+2.500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Energy Center Minneapolis Series D, E, F, G, H Notes, due 2025-2037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1820" w:type="dxa"/>
            <w:vAlign w:val="bottom"/>
            <w:gridSpan w:val="2"/>
          </w:tcPr>
          <w:p>
            <w:pPr>
              <w:jc w:val="center"/>
              <w:ind w:left="1068"/>
              <w:spacing w:after="0"/>
              <w:rPr>
                <w:sz w:val="20"/>
                <w:szCs w:val="20"/>
                <w:color w:val="auto"/>
              </w:rPr>
            </w:pPr>
            <w:r>
              <w:rPr>
                <w:rFonts w:ascii="Arial" w:cs="Arial" w:eastAsia="Arial" w:hAnsi="Arial"/>
                <w:sz w:val="14"/>
                <w:szCs w:val="14"/>
                <w:color w:val="auto"/>
                <w:w w:val="92"/>
              </w:rPr>
              <w:t>Various</w:t>
            </w: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Kawailoa Solar Portfolio LLC, due 2026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Laredo Ridge, due 2028</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L+2.125</w:t>
            </w:r>
          </w:p>
        </w:tc>
        <w:tc>
          <w:tcPr>
            <w:tcW w:w="172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Marsh Landing, due 2023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L+2.375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NIMH Solar, due 2024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L+2.00</w:t>
            </w: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Oahu Solar Holdings LLC, due 2026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L+1.375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242424"/>
              </w:rPr>
              <w:t>10</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Pinnacle Repowering Partnership HoldCo LLC, due 2021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L+1.00</w:t>
            </w:r>
          </w:p>
        </w:tc>
        <w:tc>
          <w:tcPr>
            <w:tcW w:w="17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Rosie Class B LLC, due 2027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L+1.75</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Tapestry Wind LLC, due 2031</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L+1.375</w:t>
            </w:r>
          </w:p>
        </w:tc>
        <w:tc>
          <w:tcPr>
            <w:tcW w:w="172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Utah Solar Holdings, due 2036</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820" w:type="dxa"/>
            <w:vAlign w:val="bottom"/>
            <w:gridSpan w:val="2"/>
            <w:shd w:val="clear" w:color="auto" w:fill="CCEEFF"/>
          </w:tcPr>
          <w:p>
            <w:pPr>
              <w:jc w:val="center"/>
              <w:ind w:left="1308"/>
              <w:spacing w:after="0"/>
              <w:rPr>
                <w:sz w:val="20"/>
                <w:szCs w:val="20"/>
                <w:color w:val="auto"/>
              </w:rPr>
            </w:pPr>
            <w:r>
              <w:rPr>
                <w:rFonts w:ascii="Arial" w:cs="Arial" w:eastAsia="Arial" w:hAnsi="Arial"/>
                <w:sz w:val="14"/>
                <w:szCs w:val="14"/>
                <w:color w:val="auto"/>
                <w:w w:val="91"/>
              </w:rPr>
              <w:t>3.590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Walnut Creek, due 2023</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820" w:type="dxa"/>
            <w:vAlign w:val="bottom"/>
            <w:gridSpan w:val="2"/>
          </w:tcPr>
          <w:p>
            <w:pPr>
              <w:jc w:val="right"/>
              <w:ind w:right="120"/>
              <w:spacing w:after="0"/>
              <w:rPr>
                <w:sz w:val="20"/>
                <w:szCs w:val="20"/>
                <w:color w:val="auto"/>
              </w:rPr>
            </w:pPr>
            <w:r>
              <w:rPr>
                <w:rFonts w:ascii="Arial" w:cs="Arial" w:eastAsia="Arial" w:hAnsi="Arial"/>
                <w:sz w:val="14"/>
                <w:szCs w:val="14"/>
                <w:color w:val="auto"/>
              </w:rPr>
              <w:t>L+1.75</w:t>
            </w:r>
          </w:p>
        </w:tc>
        <w:tc>
          <w:tcPr>
            <w:tcW w:w="17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WCEP Holdings, LLC, due 2023</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L+3.00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197</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gridSpan w:val="2"/>
          </w:tcPr>
          <w:p>
            <w:pPr>
              <w:jc w:val="center"/>
              <w:ind w:left="1068"/>
              <w:spacing w:after="0"/>
              <w:rPr>
                <w:sz w:val="20"/>
                <w:szCs w:val="20"/>
                <w:color w:val="auto"/>
              </w:rPr>
            </w:pPr>
            <w:r>
              <w:rPr>
                <w:rFonts w:ascii="Arial" w:cs="Arial" w:eastAsia="Arial" w:hAnsi="Arial"/>
                <w:sz w:val="14"/>
                <w:szCs w:val="14"/>
                <w:color w:val="auto"/>
                <w:w w:val="92"/>
              </w:rPr>
              <w:t>Various</w:t>
            </w:r>
          </w:p>
        </w:tc>
        <w:tc>
          <w:tcPr>
            <w:tcW w:w="1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213"/>
        </w:trPr>
        <w:tc>
          <w:tcPr>
            <w:tcW w:w="5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Subtotal project-level debt:</w:t>
            </w: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5,891</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5,243</w:t>
            </w: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220"/>
              <w:spacing w:after="0"/>
              <w:rPr>
                <w:sz w:val="20"/>
                <w:szCs w:val="20"/>
                <w:color w:val="auto"/>
              </w:rPr>
            </w:pPr>
            <w:r>
              <w:rPr>
                <w:rFonts w:ascii="Arial" w:cs="Arial" w:eastAsia="Arial" w:hAnsi="Arial"/>
                <w:sz w:val="16"/>
                <w:szCs w:val="16"/>
                <w:color w:val="auto"/>
              </w:rPr>
              <w:t>Total debt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8,042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7,044</w:t>
            </w: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current maturities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360" w:type="dxa"/>
            <w:vAlign w:val="bottom"/>
          </w:tcPr>
          <w:p>
            <w:pPr>
              <w:ind w:left="20"/>
              <w:spacing w:after="0"/>
              <w:rPr>
                <w:sz w:val="20"/>
                <w:szCs w:val="20"/>
                <w:color w:val="auto"/>
              </w:rPr>
            </w:pPr>
            <w:r>
              <w:rPr>
                <w:rFonts w:ascii="Arial" w:cs="Arial" w:eastAsia="Arial" w:hAnsi="Arial"/>
                <w:sz w:val="16"/>
                <w:szCs w:val="16"/>
                <w:color w:val="auto"/>
              </w:rPr>
              <w:t>Less net debt issuance costs</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Add premiums</w:t>
            </w:r>
            <w:r>
              <w:rPr>
                <w:rFonts w:ascii="Arial" w:cs="Arial" w:eastAsia="Arial" w:hAnsi="Arial"/>
                <w:sz w:val="21"/>
                <w:szCs w:val="21"/>
                <w:color w:val="auto"/>
                <w:vertAlign w:val="superscript"/>
              </w:rPr>
              <w:t>(c)</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60" w:type="dxa"/>
            <w:vAlign w:val="bottom"/>
          </w:tcPr>
          <w:p>
            <w:pPr>
              <w:ind w:left="220"/>
              <w:spacing w:after="0"/>
              <w:rPr>
                <w:sz w:val="20"/>
                <w:szCs w:val="20"/>
                <w:color w:val="auto"/>
              </w:rPr>
            </w:pPr>
            <w:r>
              <w:rPr>
                <w:rFonts w:ascii="Arial" w:cs="Arial" w:eastAsia="Arial" w:hAnsi="Arial"/>
                <w:sz w:val="16"/>
                <w:szCs w:val="16"/>
                <w:color w:val="auto"/>
              </w:rPr>
              <w:t>Total long-term debt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6,585</w:t>
            </w: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ind w:right="280" w:firstLine="8"/>
        <w:spacing w:after="0" w:line="250" w:lineRule="auto"/>
        <w:tabs>
          <w:tab w:leader="none" w:pos="196" w:val="left"/>
        </w:tabs>
        <w:numPr>
          <w:ilvl w:val="0"/>
          <w:numId w:val="13"/>
        </w:numPr>
        <w:rPr>
          <w:rFonts w:ascii="Arial" w:cs="Arial" w:eastAsia="Arial" w:hAnsi="Arial"/>
          <w:sz w:val="14"/>
          <w:szCs w:val="14"/>
          <w:color w:val="auto"/>
        </w:rPr>
      </w:pPr>
      <w:r>
        <w:rPr>
          <w:rFonts w:ascii="Arial" w:cs="Arial" w:eastAsia="Arial" w:hAnsi="Arial"/>
          <w:sz w:val="14"/>
          <w:szCs w:val="14"/>
          <w:color w:val="auto"/>
        </w:rPr>
        <w:t>As of March 31, 2021, L+ equals 3 month LIBOR plus x%, except Clearway Energy Operating LLC Revolving Credit Facility, due 2023, Marsh Landing, due 2023, Pinnacle Repowering Partnership HoldCo LLC, due 2021, and Walnut Creek, due 2023, where L+ equals 1 month LIBOR plus x%.</w:t>
      </w:r>
    </w:p>
    <w:p>
      <w:pPr>
        <w:ind w:left="220" w:hanging="212"/>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Applicable rate is determined by the borrower leverage ratio, as defined in the credit agreement.</w:t>
      </w:r>
    </w:p>
    <w:p>
      <w:pPr>
        <w:spacing w:after="0" w:line="1" w:lineRule="exact"/>
        <w:rPr>
          <w:rFonts w:ascii="Arial" w:cs="Arial" w:eastAsia="Arial" w:hAnsi="Arial"/>
          <w:sz w:val="14"/>
          <w:szCs w:val="14"/>
          <w:color w:val="auto"/>
        </w:rPr>
      </w:pPr>
    </w:p>
    <w:p>
      <w:pPr>
        <w:ind w:left="200" w:hanging="192"/>
        <w:spacing w:after="0"/>
        <w:tabs>
          <w:tab w:leader="none" w:pos="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Premiums relate to the 2028 Senior Notes.</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ind w:firstLine="405"/>
        <w:spacing w:after="0" w:line="286" w:lineRule="auto"/>
        <w:rPr>
          <w:sz w:val="20"/>
          <w:szCs w:val="20"/>
          <w:color w:val="auto"/>
        </w:rPr>
      </w:pPr>
      <w:r>
        <w:rPr>
          <w:rFonts w:ascii="Arial" w:cs="Arial" w:eastAsia="Arial" w:hAnsi="Arial"/>
          <w:sz w:val="17"/>
          <w:szCs w:val="17"/>
          <w:color w:val="auto"/>
        </w:rPr>
        <w:t>The financing arrangements listed above contain certain covenants, including financial covenants that the Company is required to be in compliance with during the term of the respective arrangement. As of March 31, 2021, the Company was in compliance with all of the required covenants. The discussion below describes material changes to or additions of long-term debt for the three months ended March 31, 2021.</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Clearway Energy LLC and Clearway Energy Operating LLC Revolving Credit Facility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2021, the Company had $25 million of borrowings under the revolving credit facility and $70 million in letters of credit outstanding. During the three months ended March 31, 2021, the Company borrowed $195 million under the revolving credit facility, and subsequently repaid $170 million, utilizing cash on hand and proceeds from the issuance of the 2031 Senior Notes as described below.</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2031 Senior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the Company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2025 Senior Notes Tender Offer and Redemption</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March 9, 2021, the Company completed the repurchase of an aggregate principal amount of $411 million, or 68.6%, of the 2025 Senior Notes outstanding as part of the cash tender offer announced on March 2, 2021. Additionally, $6 million of the 2025 Senior Notes that were subject to guaranteed delivery procedures were subsequently repurchased on March 11, 2021. On March 17, 2021, the Company exercised its right to optionally redeem the remaining principal amount of $183 million that were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The Company recorded an additional $5 million loss on extinguishment to write off the remaining unamortized deferred financing fees related to the 2025 Senior Notes.</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Intercompany Note with Clearway Energy, Inc</w:t>
      </w:r>
      <w:r>
        <w:rPr>
          <w:rFonts w:ascii="Arial" w:cs="Arial" w:eastAsia="Arial" w:hAnsi="Arial"/>
          <w:sz w:val="18"/>
          <w:szCs w:val="18"/>
          <w:i w:val="1"/>
          <w:iCs w:val="1"/>
          <w:color w:val="auto"/>
        </w:rPr>
        <w:t>.</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February 18, 2020, the Company entered into an intercompany demand promissory note with Clearway Energy, Inc. in the principal amount of $3 million. The unpaid principal amount bears interest at a rate equal to the short-term applicable federal rate, which is payable on the last day of each quarter, or at other times as agreed upon by the Company and Clearway Energy, Inc</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Project - level Debt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Agua Caliente Solar LLC</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 xml:space="preserve">As part of the acquisition of Agua Caliente Borrower 1 LLC and the consolidation of Agua Caliente, as further described in Note 3, </w:t>
      </w:r>
      <w:r>
        <w:rPr>
          <w:rFonts w:ascii="Arial" w:cs="Arial" w:eastAsia="Arial" w:hAnsi="Arial"/>
          <w:sz w:val="17"/>
          <w:szCs w:val="17"/>
          <w:i w:val="1"/>
          <w:iCs w:val="1"/>
          <w:color w:val="auto"/>
        </w:rPr>
        <w:t>Acquisitions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Dispositions</w:t>
      </w:r>
      <w:r>
        <w:rPr>
          <w:rFonts w:ascii="Arial" w:cs="Arial" w:eastAsia="Arial" w:hAnsi="Arial"/>
          <w:sz w:val="17"/>
          <w:szCs w:val="17"/>
          <w:color w:val="auto"/>
        </w:rPr>
        <w:t>, the Company now consolidates non-recourse debt of $716 million related to Agua Caliente Solar Portfolio, LLC. The debt consists of a credit</w:t>
      </w:r>
      <w:r>
        <w:rPr>
          <w:rFonts w:ascii="Arial" w:cs="Arial" w:eastAsia="Arial" w:hAnsi="Arial"/>
          <w:sz w:val="17"/>
          <w:szCs w:val="17"/>
          <w:i w:val="1"/>
          <w:iCs w:val="1"/>
          <w:color w:val="auto"/>
        </w:rPr>
        <w:t xml:space="preserve"> </w:t>
      </w:r>
      <w:r>
        <w:rPr>
          <w:rFonts w:ascii="Arial" w:cs="Arial" w:eastAsia="Arial" w:hAnsi="Arial"/>
          <w:sz w:val="17"/>
          <w:szCs w:val="17"/>
          <w:color w:val="auto"/>
        </w:rPr>
        <w:t>agreement with the Federal Financing Bank and accrues interest at fixed rates between 2.395% and 3.633%, which matures in 2037.</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Pinnacle Repowering Partnership HoldCo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Wind LLC financing agreement, which related to the Pinnacle wind project, to pay vendor invoices and fees and to acquire certain equipment from Clearway Renew LLC to be utilized in the repowering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 xml:space="preserve">Note 8 — </w:t>
      </w:r>
      <w:r>
        <w:rPr>
          <w:rFonts w:ascii="Arial" w:cs="Arial" w:eastAsia="Arial" w:hAnsi="Arial"/>
          <w:sz w:val="18"/>
          <w:szCs w:val="18"/>
          <w:b w:val="1"/>
          <w:bCs w:val="1"/>
          <w:i w:val="1"/>
          <w:iCs w:val="1"/>
          <w:color w:val="auto"/>
        </w:rPr>
        <w:t>Segment Reporting</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and includes eliminating entries.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40" w:type="dxa"/>
            <w:vAlign w:val="bottom"/>
            <w:gridSpan w:val="12"/>
          </w:tcPr>
          <w:p>
            <w:pPr>
              <w:jc w:val="center"/>
              <w:ind w:right="300"/>
              <w:spacing w:after="0"/>
              <w:rPr>
                <w:sz w:val="20"/>
                <w:szCs w:val="20"/>
                <w:color w:val="auto"/>
              </w:rPr>
            </w:pPr>
            <w:r>
              <w:rPr>
                <w:rFonts w:ascii="Arial" w:cs="Arial" w:eastAsia="Arial" w:hAnsi="Arial"/>
                <w:sz w:val="14"/>
                <w:szCs w:val="14"/>
                <w:b w:val="1"/>
                <w:bCs w:val="1"/>
                <w:color w:val="auto"/>
                <w:w w:val="93"/>
              </w:rPr>
              <w:t>Three months ended March 31, 2021</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4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Conventional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9"/>
              </w:rPr>
              <w:t>Thermal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Generation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Development costs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Equity in earnings of unconsolidated affiliates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11,724</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4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40" w:type="dxa"/>
            <w:vAlign w:val="bottom"/>
            <w:gridSpan w:val="12"/>
          </w:tcPr>
          <w:p>
            <w:pPr>
              <w:jc w:val="center"/>
              <w:ind w:right="200"/>
              <w:spacing w:after="0"/>
              <w:rPr>
                <w:sz w:val="20"/>
                <w:szCs w:val="20"/>
                <w:color w:val="auto"/>
              </w:rPr>
            </w:pPr>
            <w:r>
              <w:rPr>
                <w:rFonts w:ascii="Arial" w:cs="Arial" w:eastAsia="Arial" w:hAnsi="Arial"/>
                <w:sz w:val="14"/>
                <w:szCs w:val="14"/>
                <w:b w:val="1"/>
                <w:bCs w:val="1"/>
                <w:color w:val="auto"/>
                <w:w w:val="92"/>
              </w:rPr>
              <w:t>Three months ended March 31, 2020</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140"/>
              <w:spacing w:after="0" w:line="147" w:lineRule="exact"/>
              <w:rPr>
                <w:sz w:val="20"/>
                <w:szCs w:val="20"/>
                <w:color w:val="auto"/>
              </w:rPr>
            </w:pPr>
            <w:r>
              <w:rPr>
                <w:rFonts w:ascii="Arial" w:cs="Arial" w:eastAsia="Arial" w:hAnsi="Arial"/>
                <w:sz w:val="14"/>
                <w:szCs w:val="14"/>
                <w:b w:val="1"/>
                <w:bCs w:val="1"/>
                <w:color w:val="auto"/>
                <w:w w:val="94"/>
              </w:rPr>
              <w:t>Conventional</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Renewables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5"/>
              </w:rPr>
              <w:t>Thermal</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Corporate</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Generation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Cost of operations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Transaction and integration costs</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Development costs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w:t>
            </w:r>
          </w:p>
        </w:tc>
        <w:tc>
          <w:tcPr>
            <w:tcW w:w="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240"/>
              <w:spacing w:after="0"/>
              <w:rPr>
                <w:sz w:val="20"/>
                <w:szCs w:val="20"/>
                <w:color w:val="auto"/>
              </w:rPr>
            </w:pPr>
            <w:r>
              <w:rPr>
                <w:rFonts w:ascii="Arial" w:cs="Arial" w:eastAsia="Arial" w:hAnsi="Arial"/>
                <w:sz w:val="18"/>
                <w:szCs w:val="18"/>
                <w:color w:val="auto"/>
              </w:rPr>
              <w:t>Equity in earnings (losses) of unconsolidated affiliates</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 xml:space="preserve">Note 9 — </w:t>
      </w:r>
      <w:r>
        <w:rPr>
          <w:rFonts w:ascii="Arial" w:cs="Arial" w:eastAsia="Arial" w:hAnsi="Arial"/>
          <w:sz w:val="18"/>
          <w:szCs w:val="18"/>
          <w:b w:val="1"/>
          <w:bCs w:val="1"/>
          <w:i w:val="1"/>
          <w:iCs w:val="1"/>
          <w:color w:val="auto"/>
        </w:rPr>
        <w:t>Related Party Transactions</w:t>
      </w:r>
    </w:p>
    <w:p>
      <w:pPr>
        <w:spacing w:after="0" w:line="175"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affiliates and amounts due to the Company from CEG subsidiaries are recorded as accounts receivable — affiliates in the Company's balance sheet. The disclosures below summarize the Company's material related party transactions with CEG and its subsidiaries that are included in the Company's operating revenues and operating costs.</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O&amp;M Services Agreements by and between the Company and Clearway Renewable Operation &amp; Maintenance LLC</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Various wholly-owned subsidiaries of the Company in the Renewables segment are party to administrative services agreements with Clearway Renewable Operation &amp; Maintenance LLC, or RENOM, a wholly-owned subsidiary of CEG, which provides operation and maintenance, or O&amp;M, services to these subsidiaries. The Company incurred total expenses for these services of $13 million and $9 million for the three months ended March 31, 2021 and 2020, respectively. There was a balance of $5 million and $10 million due to RENOM as of March 31, 2021 and December 31, 2020, respectively.</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Administrative Services Agreements by and between the Company and CEG</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Various wholly-owned subsidiaries of the Company are parties to administrative services agreements with Clearway Asset Services and Clearway Solar Asset Management, two wholly-owned subsidiaries of CEG, which provide various administrative services to the Company's subsidiaries. The Company incurred expenses under these agreements of $3 million and $2 million for the three months ended March 31, 2021 and 2020, respectively.</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CEG Master Services Agreements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7"/>
          <w:szCs w:val="17"/>
          <w:color w:val="auto"/>
        </w:rPr>
        <w:t>The Company is a party to Master Services Agreements with CEG, or MSAs, pursuant to which CEG and certain of its affiliates or third party service providers provide certain services to the Company, including operational and administrative services, which include human resources, information systems, external affairs, accounting, procurement and risk management services, and the Company provides certain services to CEG, including accounting, internal audit, tax and treasury services, in exchange for the payment of fees in respect of such services. Amounts due to CEG or its subsidiaries related to these MSAs are recorded as accounts payable — affiliates on the Company's consolidated balance sheet. The Company incurred net expenses of $1 million and $0.6 million under these agreements for the three months ended March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 xml:space="preserve">Note 10 — </w:t>
      </w:r>
      <w:r>
        <w:rPr>
          <w:rFonts w:ascii="Arial" w:cs="Arial" w:eastAsia="Arial" w:hAnsi="Arial"/>
          <w:sz w:val="18"/>
          <w:szCs w:val="18"/>
          <w:b w:val="1"/>
          <w:bCs w:val="1"/>
          <w:i w:val="1"/>
          <w:iCs w:val="1"/>
          <w:color w:val="auto"/>
        </w:rPr>
        <w:t>Contingencies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This note should be read in conjunction with the complete description under Item 15 —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to the consolidated financial statements included in the Company's 2020 Form 10-K.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1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Nebraska Public Power District Litigation</w:t>
      </w:r>
    </w:p>
    <w:p>
      <w:pPr>
        <w:spacing w:after="0" w:line="17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On April 13, 2020, the U.S. District Court granted the wind projects' motion for summary judgment and permanently enjoined NPPD from terminating the PPAs in reliance on the alleged events of default. The U.S. District Court decision was appealed by NPPD on May 11, 2020 and the case in the Knox County District Court remains pending, but has been stayed pending the outcome of the U.S. District Court case. Argument before the U.S. Court of Appeals for the Eight Circuit was held on March 18, 2021. The Company believes the allegations of NPPD are meritless and the Company is vigorously defending its rights under the PPAs.</w:t>
      </w:r>
    </w:p>
    <w:p>
      <w:pPr>
        <w:spacing w:after="0" w:line="20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Buckthorn Solar Litigation</w:t>
      </w:r>
    </w:p>
    <w:p>
      <w:pPr>
        <w:spacing w:after="0" w:line="17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On November 15, 2019, Buckthorn Westex filed an original answer and counterclaims (i) denying Georgetown’s claims, (ii) alleging Georgetown has breached its contracts with Buckthorn Westex by failing to pay amounts due, and (iii) seeking relief in the form of (x) declaratory judgment that Georgetown’s alleged failure to pay amounts due constitute breaches of and an event of default under the PPA and that Buckthorn did not commit any events of default under the PPA, (y) recovery of costs, expenses, interest, and attorneys’ fees, and (z) such other relief to which it is entitled at law or in equity. Buckthorn Westex believes the allegations of Georgetown are meritless, and Buckthorn Westex is vigorously defending its rights under the PPA.</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jc w:val="right"/>
        <w:ind w:right="3160"/>
        <w:spacing w:after="0" w:line="495" w:lineRule="auto"/>
        <w:rPr>
          <w:sz w:val="20"/>
          <w:szCs w:val="20"/>
          <w:color w:val="auto"/>
        </w:rPr>
      </w:pPr>
      <w:r>
        <w:rPr>
          <w:rFonts w:ascii="Arial" w:cs="Arial" w:eastAsia="Arial" w:hAnsi="Arial"/>
          <w:sz w:val="16"/>
          <w:szCs w:val="16"/>
          <w:b w:val="1"/>
          <w:bCs w:val="1"/>
          <w:color w:val="auto"/>
        </w:rPr>
        <w:t xml:space="preserve">ITEM 2 — Management's Discussion and Analysis of Financial Condition and the Results of Operations </w:t>
      </w:r>
      <w:r>
        <w:rPr>
          <w:rFonts w:ascii="Arial" w:cs="Arial" w:eastAsia="Arial" w:hAnsi="Arial"/>
          <w:sz w:val="16"/>
          <w:szCs w:val="16"/>
          <w:color w:val="auto"/>
        </w:rPr>
        <w:t>The following discussion analyzes the Company's historical financial condition and results of operations.</w:t>
      </w:r>
    </w:p>
    <w:p>
      <w:pPr>
        <w:spacing w:after="0" w:line="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 xml:space="preserve">As you read this discussion and analysis, refer to the Company's Consolidated Financial Statements to this Form 10-Q, which present the results of operations for the three months ended March 31, 2021 and 2020. Also refer to the </w:t>
      </w:r>
      <w:r>
        <w:rPr>
          <w:rFonts w:ascii="Arial" w:cs="Arial" w:eastAsia="Arial" w:hAnsi="Arial"/>
          <w:sz w:val="18"/>
          <w:szCs w:val="18"/>
          <w:color w:val="231F20"/>
        </w:rPr>
        <w:t>Company's</w:t>
      </w:r>
      <w:r>
        <w:rPr>
          <w:rFonts w:ascii="Arial" w:cs="Arial" w:eastAsia="Arial" w:hAnsi="Arial"/>
          <w:sz w:val="18"/>
          <w:szCs w:val="18"/>
          <w:color w:val="auto"/>
        </w:rPr>
        <w:t xml:space="preserve"> 2020 Form 10-K, which includes detailed discussions of various items impacting the Company's business, results of operations and financial condition.</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231F20"/>
        </w:rPr>
        <w:t>The discussion and analysis below has been organized as follows:</w:t>
      </w:r>
    </w:p>
    <w:p>
      <w:pPr>
        <w:spacing w:after="0" w:line="171" w:lineRule="exact"/>
        <w:rPr>
          <w:sz w:val="20"/>
          <w:szCs w:val="20"/>
          <w:color w:val="auto"/>
        </w:rPr>
      </w:pPr>
    </w:p>
    <w:p>
      <w:pPr>
        <w:ind w:left="1300" w:right="400" w:hanging="320"/>
        <w:spacing w:after="0" w:line="277" w:lineRule="auto"/>
        <w:tabs>
          <w:tab w:leader="none" w:pos="129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Executive Summary, including a description of the business and significant events that are important to understanding the results of operations and financial condition;</w:t>
      </w:r>
    </w:p>
    <w:p>
      <w:pPr>
        <w:spacing w:after="0" w:line="8" w:lineRule="exact"/>
        <w:rPr>
          <w:rFonts w:ascii="Arial" w:cs="Arial" w:eastAsia="Arial" w:hAnsi="Arial"/>
          <w:sz w:val="18"/>
          <w:szCs w:val="18"/>
          <w:color w:val="231F20"/>
        </w:rPr>
      </w:pPr>
    </w:p>
    <w:p>
      <w:pPr>
        <w:ind w:left="1300" w:right="880" w:hanging="320"/>
        <w:spacing w:after="0" w:line="277" w:lineRule="auto"/>
        <w:tabs>
          <w:tab w:leader="none" w:pos="129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Results of operations, including an explanation of significant differences between the periods in the specific line items of the consolidated statements of operations;</w:t>
      </w:r>
    </w:p>
    <w:p>
      <w:pPr>
        <w:spacing w:after="0" w:line="8" w:lineRule="exact"/>
        <w:rPr>
          <w:rFonts w:ascii="Arial" w:cs="Arial" w:eastAsia="Arial" w:hAnsi="Arial"/>
          <w:sz w:val="18"/>
          <w:szCs w:val="18"/>
          <w:color w:val="231F20"/>
        </w:rPr>
      </w:pPr>
    </w:p>
    <w:p>
      <w:pPr>
        <w:ind w:left="1300" w:right="200" w:hanging="320"/>
        <w:spacing w:after="0" w:line="277" w:lineRule="auto"/>
        <w:tabs>
          <w:tab w:leader="none" w:pos="1295"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Financial condition addressing liquidity position, sources and uses of cash, capital resources and requirements, commitments, and off-balance sheet arrangements;</w:t>
      </w:r>
    </w:p>
    <w:p>
      <w:pPr>
        <w:spacing w:after="0" w:line="8" w:lineRule="exact"/>
        <w:rPr>
          <w:rFonts w:ascii="Arial" w:cs="Arial" w:eastAsia="Arial" w:hAnsi="Arial"/>
          <w:sz w:val="18"/>
          <w:szCs w:val="18"/>
          <w:color w:val="231F20"/>
        </w:rPr>
      </w:pPr>
    </w:p>
    <w:p>
      <w:pPr>
        <w:ind w:left="1300" w:hanging="320"/>
        <w:spacing w:after="0"/>
        <w:tabs>
          <w:tab w:leader="none" w:pos="1300" w:val="left"/>
        </w:tabs>
        <w:numPr>
          <w:ilvl w:val="0"/>
          <w:numId w:val="14"/>
        </w:numPr>
        <w:rPr>
          <w:rFonts w:ascii="Arial" w:cs="Arial" w:eastAsia="Arial" w:hAnsi="Arial"/>
          <w:sz w:val="18"/>
          <w:szCs w:val="18"/>
          <w:color w:val="231F20"/>
        </w:rPr>
      </w:pPr>
      <w:r>
        <w:rPr>
          <w:rFonts w:ascii="Arial" w:cs="Arial" w:eastAsia="Arial" w:hAnsi="Arial"/>
          <w:sz w:val="18"/>
          <w:szCs w:val="18"/>
          <w:color w:val="auto"/>
        </w:rPr>
        <w:t>Known trends that may affect the Company’s results of operations and financial condition in the future; and</w:t>
      </w:r>
    </w:p>
    <w:p>
      <w:pPr>
        <w:spacing w:after="0" w:line="63" w:lineRule="exact"/>
        <w:rPr>
          <w:rFonts w:ascii="Arial" w:cs="Arial" w:eastAsia="Arial" w:hAnsi="Arial"/>
          <w:sz w:val="18"/>
          <w:szCs w:val="18"/>
          <w:color w:val="231F20"/>
        </w:rPr>
      </w:pPr>
    </w:p>
    <w:p>
      <w:pPr>
        <w:ind w:left="1300" w:right="760" w:hanging="320"/>
        <w:spacing w:after="0" w:line="277" w:lineRule="auto"/>
        <w:tabs>
          <w:tab w:leader="none" w:pos="12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91" w:right="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Executive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 and Overview</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Clearway Energy LLC together with its consolidated subsidiaries, or the Company, is an energy infrastructure investor in and owner of modern, sustainable and long-term contracted assets across North America. The Company is indirectly owned by Global Infrastructure Partners III. Global Infrastructure Management, LLC is an independent fund manager that invests in infrastructure assets in the energy and transport sectors, and Global Infrastructure Partners III is its third equity fund. The Company is sponsored by GIP through GIP's portfolio company, CEG.</w:t>
      </w:r>
    </w:p>
    <w:p>
      <w:pPr>
        <w:spacing w:after="0" w:line="19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The Company is one of the largest renewable energy owners in the U.S. with over 4,200 net MW of installed wind and solar generation projects. The Company's over 8,000 net MW of assets also includes approximately 2,500 net MW of environmentally-sound, highly efficient generation facilities as well as a portfolio of district energy systems. Through this environmentally-sound, diversified and primarily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13 years </w:t>
      </w:r>
      <w:r>
        <w:rPr>
          <w:rFonts w:ascii="Arial" w:cs="Arial" w:eastAsia="Arial" w:hAnsi="Arial"/>
          <w:sz w:val="18"/>
          <w:szCs w:val="18"/>
          <w:color w:val="231F20"/>
        </w:rPr>
        <w:t>as of</w:t>
      </w:r>
      <w:r>
        <w:rPr>
          <w:rFonts w:ascii="Arial" w:cs="Arial" w:eastAsia="Arial" w:hAnsi="Arial"/>
          <w:sz w:val="18"/>
          <w:szCs w:val="18"/>
          <w:color w:val="auto"/>
        </w:rPr>
        <w:t xml:space="preserve"> March 31, 2021 </w:t>
      </w:r>
      <w:r>
        <w:rPr>
          <w:rFonts w:ascii="Arial" w:cs="Arial" w:eastAsia="Arial" w:hAnsi="Arial"/>
          <w:sz w:val="18"/>
          <w:szCs w:val="18"/>
          <w:color w:val="231F20"/>
        </w:rPr>
        <w:t>based on CAFD.</w:t>
      </w:r>
    </w:p>
    <w:p>
      <w:pPr>
        <w:spacing w:after="0" w:line="3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the Company's operating assets are comprised of the following projects: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Percentage</w:t>
            </w:r>
          </w:p>
        </w:tc>
        <w:tc>
          <w:tcPr>
            <w:tcW w:w="1060" w:type="dxa"/>
            <w:vAlign w:val="bottom"/>
          </w:tcPr>
          <w:p>
            <w:pPr>
              <w:jc w:val="right"/>
              <w:ind w:right="48"/>
              <w:spacing w:after="0"/>
              <w:rPr>
                <w:sz w:val="20"/>
                <w:szCs w:val="20"/>
                <w:color w:val="auto"/>
              </w:rPr>
            </w:pPr>
            <w:r>
              <w:rPr>
                <w:rFonts w:ascii="Arial" w:cs="Arial" w:eastAsia="Arial" w:hAnsi="Arial"/>
                <w:sz w:val="14"/>
                <w:szCs w:val="14"/>
                <w:b w:val="1"/>
                <w:bCs w:val="1"/>
                <w:color w:val="auto"/>
              </w:rPr>
              <w:t>Net Capacity</w:t>
            </w:r>
          </w:p>
        </w:tc>
        <w:tc>
          <w:tcPr>
            <w:tcW w:w="120" w:type="dxa"/>
            <w:vAlign w:val="bottom"/>
          </w:tcPr>
          <w:p>
            <w:pPr>
              <w:spacing w:after="0"/>
              <w:rPr>
                <w:sz w:val="14"/>
                <w:szCs w:val="14"/>
                <w:color w:val="auto"/>
              </w:rPr>
            </w:pPr>
          </w:p>
        </w:tc>
        <w:tc>
          <w:tcPr>
            <w:tcW w:w="334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Counterparty</w:t>
            </w:r>
          </w:p>
        </w:tc>
        <w:tc>
          <w:tcPr>
            <w:tcW w:w="10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9"/>
        </w:trPr>
        <w:tc>
          <w:tcPr>
            <w:tcW w:w="4420" w:type="dxa"/>
            <w:vAlign w:val="bottom"/>
            <w:gridSpan w:val="2"/>
            <w:vMerge w:val="continue"/>
          </w:tcPr>
          <w:p>
            <w:pPr>
              <w:spacing w:after="0"/>
              <w:rPr>
                <w:sz w:val="16"/>
                <w:szCs w:val="16"/>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Ownership</w:t>
            </w:r>
          </w:p>
        </w:tc>
        <w:tc>
          <w:tcPr>
            <w:tcW w:w="106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2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Conventional</w:t>
            </w: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Carlsbad</w:t>
            </w:r>
          </w:p>
        </w:tc>
        <w:tc>
          <w:tcPr>
            <w:tcW w:w="106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527</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San Diego Gas &amp; Electric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 Segundo</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GenConn Devon</w:t>
            </w:r>
          </w:p>
        </w:tc>
        <w:tc>
          <w:tcPr>
            <w:tcW w:w="1060" w:type="dxa"/>
            <w:vAlign w:val="bottom"/>
          </w:tcPr>
          <w:p>
            <w:pPr>
              <w:ind w:left="2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Connecticut Light &amp; Power</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GenConn Middletown</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Connecticut Light &amp; Power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Marsh Landing</w:t>
            </w:r>
          </w:p>
        </w:tc>
        <w:tc>
          <w:tcPr>
            <w:tcW w:w="106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Walnut Creek</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485</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2023</w:t>
            </w:r>
          </w:p>
        </w:tc>
        <w:tc>
          <w:tcPr>
            <w:tcW w:w="0" w:type="dxa"/>
            <w:vAlign w:val="bottom"/>
          </w:tcPr>
          <w:p>
            <w:pPr>
              <w:spacing w:after="0"/>
              <w:rPr>
                <w:sz w:val="1"/>
                <w:szCs w:val="1"/>
                <w:color w:val="auto"/>
              </w:rPr>
            </w:pPr>
          </w:p>
        </w:tc>
      </w:tr>
      <w:tr>
        <w:trPr>
          <w:trHeight w:val="179"/>
        </w:trPr>
        <w:tc>
          <w:tcPr>
            <w:tcW w:w="4420" w:type="dxa"/>
            <w:vAlign w:val="bottom"/>
            <w:gridSpan w:val="2"/>
          </w:tcPr>
          <w:p>
            <w:pPr>
              <w:ind w:left="340"/>
              <w:spacing w:after="0"/>
              <w:rPr>
                <w:sz w:val="20"/>
                <w:szCs w:val="20"/>
                <w:color w:val="auto"/>
              </w:rPr>
            </w:pPr>
            <w:r>
              <w:rPr>
                <w:rFonts w:ascii="Arial" w:cs="Arial" w:eastAsia="Arial" w:hAnsi="Arial"/>
                <w:sz w:val="14"/>
                <w:szCs w:val="14"/>
                <w:b w:val="1"/>
                <w:bCs w:val="1"/>
                <w:i w:val="1"/>
                <w:iCs w:val="1"/>
                <w:color w:val="auto"/>
              </w:rPr>
              <w:t>Total Conventional</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2,472</w:t>
            </w:r>
          </w:p>
        </w:tc>
        <w:tc>
          <w:tcPr>
            <w:tcW w:w="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Utility Scale Solar</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Agua Caliente</w:t>
            </w:r>
          </w:p>
        </w:tc>
        <w:tc>
          <w:tcPr>
            <w:tcW w:w="1060" w:type="dxa"/>
            <w:vAlign w:val="bottom"/>
          </w:tcPr>
          <w:p>
            <w:pPr>
              <w:ind w:left="20"/>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Alpine</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PG&amp;E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Avenal</w:t>
            </w:r>
          </w:p>
        </w:tc>
        <w:tc>
          <w:tcPr>
            <w:tcW w:w="1060" w:type="dxa"/>
            <w:vAlign w:val="bottom"/>
          </w:tcPr>
          <w:p>
            <w:pPr>
              <w:ind w:left="2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Avra Valley</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Tucson Electric Power</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Blythe</w:t>
            </w:r>
          </w:p>
        </w:tc>
        <w:tc>
          <w:tcPr>
            <w:tcW w:w="106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Borrego</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San Diego Gas and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Buckthorn Solar </w:t>
            </w:r>
            <w:r>
              <w:rPr>
                <w:rFonts w:ascii="Arial" w:cs="Arial" w:eastAsia="Arial" w:hAnsi="Arial"/>
                <w:sz w:val="18"/>
                <w:szCs w:val="18"/>
                <w:color w:val="auto"/>
                <w:vertAlign w:val="superscript"/>
              </w:rPr>
              <w:t>(b)</w:t>
            </w:r>
          </w:p>
        </w:tc>
        <w:tc>
          <w:tcPr>
            <w:tcW w:w="106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City of Georgetown, TX</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2043</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CVSR</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PG&amp;E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Desert Sunlight 250</w:t>
            </w:r>
          </w:p>
        </w:tc>
        <w:tc>
          <w:tcPr>
            <w:tcW w:w="1060" w:type="dxa"/>
            <w:vAlign w:val="bottom"/>
          </w:tcPr>
          <w:p>
            <w:pPr>
              <w:ind w:left="20"/>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2034</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Desert Sunlight 300</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PG&amp;E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Kansas South</w:t>
            </w:r>
          </w:p>
        </w:tc>
        <w:tc>
          <w:tcPr>
            <w:tcW w:w="106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PG&amp;E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Kawailoa </w:t>
            </w:r>
            <w:r>
              <w:rPr>
                <w:rFonts w:ascii="Arial" w:cs="Arial" w:eastAsia="Arial" w:hAnsi="Arial"/>
                <w:sz w:val="18"/>
                <w:szCs w:val="18"/>
                <w:color w:val="auto"/>
                <w:vertAlign w:val="superscript"/>
              </w:rPr>
              <w:t>(b) .</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48%</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Hawaiian Electric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Oahu Solar Projects </w:t>
            </w:r>
            <w:r>
              <w:rPr>
                <w:rFonts w:ascii="Arial" w:cs="Arial" w:eastAsia="Arial" w:hAnsi="Arial"/>
                <w:sz w:val="18"/>
                <w:szCs w:val="18"/>
                <w:color w:val="auto"/>
                <w:vertAlign w:val="superscript"/>
              </w:rPr>
              <w:t>(b)</w:t>
            </w:r>
          </w:p>
        </w:tc>
        <w:tc>
          <w:tcPr>
            <w:tcW w:w="1060" w:type="dxa"/>
            <w:vAlign w:val="bottom"/>
          </w:tcPr>
          <w:p>
            <w:pPr>
              <w:ind w:left="20"/>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Hawaiian Electric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2041</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Roadrunner</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El Paso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442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Rosamond Central </w:t>
            </w:r>
            <w:r>
              <w:rPr>
                <w:rFonts w:ascii="Arial" w:cs="Arial" w:eastAsia="Arial" w:hAnsi="Arial"/>
                <w:sz w:val="18"/>
                <w:szCs w:val="18"/>
                <w:color w:val="auto"/>
                <w:vertAlign w:val="superscript"/>
              </w:rPr>
              <w:t>(b)</w:t>
            </w:r>
          </w:p>
        </w:tc>
        <w:tc>
          <w:tcPr>
            <w:tcW w:w="1060" w:type="dxa"/>
            <w:vAlign w:val="bottom"/>
          </w:tcPr>
          <w:p>
            <w:pPr>
              <w:ind w:left="20"/>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9"/>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TA High Desert</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9"/>
        </w:trPr>
        <w:tc>
          <w:tcPr>
            <w:tcW w:w="4420" w:type="dxa"/>
            <w:vAlign w:val="bottom"/>
            <w:tcBorders>
              <w:bottom w:val="single" w:sz="8" w:color="CCEEFF"/>
            </w:tcBorders>
            <w:gridSpan w:val="2"/>
          </w:tcPr>
          <w:p>
            <w:pPr>
              <w:ind w:left="240"/>
              <w:spacing w:after="0" w:line="189" w:lineRule="exact"/>
              <w:rPr>
                <w:sz w:val="20"/>
                <w:szCs w:val="20"/>
                <w:color w:val="auto"/>
              </w:rPr>
            </w:pPr>
            <w:r>
              <w:rPr>
                <w:rFonts w:ascii="Arial" w:cs="Arial" w:eastAsia="Arial" w:hAnsi="Arial"/>
                <w:sz w:val="14"/>
                <w:szCs w:val="14"/>
                <w:color w:val="auto"/>
              </w:rPr>
              <w:t xml:space="preserve">Utah Solar Portfolio </w:t>
            </w:r>
            <w:r>
              <w:rPr>
                <w:rFonts w:ascii="Arial" w:cs="Arial" w:eastAsia="Arial" w:hAnsi="Arial"/>
                <w:sz w:val="18"/>
                <w:szCs w:val="18"/>
                <w:color w:val="auto"/>
                <w:vertAlign w:val="superscript"/>
              </w:rPr>
              <w:t>(b)</w:t>
            </w:r>
          </w:p>
        </w:tc>
        <w:tc>
          <w:tcPr>
            <w:tcW w:w="1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50%</w:t>
            </w:r>
          </w:p>
        </w:tc>
        <w:tc>
          <w:tcPr>
            <w:tcW w:w="12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Borders>
              <w:bottom w:val="single" w:sz="8" w:color="CCEEFF"/>
            </w:tcBorders>
          </w:tcPr>
          <w:p>
            <w:pPr>
              <w:spacing w:after="0"/>
              <w:rPr>
                <w:sz w:val="16"/>
                <w:szCs w:val="16"/>
                <w:color w:val="auto"/>
              </w:rPr>
            </w:pPr>
          </w:p>
        </w:tc>
        <w:tc>
          <w:tcPr>
            <w:tcW w:w="33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PacifiCorp</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2036</w:t>
            </w:r>
          </w:p>
        </w:tc>
        <w:tc>
          <w:tcPr>
            <w:tcW w:w="0" w:type="dxa"/>
            <w:vAlign w:val="bottom"/>
          </w:tcPr>
          <w:p>
            <w:pPr>
              <w:spacing w:after="0"/>
              <w:rPr>
                <w:sz w:val="1"/>
                <w:szCs w:val="1"/>
                <w:color w:val="auto"/>
              </w:rPr>
            </w:pPr>
          </w:p>
        </w:tc>
      </w:tr>
      <w:tr>
        <w:trPr>
          <w:trHeight w:val="183"/>
        </w:trPr>
        <w:tc>
          <w:tcPr>
            <w:tcW w:w="442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i w:val="1"/>
                <w:iCs w:val="1"/>
                <w:color w:val="auto"/>
              </w:rPr>
              <w:t>Total Solar</w:t>
            </w: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1,356</w:t>
            </w:r>
          </w:p>
        </w:tc>
        <w:tc>
          <w:tcPr>
            <w:tcW w:w="120" w:type="dxa"/>
            <w:vAlign w:val="bottom"/>
            <w:shd w:val="clear" w:color="auto" w:fill="CCEEFF"/>
          </w:tcPr>
          <w:p>
            <w:pPr>
              <w:spacing w:after="0"/>
              <w:rPr>
                <w:sz w:val="15"/>
                <w:szCs w:val="15"/>
                <w:color w:val="auto"/>
              </w:rPr>
            </w:pPr>
          </w:p>
        </w:tc>
        <w:tc>
          <w:tcPr>
            <w:tcW w:w="3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42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Distributed Solar</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DGPV Fund Projects </w:t>
            </w:r>
            <w:r>
              <w:rPr>
                <w:rFonts w:ascii="Arial" w:cs="Arial" w:eastAsia="Arial" w:hAnsi="Arial"/>
                <w:sz w:val="18"/>
                <w:szCs w:val="18"/>
                <w:color w:val="auto"/>
                <w:vertAlign w:val="superscript"/>
              </w:rPr>
              <w:t>(b)</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2030 - 2044</w:t>
            </w:r>
          </w:p>
        </w:tc>
        <w:tc>
          <w:tcPr>
            <w:tcW w:w="0" w:type="dxa"/>
            <w:vAlign w:val="bottom"/>
          </w:tcPr>
          <w:p>
            <w:pPr>
              <w:spacing w:after="0"/>
              <w:rPr>
                <w:sz w:val="1"/>
                <w:szCs w:val="1"/>
                <w:color w:val="auto"/>
              </w:rPr>
            </w:pPr>
          </w:p>
        </w:tc>
      </w:tr>
      <w:tr>
        <w:trPr>
          <w:trHeight w:val="186"/>
        </w:trPr>
        <w:tc>
          <w:tcPr>
            <w:tcW w:w="4420" w:type="dxa"/>
            <w:vAlign w:val="bottom"/>
            <w:gridSpan w:val="2"/>
          </w:tcPr>
          <w:p>
            <w:pPr>
              <w:ind w:left="220"/>
              <w:spacing w:after="0"/>
              <w:rPr>
                <w:sz w:val="20"/>
                <w:szCs w:val="20"/>
                <w:color w:val="auto"/>
              </w:rPr>
            </w:pPr>
            <w:r>
              <w:rPr>
                <w:rFonts w:ascii="Arial" w:cs="Arial" w:eastAsia="Arial" w:hAnsi="Arial"/>
                <w:sz w:val="14"/>
                <w:szCs w:val="14"/>
                <w:color w:val="auto"/>
              </w:rPr>
              <w:t>Solar Power Partners (SPP) Projects</w:t>
            </w:r>
          </w:p>
        </w:tc>
        <w:tc>
          <w:tcPr>
            <w:tcW w:w="1060" w:type="dxa"/>
            <w:vAlign w:val="bottom"/>
          </w:tcPr>
          <w:p>
            <w:pPr>
              <w:ind w:left="20"/>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3340" w:type="dxa"/>
            <w:vAlign w:val="bottom"/>
            <w:gridSpan w:val="2"/>
          </w:tcPr>
          <w:p>
            <w:pPr>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2026 -2037</w:t>
            </w:r>
          </w:p>
        </w:tc>
        <w:tc>
          <w:tcPr>
            <w:tcW w:w="0" w:type="dxa"/>
            <w:vAlign w:val="bottom"/>
          </w:tcPr>
          <w:p>
            <w:pPr>
              <w:spacing w:after="0"/>
              <w:rPr>
                <w:sz w:val="1"/>
                <w:szCs w:val="1"/>
                <w:color w:val="auto"/>
              </w:rPr>
            </w:pPr>
          </w:p>
        </w:tc>
      </w:tr>
      <w:tr>
        <w:trPr>
          <w:trHeight w:val="192"/>
        </w:trPr>
        <w:tc>
          <w:tcPr>
            <w:tcW w:w="44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Other DG Projects</w:t>
            </w:r>
          </w:p>
        </w:tc>
        <w:tc>
          <w:tcPr>
            <w:tcW w:w="1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2023 -2039</w:t>
            </w:r>
          </w:p>
        </w:tc>
        <w:tc>
          <w:tcPr>
            <w:tcW w:w="0" w:type="dxa"/>
            <w:vAlign w:val="bottom"/>
          </w:tcPr>
          <w:p>
            <w:pPr>
              <w:spacing w:after="0"/>
              <w:rPr>
                <w:sz w:val="1"/>
                <w:szCs w:val="1"/>
                <w:color w:val="auto"/>
              </w:rPr>
            </w:pPr>
          </w:p>
        </w:tc>
      </w:tr>
      <w:tr>
        <w:trPr>
          <w:trHeight w:val="179"/>
        </w:trPr>
        <w:tc>
          <w:tcPr>
            <w:tcW w:w="4420" w:type="dxa"/>
            <w:vAlign w:val="bottom"/>
            <w:gridSpan w:val="2"/>
          </w:tcPr>
          <w:p>
            <w:pPr>
              <w:ind w:left="460"/>
              <w:spacing w:after="0"/>
              <w:rPr>
                <w:sz w:val="20"/>
                <w:szCs w:val="20"/>
                <w:color w:val="auto"/>
              </w:rPr>
            </w:pPr>
            <w:r>
              <w:rPr>
                <w:rFonts w:ascii="Arial" w:cs="Arial" w:eastAsia="Arial" w:hAnsi="Arial"/>
                <w:sz w:val="14"/>
                <w:szCs w:val="14"/>
                <w:b w:val="1"/>
                <w:bCs w:val="1"/>
                <w:i w:val="1"/>
                <w:iCs w:val="1"/>
                <w:color w:val="auto"/>
              </w:rPr>
              <w:t>Total Distributed Solar</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4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Projects</w:t>
            </w:r>
          </w:p>
        </w:tc>
        <w:tc>
          <w:tcPr>
            <w:tcW w:w="1300" w:type="dxa"/>
            <w:vAlign w:val="bottom"/>
            <w:gridSpan w:val="2"/>
          </w:tcPr>
          <w:p>
            <w:pPr>
              <w:ind w:left="260"/>
              <w:spacing w:after="0"/>
              <w:rPr>
                <w:sz w:val="20"/>
                <w:szCs w:val="20"/>
                <w:color w:val="auto"/>
              </w:rPr>
            </w:pPr>
            <w:r>
              <w:rPr>
                <w:rFonts w:ascii="Arial" w:cs="Arial" w:eastAsia="Arial" w:hAnsi="Arial"/>
                <w:sz w:val="14"/>
                <w:szCs w:val="14"/>
                <w:b w:val="1"/>
                <w:bCs w:val="1"/>
                <w:color w:val="auto"/>
              </w:rPr>
              <w:t>Percentage</w:t>
            </w:r>
          </w:p>
        </w:tc>
        <w:tc>
          <w:tcPr>
            <w:tcW w:w="1040" w:type="dxa"/>
            <w:vAlign w:val="bottom"/>
          </w:tcPr>
          <w:p>
            <w:pPr>
              <w:jc w:val="right"/>
              <w:ind w:right="48"/>
              <w:spacing w:after="0"/>
              <w:rPr>
                <w:sz w:val="20"/>
                <w:szCs w:val="20"/>
                <w:color w:val="auto"/>
              </w:rPr>
            </w:pPr>
            <w:r>
              <w:rPr>
                <w:rFonts w:ascii="Arial" w:cs="Arial" w:eastAsia="Arial" w:hAnsi="Arial"/>
                <w:sz w:val="14"/>
                <w:szCs w:val="14"/>
                <w:b w:val="1"/>
                <w:bCs w:val="1"/>
                <w:color w:val="auto"/>
              </w:rPr>
              <w:t>Net Capacity</w:t>
            </w:r>
          </w:p>
        </w:tc>
        <w:tc>
          <w:tcPr>
            <w:tcW w:w="120" w:type="dxa"/>
            <w:vAlign w:val="bottom"/>
          </w:tcPr>
          <w:p>
            <w:pPr>
              <w:spacing w:after="0"/>
              <w:rPr>
                <w:sz w:val="14"/>
                <w:szCs w:val="14"/>
                <w:color w:val="auto"/>
              </w:rPr>
            </w:pPr>
          </w:p>
        </w:tc>
        <w:tc>
          <w:tcPr>
            <w:tcW w:w="3300" w:type="dxa"/>
            <w:vAlign w:val="bottom"/>
            <w:gridSpan w:val="2"/>
            <w:vMerge w:val="restart"/>
          </w:tcPr>
          <w:p>
            <w:pPr>
              <w:ind w:left="1180"/>
              <w:spacing w:after="0"/>
              <w:rPr>
                <w:sz w:val="20"/>
                <w:szCs w:val="20"/>
                <w:color w:val="auto"/>
              </w:rPr>
            </w:pPr>
            <w:r>
              <w:rPr>
                <w:rFonts w:ascii="Arial" w:cs="Arial" w:eastAsia="Arial" w:hAnsi="Arial"/>
                <w:sz w:val="14"/>
                <w:szCs w:val="14"/>
                <w:b w:val="1"/>
                <w:bCs w:val="1"/>
                <w:color w:val="auto"/>
              </w:rPr>
              <w:t>Counterparty</w:t>
            </w:r>
          </w:p>
        </w:tc>
        <w:tc>
          <w:tcPr>
            <w:tcW w:w="1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89"/>
        </w:trPr>
        <w:tc>
          <w:tcPr>
            <w:tcW w:w="4360" w:type="dxa"/>
            <w:vAlign w:val="bottom"/>
            <w:gridSpan w:val="2"/>
            <w:vMerge w:val="continue"/>
          </w:tcPr>
          <w:p>
            <w:pPr>
              <w:spacing w:after="0"/>
              <w:rPr>
                <w:sz w:val="16"/>
                <w:szCs w:val="16"/>
                <w:color w:val="auto"/>
              </w:rPr>
            </w:pPr>
          </w:p>
        </w:tc>
        <w:tc>
          <w:tcPr>
            <w:tcW w:w="1300" w:type="dxa"/>
            <w:vAlign w:val="bottom"/>
            <w:gridSpan w:val="2"/>
          </w:tcPr>
          <w:p>
            <w:pPr>
              <w:ind w:left="240"/>
              <w:spacing w:after="0"/>
              <w:rPr>
                <w:sz w:val="20"/>
                <w:szCs w:val="20"/>
                <w:color w:val="auto"/>
              </w:rPr>
            </w:pPr>
            <w:r>
              <w:rPr>
                <w:rFonts w:ascii="Arial" w:cs="Arial" w:eastAsia="Arial" w:hAnsi="Arial"/>
                <w:sz w:val="14"/>
                <w:szCs w:val="14"/>
                <w:b w:val="1"/>
                <w:bCs w:val="1"/>
                <w:color w:val="auto"/>
              </w:rPr>
              <w:t>Ownership</w:t>
            </w:r>
          </w:p>
        </w:tc>
        <w:tc>
          <w:tcPr>
            <w:tcW w:w="1040" w:type="dxa"/>
            <w:vAlign w:val="bottom"/>
          </w:tcPr>
          <w:p>
            <w:pPr>
              <w:jc w:val="right"/>
              <w:ind w:right="208"/>
              <w:spacing w:after="0" w:line="189" w:lineRule="exact"/>
              <w:rPr>
                <w:sz w:val="20"/>
                <w:szCs w:val="20"/>
                <w:color w:val="auto"/>
              </w:rPr>
            </w:pPr>
            <w:r>
              <w:rPr>
                <w:rFonts w:ascii="Arial" w:cs="Arial" w:eastAsia="Arial" w:hAnsi="Arial"/>
                <w:sz w:val="14"/>
                <w:szCs w:val="14"/>
                <w:b w:val="1"/>
                <w:bCs w:val="1"/>
                <w:color w:val="auto"/>
              </w:rPr>
              <w:t>(MW)</w:t>
            </w:r>
            <w:r>
              <w:rPr>
                <w:rFonts w:ascii="Arial" w:cs="Arial" w:eastAsia="Arial" w:hAnsi="Arial"/>
                <w:sz w:val="18"/>
                <w:szCs w:val="18"/>
                <w:b w:val="1"/>
                <w:bCs w:val="1"/>
                <w:color w:val="auto"/>
                <w:vertAlign w:val="superscript"/>
              </w:rPr>
              <w:t>(a)</w:t>
            </w:r>
          </w:p>
        </w:tc>
        <w:tc>
          <w:tcPr>
            <w:tcW w:w="12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4240" w:type="dxa"/>
            <w:vAlign w:val="bottom"/>
            <w:tcBorders>
              <w:top w:val="single" w:sz="8" w:color="auto"/>
            </w:tcBorders>
          </w:tcPr>
          <w:p>
            <w:pPr>
              <w:ind w:left="100"/>
              <w:spacing w:after="0"/>
              <w:rPr>
                <w:sz w:val="20"/>
                <w:szCs w:val="20"/>
                <w:color w:val="auto"/>
              </w:rPr>
            </w:pPr>
            <w:r>
              <w:rPr>
                <w:rFonts w:ascii="Arial" w:cs="Arial" w:eastAsia="Arial" w:hAnsi="Arial"/>
                <w:sz w:val="14"/>
                <w:szCs w:val="14"/>
                <w:b w:val="1"/>
                <w:bCs w:val="1"/>
                <w:color w:val="auto"/>
              </w:rPr>
              <w:t>Wind</w:t>
            </w:r>
          </w:p>
        </w:tc>
        <w:tc>
          <w:tcPr>
            <w:tcW w:w="12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Alta II</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III</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Alta IV</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Alta V</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2035</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Alta X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SCE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4"/>
                <w:szCs w:val="14"/>
                <w:color w:val="auto"/>
              </w:rPr>
              <w:t xml:space="preserve">Alta XI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SCE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2038</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Buffalo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Western Farmers Electric Co-operative</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Crosswinds</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Corn Belt Power Cooperative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Elbow Creek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Elkhorn Ridge</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Nebraska Public Power District</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Forward</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Constellation NewEnergy, Inc.</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2022</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Goat Wind</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Dow Pipeline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Hardin</w:t>
            </w:r>
          </w:p>
        </w:tc>
        <w:tc>
          <w:tcPr>
            <w:tcW w:w="1180" w:type="dxa"/>
            <w:vAlign w:val="bottom"/>
          </w:tcPr>
          <w:p>
            <w:pPr>
              <w:jc w:val="right"/>
              <w:spacing w:after="0"/>
              <w:rPr>
                <w:sz w:val="20"/>
                <w:szCs w:val="20"/>
                <w:color w:val="auto"/>
              </w:rPr>
            </w:pPr>
            <w:r>
              <w:rPr>
                <w:rFonts w:ascii="Arial" w:cs="Arial" w:eastAsia="Arial" w:hAnsi="Arial"/>
                <w:sz w:val="14"/>
                <w:szCs w:val="14"/>
                <w:color w:val="auto"/>
              </w:rPr>
              <w:t>99 %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Interstate Power and Light Company</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Langford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2033</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Laredo Ridge</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Nebraska Public Power District</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Lookout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Southern Maryland Electric Cooperative</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2030</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Mesquite Star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2032 - 2035</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Ocotillo</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N/A</w:t>
            </w: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Odin</w:t>
            </w:r>
          </w:p>
        </w:tc>
        <w:tc>
          <w:tcPr>
            <w:tcW w:w="1180" w:type="dxa"/>
            <w:vAlign w:val="bottom"/>
          </w:tcPr>
          <w:p>
            <w:pPr>
              <w:jc w:val="right"/>
              <w:spacing w:after="0"/>
              <w:rPr>
                <w:sz w:val="20"/>
                <w:szCs w:val="20"/>
                <w:color w:val="auto"/>
              </w:rPr>
            </w:pPr>
            <w:r>
              <w:rPr>
                <w:rFonts w:ascii="Arial" w:cs="Arial" w:eastAsia="Arial" w:hAnsi="Arial"/>
                <w:sz w:val="14"/>
                <w:szCs w:val="14"/>
                <w:color w:val="auto"/>
              </w:rPr>
              <w:t>99.9 %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Missouri River Energy Services</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38"/>
        </w:trPr>
        <w:tc>
          <w:tcPr>
            <w:tcW w:w="436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color w:val="auto"/>
              </w:rPr>
              <w:t xml:space="preserve">Pinnacle </w:t>
            </w:r>
            <w:r>
              <w:rPr>
                <w:rFonts w:ascii="Arial" w:cs="Arial" w:eastAsia="Arial" w:hAnsi="Arial"/>
                <w:sz w:val="18"/>
                <w:szCs w:val="18"/>
                <w:color w:val="auto"/>
                <w:vertAlign w:val="superscript"/>
              </w:rPr>
              <w:t>(b)</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2"/>
                <w:szCs w:val="12"/>
                <w:color w:val="auto"/>
              </w:rPr>
            </w:pPr>
          </w:p>
        </w:tc>
        <w:tc>
          <w:tcPr>
            <w:tcW w:w="330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Maryland Department of General Services and</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4360" w:type="dxa"/>
            <w:vAlign w:val="bottom"/>
            <w:gridSpan w:val="2"/>
            <w:vMerge w:val="continue"/>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University System of Maryland</w:t>
            </w: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Rattlesnake </w:t>
            </w:r>
            <w:r>
              <w:rPr>
                <w:rFonts w:ascii="Arial" w:cs="Arial" w:eastAsia="Arial" w:hAnsi="Arial"/>
                <w:sz w:val="18"/>
                <w:szCs w:val="18"/>
                <w:color w:val="auto"/>
                <w:vertAlign w:val="superscript"/>
              </w:rPr>
              <w:t>(b) (d)</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Avista Corporation</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2040</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San Juan Mesa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Southwestern Public Service Company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2025</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Sleeping Bear</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Public Service Company of Oklahoma</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2032</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South Trent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AEP Energy Partners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2029</w:t>
            </w:r>
          </w:p>
        </w:tc>
        <w:tc>
          <w:tcPr>
            <w:tcW w:w="0" w:type="dxa"/>
            <w:vAlign w:val="bottom"/>
          </w:tcPr>
          <w:p>
            <w:pPr>
              <w:spacing w:after="0"/>
              <w:rPr>
                <w:sz w:val="1"/>
                <w:szCs w:val="1"/>
                <w:color w:val="auto"/>
              </w:rPr>
            </w:pPr>
          </w:p>
        </w:tc>
      </w:tr>
      <w:tr>
        <w:trPr>
          <w:trHeight w:val="186"/>
        </w:trPr>
        <w:tc>
          <w:tcPr>
            <w:tcW w:w="4360" w:type="dxa"/>
            <w:vAlign w:val="bottom"/>
            <w:gridSpan w:val="2"/>
          </w:tcPr>
          <w:p>
            <w:pPr>
              <w:ind w:left="220"/>
              <w:spacing w:after="0"/>
              <w:rPr>
                <w:sz w:val="20"/>
                <w:szCs w:val="20"/>
                <w:color w:val="auto"/>
              </w:rPr>
            </w:pPr>
            <w:r>
              <w:rPr>
                <w:rFonts w:ascii="Arial" w:cs="Arial" w:eastAsia="Arial" w:hAnsi="Arial"/>
                <w:sz w:val="14"/>
                <w:szCs w:val="14"/>
                <w:color w:val="auto"/>
              </w:rPr>
              <w:t>Spanish Fork</w:t>
            </w:r>
          </w:p>
        </w:tc>
        <w:tc>
          <w:tcPr>
            <w:tcW w:w="1180" w:type="dxa"/>
            <w:vAlign w:val="bottom"/>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PacifiCorp</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2028</w:t>
            </w:r>
          </w:p>
        </w:tc>
        <w:tc>
          <w:tcPr>
            <w:tcW w:w="0" w:type="dxa"/>
            <w:vAlign w:val="bottom"/>
          </w:tcPr>
          <w:p>
            <w:pPr>
              <w:spacing w:after="0"/>
              <w:rPr>
                <w:sz w:val="1"/>
                <w:szCs w:val="1"/>
                <w:color w:val="auto"/>
              </w:rPr>
            </w:pPr>
          </w:p>
        </w:tc>
      </w:tr>
      <w:tr>
        <w:trPr>
          <w:trHeight w:val="192"/>
        </w:trPr>
        <w:tc>
          <w:tcPr>
            <w:tcW w:w="4360" w:type="dxa"/>
            <w:vAlign w:val="bottom"/>
            <w:gridSpan w:val="2"/>
            <w:shd w:val="clear" w:color="auto" w:fill="CCEEFF"/>
          </w:tcPr>
          <w:p>
            <w:pPr>
              <w:ind w:left="220"/>
              <w:spacing w:after="0" w:line="193" w:lineRule="exact"/>
              <w:rPr>
                <w:sz w:val="20"/>
                <w:szCs w:val="20"/>
                <w:color w:val="auto"/>
              </w:rPr>
            </w:pPr>
            <w:r>
              <w:rPr>
                <w:rFonts w:ascii="Arial" w:cs="Arial" w:eastAsia="Arial" w:hAnsi="Arial"/>
                <w:sz w:val="14"/>
                <w:szCs w:val="14"/>
                <w:color w:val="auto"/>
              </w:rPr>
              <w:t xml:space="preserve">Spring Canyon II </w:t>
            </w:r>
            <w:r>
              <w:rPr>
                <w:rFonts w:ascii="Arial" w:cs="Arial" w:eastAsia="Arial" w:hAnsi="Arial"/>
                <w:sz w:val="18"/>
                <w:szCs w:val="18"/>
                <w:color w:val="auto"/>
                <w:vertAlign w:val="superscript"/>
              </w:rPr>
              <w:t>(b)</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Platte River Power Authority</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4360" w:type="dxa"/>
            <w:vAlign w:val="bottom"/>
            <w:gridSpan w:val="2"/>
          </w:tcPr>
          <w:p>
            <w:pPr>
              <w:ind w:left="220"/>
              <w:spacing w:after="0" w:line="189" w:lineRule="exact"/>
              <w:rPr>
                <w:sz w:val="20"/>
                <w:szCs w:val="20"/>
                <w:color w:val="auto"/>
              </w:rPr>
            </w:pPr>
            <w:r>
              <w:rPr>
                <w:rFonts w:ascii="Arial" w:cs="Arial" w:eastAsia="Arial" w:hAnsi="Arial"/>
                <w:sz w:val="14"/>
                <w:szCs w:val="14"/>
                <w:color w:val="auto"/>
              </w:rPr>
              <w:t xml:space="preserve">Spring Canyon III </w:t>
            </w:r>
            <w:r>
              <w:rPr>
                <w:rFonts w:ascii="Arial" w:cs="Arial" w:eastAsia="Arial" w:hAnsi="Arial"/>
                <w:sz w:val="18"/>
                <w:szCs w:val="18"/>
                <w:color w:val="auto"/>
                <w:vertAlign w:val="superscript"/>
              </w:rPr>
              <w:t>(b)</w:t>
            </w:r>
          </w:p>
        </w:tc>
        <w:tc>
          <w:tcPr>
            <w:tcW w:w="1180" w:type="dxa"/>
            <w:vAlign w:val="bottom"/>
          </w:tcPr>
          <w:p>
            <w:pPr>
              <w:jc w:val="right"/>
              <w:spacing w:after="0"/>
              <w:rPr>
                <w:sz w:val="20"/>
                <w:szCs w:val="20"/>
                <w:color w:val="auto"/>
              </w:rPr>
            </w:pPr>
            <w:r>
              <w:rPr>
                <w:rFonts w:ascii="Arial" w:cs="Arial" w:eastAsia="Arial" w:hAnsi="Arial"/>
                <w:sz w:val="14"/>
                <w:szCs w:val="14"/>
                <w:color w:val="auto"/>
              </w:rPr>
              <w:t>90.1 %</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3300" w:type="dxa"/>
            <w:vAlign w:val="bottom"/>
            <w:gridSpan w:val="2"/>
          </w:tcPr>
          <w:p>
            <w:pPr>
              <w:ind w:left="20"/>
              <w:spacing w:after="0"/>
              <w:rPr>
                <w:sz w:val="20"/>
                <w:szCs w:val="20"/>
                <w:color w:val="auto"/>
              </w:rPr>
            </w:pPr>
            <w:r>
              <w:rPr>
                <w:rFonts w:ascii="Arial" w:cs="Arial" w:eastAsia="Arial" w:hAnsi="Arial"/>
                <w:sz w:val="14"/>
                <w:szCs w:val="14"/>
                <w:color w:val="auto"/>
              </w:rPr>
              <w:t>Platte River Power Authority</w:t>
            </w:r>
          </w:p>
        </w:tc>
        <w:tc>
          <w:tcPr>
            <w:tcW w:w="1060" w:type="dxa"/>
            <w:vAlign w:val="bottom"/>
          </w:tcPr>
          <w:p>
            <w:pPr>
              <w:jc w:val="center"/>
              <w:spacing w:after="0"/>
              <w:rPr>
                <w:sz w:val="20"/>
                <w:szCs w:val="20"/>
                <w:color w:val="auto"/>
              </w:rPr>
            </w:pPr>
            <w:r>
              <w:rPr>
                <w:rFonts w:ascii="Arial" w:cs="Arial" w:eastAsia="Arial" w:hAnsi="Arial"/>
                <w:sz w:val="14"/>
                <w:szCs w:val="14"/>
                <w:color w:val="auto"/>
                <w:w w:val="96"/>
              </w:rPr>
              <w:t>2039</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Taloga</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Oklahoma Gas &amp; Electric</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2031</w:t>
            </w:r>
          </w:p>
        </w:tc>
        <w:tc>
          <w:tcPr>
            <w:tcW w:w="0" w:type="dxa"/>
            <w:vAlign w:val="bottom"/>
          </w:tcPr>
          <w:p>
            <w:pPr>
              <w:spacing w:after="0"/>
              <w:rPr>
                <w:sz w:val="1"/>
                <w:szCs w:val="1"/>
                <w:color w:val="auto"/>
              </w:rPr>
            </w:pPr>
          </w:p>
        </w:tc>
      </w:tr>
      <w:tr>
        <w:trPr>
          <w:trHeight w:val="189"/>
        </w:trPr>
        <w:tc>
          <w:tcPr>
            <w:tcW w:w="4360" w:type="dxa"/>
            <w:vAlign w:val="bottom"/>
            <w:tcBorders>
              <w:bottom w:val="single" w:sz="8" w:color="CCEEFF"/>
            </w:tcBorders>
            <w:gridSpan w:val="2"/>
          </w:tcPr>
          <w:p>
            <w:pPr>
              <w:ind w:left="220"/>
              <w:spacing w:after="0" w:line="189" w:lineRule="exact"/>
              <w:rPr>
                <w:sz w:val="20"/>
                <w:szCs w:val="20"/>
                <w:color w:val="auto"/>
              </w:rPr>
            </w:pPr>
            <w:r>
              <w:rPr>
                <w:rFonts w:ascii="Arial" w:cs="Arial" w:eastAsia="Arial" w:hAnsi="Arial"/>
                <w:sz w:val="14"/>
                <w:szCs w:val="14"/>
                <w:color w:val="auto"/>
              </w:rPr>
              <w:t xml:space="preserve">Wildorado </w:t>
            </w:r>
            <w:r>
              <w:rPr>
                <w:rFonts w:ascii="Arial" w:cs="Arial" w:eastAsia="Arial" w:hAnsi="Arial"/>
                <w:sz w:val="18"/>
                <w:szCs w:val="18"/>
                <w:color w:val="auto"/>
                <w:vertAlign w:val="superscript"/>
              </w:rPr>
              <w:t>(b)</w:t>
            </w: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100 %</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w:t>
            </w:r>
          </w:p>
        </w:tc>
        <w:tc>
          <w:tcPr>
            <w:tcW w:w="120" w:type="dxa"/>
            <w:vAlign w:val="bottom"/>
            <w:tcBorders>
              <w:bottom w:val="single" w:sz="8" w:color="CCEEFF"/>
            </w:tcBorders>
          </w:tcPr>
          <w:p>
            <w:pPr>
              <w:spacing w:after="0"/>
              <w:rPr>
                <w:sz w:val="16"/>
                <w:szCs w:val="16"/>
                <w:color w:val="auto"/>
              </w:rPr>
            </w:pPr>
          </w:p>
        </w:tc>
        <w:tc>
          <w:tcPr>
            <w:tcW w:w="3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Southwestern Public Service Company</w:t>
            </w:r>
          </w:p>
        </w:tc>
        <w:tc>
          <w:tcPr>
            <w:tcW w:w="10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2027</w:t>
            </w: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440"/>
              <w:spacing w:after="0"/>
              <w:rPr>
                <w:sz w:val="20"/>
                <w:szCs w:val="20"/>
                <w:color w:val="auto"/>
              </w:rPr>
            </w:pPr>
            <w:r>
              <w:rPr>
                <w:rFonts w:ascii="Arial" w:cs="Arial" w:eastAsia="Arial" w:hAnsi="Arial"/>
                <w:sz w:val="14"/>
                <w:szCs w:val="14"/>
                <w:b w:val="1"/>
                <w:bCs w:val="1"/>
                <w:i w:val="1"/>
                <w:iCs w:val="1"/>
                <w:color w:val="auto"/>
              </w:rPr>
              <w:t>Total Wind</w:t>
            </w: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20" w:type="dxa"/>
            <w:vAlign w:val="bottom"/>
            <w:shd w:val="clear" w:color="auto" w:fill="CCEEFF"/>
          </w:tcPr>
          <w:p>
            <w:pPr>
              <w:spacing w:after="0"/>
              <w:rPr>
                <w:sz w:val="15"/>
                <w:szCs w:val="15"/>
                <w:color w:val="auto"/>
              </w:rPr>
            </w:pPr>
          </w:p>
        </w:tc>
        <w:tc>
          <w:tcPr>
            <w:tcW w:w="3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3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Thermal generation</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2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r>
        <w:trPr>
          <w:trHeight w:val="199"/>
        </w:trPr>
        <w:tc>
          <w:tcPr>
            <w:tcW w:w="42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3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4"/>
                <w:szCs w:val="14"/>
                <w:color w:val="auto"/>
              </w:rPr>
              <w:t>Total net generation capacity</w:t>
            </w:r>
          </w:p>
        </w:tc>
        <w:tc>
          <w:tcPr>
            <w:tcW w:w="1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6,991</w:t>
            </w:r>
          </w:p>
        </w:tc>
        <w:tc>
          <w:tcPr>
            <w:tcW w:w="120" w:type="dxa"/>
            <w:vAlign w:val="bottom"/>
            <w:tcBorders>
              <w:bottom w:val="single" w:sz="8" w:color="CCEEFF"/>
            </w:tcBorders>
            <w:shd w:val="clear" w:color="auto" w:fill="CCEEFF"/>
          </w:tcPr>
          <w:p>
            <w:pPr>
              <w:spacing w:after="0"/>
              <w:rPr>
                <w:sz w:val="17"/>
                <w:szCs w:val="17"/>
                <w:color w:val="auto"/>
              </w:rPr>
            </w:pPr>
          </w:p>
        </w:tc>
        <w:tc>
          <w:tcPr>
            <w:tcW w:w="3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24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2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3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4"/>
                <w:szCs w:val="14"/>
                <w:color w:val="auto"/>
              </w:rPr>
              <w:t>Thermal equivalent MWt</w:t>
            </w:r>
            <w:r>
              <w:rPr>
                <w:rFonts w:ascii="Arial" w:cs="Arial" w:eastAsia="Arial" w:hAnsi="Arial"/>
                <w:sz w:val="18"/>
                <w:szCs w:val="18"/>
                <w:color w:val="auto"/>
                <w:vertAlign w:val="superscript"/>
              </w:rPr>
              <w:t>(c)</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97.1 %</w:t>
            </w:r>
          </w:p>
        </w:tc>
        <w:tc>
          <w:tcPr>
            <w:tcW w:w="12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20" w:type="dxa"/>
            <w:vAlign w:val="bottom"/>
            <w:shd w:val="clear" w:color="auto" w:fill="CCEEFF"/>
          </w:tcPr>
          <w:p>
            <w:pPr>
              <w:spacing w:after="0"/>
              <w:rPr>
                <w:sz w:val="15"/>
                <w:szCs w:val="15"/>
                <w:color w:val="auto"/>
              </w:rPr>
            </w:pPr>
          </w:p>
        </w:tc>
        <w:tc>
          <w:tcPr>
            <w:tcW w:w="33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Various</w:t>
            </w:r>
          </w:p>
        </w:tc>
        <w:tc>
          <w:tcPr>
            <w:tcW w:w="1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13798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16"/>
          <w:szCs w:val="16"/>
          <w:color w:val="auto"/>
          <w:vertAlign w:val="superscript"/>
        </w:rPr>
      </w:pPr>
      <w:r>
        <w:rPr>
          <w:rFonts w:ascii="Arial" w:cs="Arial" w:eastAsia="Arial" w:hAnsi="Arial"/>
          <w:sz w:val="12"/>
          <w:szCs w:val="12"/>
          <w:color w:val="auto"/>
        </w:rPr>
        <w:t>Net capacity represents the maximum, or rated, generating capacity of the facility multiplied by the Company's percentage ownership in the facility as of March 31, 2021</w:t>
      </w:r>
    </w:p>
    <w:p>
      <w:pPr>
        <w:ind w:firstLine="8"/>
        <w:spacing w:after="0"/>
        <w:tabs>
          <w:tab w:leader="none" w:pos="132" w:val="left"/>
        </w:tabs>
        <w:numPr>
          <w:ilvl w:val="0"/>
          <w:numId w:val="15"/>
        </w:numPr>
        <w:rPr>
          <w:rFonts w:ascii="Arial" w:cs="Arial" w:eastAsia="Arial" w:hAnsi="Arial"/>
          <w:sz w:val="15"/>
          <w:szCs w:val="15"/>
          <w:color w:val="auto"/>
          <w:vertAlign w:val="superscript"/>
        </w:rPr>
      </w:pPr>
      <w:r>
        <w:rPr>
          <w:rFonts w:ascii="Arial" w:cs="Arial" w:eastAsia="Arial" w:hAnsi="Arial"/>
          <w:sz w:val="11"/>
          <w:szCs w:val="11"/>
          <w:color w:val="auto"/>
        </w:rPr>
        <w:t xml:space="preserve">Projects are part of tax equity arrangements and ownership percentage is based on cash to be distributed, as further described in Item 1 — Note 4, </w:t>
      </w:r>
      <w:r>
        <w:rPr>
          <w:rFonts w:ascii="Arial" w:cs="Arial" w:eastAsia="Arial" w:hAnsi="Arial"/>
          <w:sz w:val="11"/>
          <w:szCs w:val="11"/>
          <w:i w:val="1"/>
          <w:iCs w:val="1"/>
          <w:color w:val="auto"/>
        </w:rPr>
        <w:t>Investments Accounted for by the Equity</w:t>
      </w:r>
      <w:r>
        <w:rPr>
          <w:rFonts w:ascii="Arial" w:cs="Arial" w:eastAsia="Arial" w:hAnsi="Arial"/>
          <w:sz w:val="11"/>
          <w:szCs w:val="11"/>
          <w:color w:val="auto"/>
        </w:rPr>
        <w:t xml:space="preserve"> </w:t>
      </w:r>
      <w:r>
        <w:rPr>
          <w:rFonts w:ascii="Arial" w:cs="Arial" w:eastAsia="Arial" w:hAnsi="Arial"/>
          <w:sz w:val="11"/>
          <w:szCs w:val="11"/>
          <w:i w:val="1"/>
          <w:iCs w:val="1"/>
          <w:color w:val="auto"/>
        </w:rPr>
        <w:t>Method and Variable Interest Entities</w:t>
      </w:r>
    </w:p>
    <w:p>
      <w:pPr>
        <w:spacing w:after="0" w:line="159"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9"/>
          <w:szCs w:val="9"/>
          <w:color w:val="auto"/>
        </w:rPr>
        <w:t xml:space="preserve">(C) </w:t>
      </w:r>
      <w:r>
        <w:rPr>
          <w:rFonts w:ascii="Arial" w:cs="Arial" w:eastAsia="Arial" w:hAnsi="Arial"/>
          <w:sz w:val="13"/>
          <w:szCs w:val="13"/>
          <w:color w:val="auto"/>
        </w:rPr>
        <w:t>Net MWt capacity excludes 43 MWt available under the right-to-use provisions contained in agreements between one of the Company's thermal facilities and certain of its customers.</w:t>
      </w:r>
    </w:p>
    <w:p>
      <w:pPr>
        <w:spacing w:after="0" w:line="17" w:lineRule="exact"/>
        <w:rPr>
          <w:rFonts w:ascii="Arial" w:cs="Arial" w:eastAsia="Arial" w:hAnsi="Arial"/>
          <w:sz w:val="15"/>
          <w:szCs w:val="15"/>
          <w:color w:val="auto"/>
          <w:vertAlign w:val="superscript"/>
        </w:rPr>
      </w:pPr>
    </w:p>
    <w:p>
      <w:pPr>
        <w:ind w:left="140" w:hanging="132"/>
        <w:spacing w:after="0"/>
        <w:tabs>
          <w:tab w:leader="none" w:pos="140" w:val="left"/>
        </w:tabs>
        <w:numPr>
          <w:ilvl w:val="0"/>
          <w:numId w:val="16"/>
        </w:numPr>
        <w:rPr>
          <w:rFonts w:ascii="Arial" w:cs="Arial" w:eastAsia="Arial" w:hAnsi="Arial"/>
          <w:sz w:val="9"/>
          <w:szCs w:val="9"/>
          <w:color w:val="auto"/>
        </w:rPr>
      </w:pPr>
      <w:r>
        <w:rPr>
          <w:rFonts w:ascii="Arial" w:cs="Arial" w:eastAsia="Arial" w:hAnsi="Arial"/>
          <w:sz w:val="14"/>
          <w:szCs w:val="14"/>
          <w:color w:val="auto"/>
        </w:rPr>
        <w:t>Rattlesnake has a deliverable capacity of 144 MW.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Significant Events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Level Financing</w:t>
      </w:r>
    </w:p>
    <w:p>
      <w:pPr>
        <w:spacing w:after="0" w:line="171" w:lineRule="exact"/>
        <w:rPr>
          <w:sz w:val="20"/>
          <w:szCs w:val="20"/>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9, 2021, Clearway Energy Operating LLC completed the sale of $925 million of senior unsecured notes due 2031, or the 2031 Senior Notes. The 2031 Senior Notes bear interest at 3.750% and mature on February 15, 2031. The net proceeds from the 2031 Senior Notes were used to repurchase the 2025 Senior Notes as described below, as well as to repay amounts outstanding under the Company’s revolving credit facility and for general corporate purposes.</w:t>
      </w:r>
    </w:p>
    <w:p>
      <w:pPr>
        <w:spacing w:after="0" w:line="13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March 2021, the Company repurchased and redeemed an aggregate principal amount of $600 million of the 2025 Senior Notes, through the cash tender offer announced on March 2, 2021 and the redemption of the remaining amount on March 17, 2021. The repurchases and redemption were effectuated at a premium of approximately 106% for total consideration of $636 million.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Project-Level Financing Activities</w:t>
      </w:r>
    </w:p>
    <w:p>
      <w:pPr>
        <w:spacing w:after="0" w:line="171" w:lineRule="exact"/>
        <w:rPr>
          <w:sz w:val="20"/>
          <w:szCs w:val="20"/>
          <w:color w:val="auto"/>
        </w:rPr>
      </w:pPr>
    </w:p>
    <w:p>
      <w:pPr>
        <w:jc w:val="both"/>
        <w:ind w:left="660" w:hanging="328"/>
        <w:spacing w:after="0" w:line="301" w:lineRule="auto"/>
        <w:tabs>
          <w:tab w:leader="none" w:pos="655" w:val="left"/>
        </w:tabs>
        <w:numPr>
          <w:ilvl w:val="0"/>
          <w:numId w:val="18"/>
        </w:numPr>
        <w:rPr>
          <w:rFonts w:ascii="Arial" w:cs="Arial" w:eastAsia="Arial" w:hAnsi="Arial"/>
          <w:sz w:val="16"/>
          <w:szCs w:val="16"/>
          <w:i w:val="1"/>
          <w:iCs w:val="1"/>
          <w:color w:val="auto"/>
        </w:rPr>
      </w:pPr>
      <w:r>
        <w:rPr>
          <w:rFonts w:ascii="Arial" w:cs="Arial" w:eastAsia="Arial" w:hAnsi="Arial"/>
          <w:sz w:val="16"/>
          <w:szCs w:val="16"/>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previous contributions and pay vendor invoices and fees.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Third Party Acquisitions</w:t>
      </w:r>
    </w:p>
    <w:p>
      <w:pPr>
        <w:spacing w:after="0" w:line="171" w:lineRule="exact"/>
        <w:rPr>
          <w:sz w:val="20"/>
          <w:szCs w:val="20"/>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April 23, 2021, the Company acquired 100% of the equity interests in NedPower Mount Storm LLC, or Mt. Storm, from a third party for approximately $96 million, excluding working capital adjustments. Mt. Storm is a 264 MW wind project located in Grant County, West Virginia. Mt. Storm will have a 10-year energy hedge with an investment-grade counterparty.</w:t>
      </w:r>
    </w:p>
    <w:p>
      <w:pPr>
        <w:spacing w:after="0" w:line="129"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February 3, 2021, the Company acquired an additional 35% equity interest in the Agua Caliente solar project from NRG Energy, Inc. for $202 million. Agua Caliente is a 290 MW solar project located in Dateland, Arizona in which the Company previously owned a 16% equity interest. The project has a 25-year PPA with PG&amp;E, with approximately 19 years remaining under the agreement. Following the close of the transaction, the Company owns a 51% equity interest in Agua Caliente. The Company removed its equity method investment and consolidates its interest in Agua Caliente from the date of the acquisition.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Drop Down Transactions</w:t>
      </w:r>
    </w:p>
    <w:p>
      <w:pPr>
        <w:spacing w:after="0" w:line="171" w:lineRule="exact"/>
        <w:rPr>
          <w:sz w:val="20"/>
          <w:szCs w:val="20"/>
          <w:color w:val="auto"/>
        </w:rPr>
      </w:pPr>
    </w:p>
    <w:p>
      <w:pPr>
        <w:jc w:val="both"/>
        <w:ind w:left="660" w:hanging="328"/>
        <w:spacing w:after="0" w:line="275" w:lineRule="auto"/>
        <w:tabs>
          <w:tab w:leader="none" w:pos="655"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color w:val="auto"/>
        </w:rPr>
        <w:t>On February 26, 2021, the Company, through an indirect subsidiary, entered into an amended partnership agreement with CEG to repower the Pinnacle wind project, a 55 net MW wind facility located in Mineral County, West Virginia. The amended agreement commits the Company to invest an estimated $67 million in net corporate capital, subject to closing adjustments, and no longer requires an additional payment in 2031. The existing Pinnacle wind power purchase agreements will continue to run through 2031. Commercial operations and corporate capital funding for the Pinnacle wind repowering are expected to occur in the second half of 2021.</w:t>
      </w:r>
    </w:p>
    <w:p>
      <w:pPr>
        <w:spacing w:after="0" w:line="122" w:lineRule="exact"/>
        <w:rPr>
          <w:rFonts w:ascii="Arial" w:cs="Arial" w:eastAsia="Arial" w:hAnsi="Arial"/>
          <w:sz w:val="17"/>
          <w:szCs w:val="17"/>
          <w:b w:val="1"/>
          <w:bCs w:val="1"/>
          <w:i w:val="1"/>
          <w:iCs w:val="1"/>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color w:val="auto"/>
        </w:rPr>
        <w:t>On January 12, 2021, the Company acquired 100% of CEG's equity interest and a third party investor's minority interest in CWSP Rattlesnake Holding LLC, which indirectly owns the Rattlesnake wind project, a 160 MW wind facility located in Adams County, Washington that achieved commercial operations in December 2020, for $132 million in cash consideration. The Company expects its net capital commitment to be $119 million after proceeds from a state sales and use tax refund, which are expected to be received in 2021. The project has a 20-year PPA, which began when the facility reached commercial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Resource Adequacy Agreement at Marsh Landing</w:t>
      </w:r>
    </w:p>
    <w:p>
      <w:pPr>
        <w:spacing w:after="0" w:line="171" w:lineRule="exact"/>
        <w:rPr>
          <w:sz w:val="20"/>
          <w:szCs w:val="20"/>
          <w:color w:val="auto"/>
        </w:rPr>
      </w:pPr>
    </w:p>
    <w:p>
      <w:pPr>
        <w:jc w:val="both"/>
        <w:ind w:left="660" w:hanging="328"/>
        <w:spacing w:after="0" w:line="263"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May 3, 2021, the Company contracted with a California Load Serving Entity to sell 100 MW of Resource Adequacy commencing in May 2023. The contract is for seven and a half years and is at terms which would maintain project level CAFD on an unlevered basis if applied to the full capacity of the plant.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February 2021 Winter Events in Texas</w:t>
      </w:r>
    </w:p>
    <w:p>
      <w:pPr>
        <w:spacing w:after="0" w:line="171" w:lineRule="exact"/>
        <w:rPr>
          <w:sz w:val="20"/>
          <w:szCs w:val="20"/>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During February 2021, Texas experienced extreme winter weather conditions. Certain of the Company's wind projects were unable to operate and experienced outages due to the weather conditions at that time. These projects are now</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6" w:name="page37"/>
    <w:bookmarkEnd w:id="36"/>
    <w:p>
      <w:pPr>
        <w:jc w:val="both"/>
        <w:ind w:left="660"/>
        <w:spacing w:after="0" w:line="254" w:lineRule="auto"/>
        <w:rPr>
          <w:sz w:val="20"/>
          <w:szCs w:val="20"/>
          <w:color w:val="auto"/>
        </w:rPr>
      </w:pPr>
      <w:r>
        <w:rPr>
          <w:rFonts w:ascii="Arial" w:cs="Arial" w:eastAsia="Arial" w:hAnsi="Arial"/>
          <w:sz w:val="18"/>
          <w:szCs w:val="18"/>
          <w:color w:val="auto"/>
        </w:rPr>
        <w:t>operating within expectations. The Company continues to assess the full financial exposure related to the circumstances, including potential mitigants, ongoing discussions with contractual counterparties, any potential disputes which may result and any state sponsored solutions to address the financial impacts caused by the circumstances. During the three months ended March 31, 2021, and inclusive of amounts related to third party investors, the Company recorded a reduction of approximately $50 million in revenue to settle obligations for wind facilities during the extreme weather conditions. Based on available information and after adjusting for third party equity investor contributions, the Company currently estimates the potential cash impact will be between $25 million and $30 million in 2021, of which approximately $25 million was in the first quarter.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7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is subject to a wide range of environmental laws during the development, construction, ownership and operation of facilities. These existing and future laws generally require that governmental permits and approvals be obtained before construction and maintained during operation of facilities. The Company is obligated to comply with all environmental laws and regulations applicable within each jurisdiction and required to implement environmental programs and procedures to monitor and control risks associated with the construction, operation and decommissioning of regulated or permitted energy assets. Federal and state environmental laws have historically become more stringent over time, although this trend could change in the future.</w:t>
      </w:r>
    </w:p>
    <w:p>
      <w:pPr>
        <w:spacing w:after="0" w:line="138"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A number of regulations that may affect the Company are under review, including the publishing of the Affordable Clean Energy (ACE) rule, state solar photovoltaic module (solar panel) disposal and recycling regulations, and proposed federal MBTA incidental take legislation and regulations. The Company will evaluate the impact of the legislation and regulations as they are revised but cannot fully predict the impact of each until anticipated revisions and legal challenges are resolved. To the extent the proposed legislation and regulations restrict or otherwise impact the Company's operations, the proposed legislation and regulations could have a negative impact on the Company's financial performance.</w:t>
      </w:r>
    </w:p>
    <w:p>
      <w:pPr>
        <w:spacing w:after="0" w:line="16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Affordable Clean Energy Rule </w:t>
      </w:r>
      <w:r>
        <w:rPr>
          <w:rFonts w:ascii="Arial" w:cs="Arial" w:eastAsia="Arial" w:hAnsi="Arial"/>
          <w:sz w:val="17"/>
          <w:szCs w:val="17"/>
          <w:color w:val="auto"/>
        </w:rPr>
        <w:t>— The attention in recent years on greenhouse gas emissions has resulted in federal regulations and state legislative</w:t>
      </w:r>
      <w:r>
        <w:rPr>
          <w:rFonts w:ascii="Arial" w:cs="Arial" w:eastAsia="Arial" w:hAnsi="Arial"/>
          <w:sz w:val="17"/>
          <w:szCs w:val="17"/>
          <w:i w:val="1"/>
          <w:iCs w:val="1"/>
          <w:color w:val="auto"/>
        </w:rPr>
        <w:t xml:space="preserve"> </w:t>
      </w:r>
      <w:r>
        <w:rPr>
          <w:rFonts w:ascii="Arial" w:cs="Arial" w:eastAsia="Arial" w:hAnsi="Arial"/>
          <w:sz w:val="17"/>
          <w:szCs w:val="17"/>
          <w:color w:val="auto"/>
        </w:rPr>
        <w:t>and regulatory action. In 2015, the EPA finalized the Clean Power Plan, or the CPP, which addressed greenhouse gas emissions from existing electric utility steam generating units. The CPP was challenged in court and in 2016 the U.S. Supreme Court stayed the CPP. In 2018, the EPA published the proposed ACE rule to replace the CPP. The ACE rule establishes emission guidelines for states to develop plans to address greenhouse gas emissions from existing power plants. The ACE rule also reinforces the states’ broad discretion in establishing and applying emissions standards to new emission sources. The ACE rule is currently being litigated in the D.C. Circuit. In January 2021, the U.S. Court of Appeals for the Washington, D.C. circuit vacated the ACE rule, removing the Administration’s replacement for the Obama-era Clean Power Plan. This decision effectively eliminated both the CPP and ACE, leaving the new administration to restart greenhouse gas emissions regulation.</w:t>
      </w:r>
    </w:p>
    <w:p>
      <w:pPr>
        <w:spacing w:after="0" w:line="12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i w:val="1"/>
          <w:iCs w:val="1"/>
          <w:color w:val="auto"/>
        </w:rPr>
        <w:t xml:space="preserve">Proposed and Final State Solar Photovoltaic Module Disposal and Recycling Regulations </w:t>
      </w:r>
      <w:r>
        <w:rPr>
          <w:rFonts w:ascii="Arial" w:cs="Arial" w:eastAsia="Arial" w:hAnsi="Arial"/>
          <w:sz w:val="18"/>
          <w:szCs w:val="18"/>
          <w:color w:val="auto"/>
        </w:rPr>
        <w:t>— On October 1, 2015, California enacted SB 489, which</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California’s Department of Toxic Substances Control, or DTSC, to adopt regulations to designate discarded photovoltaic modules, which are classified as hazardous waste, as universal waste subject to universal waste management. On April 19, 2019, the DTSC proposed regulations that would allow discarded photovoltaic modules to be managed as universal waste. The final regulations were approved by the CA Office of Administrative Law in September 2020 and became effective January 1, 2021. The DTSC issued the final regulatory text in April 2020 and the regulations became effective January 1, 2021.</w:t>
      </w:r>
    </w:p>
    <w:p>
      <w:pPr>
        <w:spacing w:after="0" w:line="13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January 2021, the State of Hawaii issued a public notice of proposed rule changes which, among other items, include a proposed new solar panel universal waste rule. This proposed rule would create a new universal waste category for solar panels and allow solar panel waste management to be conducted under the existing regulatory framework. The state opened a public comment period on the proposed rule, which closed in early March 2021. If the proposed rule goes into effect as drafted, the addition of solar panels as a new category of universal wastes will make managing solar panels that are classified as a hazardous waste simpler and less costly.</w:t>
      </w:r>
    </w:p>
    <w:p>
      <w:pPr>
        <w:spacing w:after="0" w:line="13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7"/>
          <w:szCs w:val="17"/>
          <w:i w:val="1"/>
          <w:iCs w:val="1"/>
          <w:color w:val="auto"/>
        </w:rPr>
        <w:t xml:space="preserve">Proposed Federal MBTA Incidental Take Legislation and Regulations </w:t>
      </w:r>
      <w:r>
        <w:rPr>
          <w:rFonts w:ascii="Arial" w:cs="Arial" w:eastAsia="Arial" w:hAnsi="Arial"/>
          <w:sz w:val="17"/>
          <w:szCs w:val="17"/>
          <w:color w:val="auto"/>
        </w:rPr>
        <w:t>— On January 15, 2020, the House Natural Resources Committee voted to</w:t>
      </w:r>
      <w:r>
        <w:rPr>
          <w:rFonts w:ascii="Arial" w:cs="Arial" w:eastAsia="Arial" w:hAnsi="Arial"/>
          <w:sz w:val="17"/>
          <w:szCs w:val="17"/>
          <w:i w:val="1"/>
          <w:iCs w:val="1"/>
          <w:color w:val="auto"/>
        </w:rPr>
        <w:t xml:space="preserve"> </w:t>
      </w:r>
      <w:r>
        <w:rPr>
          <w:rFonts w:ascii="Arial" w:cs="Arial" w:eastAsia="Arial" w:hAnsi="Arial"/>
          <w:sz w:val="17"/>
          <w:szCs w:val="17"/>
          <w:color w:val="auto"/>
        </w:rPr>
        <w:t>advance a bill that would reinstate the interpretation that incidental take is prohibited under the MBTA, overriding the recent Trump-administration</w:t>
      </w:r>
    </w:p>
    <w:p>
      <w:pPr>
        <w:jc w:val="both"/>
        <w:spacing w:after="0" w:line="277" w:lineRule="auto"/>
        <w:rPr>
          <w:sz w:val="20"/>
          <w:szCs w:val="20"/>
          <w:color w:val="auto"/>
        </w:rPr>
      </w:pPr>
      <w:r>
        <w:rPr>
          <w:rFonts w:ascii="Arial" w:cs="Arial" w:eastAsia="Arial" w:hAnsi="Arial"/>
          <w:sz w:val="18"/>
          <w:szCs w:val="18"/>
          <w:color w:val="auto"/>
        </w:rPr>
        <w:t>Solicitor’s Opinion M-37050 that held the MBTA only applies to intentional takings. The bill also develops a general permitting program that covers incidental take of migratory birds. To the extent that electric generation takes migratory birds, it typically is incidental to its operations.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jc w:val="both"/>
        <w:ind w:firstLine="405"/>
        <w:spacing w:after="0" w:line="334" w:lineRule="auto"/>
        <w:rPr>
          <w:sz w:val="20"/>
          <w:szCs w:val="20"/>
          <w:color w:val="auto"/>
        </w:rPr>
      </w:pPr>
      <w:r>
        <w:rPr>
          <w:rFonts w:ascii="Arial" w:cs="Arial" w:eastAsia="Arial" w:hAnsi="Arial"/>
          <w:sz w:val="16"/>
          <w:szCs w:val="16"/>
          <w:color w:val="auto"/>
        </w:rPr>
        <w:t>On January 7, 2021, the U.S. Fish and Wildlife Service, or FWS, published a final rule codifying the Solicitor’s Opinion M-37050 defining the scope of certain prohibitions under the MBTA. The final rule clarifies that criminal liability for pursuing, hunting, taking, capturing, or killing or attempting to take, capture or kill migratory birds is limited to actions directed at migratory birds, their nests, or their eggs. Under the final rule, these prohibitions do not extend to actions that only incidentally take or kill migratory birds as a result of otherwise lawful activities. However, the final rule and the underlying Solicitor’s Opinion have both been subject to legal challenges. On August 11, 2020, the Southern District Court in New York vacated the Solicitor's</w:t>
      </w: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Opinion, finding there was not an adequate legal basis for the policy changes articulated in the guidance document. In addition, on January 19, 2021, environmental groups filed a lawsuit in the U.S. District Court for the Southern District of New York arguing that the FWS’s January 2021 final rule improperly relied on the vacated Solicitor’s Opinion, violates the MBTA, and should be vacated. Finally, on January 20, 2021, President Biden issued an executive order to review and consider suspending, revising, or rescinding agency actions taken between January 20, 2017 and January 20, 2021</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determined to be inconsistent with certain public health and environmental goals. This includes a review of both the Solicitor’s Opinion and the FWS’s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January 2021 final rule. In response to this directive, on February 9, 2021, the FWS delayed the effective date of the January 2021 final rule until March 8, 2021 and requested public comment to inform its review and a potential extended delay. A return to the position that incidental take is prohibited under the MBTA, or the development of legislation or regulations contrary to the FWS’s January 2021 rule, could increase potential liability and impose additional permitting requirements on our operations. The Company, through its membership in trade organizations, is monitoring the FWS’s efforts to review and possibly create a permitting process to address MBTA take.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 xml:space="preserve">The Company’s regulatory matters are described in the Company’s 2020 Form 10-K in Item 1,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 </w:t>
      </w:r>
      <w:r>
        <w:rPr>
          <w:rFonts w:ascii="Arial" w:cs="Arial" w:eastAsia="Arial" w:hAnsi="Arial"/>
          <w:sz w:val="18"/>
          <w:szCs w:val="18"/>
          <w:i w:val="1"/>
          <w:iCs w:val="1"/>
          <w:color w:val="auto"/>
        </w:rPr>
        <w:t>Regulatory Matters</w:t>
      </w:r>
      <w:r>
        <w:rPr>
          <w:rFonts w:ascii="Arial" w:cs="Arial" w:eastAsia="Arial" w:hAnsi="Arial"/>
          <w:sz w:val="18"/>
          <w:szCs w:val="18"/>
          <w:color w:val="auto"/>
        </w:rPr>
        <w:t xml:space="preserve"> and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Affecting Results of Operations and Future Business Performance</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 xml:space="preserve">The Company’s trends are described in the Company’s 2020 Form 10-K in Item 7, </w:t>
      </w:r>
      <w:r>
        <w:rPr>
          <w:rFonts w:ascii="Arial" w:cs="Arial" w:eastAsia="Arial" w:hAnsi="Arial"/>
          <w:sz w:val="18"/>
          <w:szCs w:val="18"/>
          <w:i w:val="1"/>
          <w:iCs w:val="1"/>
          <w:color w:val="auto"/>
        </w:rPr>
        <w:t>Management’s Discussion and Analysis of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Results of Operations </w:t>
      </w:r>
      <w:r>
        <w:rPr>
          <w:rFonts w:ascii="Arial" w:cs="Arial" w:eastAsia="Arial" w:hAnsi="Arial"/>
          <w:sz w:val="18"/>
          <w:szCs w:val="18"/>
          <w:color w:val="auto"/>
        </w:rPr>
        <w:t>—</w:t>
      </w:r>
      <w:r>
        <w:rPr>
          <w:rFonts w:ascii="Arial" w:cs="Arial" w:eastAsia="Arial" w:hAnsi="Arial"/>
          <w:sz w:val="18"/>
          <w:szCs w:val="18"/>
          <w:i w:val="1"/>
          <w:iCs w:val="1"/>
          <w:color w:val="auto"/>
        </w:rPr>
        <w:t xml:space="preserve"> Trends Affecting Results of Operations and Future Business Performance.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 Affecting Industry Conditions and the Company’s Business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COVID-19 Update</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response to the ongoing coronavirus (COVID-19) pandemic, the Company has implemented preventative measures and developed corporate and regional response plans to protect the health and safety of its employees, customers and other business counterparties, while supporting the Company’s suppliers and customers’ operations to the best of its ability in the circumstances. The Company also has modified certain business practices (including discontinuing all non-essential business travel, implementing a temporary work-from-home policy for employees who can execute their work remotely and encouraging employees to adhere to local and regional social distancing, more stringent hygiene and cleaning protocols across the Company’s facilities and operations and self-quarantining recommendations) to support efforts to reduce the spread of COVID-19 and to conform to government restrictions and best practices encouraged by governmental and regulatory authorities. The Company continues to evaluate these measures, response plans and business practices in light of the evolving effects of COVID-19.</w:t>
      </w:r>
    </w:p>
    <w:p>
      <w:pPr>
        <w:spacing w:after="0" w:line="12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There is considerable uncertainty regarding the extent to which COVID-19 will continue to spread and the extent and duration of governmental and other measures implemented to try to slow the spread of the virus, such as large-scale travel bans and restrictions, border closures, quarantines, shelter-in-place orders and business and government shutdowns. Restrictions of this nature may cause the Company, its suppliers and other business counterparties to experience operational delays and delays in the delivery of materials and supplies and may cause milestones or deadlines relating to various projects to be missed.</w:t>
      </w:r>
    </w:p>
    <w:p>
      <w:pPr>
        <w:spacing w:after="0" w:line="13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As of the date of this report, the Company has not experienced any material financial or operational impacts related to COVID-19. All of the Company’s facilities have remained operational. The Company has experienced a decrease in volumetric sales at certain Thermal locations in part due to COVID-19 related impacts, which has not resulted in any material financial impacts to the Company. The Company believes that all of its accounts receivable balances as of March 31, 2021 are collectible. The Company will continue to assess collectability based on any future developments.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cannot predict the full impact that COVID-19 will have on the Company’s financial expectations, its financial condition, results of operations and cash flows, its ability to make distributions to its unit holders and its ability to satisfy its debt service obligations at this time, due to numerous uncertainties. The ultimate impacts will depend on future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8" w:name="page39"/>
    <w:bookmarkEnd w:id="38"/>
    <w:p>
      <w:pPr>
        <w:jc w:val="both"/>
        <w:spacing w:after="0" w:line="301" w:lineRule="auto"/>
        <w:rPr>
          <w:sz w:val="20"/>
          <w:szCs w:val="20"/>
          <w:color w:val="auto"/>
        </w:rPr>
      </w:pPr>
      <w:r>
        <w:rPr>
          <w:rFonts w:ascii="Arial" w:cs="Arial" w:eastAsia="Arial" w:hAnsi="Arial"/>
          <w:sz w:val="16"/>
          <w:szCs w:val="16"/>
          <w:color w:val="auto"/>
        </w:rPr>
        <w:t xml:space="preserve">developments, including, among others, the ultimate geographic spread of the virus, the consequences of governmental and other measures designed to prevent the spread of the virus, the development of effective treatments, the duration of the outbreak, actions taken by governmental authorities, customers, suppliers and other third parties, workforce availability and the timing and extent to which normal economic and operating conditions resume. For additional discussion regarding risks associated with the COVID-19 pandemic, see Part I, Item 1A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of the Company's 2020 Form 10-K.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selected financial information:</w:t>
      </w:r>
    </w:p>
    <w:p>
      <w:pPr>
        <w:spacing w:after="0" w:line="203"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4"/>
                <w:szCs w:val="14"/>
                <w:b w:val="1"/>
                <w:bCs w:val="1"/>
                <w:color w:val="auto"/>
                <w:w w:val="96"/>
              </w:rPr>
              <w:t>Three months ended March 31,</w:t>
            </w: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00" w:type="dxa"/>
            <w:vAlign w:val="bottom"/>
            <w:gridSpan w:val="3"/>
          </w:tcPr>
          <w:p>
            <w:pPr>
              <w:spacing w:after="0" w:line="162" w:lineRule="exact"/>
              <w:rPr>
                <w:sz w:val="20"/>
                <w:szCs w:val="20"/>
                <w:color w:val="auto"/>
              </w:rPr>
            </w:pPr>
            <w:r>
              <w:rPr>
                <w:rFonts w:ascii="Arial" w:cs="Arial" w:eastAsia="Arial" w:hAnsi="Arial"/>
                <w:sz w:val="16"/>
                <w:szCs w:val="16"/>
                <w:b w:val="1"/>
                <w:bCs w:val="1"/>
                <w:color w:val="auto"/>
              </w:rPr>
              <w:t>(In millions)</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2021</w:t>
            </w:r>
          </w:p>
        </w:tc>
        <w:tc>
          <w:tcPr>
            <w:tcW w:w="440" w:type="dxa"/>
            <w:vAlign w:val="bottom"/>
          </w:tcPr>
          <w:p>
            <w:pPr>
              <w:spacing w:after="0"/>
              <w:rPr>
                <w:sz w:val="14"/>
                <w:szCs w:val="14"/>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0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Operating Revenues</w:t>
            </w: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5000" w:type="dxa"/>
            <w:vAlign w:val="bottom"/>
            <w:gridSpan w:val="3"/>
            <w:vMerge w:val="continue"/>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Energy and capacity revenues</w:t>
            </w:r>
          </w:p>
        </w:tc>
        <w:tc>
          <w:tcPr>
            <w:tcW w:w="480" w:type="dxa"/>
            <w:vAlign w:val="bottom"/>
            <w:shd w:val="clear" w:color="auto" w:fill="CCEEFF"/>
          </w:tcPr>
          <w:p>
            <w:pPr>
              <w:jc w:val="right"/>
              <w:ind w:right="296"/>
              <w:spacing w:after="0"/>
              <w:rPr>
                <w:sz w:val="20"/>
                <w:szCs w:val="20"/>
                <w:color w:val="auto"/>
              </w:rPr>
            </w:pPr>
            <w:r>
              <w:rPr>
                <w:rFonts w:ascii="Arial" w:cs="Arial" w:eastAsia="Arial" w:hAnsi="Arial"/>
                <w:sz w:val="18"/>
                <w:szCs w:val="18"/>
                <w:color w:val="333333"/>
                <w:w w:val="79"/>
              </w:rPr>
              <w: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276</w:t>
            </w:r>
          </w:p>
        </w:tc>
        <w:tc>
          <w:tcPr>
            <w:tcW w:w="6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7"/>
                <w:szCs w:val="17"/>
                <w:color w:val="auto"/>
              </w:rPr>
              <w:t>Other revenues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333333"/>
              </w:rPr>
              <w:t>17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Contract amortization</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333333"/>
              </w:rPr>
              <w:t>(32)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Mark-to-market economic hedging activities</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333333"/>
              </w:rPr>
              <w:t>(24)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operating revenues</w:t>
            </w:r>
          </w:p>
        </w:tc>
        <w:tc>
          <w:tcPr>
            <w:tcW w:w="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Operating Costs and Expenses</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Cost of fuels</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Operations and maintenance</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costs of operations</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Depreciation, amortization and accretion</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7"/>
                <w:szCs w:val="17"/>
                <w:color w:val="auto"/>
              </w:rPr>
              <w:t>Transaction and integration costs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Development costs</w:t>
            </w:r>
          </w:p>
        </w:tc>
        <w:tc>
          <w:tcPr>
            <w:tcW w:w="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operating costs and expenses</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Operating (Loss) Income</w:t>
            </w:r>
          </w:p>
        </w:tc>
        <w:tc>
          <w:tcPr>
            <w:tcW w:w="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Other Income (Expense)</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Equity in earnings (losses) of unconsolidated affiliates</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Other income, net</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Loss on debt extinguishment</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gridSpan w:val="3"/>
          </w:tcPr>
          <w:p>
            <w:pPr>
              <w:ind w:left="120"/>
              <w:spacing w:after="0"/>
              <w:rPr>
                <w:sz w:val="20"/>
                <w:szCs w:val="20"/>
                <w:color w:val="auto"/>
              </w:rPr>
            </w:pPr>
            <w:r>
              <w:rPr>
                <w:rFonts w:ascii="Arial" w:cs="Arial" w:eastAsia="Arial" w:hAnsi="Arial"/>
                <w:sz w:val="18"/>
                <w:szCs w:val="18"/>
                <w:color w:val="auto"/>
              </w:rPr>
              <w:t>Derivative interest expense income (expense)</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interest expense</w:t>
            </w:r>
          </w:p>
        </w:tc>
        <w:tc>
          <w:tcPr>
            <w:tcW w:w="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484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Total other expense, net</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4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gridSpan w:val="3"/>
          </w:tcPr>
          <w:p>
            <w:pPr>
              <w:ind w:left="120"/>
              <w:spacing w:after="0" w:line="156" w:lineRule="exact"/>
              <w:rPr>
                <w:sz w:val="20"/>
                <w:szCs w:val="20"/>
                <w:color w:val="auto"/>
              </w:rPr>
            </w:pPr>
            <w:r>
              <w:rPr>
                <w:rFonts w:ascii="Arial" w:cs="Arial" w:eastAsia="Arial" w:hAnsi="Arial"/>
                <w:sz w:val="18"/>
                <w:szCs w:val="18"/>
                <w:color w:val="auto"/>
                <w:w w:val="92"/>
              </w:rPr>
              <w:t>Less: Loss attributable to noncontrolling interests and redeemable</w:t>
            </w: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00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interests</w:t>
            </w:r>
          </w:p>
        </w:tc>
        <w:tc>
          <w:tcPr>
            <w:tcW w:w="4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Clearway Energy, LLC</w:t>
            </w:r>
          </w:p>
        </w:tc>
        <w:tc>
          <w:tcPr>
            <w:tcW w:w="480" w:type="dxa"/>
            <w:vAlign w:val="bottom"/>
            <w:tcBorders>
              <w:bottom w:val="single" w:sz="8" w:color="auto"/>
            </w:tcBorders>
            <w:shd w:val="clear" w:color="auto" w:fill="CCEEFF"/>
          </w:tcPr>
          <w:p>
            <w:pPr>
              <w:jc w:val="right"/>
              <w:ind w:right="29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Business metrics:</w:t>
            </w:r>
          </w:p>
        </w:tc>
        <w:tc>
          <w:tcPr>
            <w:tcW w:w="4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2"/>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Renewables MWh generated/sold (in thousands) </w:t>
            </w:r>
            <w:r>
              <w:rPr>
                <w:rFonts w:ascii="Arial" w:cs="Arial" w:eastAsia="Arial" w:hAnsi="Arial"/>
                <w:sz w:val="23"/>
                <w:szCs w:val="23"/>
                <w:color w:val="auto"/>
                <w:vertAlign w:val="superscript"/>
              </w:rPr>
              <w:t>(a)</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3"/>
              </w:rPr>
              <w:t>2,530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31"/>
              <w:spacing w:after="0"/>
              <w:rPr>
                <w:sz w:val="20"/>
                <w:szCs w:val="20"/>
                <w:color w:val="auto"/>
              </w:rPr>
            </w:pPr>
            <w:r>
              <w:rPr>
                <w:rFonts w:ascii="Arial" w:cs="Arial" w:eastAsia="Arial" w:hAnsi="Arial"/>
                <w:sz w:val="18"/>
                <w:szCs w:val="18"/>
                <w:color w:val="auto"/>
              </w:rPr>
              <w:t>1,676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2"/>
          </w:tcPr>
          <w:p>
            <w:pPr>
              <w:ind w:left="20"/>
              <w:spacing w:after="0"/>
              <w:rPr>
                <w:sz w:val="20"/>
                <w:szCs w:val="20"/>
                <w:color w:val="auto"/>
              </w:rPr>
            </w:pPr>
            <w:r>
              <w:rPr>
                <w:rFonts w:ascii="Arial" w:cs="Arial" w:eastAsia="Arial" w:hAnsi="Arial"/>
                <w:sz w:val="18"/>
                <w:szCs w:val="18"/>
                <w:color w:val="auto"/>
              </w:rPr>
              <w:t>Thermal MWt sold (in thousands)</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131"/>
              <w:spacing w:after="0"/>
              <w:rPr>
                <w:sz w:val="20"/>
                <w:szCs w:val="20"/>
                <w:color w:val="auto"/>
              </w:rPr>
            </w:pPr>
            <w:r>
              <w:rPr>
                <w:rFonts w:ascii="Arial" w:cs="Arial" w:eastAsia="Arial" w:hAnsi="Arial"/>
                <w:sz w:val="18"/>
                <w:szCs w:val="18"/>
                <w:color w:val="auto"/>
                <w:w w:val="86"/>
              </w:rPr>
              <w:t>605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Thermal MWh sold (in thousands)</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Conventional MWh generated (in thousands) </w:t>
            </w:r>
            <w:r>
              <w:rPr>
                <w:rFonts w:ascii="Arial" w:cs="Arial" w:eastAsia="Arial" w:hAnsi="Arial"/>
                <w:sz w:val="23"/>
                <w:szCs w:val="23"/>
                <w:color w:val="auto"/>
                <w:vertAlign w:val="superscript"/>
              </w:rPr>
              <w:t>(a) (b)</w:t>
            </w: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gridSpan w:val="2"/>
          </w:tcPr>
          <w:p>
            <w:pPr>
              <w:jc w:val="right"/>
              <w:ind w:right="1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131"/>
              <w:spacing w:after="0"/>
              <w:rPr>
                <w:sz w:val="20"/>
                <w:szCs w:val="20"/>
                <w:color w:val="auto"/>
              </w:rPr>
            </w:pPr>
            <w:r>
              <w:rPr>
                <w:rFonts w:ascii="Arial" w:cs="Arial" w:eastAsia="Arial" w:hAnsi="Arial"/>
                <w:sz w:val="18"/>
                <w:szCs w:val="18"/>
                <w:color w:val="auto"/>
                <w:w w:val="86"/>
              </w:rPr>
              <w:t>177</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Conventional equivalent availability factor</w:t>
            </w:r>
          </w:p>
        </w:tc>
        <w:tc>
          <w:tcPr>
            <w:tcW w:w="4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89.0 %</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308610</wp:posOffset>
            </wp:positionV>
            <wp:extent cx="13201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00" w:hanging="149"/>
        <w:spacing w:after="0"/>
        <w:tabs>
          <w:tab w:leader="none" w:pos="40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Volumes do not include the MWh generated/sold by the Company's equity method investments.</w:t>
      </w:r>
    </w:p>
    <w:p>
      <w:pPr>
        <w:ind w:left="400" w:hanging="149"/>
        <w:spacing w:after="0" w:line="197" w:lineRule="auto"/>
        <w:tabs>
          <w:tab w:leader="none" w:pos="400" w:val="left"/>
        </w:tabs>
        <w:numPr>
          <w:ilvl w:val="0"/>
          <w:numId w:val="23"/>
        </w:numPr>
        <w:rPr>
          <w:rFonts w:ascii="Arial" w:cs="Arial" w:eastAsia="Arial" w:hAnsi="Arial"/>
          <w:sz w:val="18"/>
          <w:szCs w:val="18"/>
          <w:color w:val="auto"/>
          <w:vertAlign w:val="superscript"/>
        </w:rPr>
      </w:pPr>
      <w:r>
        <w:rPr>
          <w:rFonts w:ascii="Arial" w:cs="Arial" w:eastAsia="Arial" w:hAnsi="Arial"/>
          <w:sz w:val="12"/>
          <w:szCs w:val="12"/>
          <w:color w:val="auto"/>
        </w:rPr>
        <w:t>Volumes generated are not sold by the Company as the Conventional facilities sell capacity rather than energy.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40" w:name="page41"/>
    <w:bookmarkEnd w:id="40"/>
    <w:p>
      <w:pPr>
        <w:ind w:right="2840"/>
        <w:spacing w:after="0" w:line="440" w:lineRule="auto"/>
        <w:rPr>
          <w:sz w:val="20"/>
          <w:szCs w:val="20"/>
          <w:color w:val="auto"/>
        </w:rPr>
      </w:pPr>
      <w:r>
        <w:rPr>
          <w:rFonts w:ascii="Arial" w:cs="Arial" w:eastAsia="Arial" w:hAnsi="Arial"/>
          <w:sz w:val="18"/>
          <w:szCs w:val="18"/>
          <w:b w:val="1"/>
          <w:bCs w:val="1"/>
          <w:color w:val="auto"/>
        </w:rPr>
        <w:t xml:space="preserve">Management’s Discussion of the Results of Operations for the Three Months Ended March 31, 2021 and 2020 </w:t>
      </w:r>
      <w:r>
        <w:rPr>
          <w:rFonts w:ascii="Arial" w:cs="Arial" w:eastAsia="Arial" w:hAnsi="Arial"/>
          <w:sz w:val="18"/>
          <w:szCs w:val="18"/>
          <w:b w:val="1"/>
          <w:bCs w:val="1"/>
          <w:i w:val="1"/>
          <w:iCs w:val="1"/>
          <w:color w:val="auto"/>
        </w:rPr>
        <w:t>Gross Margin</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Gross Margin</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plus other revenues,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below tables present the composition of gross margin, as well as the reconciliation to Economic Gross Margin,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millions)</w:t>
            </w: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Conventional</w:t>
            </w:r>
          </w:p>
        </w:tc>
        <w:tc>
          <w:tcPr>
            <w:tcW w:w="160" w:type="dxa"/>
            <w:vAlign w:val="bottom"/>
          </w:tcPr>
          <w:p>
            <w:pPr>
              <w:spacing w:after="0"/>
              <w:rPr>
                <w:sz w:val="16"/>
                <w:szCs w:val="16"/>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Renewables</w:t>
            </w:r>
          </w:p>
        </w:tc>
        <w:tc>
          <w:tcPr>
            <w:tcW w:w="220" w:type="dxa"/>
            <w:vAlign w:val="bottom"/>
          </w:tcPr>
          <w:p>
            <w:pPr>
              <w:spacing w:after="0"/>
              <w:rPr>
                <w:sz w:val="16"/>
                <w:szCs w:val="16"/>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Thermal</w:t>
            </w:r>
          </w:p>
        </w:tc>
        <w:tc>
          <w:tcPr>
            <w:tcW w:w="300" w:type="dxa"/>
            <w:vAlign w:val="bottom"/>
          </w:tcPr>
          <w:p>
            <w:pPr>
              <w:spacing w:after="0"/>
              <w:rPr>
                <w:sz w:val="16"/>
                <w:szCs w:val="16"/>
                <w:color w:val="auto"/>
              </w:rPr>
            </w:pPr>
          </w:p>
        </w:tc>
        <w:tc>
          <w:tcPr>
            <w:tcW w:w="1000" w:type="dxa"/>
            <w:vAlign w:val="bottom"/>
            <w:vMerge w:val="restart"/>
          </w:tcPr>
          <w:p>
            <w:pPr>
              <w:jc w:val="right"/>
              <w:ind w:right="39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0"/>
        </w:trPr>
        <w:tc>
          <w:tcPr>
            <w:tcW w:w="458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Generation</w:t>
            </w: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Three months ended March 31, 2021</w:t>
            </w: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Energy and capacity revenues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Other revenues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fuels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Gross margin</w:t>
            </w:r>
          </w:p>
        </w:tc>
        <w:tc>
          <w:tcPr>
            <w:tcW w:w="116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23"/>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Mark-to-market economic hedging activities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8"/>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gross margin</w:t>
            </w:r>
          </w:p>
        </w:tc>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March 31, 2020</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Energy and capacity revenues</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revenues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4580" w:type="dxa"/>
            <w:vAlign w:val="bottom"/>
          </w:tcPr>
          <w:p>
            <w:pPr>
              <w:ind w:left="140"/>
              <w:spacing w:after="0"/>
              <w:rPr>
                <w:sz w:val="20"/>
                <w:szCs w:val="20"/>
                <w:color w:val="auto"/>
              </w:rPr>
            </w:pPr>
            <w:r>
              <w:rPr>
                <w:rFonts w:ascii="Arial" w:cs="Arial" w:eastAsia="Arial" w:hAnsi="Arial"/>
                <w:sz w:val="18"/>
                <w:szCs w:val="18"/>
                <w:color w:val="auto"/>
              </w:rPr>
              <w:t>Cost of fuels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80" w:type="dxa"/>
            <w:vAlign w:val="bottom"/>
          </w:tcPr>
          <w:p>
            <w:pPr>
              <w:ind w:left="140"/>
              <w:spacing w:after="0"/>
              <w:rPr>
                <w:sz w:val="20"/>
                <w:szCs w:val="20"/>
                <w:color w:val="auto"/>
              </w:rPr>
            </w:pPr>
            <w:r>
              <w:rPr>
                <w:rFonts w:ascii="Arial" w:cs="Arial" w:eastAsia="Arial" w:hAnsi="Arial"/>
                <w:sz w:val="18"/>
                <w:szCs w:val="18"/>
                <w:color w:val="auto"/>
              </w:rPr>
              <w:t>Mark-to-market for economic hedging activities</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1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23"/>
        </w:trPr>
        <w:tc>
          <w:tcPr>
            <w:tcW w:w="4580" w:type="dxa"/>
            <w:vAlign w:val="bottom"/>
          </w:tcPr>
          <w:p>
            <w:pPr>
              <w:ind w:left="140"/>
              <w:spacing w:after="0"/>
              <w:rPr>
                <w:sz w:val="20"/>
                <w:szCs w:val="20"/>
                <w:color w:val="auto"/>
              </w:rPr>
            </w:pPr>
            <w:r>
              <w:rPr>
                <w:rFonts w:ascii="Arial" w:cs="Arial" w:eastAsia="Arial" w:hAnsi="Arial"/>
                <w:sz w:val="18"/>
                <w:szCs w:val="18"/>
                <w:color w:val="auto"/>
              </w:rPr>
              <w:t>Contract amortization</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45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Mark-to-market for economic hedging activities</w:t>
            </w:r>
          </w:p>
        </w:tc>
        <w:tc>
          <w:tcPr>
            <w:tcW w:w="1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580" w:type="dxa"/>
            <w:vAlign w:val="bottom"/>
          </w:tcPr>
          <w:p>
            <w:pPr>
              <w:ind w:left="20"/>
              <w:spacing w:after="0"/>
              <w:rPr>
                <w:sz w:val="20"/>
                <w:szCs w:val="20"/>
                <w:color w:val="auto"/>
              </w:rPr>
            </w:pPr>
            <w:r>
              <w:rPr>
                <w:rFonts w:ascii="Arial" w:cs="Arial" w:eastAsia="Arial" w:hAnsi="Arial"/>
                <w:sz w:val="18"/>
                <w:szCs w:val="18"/>
                <w:b w:val="1"/>
                <w:bCs w:val="1"/>
                <w:color w:val="auto"/>
              </w:rPr>
              <w:t>Economic gross margin</w:t>
            </w:r>
          </w:p>
        </w:tc>
        <w:tc>
          <w:tcPr>
            <w:tcW w:w="1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45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ind w:left="80" w:firstLine="405"/>
        <w:spacing w:after="0" w:line="277" w:lineRule="auto"/>
        <w:rPr>
          <w:sz w:val="20"/>
          <w:szCs w:val="20"/>
          <w:color w:val="auto"/>
        </w:rPr>
      </w:pPr>
      <w:r>
        <w:rPr>
          <w:rFonts w:ascii="Arial" w:cs="Arial" w:eastAsia="Arial" w:hAnsi="Arial"/>
          <w:sz w:val="18"/>
          <w:szCs w:val="18"/>
          <w:color w:val="auto"/>
        </w:rPr>
        <w:t>Gross margin decreased by $23 million during the three months ended March 31, 2021, compared to the same period in 2020, due to a combination of the drivers summarized in the table below:</w:t>
      </w:r>
    </w:p>
    <w:p>
      <w:pPr>
        <w:sectPr>
          <w:pgSz w:w="11900" w:h="16838" w:orient="portrait"/>
          <w:cols w:equalWidth="0" w:num="1">
            <w:col w:w="11320"/>
          </w:cols>
          <w:pgMar w:left="240" w:top="895" w:right="339" w:bottom="1440" w:gutter="0" w:footer="0" w:header="0"/>
        </w:sectPr>
      </w:pPr>
    </w:p>
    <w:p>
      <w:pPr>
        <w:spacing w:after="0" w:line="261"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1400" w:type="dxa"/>
            <w:vAlign w:val="bottom"/>
          </w:tcPr>
          <w:p>
            <w:pPr>
              <w:ind w:left="480"/>
              <w:spacing w:after="0"/>
              <w:rPr>
                <w:sz w:val="20"/>
                <w:szCs w:val="20"/>
                <w:color w:val="auto"/>
              </w:rPr>
            </w:pPr>
            <w:r>
              <w:rPr>
                <w:rFonts w:ascii="Arial" w:cs="Arial" w:eastAsia="Arial" w:hAnsi="Arial"/>
                <w:sz w:val="18"/>
                <w:szCs w:val="18"/>
                <w:b w:val="1"/>
                <w:bCs w:val="1"/>
                <w:color w:val="auto"/>
              </w:rPr>
              <w:t>Segment</w:t>
            </w:r>
          </w:p>
        </w:tc>
        <w:tc>
          <w:tcPr>
            <w:tcW w:w="8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400" w:type="dxa"/>
            <w:vAlign w:val="bottom"/>
          </w:tcPr>
          <w:p>
            <w:pPr>
              <w:spacing w:after="0" w:line="181" w:lineRule="exact"/>
              <w:rPr>
                <w:sz w:val="20"/>
                <w:szCs w:val="20"/>
                <w:color w:val="auto"/>
              </w:rPr>
            </w:pPr>
            <w:r>
              <w:rPr>
                <w:rFonts w:ascii="Arial" w:cs="Arial" w:eastAsia="Arial" w:hAnsi="Arial"/>
                <w:sz w:val="18"/>
                <w:szCs w:val="18"/>
                <w:b w:val="1"/>
                <w:bCs w:val="1"/>
                <w:color w:val="auto"/>
              </w:rPr>
              <w:t>Renewables</w:t>
            </w:r>
          </w:p>
        </w:tc>
        <w:tc>
          <w:tcPr>
            <w:tcW w:w="8280" w:type="dxa"/>
            <w:vAlign w:val="bottom"/>
          </w:tcPr>
          <w:p>
            <w:pPr>
              <w:ind w:left="260"/>
              <w:spacing w:after="0" w:line="181" w:lineRule="exact"/>
              <w:rPr>
                <w:sz w:val="20"/>
                <w:szCs w:val="20"/>
                <w:color w:val="auto"/>
              </w:rPr>
            </w:pPr>
            <w:r>
              <w:rPr>
                <w:rFonts w:ascii="Arial" w:cs="Arial" w:eastAsia="Arial" w:hAnsi="Arial"/>
                <w:sz w:val="18"/>
                <w:szCs w:val="18"/>
                <w:color w:val="auto"/>
                <w:w w:val="91"/>
              </w:rPr>
              <w:t>Decrease of $50 million related to net settlements of obligations for wind facilities that were unable to produce</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8280" w:type="dxa"/>
            <w:vAlign w:val="bottom"/>
          </w:tcPr>
          <w:p>
            <w:pPr>
              <w:ind w:left="260"/>
              <w:spacing w:after="0" w:line="176" w:lineRule="exact"/>
              <w:rPr>
                <w:sz w:val="20"/>
                <w:szCs w:val="20"/>
                <w:color w:val="auto"/>
              </w:rPr>
            </w:pPr>
            <w:r>
              <w:rPr>
                <w:rFonts w:ascii="Arial" w:cs="Arial" w:eastAsia="Arial" w:hAnsi="Arial"/>
                <w:sz w:val="18"/>
                <w:szCs w:val="18"/>
                <w:color w:val="auto"/>
                <w:w w:val="95"/>
              </w:rPr>
              <w:t>the required output during extreme weather conditions in Texas in February 2021, offset by $17 million in</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8280" w:type="dxa"/>
            <w:vAlign w:val="bottom"/>
          </w:tcPr>
          <w:p>
            <w:pPr>
              <w:ind w:left="260"/>
              <w:spacing w:after="0" w:line="176" w:lineRule="exact"/>
              <w:rPr>
                <w:sz w:val="20"/>
                <w:szCs w:val="20"/>
                <w:color w:val="auto"/>
              </w:rPr>
            </w:pPr>
            <w:r>
              <w:rPr>
                <w:rFonts w:ascii="Arial" w:cs="Arial" w:eastAsia="Arial" w:hAnsi="Arial"/>
                <w:sz w:val="18"/>
                <w:szCs w:val="18"/>
                <w:color w:val="auto"/>
                <w:w w:val="92"/>
              </w:rPr>
              <w:t>gross margin related to the consolidation of the DGPV investments in the fourth quarter of 2020, $8 million in</w:t>
            </w:r>
          </w:p>
        </w:tc>
        <w:tc>
          <w:tcPr>
            <w:tcW w:w="0" w:type="dxa"/>
            <w:vAlign w:val="bottom"/>
          </w:tcPr>
          <w:p>
            <w:pPr>
              <w:spacing w:after="0"/>
              <w:rPr>
                <w:sz w:val="1"/>
                <w:szCs w:val="1"/>
                <w:color w:val="auto"/>
              </w:rPr>
            </w:pPr>
          </w:p>
        </w:tc>
      </w:tr>
      <w:tr>
        <w:trPr>
          <w:trHeight w:val="175"/>
        </w:trPr>
        <w:tc>
          <w:tcPr>
            <w:tcW w:w="1400" w:type="dxa"/>
            <w:vAlign w:val="bottom"/>
          </w:tcPr>
          <w:p>
            <w:pPr>
              <w:spacing w:after="0"/>
              <w:rPr>
                <w:sz w:val="15"/>
                <w:szCs w:val="15"/>
                <w:color w:val="auto"/>
              </w:rPr>
            </w:pPr>
          </w:p>
        </w:tc>
        <w:tc>
          <w:tcPr>
            <w:tcW w:w="8280" w:type="dxa"/>
            <w:vAlign w:val="bottom"/>
          </w:tcPr>
          <w:p>
            <w:pPr>
              <w:ind w:left="260"/>
              <w:spacing w:after="0" w:line="176" w:lineRule="exact"/>
              <w:rPr>
                <w:sz w:val="20"/>
                <w:szCs w:val="20"/>
                <w:color w:val="auto"/>
              </w:rPr>
            </w:pPr>
            <w:r>
              <w:rPr>
                <w:rFonts w:ascii="Arial" w:cs="Arial" w:eastAsia="Arial" w:hAnsi="Arial"/>
                <w:sz w:val="18"/>
                <w:szCs w:val="18"/>
                <w:color w:val="auto"/>
              </w:rPr>
              <w:t>gross margin related to Agua Caliente acquired in February 2021, $2 million gross margin related to</w:t>
            </w:r>
          </w:p>
        </w:tc>
        <w:tc>
          <w:tcPr>
            <w:tcW w:w="0" w:type="dxa"/>
            <w:vAlign w:val="bottom"/>
          </w:tcPr>
          <w:p>
            <w:pPr>
              <w:spacing w:after="0"/>
              <w:rPr>
                <w:sz w:val="1"/>
                <w:szCs w:val="1"/>
                <w:color w:val="auto"/>
              </w:rPr>
            </w:pPr>
          </w:p>
        </w:tc>
      </w:tr>
      <w:tr>
        <w:trPr>
          <w:trHeight w:val="176"/>
        </w:trPr>
        <w:tc>
          <w:tcPr>
            <w:tcW w:w="1400" w:type="dxa"/>
            <w:vAlign w:val="bottom"/>
          </w:tcPr>
          <w:p>
            <w:pPr>
              <w:spacing w:after="0"/>
              <w:rPr>
                <w:sz w:val="15"/>
                <w:szCs w:val="15"/>
                <w:color w:val="auto"/>
              </w:rPr>
            </w:pPr>
          </w:p>
        </w:tc>
        <w:tc>
          <w:tcPr>
            <w:tcW w:w="8280" w:type="dxa"/>
            <w:vAlign w:val="bottom"/>
          </w:tcPr>
          <w:p>
            <w:pPr>
              <w:ind w:left="260"/>
              <w:spacing w:after="0" w:line="176" w:lineRule="exact"/>
              <w:rPr>
                <w:sz w:val="20"/>
                <w:szCs w:val="20"/>
                <w:color w:val="auto"/>
              </w:rPr>
            </w:pPr>
            <w:r>
              <w:rPr>
                <w:rFonts w:ascii="Arial" w:cs="Arial" w:eastAsia="Arial" w:hAnsi="Arial"/>
                <w:sz w:val="18"/>
                <w:szCs w:val="18"/>
                <w:color w:val="auto"/>
                <w:w w:val="92"/>
              </w:rPr>
              <w:t>Rosamond Central acquired in December 2020 and an additional $2 million in gross margin due to increased</w:t>
            </w:r>
          </w:p>
        </w:tc>
        <w:tc>
          <w:tcPr>
            <w:tcW w:w="0" w:type="dxa"/>
            <w:vAlign w:val="bottom"/>
          </w:tcPr>
          <w:p>
            <w:pPr>
              <w:spacing w:after="0"/>
              <w:rPr>
                <w:sz w:val="1"/>
                <w:szCs w:val="1"/>
                <w:color w:val="auto"/>
              </w:rPr>
            </w:pPr>
          </w:p>
        </w:tc>
      </w:tr>
      <w:tr>
        <w:trPr>
          <w:trHeight w:val="229"/>
        </w:trPr>
        <w:tc>
          <w:tcPr>
            <w:tcW w:w="1400" w:type="dxa"/>
            <w:vAlign w:val="bottom"/>
          </w:tcPr>
          <w:p>
            <w:pPr>
              <w:spacing w:after="0"/>
              <w:rPr>
                <w:sz w:val="19"/>
                <w:szCs w:val="19"/>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generation hours in various solar projects.</w:t>
            </w:r>
          </w:p>
        </w:tc>
        <w:tc>
          <w:tcPr>
            <w:tcW w:w="0" w:type="dxa"/>
            <w:vAlign w:val="bottom"/>
          </w:tcPr>
          <w:p>
            <w:pPr>
              <w:spacing w:after="0"/>
              <w:rPr>
                <w:sz w:val="1"/>
                <w:szCs w:val="1"/>
                <w:color w:val="auto"/>
              </w:rPr>
            </w:pPr>
          </w:p>
        </w:tc>
      </w:tr>
      <w:tr>
        <w:trPr>
          <w:trHeight w:val="176"/>
        </w:trPr>
        <w:tc>
          <w:tcPr>
            <w:tcW w:w="1400" w:type="dxa"/>
            <w:vAlign w:val="bottom"/>
            <w:vMerge w:val="restart"/>
          </w:tcPr>
          <w:p>
            <w:pPr>
              <w:spacing w:after="0"/>
              <w:rPr>
                <w:sz w:val="20"/>
                <w:szCs w:val="20"/>
                <w:color w:val="auto"/>
              </w:rPr>
            </w:pPr>
            <w:r>
              <w:rPr>
                <w:rFonts w:ascii="Arial" w:cs="Arial" w:eastAsia="Arial" w:hAnsi="Arial"/>
                <w:sz w:val="18"/>
                <w:szCs w:val="18"/>
                <w:b w:val="1"/>
                <w:bCs w:val="1"/>
                <w:color w:val="auto"/>
              </w:rPr>
              <w:t>Conventional</w:t>
            </w:r>
          </w:p>
        </w:tc>
        <w:tc>
          <w:tcPr>
            <w:tcW w:w="8280" w:type="dxa"/>
            <w:vAlign w:val="bottom"/>
          </w:tcPr>
          <w:p>
            <w:pPr>
              <w:ind w:left="260"/>
              <w:spacing w:after="0" w:line="176" w:lineRule="exact"/>
              <w:rPr>
                <w:sz w:val="20"/>
                <w:szCs w:val="20"/>
                <w:color w:val="auto"/>
              </w:rPr>
            </w:pPr>
            <w:r>
              <w:rPr>
                <w:rFonts w:ascii="Arial" w:cs="Arial" w:eastAsia="Arial" w:hAnsi="Arial"/>
                <w:sz w:val="18"/>
                <w:szCs w:val="18"/>
                <w:color w:val="auto"/>
                <w:w w:val="91"/>
              </w:rPr>
              <w:t>Decrease in gross margin due to shorter spring outages in 2020 to manage labor availability given the onset of</w:t>
            </w:r>
          </w:p>
        </w:tc>
        <w:tc>
          <w:tcPr>
            <w:tcW w:w="0" w:type="dxa"/>
            <w:vAlign w:val="bottom"/>
          </w:tcPr>
          <w:p>
            <w:pPr>
              <w:spacing w:after="0"/>
              <w:rPr>
                <w:sz w:val="1"/>
                <w:szCs w:val="1"/>
                <w:color w:val="auto"/>
              </w:rPr>
            </w:pPr>
          </w:p>
        </w:tc>
      </w:tr>
      <w:tr>
        <w:trPr>
          <w:trHeight w:val="230"/>
        </w:trPr>
        <w:tc>
          <w:tcPr>
            <w:tcW w:w="1400" w:type="dxa"/>
            <w:vAlign w:val="bottom"/>
            <w:vMerge w:val="continue"/>
          </w:tcPr>
          <w:p>
            <w:pPr>
              <w:spacing w:after="0"/>
              <w:rPr>
                <w:sz w:val="20"/>
                <w:szCs w:val="20"/>
                <w:color w:val="auto"/>
              </w:rPr>
            </w:pPr>
          </w:p>
        </w:tc>
        <w:tc>
          <w:tcPr>
            <w:tcW w:w="8280" w:type="dxa"/>
            <w:vAlign w:val="bottom"/>
          </w:tcPr>
          <w:p>
            <w:pPr>
              <w:ind w:left="260"/>
              <w:spacing w:after="0"/>
              <w:rPr>
                <w:sz w:val="20"/>
                <w:szCs w:val="20"/>
                <w:color w:val="auto"/>
              </w:rPr>
            </w:pPr>
            <w:r>
              <w:rPr>
                <w:rFonts w:ascii="Arial" w:cs="Arial" w:eastAsia="Arial" w:hAnsi="Arial"/>
                <w:sz w:val="18"/>
                <w:szCs w:val="18"/>
                <w:color w:val="auto"/>
              </w:rPr>
              <w:t>the COVID-19 pandemic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-960120</wp:posOffset>
            </wp:positionV>
            <wp:extent cx="7132320" cy="7029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702945"/>
                    </a:xfrm>
                    <a:prstGeom prst="rect">
                      <a:avLst/>
                    </a:prstGeom>
                    <a:noFill/>
                  </pic:spPr>
                </pic:pic>
              </a:graphicData>
            </a:graphic>
          </wp:anchor>
        </w:drawing>
        <w:drawing>
          <wp:anchor simplePos="0" relativeHeight="251657728" behindDoc="1" locked="0" layoutInCell="0" allowOverlap="1">
            <wp:simplePos x="0" y="0"/>
            <wp:positionH relativeFrom="column">
              <wp:posOffset>55880</wp:posOffset>
            </wp:positionH>
            <wp:positionV relativeFrom="paragraph">
              <wp:posOffset>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jc w:val="center"/>
        <w:ind w:right="12"/>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1188" w:hanging="1188"/>
        <w:spacing w:after="0"/>
        <w:tabs>
          <w:tab w:leader="none" w:pos="1188" w:val="left"/>
        </w:tabs>
        <w:numPr>
          <w:ilvl w:val="0"/>
          <w:numId w:val="24"/>
        </w:numPr>
        <w:rPr>
          <w:rFonts w:ascii="Arial" w:cs="Arial" w:eastAsia="Arial" w:hAnsi="Arial"/>
          <w:sz w:val="16"/>
          <w:szCs w:val="16"/>
          <w:color w:val="auto"/>
        </w:rPr>
      </w:pPr>
      <w:r>
        <w:rPr>
          <w:rFonts w:ascii="Arial" w:cs="Arial" w:eastAsia="Arial" w:hAnsi="Arial"/>
          <w:sz w:val="16"/>
          <w:szCs w:val="16"/>
          <w:color w:val="auto"/>
        </w:rPr>
        <w:t>(21)</w:t>
      </w:r>
    </w:p>
    <w:p>
      <w:pPr>
        <w:spacing w:after="0" w:line="2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w:t>
      </w:r>
    </w:p>
    <w:p>
      <w:pPr>
        <w:spacing w:after="0" w:line="36" w:lineRule="exact"/>
        <w:rPr>
          <w:sz w:val="20"/>
          <w:szCs w:val="20"/>
          <w:color w:val="auto"/>
        </w:rPr>
      </w:pPr>
    </w:p>
    <w:p>
      <w:pPr>
        <w:ind w:left="1188" w:hanging="1188"/>
        <w:spacing w:after="0"/>
        <w:tabs>
          <w:tab w:leader="none" w:pos="11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55245</wp:posOffset>
            </wp:positionV>
            <wp:extent cx="96837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780" w:space="32"/>
            <w:col w:w="1508"/>
          </w:cols>
          <w:pgMar w:left="240" w:top="895" w:right="339" w:bottom="1440" w:gutter="0" w:footer="0" w:header="0"/>
          <w:type w:val="continuous"/>
        </w:sectPr>
      </w:pPr>
    </w:p>
    <w:p>
      <w:pPr>
        <w:spacing w:after="0" w:line="15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Depreciation, Amortization and Accretion Expense</w:t>
      </w:r>
    </w:p>
    <w:p>
      <w:pPr>
        <w:spacing w:after="0" w:line="171" w:lineRule="exact"/>
        <w:rPr>
          <w:sz w:val="20"/>
          <w:szCs w:val="20"/>
          <w:color w:val="auto"/>
        </w:rPr>
      </w:pPr>
    </w:p>
    <w:p>
      <w:pPr>
        <w:jc w:val="both"/>
        <w:ind w:left="80" w:firstLine="648"/>
        <w:spacing w:after="0" w:line="296" w:lineRule="auto"/>
        <w:rPr>
          <w:sz w:val="20"/>
          <w:szCs w:val="20"/>
          <w:color w:val="auto"/>
        </w:rPr>
      </w:pPr>
      <w:r>
        <w:rPr>
          <w:rFonts w:ascii="Arial" w:cs="Arial" w:eastAsia="Arial" w:hAnsi="Arial"/>
          <w:sz w:val="16"/>
          <w:szCs w:val="16"/>
          <w:color w:val="auto"/>
        </w:rPr>
        <w:t>Depreciation, amortization and accretion expense increased by $26 million during the three months ended March 31, 2021, compared to the same period in 2020, primarily due to a $24 million increase in the Renewables segment. The increase related to $9 million from the wind and solar assets acquired during the second half of 2020, an $8 million increase related to the consolidation of the DGPV investments and a $4 million increase related to the acquisition of Aqua Caliente and Rattlesnake in the first quarter of 2021. In addition, approximately $8 million of accelerated depreciation was recorded in 2021 related to the repowering of Pinnacle partially offset by accelerated depreciation of $5 million recorded in the first quarter of 2020 for Wildorado.</w:t>
      </w:r>
    </w:p>
    <w:p>
      <w:pPr>
        <w:spacing w:after="0" w:line="107"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Equity in Earnings of Unconsolidated Affiliates</w:t>
      </w:r>
    </w:p>
    <w:p>
      <w:pPr>
        <w:spacing w:after="0" w:line="171" w:lineRule="exact"/>
        <w:rPr>
          <w:sz w:val="20"/>
          <w:szCs w:val="20"/>
          <w:color w:val="auto"/>
        </w:rPr>
      </w:pPr>
    </w:p>
    <w:p>
      <w:pPr>
        <w:jc w:val="both"/>
        <w:ind w:left="80" w:firstLine="405"/>
        <w:spacing w:after="0" w:line="263" w:lineRule="auto"/>
        <w:rPr>
          <w:sz w:val="20"/>
          <w:szCs w:val="20"/>
          <w:color w:val="auto"/>
        </w:rPr>
      </w:pPr>
      <w:r>
        <w:rPr>
          <w:rFonts w:ascii="Arial" w:cs="Arial" w:eastAsia="Arial" w:hAnsi="Arial"/>
          <w:sz w:val="18"/>
          <w:szCs w:val="18"/>
          <w:color w:val="auto"/>
        </w:rPr>
        <w:t>Equity in earnings of unconsolidated affiliates increased by $17 million during the three months ended March 31, 2021, compared to the same period in 2020, primarily due to the consolidation of the DGPV investments on November 2, 2020, which had losses in the first quarter of 2020, and HLBV earnings for the Desert Sunlight.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171" w:lineRule="exact"/>
        <w:rPr>
          <w:sz w:val="20"/>
          <w:szCs w:val="20"/>
          <w:color w:val="auto"/>
        </w:rPr>
      </w:pPr>
    </w:p>
    <w:p>
      <w:pPr>
        <w:jc w:val="both"/>
        <w:ind w:left="80" w:right="20" w:firstLine="405"/>
        <w:spacing w:after="0" w:line="277" w:lineRule="auto"/>
        <w:rPr>
          <w:sz w:val="20"/>
          <w:szCs w:val="20"/>
          <w:color w:val="auto"/>
        </w:rPr>
      </w:pPr>
      <w:r>
        <w:rPr>
          <w:rFonts w:ascii="Arial" w:cs="Arial" w:eastAsia="Arial" w:hAnsi="Arial"/>
          <w:sz w:val="18"/>
          <w:szCs w:val="18"/>
          <w:color w:val="auto"/>
        </w:rPr>
        <w:t>The Company recorded a loss on debt extinguishment of $42 million during the three months ended March 31, 2021, which primarily reflects the write-off of previously deferred finance costs and payment of premiums related to the redemption of the 2025 Senior Notes.</w:t>
      </w:r>
    </w:p>
    <w:p>
      <w:pPr>
        <w:spacing w:after="0" w:line="11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expense decreased by $122 million during the three months ended March 31, 2021, compared to the same period in 2020, due to the</w:t>
      </w:r>
    </w:p>
    <w:p>
      <w:pPr>
        <w:sectPr>
          <w:pgSz w:w="11900" w:h="16838" w:orient="portrait"/>
          <w:cols w:equalWidth="0" w:num="1">
            <w:col w:w="11320"/>
          </w:cols>
          <w:pgMar w:left="240" w:top="895" w:right="339" w:bottom="1440" w:gutter="0" w:footer="0" w:header="0"/>
          <w:type w:val="continuous"/>
        </w:sectPr>
      </w:pPr>
    </w:p>
    <w:p>
      <w:pPr>
        <w:spacing w:after="0" w:line="35" w:lineRule="exact"/>
        <w:rPr>
          <w:sz w:val="20"/>
          <w:szCs w:val="20"/>
          <w:color w:val="auto"/>
        </w:rPr>
      </w:pPr>
    </w:p>
    <w:p>
      <w:pPr>
        <w:ind w:left="80"/>
        <w:spacing w:after="0"/>
        <w:rPr>
          <w:sz w:val="20"/>
          <w:szCs w:val="20"/>
          <w:color w:val="auto"/>
        </w:rPr>
      </w:pPr>
      <w:r>
        <w:rPr>
          <w:rFonts w:ascii="Arial" w:cs="Arial" w:eastAsia="Arial" w:hAnsi="Arial"/>
          <w:sz w:val="18"/>
          <w:szCs w:val="18"/>
          <w:color w:val="auto"/>
        </w:rPr>
        <w:t>following:</w:t>
      </w:r>
    </w:p>
    <w:p>
      <w:pPr>
        <w:spacing w:after="0" w:line="265" w:lineRule="exact"/>
        <w:rPr>
          <w:sz w:val="20"/>
          <w:szCs w:val="20"/>
          <w:color w:val="auto"/>
        </w:rPr>
      </w:pPr>
    </w:p>
    <w:p>
      <w:pPr>
        <w:ind w:left="100" w:right="200"/>
        <w:spacing w:after="0" w:line="235" w:lineRule="auto"/>
        <w:rPr>
          <w:sz w:val="20"/>
          <w:szCs w:val="20"/>
          <w:color w:val="auto"/>
        </w:rPr>
      </w:pPr>
      <w:r>
        <w:rPr>
          <w:rFonts w:ascii="Arial" w:cs="Arial" w:eastAsia="Arial" w:hAnsi="Arial"/>
          <w:sz w:val="18"/>
          <w:szCs w:val="18"/>
          <w:color w:val="auto"/>
        </w:rPr>
        <w:t>Change in fair value of interest rate swaps due to an increase in forward interest rates in 2021 as compared to a decrease in rates during March 2020 at the onset of the COVID-19 pandemic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-256540</wp:posOffset>
            </wp:positionV>
            <wp:extent cx="7132320" cy="2571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spacing w:after="0" w:line="224" w:lineRule="auto"/>
        <w:rPr>
          <w:sz w:val="20"/>
          <w:szCs w:val="20"/>
          <w:color w:val="auto"/>
        </w:rPr>
      </w:pPr>
      <w:r>
        <w:rPr>
          <w:rFonts w:ascii="Arial" w:cs="Arial" w:eastAsia="Arial" w:hAnsi="Arial"/>
          <w:sz w:val="18"/>
          <w:szCs w:val="18"/>
          <w:color w:val="auto"/>
        </w:rPr>
        <w:t>Increase in Corporate interest expense due to the additional issuance of the 2028 Senior Notes in May 2020 and the issuance of the 2031 Senior Notes in March 2021, offset by lower interest expense related to revolver borrowings and the 2025 Senior Notes in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635</wp:posOffset>
            </wp:positionV>
            <wp:extent cx="7132320" cy="257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ind w:left="100" w:right="240"/>
        <w:spacing w:after="0" w:line="234" w:lineRule="auto"/>
        <w:rPr>
          <w:sz w:val="20"/>
          <w:szCs w:val="20"/>
          <w:color w:val="auto"/>
        </w:rPr>
      </w:pPr>
      <w:r>
        <w:rPr>
          <w:rFonts w:ascii="Arial" w:cs="Arial" w:eastAsia="Arial" w:hAnsi="Arial"/>
          <w:sz w:val="18"/>
          <w:szCs w:val="18"/>
          <w:color w:val="auto"/>
        </w:rPr>
        <w:t>Increase in interest expense due to increased principal balances of project level debt for the remainder of the portfolio primarily due to acquisitions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336"/>
        <w:spacing w:after="0"/>
        <w:rPr>
          <w:sz w:val="20"/>
          <w:szCs w:val="20"/>
          <w:color w:val="auto"/>
        </w:rPr>
      </w:pPr>
      <w:r>
        <w:rPr>
          <w:rFonts w:ascii="Arial" w:cs="Arial" w:eastAsia="Arial" w:hAnsi="Arial"/>
          <w:sz w:val="18"/>
          <w:szCs w:val="18"/>
          <w:b w:val="1"/>
          <w:bCs w:val="1"/>
          <w:color w:val="auto"/>
        </w:rPr>
        <w:t>(In millions)</w:t>
      </w:r>
    </w:p>
    <w:p>
      <w:pPr>
        <w:spacing w:after="0" w:line="202" w:lineRule="exact"/>
        <w:rPr>
          <w:sz w:val="20"/>
          <w:szCs w:val="20"/>
          <w:color w:val="auto"/>
        </w:rPr>
      </w:pPr>
    </w:p>
    <w:p>
      <w:pPr>
        <w:ind w:left="1196" w:hanging="1196"/>
        <w:spacing w:after="0"/>
        <w:tabs>
          <w:tab w:leader="none" w:pos="11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(126)</w:t>
      </w:r>
    </w:p>
    <w:p>
      <w:pPr>
        <w:spacing w:after="0" w:line="385" w:lineRule="exact"/>
        <w:rPr>
          <w:sz w:val="20"/>
          <w:szCs w:val="20"/>
          <w:color w:val="auto"/>
        </w:rPr>
      </w:pPr>
    </w:p>
    <w:p>
      <w:pPr>
        <w:ind w:left="1456"/>
        <w:spacing w:after="0"/>
        <w:rPr>
          <w:sz w:val="20"/>
          <w:szCs w:val="20"/>
          <w:color w:val="auto"/>
        </w:rPr>
      </w:pPr>
      <w:r>
        <w:rPr>
          <w:rFonts w:ascii="Arial" w:cs="Arial" w:eastAsia="Arial" w:hAnsi="Arial"/>
          <w:sz w:val="18"/>
          <w:szCs w:val="18"/>
          <w:color w:val="auto"/>
        </w:rPr>
        <w:t>2</w:t>
      </w:r>
    </w:p>
    <w:p>
      <w:pPr>
        <w:spacing w:after="0" w:line="198" w:lineRule="exact"/>
        <w:rPr>
          <w:sz w:val="20"/>
          <w:szCs w:val="20"/>
          <w:color w:val="auto"/>
        </w:rPr>
      </w:pPr>
    </w:p>
    <w:p>
      <w:pPr>
        <w:ind w:left="1456"/>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369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6" w:lineRule="exact"/>
        <w:rPr>
          <w:sz w:val="20"/>
          <w:szCs w:val="20"/>
          <w:color w:val="auto"/>
        </w:rPr>
      </w:pPr>
    </w:p>
    <w:p>
      <w:pPr>
        <w:ind w:left="1196" w:hanging="1196"/>
        <w:spacing w:after="0"/>
        <w:tabs>
          <w:tab w:leader="none" w:pos="1196" w:val="left"/>
        </w:tabs>
        <w:numPr>
          <w:ilvl w:val="0"/>
          <w:numId w:val="27"/>
        </w:numPr>
        <w:rPr>
          <w:rFonts w:ascii="Arial" w:cs="Arial" w:eastAsia="Arial" w:hAnsi="Arial"/>
          <w:sz w:val="17"/>
          <w:szCs w:val="17"/>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0369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47625</wp:posOffset>
            </wp:positionV>
            <wp:extent cx="10369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520" w:space="184"/>
            <w:col w:w="1616"/>
          </w:cols>
          <w:pgMar w:left="240" w:top="89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85090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895"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Loss Attributable to Noncontrolling Interests and Redeemable Interests</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March 31, 2021, the Company had a loss of $67 million attributable to noncontrolling interests and redeemable interests comprised of the following:</w:t>
      </w:r>
    </w:p>
    <w:p>
      <w:pPr>
        <w:sectPr>
          <w:pgSz w:w="11900" w:h="16838" w:orient="portrait"/>
          <w:cols w:equalWidth="0" w:num="1">
            <w:col w:w="11240"/>
          </w:cols>
          <w:pgMar w:left="320" w:top="895" w:right="339" w:bottom="1440" w:gutter="0" w:footer="0" w:header="0"/>
        </w:sectPr>
      </w:pPr>
    </w:p>
    <w:p>
      <w:pPr>
        <w:spacing w:after="0" w:line="359" w:lineRule="exact"/>
        <w:rPr>
          <w:sz w:val="20"/>
          <w:szCs w:val="20"/>
          <w:color w:val="auto"/>
        </w:rPr>
      </w:pPr>
    </w:p>
    <w:p>
      <w:pPr>
        <w:ind w:left="20" w:right="1000"/>
        <w:spacing w:after="0" w:line="282" w:lineRule="auto"/>
        <w:rPr>
          <w:sz w:val="20"/>
          <w:szCs w:val="20"/>
          <w:color w:val="auto"/>
        </w:rPr>
      </w:pPr>
      <w:r>
        <w:rPr>
          <w:rFonts w:ascii="Arial" w:cs="Arial" w:eastAsia="Arial" w:hAnsi="Arial"/>
          <w:sz w:val="17"/>
          <w:szCs w:val="17"/>
          <w:color w:val="auto"/>
        </w:rPr>
        <w:t>Losses attributable to tax equity financing arrangements and the application of the HLBV method Loss attributable to third party investor in Lighthouse Renewable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right="3280"/>
        <w:spacing w:after="0" w:line="323" w:lineRule="auto"/>
        <w:rPr>
          <w:sz w:val="20"/>
          <w:szCs w:val="20"/>
          <w:color w:val="auto"/>
        </w:rPr>
      </w:pPr>
      <w:r>
        <w:rPr>
          <w:rFonts w:ascii="Arial" w:cs="Arial" w:eastAsia="Arial" w:hAnsi="Arial"/>
          <w:sz w:val="17"/>
          <w:szCs w:val="17"/>
          <w:color w:val="auto"/>
        </w:rPr>
        <w:t>Income attributable to third party investor in Rosie TargetCo LLC Income attributable to third party investor in Agua Caliente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73"/>
              <w:spacing w:after="0"/>
              <w:rPr>
                <w:sz w:val="20"/>
                <w:szCs w:val="20"/>
                <w:color w:val="auto"/>
              </w:rPr>
            </w:pPr>
            <w:r>
              <w:rPr>
                <w:rFonts w:ascii="Arial" w:cs="Arial" w:eastAsia="Arial" w:hAnsi="Arial"/>
                <w:sz w:val="14"/>
                <w:szCs w:val="14"/>
                <w:b w:val="1"/>
                <w:bCs w:val="1"/>
                <w:color w:val="auto"/>
              </w:rPr>
              <w:t>(In millions)</w:t>
            </w:r>
          </w:p>
        </w:tc>
      </w:tr>
      <w:tr>
        <w:trPr>
          <w:trHeight w:val="228"/>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48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60" w:space="720"/>
            <w:col w:w="2460"/>
          </w:cols>
          <w:pgMar w:left="320" w:top="895" w:right="339" w:bottom="1440" w:gutter="0" w:footer="0" w:header="0"/>
          <w:type w:val="continuous"/>
        </w:sectPr>
      </w:pPr>
    </w:p>
    <w:p>
      <w:pPr>
        <w:spacing w:after="0" w:line="35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For the three months ended March 31, 2020, the Company had a loss of $39 million attributable to noncontrolling interests and redeemable interests comprised of the following:</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774"/>
              <w:spacing w:after="0"/>
              <w:rPr>
                <w:sz w:val="20"/>
                <w:szCs w:val="20"/>
                <w:color w:val="auto"/>
              </w:rPr>
            </w:pPr>
            <w:r>
              <w:rPr>
                <w:rFonts w:ascii="Arial" w:cs="Arial" w:eastAsia="Arial" w:hAnsi="Arial"/>
                <w:sz w:val="14"/>
                <w:szCs w:val="14"/>
                <w:b w:val="1"/>
                <w:bCs w:val="1"/>
                <w:color w:val="auto"/>
              </w:rPr>
              <w:t>(In millions)</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Losses attributable to tax equity financing arrangements and the application of the HLBV method</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780" w:type="dxa"/>
            <w:vAlign w:val="bottom"/>
          </w:tcPr>
          <w:p>
            <w:pPr>
              <w:ind w:left="20"/>
              <w:spacing w:after="0"/>
              <w:rPr>
                <w:sz w:val="20"/>
                <w:szCs w:val="20"/>
                <w:color w:val="auto"/>
              </w:rPr>
            </w:pPr>
            <w:r>
              <w:rPr>
                <w:rFonts w:ascii="Arial" w:cs="Arial" w:eastAsia="Arial" w:hAnsi="Arial"/>
                <w:sz w:val="18"/>
                <w:szCs w:val="18"/>
                <w:color w:val="auto"/>
              </w:rPr>
              <w:t>Loss attributable to third party investor in Kawailoa partnership</w:t>
            </w:r>
          </w:p>
        </w:tc>
        <w:tc>
          <w:tcPr>
            <w:tcW w:w="48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attributable to CEG's interests in the Kawailoa, Oahu and Repowering partnerships</w:t>
            </w:r>
          </w:p>
        </w:tc>
        <w:tc>
          <w:tcPr>
            <w:tcW w:w="48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7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7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231F20"/>
        </w:rPr>
        <w:t xml:space="preserve">The Company's principal liquidity requirements are to meet its financial commitments, finance current operations, fund capital expenditures, including acquisitions from time to time, service debt and pay distributions. </w:t>
      </w:r>
      <w:r>
        <w:rPr>
          <w:rFonts w:ascii="Arial" w:cs="Arial" w:eastAsia="Arial" w:hAnsi="Arial"/>
          <w:sz w:val="17"/>
          <w:szCs w:val="17"/>
          <w:color w:val="000000"/>
        </w:rPr>
        <w:t>As a normal part of the Company's business, depending on market conditions,</w:t>
      </w:r>
      <w:r>
        <w:rPr>
          <w:rFonts w:ascii="Arial" w:cs="Arial" w:eastAsia="Arial" w:hAnsi="Arial"/>
          <w:sz w:val="17"/>
          <w:szCs w:val="17"/>
          <w:color w:val="231F20"/>
        </w:rPr>
        <w:t xml:space="preserve"> </w:t>
      </w:r>
      <w:r>
        <w:rPr>
          <w:rFonts w:ascii="Arial" w:cs="Arial" w:eastAsia="Arial" w:hAnsi="Arial"/>
          <w:sz w:val="17"/>
          <w:szCs w:val="17"/>
          <w:color w:val="000000"/>
        </w:rPr>
        <w:t>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Current Liquidity Position</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2021</w:t>
      </w:r>
      <w:r>
        <w:rPr>
          <w:rFonts w:ascii="Arial" w:cs="Arial" w:eastAsia="Arial" w:hAnsi="Arial"/>
          <w:sz w:val="18"/>
          <w:szCs w:val="18"/>
          <w:color w:val="231F20"/>
        </w:rPr>
        <w:t xml:space="preserve"> and </w:t>
      </w:r>
      <w:r>
        <w:rPr>
          <w:rFonts w:ascii="Arial" w:cs="Arial" w:eastAsia="Arial" w:hAnsi="Arial"/>
          <w:sz w:val="18"/>
          <w:szCs w:val="18"/>
          <w:color w:val="000000"/>
        </w:rPr>
        <w:t>December 31, 2020</w:t>
      </w:r>
      <w:r>
        <w:rPr>
          <w:rFonts w:ascii="Arial" w:cs="Arial" w:eastAsia="Arial" w:hAnsi="Arial"/>
          <w:sz w:val="18"/>
          <w:szCs w:val="18"/>
          <w:color w:val="231F20"/>
        </w:rPr>
        <w:t>, the Company's liquidity was approximately $831 million and $894 million, respectively, comprised of cash, restricted cash and availability under the Company's revolving credit facility.</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340" w:type="dxa"/>
            <w:vAlign w:val="bottom"/>
          </w:tcPr>
          <w:p>
            <w:pPr>
              <w:ind w:left="2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6"/>
                <w:szCs w:val="16"/>
                <w:color w:val="auto"/>
              </w:rPr>
            </w:pPr>
          </w:p>
        </w:tc>
        <w:tc>
          <w:tcPr>
            <w:tcW w:w="168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c>
          <w:tcPr>
            <w:tcW w:w="240" w:type="dxa"/>
            <w:vAlign w:val="bottom"/>
          </w:tcPr>
          <w:p>
            <w:pPr>
              <w:spacing w:after="0"/>
              <w:rPr>
                <w:sz w:val="16"/>
                <w:szCs w:val="16"/>
                <w:color w:val="auto"/>
              </w:rPr>
            </w:pPr>
          </w:p>
        </w:tc>
        <w:tc>
          <w:tcPr>
            <w:tcW w:w="1640" w:type="dxa"/>
            <w:vAlign w:val="bottom"/>
          </w:tcPr>
          <w:p>
            <w:pPr>
              <w:jc w:val="right"/>
              <w:ind w:right="272"/>
              <w:spacing w:after="0"/>
              <w:rPr>
                <w:sz w:val="20"/>
                <w:szCs w:val="20"/>
                <w:color w:val="auto"/>
              </w:rPr>
            </w:pPr>
            <w:r>
              <w:rPr>
                <w:rFonts w:ascii="Arial" w:cs="Arial" w:eastAsia="Arial" w:hAnsi="Arial"/>
                <w:sz w:val="14"/>
                <w:szCs w:val="14"/>
                <w:b w:val="1"/>
                <w:bCs w:val="1"/>
                <w:color w:val="auto"/>
                <w:w w:val="99"/>
              </w:rPr>
              <w:t>December 31, 2020</w:t>
            </w:r>
          </w:p>
        </w:tc>
      </w:tr>
      <w:tr>
        <w:trPr>
          <w:trHeight w:val="216"/>
        </w:trPr>
        <w:tc>
          <w:tcPr>
            <w:tcW w:w="7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7340" w:type="dxa"/>
            <w:vAlign w:val="bottom"/>
          </w:tcPr>
          <w:p>
            <w:pPr>
              <w:ind w:left="220"/>
              <w:spacing w:after="0"/>
              <w:rPr>
                <w:sz w:val="20"/>
                <w:szCs w:val="20"/>
                <w:color w:val="auto"/>
              </w:rPr>
            </w:pPr>
            <w:r>
              <w:rPr>
                <w:rFonts w:ascii="Arial" w:cs="Arial" w:eastAsia="Arial" w:hAnsi="Arial"/>
                <w:sz w:val="18"/>
                <w:szCs w:val="18"/>
                <w:color w:val="auto"/>
              </w:rPr>
              <w:t>Clearway Energy LLC, excluding subsidiaries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Subsidiaries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7340" w:type="dxa"/>
            <w:vAlign w:val="bottom"/>
          </w:tcPr>
          <w:p>
            <w:pPr>
              <w:ind w:left="20"/>
              <w:spacing w:after="0"/>
              <w:rPr>
                <w:sz w:val="20"/>
                <w:szCs w:val="20"/>
                <w:color w:val="auto"/>
              </w:rPr>
            </w:pPr>
            <w:r>
              <w:rPr>
                <w:rFonts w:ascii="Arial" w:cs="Arial" w:eastAsia="Arial" w:hAnsi="Arial"/>
                <w:sz w:val="18"/>
                <w:szCs w:val="18"/>
                <w:b w:val="1"/>
                <w:bCs w:val="1"/>
                <w:color w:val="auto"/>
              </w:rPr>
              <w:t>Restricted cash:</w:t>
            </w: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accounts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8"/>
              </w:rPr>
              <w:t>Reserves, including debt service, distributions, performance obligations and other reserves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w:t>
            </w:r>
          </w:p>
        </w:tc>
      </w:tr>
      <w:tr>
        <w:trPr>
          <w:trHeight w:val="22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 availability</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48"/>
        </w:trPr>
        <w:tc>
          <w:tcPr>
            <w:tcW w:w="73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liquidity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 xml:space="preserve">The Company's liquidity includes $287 million and $197 million of restricted cash balances as of March 31, 2021 and December 31, </w:t>
      </w:r>
      <w:r>
        <w:rPr>
          <w:rFonts w:ascii="Arial" w:cs="Arial" w:eastAsia="Arial" w:hAnsi="Arial"/>
          <w:sz w:val="16"/>
          <w:szCs w:val="16"/>
          <w:color w:val="000000"/>
        </w:rPr>
        <w:t>2020</w:t>
      </w:r>
      <w:r>
        <w:rPr>
          <w:rFonts w:ascii="Arial" w:cs="Arial" w:eastAsia="Arial" w:hAnsi="Arial"/>
          <w:sz w:val="16"/>
          <w:szCs w:val="16"/>
          <w:color w:val="231F20"/>
        </w:rPr>
        <w:t xml:space="preserve">, respectively. Restricted cash consists primarily of funds to satisfy the requirements of certain debt arrangements and funds held within the Company's projects that are restricted in their use. As of </w:t>
      </w:r>
      <w:r>
        <w:rPr>
          <w:rFonts w:ascii="Arial" w:cs="Arial" w:eastAsia="Arial" w:hAnsi="Arial"/>
          <w:sz w:val="16"/>
          <w:szCs w:val="16"/>
          <w:color w:val="000000"/>
        </w:rPr>
        <w:t>March 31, 2021, these restricted funds were comprised of $114 million designated to fund operating expenses,</w:t>
      </w:r>
      <w:r>
        <w:rPr>
          <w:rFonts w:ascii="Arial" w:cs="Arial" w:eastAsia="Arial" w:hAnsi="Arial"/>
          <w:sz w:val="16"/>
          <w:szCs w:val="16"/>
          <w:color w:val="231F20"/>
        </w:rPr>
        <w:t xml:space="preserve"> </w:t>
      </w:r>
      <w:r>
        <w:rPr>
          <w:rFonts w:ascii="Arial" w:cs="Arial" w:eastAsia="Arial" w:hAnsi="Arial"/>
          <w:sz w:val="16"/>
          <w:szCs w:val="16"/>
          <w:color w:val="000000"/>
        </w:rPr>
        <w:t>approximately $45 million designated for current debt service payments, and $93 million restricted for reserves including debt service, performance obligations and other reserves, as well as capital expenditures. The remaining $35 million is held in distribution reserve accounts.</w:t>
      </w:r>
    </w:p>
    <w:p>
      <w:pPr>
        <w:spacing w:after="0" w:line="10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March 31, 2021, the Company had $25 million of borrowings under the revolving credit facility and $70 million in letters of credit outstanding. During the three months ended March 31, 2021, the Company borrowed $195 million under the revolving credit facility, and subsequently repaid $170 million utilizing the proceeds from the issuance of the 2031 Senior Notes.</w:t>
      </w:r>
    </w:p>
    <w:p>
      <w:pPr>
        <w:spacing w:after="0" w:line="1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distributions to Clearway Energy, Inc. and CEG. Management continues to regularly monitor the Company's ability to finance the needs of its operating, financing and investing activity within the dictates of prudent balance sheet management.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Credit Ratings</w:t>
      </w:r>
    </w:p>
    <w:p>
      <w:pPr>
        <w:spacing w:after="0" w:line="171" w:lineRule="exact"/>
        <w:rPr>
          <w:sz w:val="20"/>
          <w:szCs w:val="20"/>
          <w:color w:val="auto"/>
        </w:rPr>
      </w:pPr>
    </w:p>
    <w:p>
      <w:pPr>
        <w:jc w:val="both"/>
        <w:ind w:firstLine="275"/>
        <w:spacing w:after="0" w:line="301" w:lineRule="auto"/>
        <w:rPr>
          <w:sz w:val="20"/>
          <w:szCs w:val="20"/>
          <w:color w:val="auto"/>
        </w:rPr>
      </w:pPr>
      <w:r>
        <w:rPr>
          <w:rFonts w:ascii="Arial" w:cs="Arial" w:eastAsia="Arial" w:hAnsi="Arial"/>
          <w:sz w:val="16"/>
          <w:szCs w:val="16"/>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 As of March 31, 2021, the Company's 2026 Senior Notes, 2028 Senior Notes and 2031 Senior Notes are rated BB by S&amp;P and Ba2 by Moody's.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4" w:name="page45"/>
    <w:bookmarkEnd w:id="44"/>
    <w:p>
      <w:pPr>
        <w:ind w:left="420"/>
        <w:spacing w:after="0"/>
        <w:rPr>
          <w:sz w:val="20"/>
          <w:szCs w:val="20"/>
          <w:color w:val="auto"/>
        </w:rPr>
      </w:pPr>
      <w:r>
        <w:rPr>
          <w:rFonts w:ascii="Arial" w:cs="Arial" w:eastAsia="Arial" w:hAnsi="Arial"/>
          <w:sz w:val="18"/>
          <w:szCs w:val="18"/>
          <w:b w:val="1"/>
          <w:bCs w:val="1"/>
          <w:i w:val="1"/>
          <w:iCs w:val="1"/>
          <w:color w:val="231F20"/>
        </w:rPr>
        <w:t>Sources of Liquidity</w:t>
      </w:r>
    </w:p>
    <w:p>
      <w:pPr>
        <w:spacing w:after="0" w:line="17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231F20"/>
        </w:rPr>
        <w:t xml:space="preserve">The Company's principal sources of liquidity include cash on hand, cash generated from operations, proceeds from sales of assets, borrowings under new and existing financing arrangements and the issuance of additional equity and debt securities as appropriate given market conditions. As described in Item 1 — Note 7,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this Form 10-Q and Item 15 — Note 10, </w:t>
      </w:r>
      <w:r>
        <w:rPr>
          <w:rFonts w:ascii="Arial" w:cs="Arial" w:eastAsia="Arial" w:hAnsi="Arial"/>
          <w:sz w:val="18"/>
          <w:szCs w:val="18"/>
          <w:i w:val="1"/>
          <w:iCs w:val="1"/>
          <w:color w:val="231F20"/>
        </w:rPr>
        <w:t>Long-term Debt</w:t>
      </w:r>
      <w:r>
        <w:rPr>
          <w:rFonts w:ascii="Arial" w:cs="Arial" w:eastAsia="Arial" w:hAnsi="Arial"/>
          <w:sz w:val="18"/>
          <w:szCs w:val="18"/>
          <w:color w:val="231F20"/>
        </w:rPr>
        <w:t xml:space="preserve">, to the consolidated financial statements included in the Company's </w:t>
      </w:r>
      <w:r>
        <w:rPr>
          <w:rFonts w:ascii="Arial" w:cs="Arial" w:eastAsia="Arial" w:hAnsi="Arial"/>
          <w:sz w:val="18"/>
          <w:szCs w:val="18"/>
          <w:color w:val="000000"/>
        </w:rPr>
        <w:t>2020 Form 10-K</w:t>
      </w:r>
      <w:r>
        <w:rPr>
          <w:rFonts w:ascii="Arial" w:cs="Arial" w:eastAsia="Arial" w:hAnsi="Arial"/>
          <w:sz w:val="18"/>
          <w:szCs w:val="18"/>
          <w:color w:val="231F20"/>
        </w:rPr>
        <w:t xml:space="preserve">, the Company's financing arrangements consist of </w:t>
      </w:r>
      <w:r>
        <w:rPr>
          <w:rFonts w:ascii="Arial" w:cs="Arial" w:eastAsia="Arial" w:hAnsi="Arial"/>
          <w:sz w:val="18"/>
          <w:szCs w:val="18"/>
          <w:color w:val="000000"/>
        </w:rPr>
        <w:t>corporate level debt, which includes Senior Notes and the revolving credit</w:t>
      </w:r>
      <w:r>
        <w:rPr>
          <w:rFonts w:ascii="Arial" w:cs="Arial" w:eastAsia="Arial" w:hAnsi="Arial"/>
          <w:sz w:val="18"/>
          <w:szCs w:val="18"/>
          <w:color w:val="231F20"/>
        </w:rPr>
        <w:t xml:space="preserve"> </w:t>
      </w:r>
      <w:r>
        <w:rPr>
          <w:rFonts w:ascii="Arial" w:cs="Arial" w:eastAsia="Arial" w:hAnsi="Arial"/>
          <w:sz w:val="18"/>
          <w:szCs w:val="18"/>
          <w:color w:val="000000"/>
        </w:rPr>
        <w:t>facility; the ATM Programs; and project-level financings for its various assets.</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231F20"/>
        </w:rPr>
        <w:t>Revolving Credit Facility</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The Company has a total of $400 million available under the revolving credit facility as of March 31, 2021. The facility will continue to be used for general corporate purposes including financing of future acquisitions and posting letters of credit.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2031 Senior Notes</w:t>
      </w:r>
    </w:p>
    <w:p>
      <w:pPr>
        <w:spacing w:after="0" w:line="17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March 9, 2021, Clearway Energy Operating LLC completed the sale of $925 million of senior unsecured notes due 2031, or the 2031 Senior Notes. The 2031 Senior Notes bear interest at 3.750% and mature on February 15, 2031. Interest on the 2031 Senior Notes is payable semi-annually on February 15 and August 15 of each year, and interest payments will commence on August 15, 2021. The 2031 Senior Notes are unsecured obligations of Clearway Energy Operating LLC and are guaranteed by the Company and by certain of Clearway Energy Operating LLC's wholly owned current and future subsidiaries. The net proceeds from the 2031 Senior Notes were used to repurchase the 2025 Senior Notes, as well as to repay amounts outstanding under the Company’s revolving credit facility and for general corporate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Pinnacle Repowering Partnership HoldCo LLC Financing</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On March 10, 2021, the Company entered into a financing agreement for non-recourse debt for a total commitment of $126 million related to the repowering of the Pinnacle wind project. The debt consists of a construction loan at an interest rate of LIBOR plus 1.00%. The company's initial borrowings of $79 million were utilized to repay $53 million of the outstanding balance under the Tapestry financing agreement, which related to the Pinnacle wind project, and to reimburse Clearway Renew LLC for equipment purchases and pay vendor invoices and fees.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Uses of Liquidity</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The Company's requirements for liquidity and capital resources, other than for operating its facilities, are categorized as: (i) debt service obligations, as described more fully in Item 1 — </w:t>
      </w:r>
      <w:r>
        <w:rPr>
          <w:rFonts w:ascii="Arial" w:cs="Arial" w:eastAsia="Arial" w:hAnsi="Arial"/>
          <w:sz w:val="18"/>
          <w:szCs w:val="18"/>
          <w:color w:val="000000"/>
        </w:rPr>
        <w:t>Note 7</w:t>
      </w:r>
      <w:r>
        <w:rPr>
          <w:rFonts w:ascii="Arial" w:cs="Arial" w:eastAsia="Arial" w:hAnsi="Arial"/>
          <w:sz w:val="18"/>
          <w:szCs w:val="18"/>
          <w:color w:val="231F20"/>
        </w:rPr>
        <w:t xml:space="preserve">, </w:t>
      </w:r>
      <w:r>
        <w:rPr>
          <w:rFonts w:ascii="Arial" w:cs="Arial" w:eastAsia="Arial" w:hAnsi="Arial"/>
          <w:sz w:val="18"/>
          <w:szCs w:val="18"/>
          <w:i w:val="1"/>
          <w:iCs w:val="1"/>
          <w:color w:val="000000"/>
        </w:rPr>
        <w:t>Long-term Debt,</w:t>
      </w:r>
      <w:r>
        <w:rPr>
          <w:rFonts w:ascii="Arial" w:cs="Arial" w:eastAsia="Arial" w:hAnsi="Arial"/>
          <w:sz w:val="18"/>
          <w:szCs w:val="18"/>
          <w:color w:val="231F20"/>
        </w:rPr>
        <w:t xml:space="preserve"> to the Consolidated Financial Statements; (ii) capital expenditures; (iii) acquisitions and investments; and (iv) distributions.</w:t>
      </w:r>
    </w:p>
    <w:p>
      <w:pPr>
        <w:spacing w:after="0" w:line="200" w:lineRule="exact"/>
        <w:rPr>
          <w:sz w:val="20"/>
          <w:szCs w:val="20"/>
          <w:color w:val="auto"/>
        </w:rPr>
      </w:pPr>
    </w:p>
    <w:p>
      <w:pPr>
        <w:spacing w:after="0" w:line="33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Capital Expenditures</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w:t>
      </w:r>
    </w:p>
    <w:p>
      <w:pPr>
        <w:spacing w:after="0" w:line="11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231F20"/>
        </w:rPr>
        <w:t xml:space="preserve">For the three months ended </w:t>
      </w:r>
      <w:r>
        <w:rPr>
          <w:rFonts w:ascii="Arial" w:cs="Arial" w:eastAsia="Arial" w:hAnsi="Arial"/>
          <w:sz w:val="18"/>
          <w:szCs w:val="18"/>
          <w:color w:val="000000"/>
        </w:rPr>
        <w:t>March 31, 2021</w:t>
      </w:r>
      <w:r>
        <w:rPr>
          <w:rFonts w:ascii="Arial" w:cs="Arial" w:eastAsia="Arial" w:hAnsi="Arial"/>
          <w:sz w:val="18"/>
          <w:szCs w:val="18"/>
          <w:color w:val="231F20"/>
        </w:rPr>
        <w:t xml:space="preserve">, the Company used approximately $79 million to fund capital expenditures, including growth </w:t>
      </w:r>
      <w:r>
        <w:rPr>
          <w:rFonts w:ascii="Arial" w:cs="Arial" w:eastAsia="Arial" w:hAnsi="Arial"/>
          <w:sz w:val="18"/>
          <w:szCs w:val="18"/>
          <w:color w:val="000000"/>
        </w:rPr>
        <w:t>expenditures of $62 million in the Renewables segment, $24 million of which were incurred in connection with the repowering of the Pinnacle wind project, $13 million incurred in connection with the Rosamond Central project, $10 million related to Mesquite Star and $14 million related to the Rattlesnake wind project. The Company also incurred $10 million of growth capital expenditures in the Thermal segment in connection with various development projects. In addition, the Company incurred $7 million in maintenance capital expenditures. The Company estimates $28 million of maintenance expenditures for 2021. These estimates are subject to continuing review and adjustment. Actual capital expenditures may vary from these estimates.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Acquisitions and Investments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5" w:name="page46"/>
    <w:bookmarkEnd w:id="45"/>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Rattlesnake Drop Down — </w:t>
      </w:r>
      <w:r>
        <w:rPr>
          <w:rFonts w:ascii="Arial" w:cs="Arial" w:eastAsia="Arial" w:hAnsi="Arial"/>
          <w:sz w:val="18"/>
          <w:szCs w:val="18"/>
          <w:color w:val="auto"/>
        </w:rPr>
        <w:t>On January 12, 2021, the Company acquired 100% of CEG's equity interest and a third party investor's minority</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 CWSP Rattlesnake Holding LLC, which indirectly owns the Rattlesnake wind project, a 160 MW wind facility located in Adams County, Washington for $132 million in cash consideration. The Company expects its net capital commitment to be $119 million after proceeds from a state sales and use tax refund, which are expected to be received in 2021.</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Agua Caliente Acquisition — </w:t>
      </w:r>
      <w:r>
        <w:rPr>
          <w:rFonts w:ascii="Arial" w:cs="Arial" w:eastAsia="Arial" w:hAnsi="Arial"/>
          <w:sz w:val="18"/>
          <w:szCs w:val="18"/>
          <w:color w:val="auto"/>
        </w:rPr>
        <w:t>On February 3, 2021, the Company acquired an additional 35% equity interest in the Agua Caliente solar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from NRG Energy, Inc. for $202 million. Agua Caliente is a 290 MW solar project located in Dateland, Arizona in which the Company previously owned a 16% equity interest.</w:t>
      </w:r>
    </w:p>
    <w:p>
      <w:pPr>
        <w:spacing w:after="0" w:line="13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i w:val="1"/>
          <w:iCs w:val="1"/>
          <w:color w:val="auto"/>
        </w:rPr>
        <w:t xml:space="preserve">Pinnacle Wind Repowering </w:t>
      </w:r>
      <w:r>
        <w:rPr>
          <w:rFonts w:ascii="Arial" w:cs="Arial" w:eastAsia="Arial" w:hAnsi="Arial"/>
          <w:sz w:val="16"/>
          <w:szCs w:val="16"/>
          <w:color w:val="auto"/>
        </w:rPr>
        <w:t>— On February 26, 2021, the Company, through an indirect subsidiary, entered into an amended partnership</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with CEG to repower the Pinnacle wind project, a 55 net MW wind facility located in Mineral County, West Virginia. The amended agreement commits the Company to invest an estimated $67 million in net corporate capital, subject to closing adjustments, and no longer requires an additional payment in 2031. Commercial operations and corporate capital funding for the Pinnacle wind repowering are expected to occur in the second half of 2021.</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Mt Storm Acquisition </w:t>
      </w:r>
      <w:r>
        <w:rPr>
          <w:rFonts w:ascii="Arial" w:cs="Arial" w:eastAsia="Arial" w:hAnsi="Arial"/>
          <w:sz w:val="18"/>
          <w:szCs w:val="18"/>
          <w:color w:val="auto"/>
        </w:rPr>
        <w:t>— On April 23, 2021, the Company acquired 100% of the equity interests in NedPower Mount Storm LLC, or Mt. Storm,</w:t>
      </w:r>
      <w:r>
        <w:rPr>
          <w:rFonts w:ascii="Arial" w:cs="Arial" w:eastAsia="Arial" w:hAnsi="Arial"/>
          <w:sz w:val="18"/>
          <w:szCs w:val="18"/>
          <w:i w:val="1"/>
          <w:iCs w:val="1"/>
          <w:color w:val="auto"/>
        </w:rPr>
        <w:t xml:space="preserve"> </w:t>
      </w:r>
      <w:r>
        <w:rPr>
          <w:rFonts w:ascii="Arial" w:cs="Arial" w:eastAsia="Arial" w:hAnsi="Arial"/>
          <w:sz w:val="18"/>
          <w:szCs w:val="18"/>
          <w:color w:val="auto"/>
        </w:rPr>
        <w:t>from a third party for approximately $96 million, excluding working capital adjustments. Mt. Storm is a 264 MW wind project located in Grant County, West Virginia.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Repurchases</w:t>
      </w:r>
    </w:p>
    <w:p>
      <w:pPr>
        <w:spacing w:after="0" w:line="158"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i w:val="1"/>
          <w:iCs w:val="1"/>
          <w:color w:val="auto"/>
        </w:rPr>
        <w:t xml:space="preserve">2025 Senior Notes Tender Offer and Redemption — </w:t>
      </w:r>
      <w:r>
        <w:rPr>
          <w:rFonts w:ascii="Arial" w:cs="Arial" w:eastAsia="Arial" w:hAnsi="Arial"/>
          <w:sz w:val="17"/>
          <w:szCs w:val="17"/>
          <w:color w:val="auto"/>
        </w:rPr>
        <w:t>On March 9, 2021, the Company completed the repurchase of an aggregate principal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$411 million, or 68.6%, of the 2025 Senior Notes outstanding as part of the cash tender offer announced on March 2, 2021. Additionally, $6 million of the 2025 Senior Notes that were subject to guaranteed delivery procedures were repurchased on March 11, 2021. Concurrently with the launch of the tender offer, the Company exercised its right to optionally redeem the remaining principal amount of $183 million not validly tendered and purchased in the tender offer, pursuant to the terms of the indenture governing the 2025 Senior Notes. The 2025 Senior Notes repurchased and redeemed in March 2021 were effectuated at a premium of approximately 106% for total consideration of $636 million and as a result, the Company recorded a loss on extinguishment in the amount of $36 million. In addition, the Company recorded a $5 million loss on extinguishment to write off the remaining unamortized deferred financing fees related to the 2025 Senior Notes.</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Cash Distributions to Clearway Energy, Inc.</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Distributions on the units are subject to available capital, market conditions, and compliance with associated laws, regulations and other contractual obligations. The Company expects that, based on current circumstances, comparable cash distributions will continue to be paid in the foreseeable future.</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lists the distributions paid on the Company's Class A, B, C and D units during the three months ended March 31, 2021:</w:t>
      </w:r>
    </w:p>
    <w:p>
      <w:pPr>
        <w:spacing w:after="0" w:line="215" w:lineRule="exact"/>
        <w:rPr>
          <w:sz w:val="20"/>
          <w:szCs w:val="20"/>
          <w:color w:val="auto"/>
        </w:rPr>
      </w:pPr>
    </w:p>
    <w:p>
      <w:pPr>
        <w:ind w:left="10000"/>
        <w:spacing w:after="0"/>
        <w:rPr>
          <w:sz w:val="20"/>
          <w:szCs w:val="20"/>
          <w:color w:val="auto"/>
        </w:rPr>
      </w:pPr>
      <w:r>
        <w:rPr>
          <w:rFonts w:ascii="Arial" w:cs="Arial" w:eastAsia="Arial" w:hAnsi="Arial"/>
          <w:sz w:val="14"/>
          <w:szCs w:val="14"/>
          <w:b w:val="1"/>
          <w:bCs w:val="1"/>
          <w:color w:val="auto"/>
        </w:rPr>
        <w:t>First Quarter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9900" w:val="left"/>
          <w:tab w:leader="none" w:pos="10740" w:val="left"/>
        </w:tabs>
        <w:rPr>
          <w:sz w:val="20"/>
          <w:szCs w:val="20"/>
          <w:color w:val="auto"/>
        </w:rPr>
      </w:pPr>
      <w:r>
        <w:rPr>
          <w:rFonts w:ascii="Arial" w:cs="Arial" w:eastAsia="Arial" w:hAnsi="Arial"/>
          <w:sz w:val="18"/>
          <w:szCs w:val="18"/>
          <w:color w:val="auto"/>
        </w:rPr>
        <w:t>Distributions per Class A, B, C and D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0.324</w:t>
      </w:r>
    </w:p>
    <w:p>
      <w:pPr>
        <w:spacing w:after="0" w:line="17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April 29, 2021, the Company declared a distribution on its Class A, Class B, Class C and Class D units of $0.329 per unit payable on June 15, 2021 to unit holders of record as of June 01,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231F20"/>
        </w:rPr>
        <w:t>Financial Disclosures About Guarantors and Issuers of Guaranteed Registered Securities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As of March 31, 2021, Clearway Energy Operating LLC’s outstanding registered senior notes consisted of $350 million of the 2026 Senior Notes, as further described in Note 7, </w:t>
      </w:r>
      <w:r>
        <w:rPr>
          <w:rFonts w:ascii="Arial" w:cs="Arial" w:eastAsia="Arial" w:hAnsi="Arial"/>
          <w:sz w:val="18"/>
          <w:szCs w:val="18"/>
          <w:i w:val="1"/>
          <w:iCs w:val="1"/>
          <w:color w:val="auto"/>
        </w:rPr>
        <w:t>Long-term Debt</w:t>
      </w:r>
      <w:r>
        <w:rPr>
          <w:rFonts w:ascii="Arial" w:cs="Arial" w:eastAsia="Arial" w:hAnsi="Arial"/>
          <w:sz w:val="18"/>
          <w:szCs w:val="18"/>
          <w:color w:val="auto"/>
        </w:rPr>
        <w:t>. The 2026 Senior Notes are guaranteed by the Company, as well as certain of the Company's wholly owned subsidiaries, or guarantor subsidiaries. These guarantees are full, irrevocable, unconditional, absolute, joint and several, and cover all payment obligations arising under the 2026 Senior Notes. The non-guarantor subsidiaries include the rest of the Company's subsidiaries, including the subsidiaries that are subject to project financing.</w:t>
      </w:r>
    </w:p>
    <w:p>
      <w:pPr>
        <w:spacing w:after="0" w:line="13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Clearway Energy Operating LLC conducts much of its business through and derives much of its income from its subsidiaries. Therefore, its ability to make required payments with respect to its indebtedness and other obligations depends on the financial results and condition of its subsidiaries and Clearway Energy Operating LLC's ability to receive funds from its subsidiaries. There are no restrictions on the ability of any of the guarantor subsidiaries to transfer funds to Clearway Energy Operating LLC. However, there may be restrictions for certain non-guarantor subsidiaries.</w:t>
      </w:r>
    </w:p>
    <w:p>
      <w:pPr>
        <w:spacing w:after="0" w:line="1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Clearway Energy Operating LLC, the issuer of the 2026 Senior Notes and the guarantor subsidiaries in accordance with Rule 3-10 under the SEC Regulation S-X. The financial information may not necessarily be indicative of results of operations or financial position had the guarantor subsidiaries operated as independent entities. Transactions between Clearway Energy Operating LLC and the guarantors have been eliminated and the summarized financial information does not reflect investments of Clearway Energy Operating LLC and the guarantors in the non-guarantor subsidiaries.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4"/>
              </w:rPr>
              <w:t>March 31, 2021</w:t>
            </w:r>
          </w:p>
        </w:tc>
        <w:tc>
          <w:tcPr>
            <w:tcW w:w="5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40" w:type="dxa"/>
            <w:vAlign w:val="bottom"/>
          </w:tcPr>
          <w:p>
            <w:pPr>
              <w:spacing w:after="0"/>
              <w:rPr>
                <w:sz w:val="11"/>
                <w:szCs w:val="11"/>
                <w:color w:val="auto"/>
              </w:rPr>
            </w:pPr>
          </w:p>
        </w:tc>
        <w:tc>
          <w:tcPr>
            <w:tcW w:w="144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807"/>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December 31, 2020</w:t>
            </w:r>
          </w:p>
        </w:tc>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40" w:type="dxa"/>
            <w:vAlign w:val="bottom"/>
          </w:tcPr>
          <w:p>
            <w:pPr>
              <w:spacing w:after="0"/>
              <w:rPr>
                <w:sz w:val="11"/>
                <w:szCs w:val="11"/>
                <w:color w:val="auto"/>
              </w:rPr>
            </w:pPr>
          </w:p>
        </w:tc>
        <w:tc>
          <w:tcPr>
            <w:tcW w:w="144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807"/>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gridSpan w:val="6"/>
          </w:tcPr>
          <w:p>
            <w:pPr>
              <w:jc w:val="center"/>
              <w:ind w:left="1237"/>
              <w:spacing w:after="0"/>
              <w:rPr>
                <w:sz w:val="20"/>
                <w:szCs w:val="20"/>
                <w:color w:val="auto"/>
              </w:rPr>
            </w:pPr>
            <w:r>
              <w:rPr>
                <w:rFonts w:ascii="Arial" w:cs="Arial" w:eastAsia="Arial" w:hAnsi="Arial"/>
                <w:sz w:val="16"/>
                <w:szCs w:val="16"/>
                <w:b w:val="1"/>
                <w:bCs w:val="1"/>
                <w:color w:val="auto"/>
                <w:w w:val="93"/>
              </w:rPr>
              <w:t>Three Months Ended March 31, 2021</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2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40" w:type="dxa"/>
            <w:vAlign w:val="bottom"/>
          </w:tcPr>
          <w:p>
            <w:pPr>
              <w:spacing w:after="0"/>
              <w:rPr>
                <w:sz w:val="11"/>
                <w:szCs w:val="11"/>
                <w:color w:val="auto"/>
              </w:rPr>
            </w:pPr>
          </w:p>
        </w:tc>
        <w:tc>
          <w:tcPr>
            <w:tcW w:w="1440" w:type="dxa"/>
            <w:vAlign w:val="bottom"/>
            <w:vMerge w:val="restart"/>
          </w:tcPr>
          <w:p>
            <w:pPr>
              <w:jc w:val="right"/>
              <w:ind w:right="7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(loss) income attributable to controlling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0"/>
                <w:szCs w:val="20"/>
                <w:color w:val="auto"/>
              </w:rPr>
            </w:pPr>
          </w:p>
        </w:tc>
        <w:tc>
          <w:tcPr>
            <w:tcW w:w="220" w:type="dxa"/>
            <w:vAlign w:val="bottom"/>
          </w:tcPr>
          <w:p>
            <w:pPr>
              <w:jc w:val="right"/>
              <w:ind w:right="16"/>
              <w:spacing w:after="0"/>
              <w:rPr>
                <w:sz w:val="20"/>
                <w:szCs w:val="20"/>
                <w:color w:val="auto"/>
              </w:rPr>
            </w:pPr>
            <w:r>
              <w:rPr>
                <w:rFonts w:ascii="Arial" w:cs="Arial" w:eastAsia="Arial" w:hAnsi="Arial"/>
                <w:sz w:val="18"/>
                <w:szCs w:val="18"/>
                <w:color w:val="auto"/>
                <w:w w:val="99"/>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13"/>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100" w:type="dxa"/>
            <w:vAlign w:val="bottom"/>
            <w:tcBorders>
              <w:bottom w:val="single" w:sz="8" w:color="auto"/>
            </w:tcBorders>
          </w:tcPr>
          <w:p>
            <w:pPr>
              <w:spacing w:after="0"/>
              <w:rPr>
                <w:sz w:val="18"/>
                <w:szCs w:val="18"/>
                <w:color w:val="auto"/>
              </w:rPr>
            </w:pPr>
          </w:p>
        </w:tc>
        <w:tc>
          <w:tcPr>
            <w:tcW w:w="4520" w:type="dxa"/>
            <w:vAlign w:val="bottom"/>
            <w:tcBorders>
              <w:bottom w:val="single" w:sz="8" w:color="auto"/>
            </w:tcBorders>
            <w:gridSpan w:val="6"/>
          </w:tcPr>
          <w:p>
            <w:pPr>
              <w:jc w:val="center"/>
              <w:ind w:left="1258"/>
              <w:spacing w:after="0"/>
              <w:rPr>
                <w:sz w:val="20"/>
                <w:szCs w:val="20"/>
                <w:color w:val="auto"/>
              </w:rPr>
            </w:pPr>
            <w:r>
              <w:rPr>
                <w:rFonts w:ascii="Arial" w:cs="Arial" w:eastAsia="Arial" w:hAnsi="Arial"/>
                <w:sz w:val="16"/>
                <w:szCs w:val="16"/>
                <w:b w:val="1"/>
                <w:bCs w:val="1"/>
                <w:color w:val="auto"/>
                <w:w w:val="92"/>
              </w:rPr>
              <w:t>Three months ended March 31, 2020</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2" w:lineRule="exact"/>
              <w:rPr>
                <w:sz w:val="20"/>
                <w:szCs w:val="20"/>
                <w:color w:val="auto"/>
              </w:rPr>
            </w:pPr>
            <w:r>
              <w:rPr>
                <w:rFonts w:ascii="Arial" w:cs="Arial" w:eastAsia="Arial" w:hAnsi="Arial"/>
                <w:sz w:val="14"/>
                <w:szCs w:val="14"/>
                <w:b w:val="1"/>
                <w:bCs w:val="1"/>
                <w:color w:val="auto"/>
                <w:w w:val="95"/>
              </w:rPr>
              <w:t>Clearway Energy Operating</w:t>
            </w:r>
          </w:p>
        </w:tc>
        <w:tc>
          <w:tcPr>
            <w:tcW w:w="8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1"/>
                <w:szCs w:val="11"/>
                <w:color w:val="auto"/>
              </w:rPr>
            </w:pPr>
          </w:p>
        </w:tc>
        <w:tc>
          <w:tcPr>
            <w:tcW w:w="1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LLC (2026 Senior Notes</w:t>
            </w:r>
          </w:p>
        </w:tc>
        <w:tc>
          <w:tcPr>
            <w:tcW w:w="20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Other Guarantor Subsidiaries</w:t>
            </w:r>
          </w:p>
        </w:tc>
        <w:tc>
          <w:tcPr>
            <w:tcW w:w="520" w:type="dxa"/>
            <w:vAlign w:val="bottom"/>
          </w:tcPr>
          <w:p>
            <w:pPr>
              <w:spacing w:after="0"/>
              <w:rPr>
                <w:sz w:val="11"/>
                <w:szCs w:val="11"/>
                <w:color w:val="auto"/>
              </w:rPr>
            </w:pPr>
          </w:p>
        </w:tc>
        <w:tc>
          <w:tcPr>
            <w:tcW w:w="1460" w:type="dxa"/>
            <w:vAlign w:val="bottom"/>
            <w:vMerge w:val="restart"/>
          </w:tcPr>
          <w:p>
            <w:pPr>
              <w:jc w:val="right"/>
              <w:ind w:right="7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5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Issuer)</w:t>
            </w:r>
          </w:p>
        </w:tc>
        <w:tc>
          <w:tcPr>
            <w:tcW w:w="2060" w:type="dxa"/>
            <w:vAlign w:val="bottom"/>
            <w:gridSpan w:val="3"/>
            <w:vMerge w:val="continue"/>
          </w:tcPr>
          <w:p>
            <w:pPr>
              <w:spacing w:after="0"/>
              <w:rPr>
                <w:sz w:val="16"/>
                <w:szCs w:val="16"/>
                <w:color w:val="auto"/>
              </w:rPr>
            </w:pPr>
          </w:p>
        </w:tc>
        <w:tc>
          <w:tcPr>
            <w:tcW w:w="52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51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9"/>
                <w:szCs w:val="19"/>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Net income (loss) attributable to controlling interest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Cash Flow Discussion</w:t>
      </w:r>
    </w:p>
    <w:p>
      <w:pPr>
        <w:spacing w:after="0" w:line="175" w:lineRule="exact"/>
        <w:rPr>
          <w:sz w:val="20"/>
          <w:szCs w:val="20"/>
          <w:color w:val="auto"/>
        </w:rPr>
      </w:pPr>
    </w:p>
    <w:p>
      <w:pPr>
        <w:ind w:firstLine="405"/>
        <w:spacing w:after="0" w:line="271" w:lineRule="auto"/>
        <w:rPr>
          <w:sz w:val="20"/>
          <w:szCs w:val="20"/>
          <w:color w:val="auto"/>
        </w:rPr>
      </w:pPr>
      <w:r>
        <w:rPr>
          <w:rFonts w:ascii="Arial" w:cs="Arial" w:eastAsia="Arial" w:hAnsi="Arial"/>
          <w:sz w:val="18"/>
          <w:szCs w:val="18"/>
          <w:color w:val="auto"/>
        </w:rPr>
        <w:t>The following table reflects the changes in cash flows for the three months ended March 31, 2021, compared to the three months ended March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w w:val="97"/>
              </w:rPr>
              <w:t>Three months ended March 31,</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(In millions)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0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Net cash used in investing activities</w:t>
            </w:r>
          </w:p>
        </w:tc>
        <w:tc>
          <w:tcPr>
            <w:tcW w:w="840" w:type="dxa"/>
            <w:vAlign w:val="bottom"/>
          </w:tcPr>
          <w:p>
            <w:pPr>
              <w:spacing w:after="0"/>
              <w:rPr>
                <w:sz w:val="19"/>
                <w:szCs w:val="19"/>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90"/>
              </w:rPr>
              <w:t>(314)</w:t>
            </w:r>
          </w:p>
        </w:tc>
        <w:tc>
          <w:tcPr>
            <w:tcW w:w="10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w:t>
            </w:r>
          </w:p>
        </w:tc>
        <w:tc>
          <w:tcPr>
            <w:tcW w:w="100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729"/>
        </w:trPr>
        <w:tc>
          <w:tcPr>
            <w:tcW w:w="40" w:type="dxa"/>
            <w:vAlign w:val="bottom"/>
          </w:tcPr>
          <w:p>
            <w:pPr>
              <w:spacing w:after="0"/>
              <w:rPr>
                <w:sz w:val="24"/>
                <w:szCs w:val="24"/>
                <w:color w:val="auto"/>
              </w:rPr>
            </w:pPr>
          </w:p>
        </w:tc>
        <w:tc>
          <w:tcPr>
            <w:tcW w:w="708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Net Cash Provided by Operating Activities</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120" w:type="dxa"/>
            <w:vAlign w:val="bottom"/>
            <w:gridSpan w:val="2"/>
          </w:tcPr>
          <w:p>
            <w:pPr>
              <w:ind w:left="20"/>
              <w:spacing w:after="0"/>
              <w:rPr>
                <w:sz w:val="20"/>
                <w:szCs w:val="20"/>
                <w:color w:val="auto"/>
              </w:rPr>
            </w:pPr>
            <w:r>
              <w:rPr>
                <w:rFonts w:ascii="Arial" w:cs="Arial" w:eastAsia="Arial" w:hAnsi="Arial"/>
                <w:sz w:val="18"/>
                <w:szCs w:val="18"/>
                <w:color w:val="auto"/>
              </w:rPr>
              <w:t>Changes to net cash provided by operating activities were driven by: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942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w w:val="92"/>
              </w:rPr>
              <w:t>Decrease in working capital primarily driven by the timing of accounts receivable collections and payments of accounts payable</w:t>
            </w:r>
          </w:p>
        </w:tc>
        <w:tc>
          <w:tcPr>
            <w:tcW w:w="4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00"/>
              <w:spacing w:after="0"/>
              <w:rPr>
                <w:sz w:val="20"/>
                <w:szCs w:val="20"/>
                <w:color w:val="auto"/>
              </w:rPr>
            </w:pPr>
            <w:r>
              <w:rPr>
                <w:rFonts w:ascii="Arial" w:cs="Arial" w:eastAsia="Arial" w:hAnsi="Arial"/>
                <w:sz w:val="18"/>
                <w:szCs w:val="18"/>
                <w:color w:val="auto"/>
              </w:rPr>
              <w:t>Decrease in operating income adjusted for non-cash items</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70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 in dividend distributions received from unconsolidated affiliates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80" w:type="dxa"/>
            <w:vAlign w:val="bottom"/>
            <w:vMerge w:val="restart"/>
          </w:tcPr>
          <w:p>
            <w:pPr>
              <w:ind w:left="380"/>
              <w:spacing w:after="0"/>
              <w:rPr>
                <w:sz w:val="20"/>
                <w:szCs w:val="20"/>
                <w:color w:val="auto"/>
              </w:rPr>
            </w:pPr>
            <w:r>
              <w:rPr>
                <w:rFonts w:ascii="Arial" w:cs="Arial" w:eastAsia="Arial" w:hAnsi="Arial"/>
                <w:sz w:val="18"/>
                <w:szCs w:val="18"/>
                <w:b w:val="1"/>
                <w:bCs w:val="1"/>
                <w:i w:val="1"/>
                <w:iCs w:val="1"/>
                <w:color w:val="auto"/>
              </w:rPr>
              <w:t>Net Cash Used in Investing Activities</w:t>
            </w: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to net cash used in investing activities were driven by: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paid for the Rattlesnake Drop Down acquisition in 2021</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Cash paid for the Agua Caliente acquisition net of cash acquired in 2021</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860" w:type="dxa"/>
            <w:vAlign w:val="bottom"/>
            <w:gridSpan w:val="5"/>
            <w:shd w:val="clear" w:color="auto" w:fill="CCEEFF"/>
          </w:tcPr>
          <w:p>
            <w:pPr>
              <w:ind w:left="120"/>
              <w:spacing w:after="0" w:line="176" w:lineRule="exact"/>
              <w:rPr>
                <w:sz w:val="20"/>
                <w:szCs w:val="20"/>
                <w:color w:val="auto"/>
              </w:rPr>
            </w:pPr>
            <w:r>
              <w:rPr>
                <w:rFonts w:ascii="Arial" w:cs="Arial" w:eastAsia="Arial" w:hAnsi="Arial"/>
                <w:sz w:val="18"/>
                <w:szCs w:val="18"/>
                <w:color w:val="auto"/>
                <w:w w:val="94"/>
              </w:rPr>
              <w:t>Increase in capital expenditures primarily driven by growth capital expenditures within Renewables segment for final construction</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costs related to Rosamond Central and Mesquite Star in 2021</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Proceeds from sale of Dover in 2020</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Decrease in investments in unconsolidated affiliates</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70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b w:val="1"/>
                <w:bCs w:val="1"/>
                <w:i w:val="1"/>
                <w:iCs w:val="1"/>
                <w:color w:val="auto"/>
              </w:rPr>
              <w:t>Net Cash Provided by (Used in) Financing Activities</w:t>
            </w:r>
          </w:p>
        </w:tc>
        <w:tc>
          <w:tcPr>
            <w:tcW w:w="8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Changes in net cash provided by (used in) financing activities were driven by:</w:t>
            </w: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9420" w:type="dxa"/>
            <w:vAlign w:val="bottom"/>
            <w:gridSpan w:val="4"/>
            <w:shd w:val="clear" w:color="auto" w:fill="CCEEFF"/>
          </w:tcPr>
          <w:p>
            <w:pPr>
              <w:ind w:left="120"/>
              <w:spacing w:after="0" w:line="176" w:lineRule="exact"/>
              <w:rPr>
                <w:sz w:val="20"/>
                <w:szCs w:val="20"/>
                <w:color w:val="auto"/>
              </w:rPr>
            </w:pPr>
            <w:r>
              <w:rPr>
                <w:rFonts w:ascii="Arial" w:cs="Arial" w:eastAsia="Arial" w:hAnsi="Arial"/>
                <w:sz w:val="18"/>
                <w:szCs w:val="18"/>
                <w:color w:val="auto"/>
                <w:w w:val="89"/>
              </w:rPr>
              <w:t>Increase in proceeds from issuance of long-term debt net of payments primarily due to issuance of the 2031 Senior Notes and the</w:t>
            </w:r>
          </w:p>
        </w:tc>
        <w:tc>
          <w:tcPr>
            <w:tcW w:w="440" w:type="dxa"/>
            <w:vAlign w:val="bottom"/>
            <w:shd w:val="clear" w:color="auto" w:fill="CCEEFF"/>
          </w:tcPr>
          <w:p>
            <w:pPr>
              <w:spacing w:after="0"/>
              <w:rPr>
                <w:sz w:val="15"/>
                <w:szCs w:val="15"/>
                <w:color w:val="auto"/>
              </w:rPr>
            </w:pPr>
          </w:p>
        </w:tc>
        <w:tc>
          <w:tcPr>
            <w:tcW w:w="260" w:type="dxa"/>
            <w:vAlign w:val="bottom"/>
            <w:gridSpan w:val="3"/>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Pinnacle financing agreement in 2021</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60" w:type="dxa"/>
            <w:vAlign w:val="bottom"/>
            <w:gridSpan w:val="3"/>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w w:val="92"/>
              </w:rPr>
              <w:t>Increase in net contributions from noncontrolling interests and CEG in 2021 compared to 2020</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Increase in net repayments under the revolving line of credit in 2021</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Increase in dividends paid to common stockholders in 2021</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942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89"/>
              </w:rPr>
              <w:t>Payment of debt issuance costs in 2021 associated with issuance of the 2031 Senior Notes and the Pinnacle financing agreement</w:t>
            </w: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7080" w:type="dxa"/>
            <w:vAlign w:val="bottom"/>
          </w:tcPr>
          <w:p>
            <w:pPr>
              <w:ind w:left="120"/>
              <w:spacing w:after="0"/>
              <w:rPr>
                <w:sz w:val="20"/>
                <w:szCs w:val="20"/>
                <w:color w:val="auto"/>
              </w:rPr>
            </w:pPr>
            <w:r>
              <w:rPr>
                <w:rFonts w:ascii="Arial" w:cs="Arial" w:eastAsia="Arial" w:hAnsi="Arial"/>
                <w:sz w:val="18"/>
                <w:szCs w:val="18"/>
                <w:color w:val="auto"/>
              </w:rPr>
              <w:t>Net proceeds from equity issuance in 2020</w:t>
            </w: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7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under Certain Guarantee Contracts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The Company may enter into guarantee arrangements in the normal course of business to facilitate commercial transactions with third parties.</w:t>
      </w:r>
    </w:p>
    <w:p>
      <w:pPr>
        <w:spacing w:after="0" w:line="16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Retained or Contingent Interests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retained or contingent interests in assets transferred to an unconsolidated entity.</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Obligations Arising Out of a Variable Interest in an Unconsolidated Entity</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Variable interest in equity investments </w:t>
      </w:r>
      <w:r>
        <w:rPr>
          <w:rFonts w:ascii="Arial" w:cs="Arial" w:eastAsia="Arial" w:hAnsi="Arial"/>
          <w:sz w:val="17"/>
          <w:szCs w:val="17"/>
          <w:color w:val="auto"/>
        </w:rPr>
        <w:t>— As of March 31, 2021, the Company has several investments with an ownership interest percentage of 50%</w:t>
      </w:r>
      <w:r>
        <w:rPr>
          <w:rFonts w:ascii="Arial" w:cs="Arial" w:eastAsia="Arial" w:hAnsi="Arial"/>
          <w:sz w:val="17"/>
          <w:szCs w:val="17"/>
          <w:i w:val="1"/>
          <w:iCs w:val="1"/>
          <w:color w:val="auto"/>
        </w:rPr>
        <w:t xml:space="preserve"> </w:t>
      </w:r>
      <w:r>
        <w:rPr>
          <w:rFonts w:ascii="Arial" w:cs="Arial" w:eastAsia="Arial" w:hAnsi="Arial"/>
          <w:sz w:val="17"/>
          <w:szCs w:val="17"/>
          <w:color w:val="auto"/>
        </w:rPr>
        <w:t>or less in energy and an energy-related entity that is accounted for under the equity method. GenConn is a variable interest entity for which the Company is not the primary beneficiary. The Company's pro-rata share of non-recourse debt held by unconsolidated affiliates was approximately $361 million as of March 31, 2021. This indebtedness may restrict the ability of these subsidiaries to issue dividends or distributions to the Company.</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right="20" w:firstLine="445"/>
        <w:spacing w:after="0" w:line="277" w:lineRule="auto"/>
        <w:rPr>
          <w:sz w:val="20"/>
          <w:szCs w:val="20"/>
          <w:color w:val="auto"/>
        </w:rPr>
      </w:pPr>
      <w:r>
        <w:rPr>
          <w:rFonts w:ascii="Arial" w:cs="Arial" w:eastAsia="Arial" w:hAnsi="Arial"/>
          <w:sz w:val="18"/>
          <w:szCs w:val="18"/>
          <w:color w:val="auto"/>
        </w:rPr>
        <w:t>The Company has a variety of contractual obligations and other commercial commitments that represent prospective cash requirements in addition to the Company's capital expenditure programs, as disclosed in the Company's 2020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Derivative Instruments</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The Company may enter into fuel purchase contracts and other energy-related financial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 xml:space="preserve">The tables below disclose the activities of non-exchange traded contracts accounted for at fair value in accordance with ASC 820. Specifically, these tables disaggregate realized and unrealized changes in fair value; disaggregate estimated fair values at </w:t>
      </w:r>
      <w:r>
        <w:rPr>
          <w:rFonts w:ascii="Arial" w:cs="Arial" w:eastAsia="Arial" w:hAnsi="Arial"/>
          <w:sz w:val="17"/>
          <w:szCs w:val="17"/>
          <w:color w:val="000000"/>
        </w:rPr>
        <w:t>March 31, 2021</w:t>
      </w:r>
      <w:r>
        <w:rPr>
          <w:rFonts w:ascii="Arial" w:cs="Arial" w:eastAsia="Arial" w:hAnsi="Arial"/>
          <w:sz w:val="17"/>
          <w:szCs w:val="17"/>
          <w:color w:val="231F20"/>
        </w:rPr>
        <w:t xml:space="preserve">, based on their level within the fair value hierarchy defined in ASC 820; and indicate the maturities of contracts at </w:t>
      </w:r>
      <w:r>
        <w:rPr>
          <w:rFonts w:ascii="Arial" w:cs="Arial" w:eastAsia="Arial" w:hAnsi="Arial"/>
          <w:sz w:val="17"/>
          <w:szCs w:val="17"/>
          <w:color w:val="000000"/>
        </w:rPr>
        <w:t>March 31, 2021</w:t>
      </w:r>
      <w:r>
        <w:rPr>
          <w:rFonts w:ascii="Arial" w:cs="Arial" w:eastAsia="Arial" w:hAnsi="Arial"/>
          <w:sz w:val="17"/>
          <w:szCs w:val="17"/>
          <w:color w:val="231F20"/>
        </w:rPr>
        <w:t xml:space="preserve">. For a full discussion of the Company's valuation methodology of its contracts, see </w:t>
      </w:r>
      <w:r>
        <w:rPr>
          <w:rFonts w:ascii="Arial" w:cs="Arial" w:eastAsia="Arial" w:hAnsi="Arial"/>
          <w:sz w:val="17"/>
          <w:szCs w:val="17"/>
          <w:i w:val="1"/>
          <w:iCs w:val="1"/>
          <w:color w:val="231F20"/>
        </w:rPr>
        <w:t>Derivative Fair Value Measurements</w:t>
      </w:r>
      <w:r>
        <w:rPr>
          <w:rFonts w:ascii="Arial" w:cs="Arial" w:eastAsia="Arial" w:hAnsi="Arial"/>
          <w:sz w:val="17"/>
          <w:szCs w:val="17"/>
          <w:color w:val="231F20"/>
        </w:rPr>
        <w:t xml:space="preserve"> in Item 1 — </w:t>
      </w:r>
      <w:r>
        <w:rPr>
          <w:rFonts w:ascii="Arial" w:cs="Arial" w:eastAsia="Arial" w:hAnsi="Arial"/>
          <w:sz w:val="17"/>
          <w:szCs w:val="17"/>
          <w:color w:val="000000"/>
        </w:rPr>
        <w:t>Note 5</w:t>
      </w:r>
      <w:r>
        <w:rPr>
          <w:rFonts w:ascii="Arial" w:cs="Arial" w:eastAsia="Arial" w:hAnsi="Arial"/>
          <w:sz w:val="17"/>
          <w:szCs w:val="17"/>
          <w:color w:val="231F20"/>
        </w:rPr>
        <w:t xml:space="preserve">, </w:t>
      </w:r>
      <w:r>
        <w:rPr>
          <w:rFonts w:ascii="Arial" w:cs="Arial" w:eastAsia="Arial" w:hAnsi="Arial"/>
          <w:sz w:val="17"/>
          <w:szCs w:val="17"/>
          <w:i w:val="1"/>
          <w:iCs w:val="1"/>
          <w:color w:val="000000"/>
        </w:rPr>
        <w:t>Fair Value of Financial Instruments</w:t>
      </w:r>
      <w:r>
        <w:rPr>
          <w:rFonts w:ascii="Arial" w:cs="Arial" w:eastAsia="Arial" w:hAnsi="Arial"/>
          <w:sz w:val="17"/>
          <w:szCs w:val="17"/>
          <w:color w:val="231F20"/>
        </w:rPr>
        <w:t>.</w:t>
      </w:r>
    </w:p>
    <w:p>
      <w:pPr>
        <w:sectPr>
          <w:pgSz w:w="11900" w:h="16838" w:orient="portrait"/>
          <w:cols w:equalWidth="0" w:num="1">
            <w:col w:w="11240"/>
          </w:cols>
          <w:pgMar w:left="320" w:top="891" w:right="339" w:bottom="1440" w:gutter="0" w:footer="0" w:header="0"/>
        </w:sectPr>
      </w:pPr>
    </w:p>
    <w:p>
      <w:pPr>
        <w:spacing w:after="0" w:line="149" w:lineRule="exact"/>
        <w:rPr>
          <w:sz w:val="20"/>
          <w:szCs w:val="20"/>
          <w:color w:val="auto"/>
        </w:rPr>
      </w:pPr>
    </w:p>
    <w:p>
      <w:pPr>
        <w:ind w:left="20"/>
        <w:spacing w:after="0"/>
        <w:rPr>
          <w:sz w:val="20"/>
          <w:szCs w:val="20"/>
          <w:color w:val="auto"/>
        </w:rPr>
      </w:pPr>
      <w:r>
        <w:rPr>
          <w:rFonts w:ascii="Arial" w:cs="Arial" w:eastAsia="Arial" w:hAnsi="Arial"/>
          <w:sz w:val="14"/>
          <w:szCs w:val="14"/>
          <w:b w:val="1"/>
          <w:bCs w:val="1"/>
          <w:u w:val="single" w:color="auto"/>
          <w:color w:val="auto"/>
        </w:rPr>
        <w:t>Derivative Activity (Losses) Gains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December 31, 2020</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Contracts realized or otherwise settled during the period</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Changes in fair value</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Fair value of contracts as of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Fair Value Hierarchy (Losses) Gains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2</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Level 3</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6"/>
              </w:rPr>
              <w:t>(In millions)</w:t>
            </w:r>
          </w:p>
        </w:tc>
        <w:tc>
          <w:tcPr>
            <w:tcW w:w="0" w:type="dxa"/>
            <w:vAlign w:val="bottom"/>
          </w:tcPr>
          <w:p>
            <w:pPr>
              <w:spacing w:after="0"/>
              <w:rPr>
                <w:sz w:val="1"/>
                <w:szCs w:val="1"/>
                <w:color w:val="auto"/>
              </w:rPr>
            </w:pPr>
          </w:p>
        </w:tc>
      </w:tr>
      <w:tr>
        <w:trPr>
          <w:trHeight w:val="228"/>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40" w:type="dxa"/>
            <w:vAlign w:val="bottom"/>
            <w:gridSpan w:val="9"/>
            <w:vMerge w:val="restart"/>
          </w:tcPr>
          <w:p>
            <w:pPr>
              <w:jc w:val="center"/>
              <w:ind w:right="380"/>
              <w:spacing w:after="0"/>
              <w:rPr>
                <w:sz w:val="20"/>
                <w:szCs w:val="20"/>
                <w:color w:val="auto"/>
              </w:rPr>
            </w:pPr>
            <w:r>
              <w:rPr>
                <w:rFonts w:ascii="Arial" w:cs="Arial" w:eastAsia="Arial" w:hAnsi="Arial"/>
                <w:sz w:val="14"/>
                <w:szCs w:val="14"/>
                <w:b w:val="1"/>
                <w:bCs w:val="1"/>
                <w:color w:val="auto"/>
                <w:w w:val="93"/>
              </w:rPr>
              <w:t>Fair value of contracts as of March 31, 2021</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0"/>
        </w:trPr>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9"/>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Maturity</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 Year or Less</w:t>
            </w: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120" w:type="dxa"/>
            <w:vAlign w:val="bottom"/>
          </w:tcPr>
          <w:p>
            <w:pPr>
              <w:spacing w:after="0"/>
              <w:rPr>
                <w:sz w:val="12"/>
                <w:szCs w:val="12"/>
                <w:color w:val="auto"/>
              </w:rPr>
            </w:pPr>
          </w:p>
        </w:tc>
        <w:tc>
          <w:tcPr>
            <w:tcW w:w="11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Greater Than</w:t>
            </w:r>
          </w:p>
        </w:tc>
        <w:tc>
          <w:tcPr>
            <w:tcW w:w="160" w:type="dxa"/>
            <w:vAlign w:val="bottom"/>
          </w:tcPr>
          <w:p>
            <w:pPr>
              <w:spacing w:after="0"/>
              <w:rPr>
                <w:sz w:val="12"/>
                <w:szCs w:val="12"/>
                <w:color w:val="auto"/>
              </w:rPr>
            </w:pPr>
          </w:p>
        </w:tc>
        <w:tc>
          <w:tcPr>
            <w:tcW w:w="1280" w:type="dxa"/>
            <w:vAlign w:val="bottom"/>
            <w:gridSpan w:val="3"/>
          </w:tcPr>
          <w:p>
            <w:pPr>
              <w:jc w:val="center"/>
              <w:ind w:right="320"/>
              <w:spacing w:after="0" w:line="148" w:lineRule="exact"/>
              <w:rPr>
                <w:sz w:val="20"/>
                <w:szCs w:val="20"/>
                <w:color w:val="auto"/>
              </w:rPr>
            </w:pPr>
            <w:r>
              <w:rPr>
                <w:rFonts w:ascii="Arial" w:cs="Arial" w:eastAsia="Arial" w:hAnsi="Arial"/>
                <w:sz w:val="14"/>
                <w:szCs w:val="14"/>
                <w:b w:val="1"/>
                <w:bCs w:val="1"/>
                <w:color w:val="auto"/>
                <w:w w:val="96"/>
              </w:rPr>
              <w:t>Greater Than</w:t>
            </w:r>
          </w:p>
        </w:tc>
        <w:tc>
          <w:tcPr>
            <w:tcW w:w="140" w:type="dxa"/>
            <w:vAlign w:val="bottom"/>
          </w:tcPr>
          <w:p>
            <w:pPr>
              <w:spacing w:after="0"/>
              <w:rPr>
                <w:sz w:val="12"/>
                <w:szCs w:val="12"/>
                <w:color w:val="auto"/>
              </w:rPr>
            </w:pPr>
          </w:p>
        </w:tc>
        <w:tc>
          <w:tcPr>
            <w:tcW w:w="98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95"/>
              </w:rPr>
              <w:t>Total Fair</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1 Year to 3 Years</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3 Years to 5 Years</w:t>
            </w:r>
          </w:p>
        </w:tc>
        <w:tc>
          <w:tcPr>
            <w:tcW w:w="160" w:type="dxa"/>
            <w:vAlign w:val="bottom"/>
          </w:tcPr>
          <w:p>
            <w:pPr>
              <w:spacing w:after="0"/>
              <w:rPr>
                <w:sz w:val="16"/>
                <w:szCs w:val="16"/>
                <w:color w:val="auto"/>
              </w:rPr>
            </w:pPr>
          </w:p>
        </w:tc>
        <w:tc>
          <w:tcPr>
            <w:tcW w:w="128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8"/>
              </w:rPr>
              <w:t>5 Years</w:t>
            </w:r>
          </w:p>
        </w:tc>
        <w:tc>
          <w:tcPr>
            <w:tcW w:w="14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6"/>
        </w:trPr>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-3042285</wp:posOffset>
            </wp:positionH>
            <wp:positionV relativeFrom="paragraph">
              <wp:posOffset>-2099310</wp:posOffset>
            </wp:positionV>
            <wp:extent cx="71323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-3042285</wp:posOffset>
            </wp:positionH>
            <wp:positionV relativeFrom="paragraph">
              <wp:posOffset>-1799590</wp:posOffset>
            </wp:positionV>
            <wp:extent cx="713232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-3034030</wp:posOffset>
            </wp:positionH>
            <wp:positionV relativeFrom="paragraph">
              <wp:posOffset>-334010</wp:posOffset>
            </wp:positionV>
            <wp:extent cx="7115175"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80" w:space="520"/>
            <w:col w:w="6440"/>
          </w:cols>
          <w:pgMar w:left="320" w:top="891" w:right="339" w:bottom="1440" w:gutter="0" w:footer="0" w:header="0"/>
          <w:type w:val="continuous"/>
        </w:sectPr>
      </w:pPr>
    </w:p>
    <w:p>
      <w:pPr>
        <w:spacing w:after="0" w:line="19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 xml:space="preserve">The Company has elected to disclose derivative assets and liabilities on a trade-by-trade basis and does not offset amounts at the counterparty master agreement level. As discussed below in Quantitative and Qualitative Disclosures about Market Risk - Commodity Price Risk, the </w:t>
      </w:r>
      <w:r>
        <w:rPr>
          <w:rFonts w:ascii="Arial" w:cs="Arial" w:eastAsia="Arial" w:hAnsi="Arial"/>
          <w:sz w:val="16"/>
          <w:szCs w:val="16"/>
          <w:color w:val="000000"/>
        </w:rPr>
        <w:t>Company, measures the</w:t>
      </w:r>
      <w:r>
        <w:rPr>
          <w:rFonts w:ascii="Arial" w:cs="Arial" w:eastAsia="Arial" w:hAnsi="Arial"/>
          <w:sz w:val="16"/>
          <w:szCs w:val="16"/>
          <w:color w:val="231F20"/>
        </w:rPr>
        <w:t xml:space="preserve"> </w:t>
      </w:r>
      <w:r>
        <w:rPr>
          <w:rFonts w:ascii="Arial" w:cs="Arial" w:eastAsia="Arial" w:hAnsi="Arial"/>
          <w:sz w:val="16"/>
          <w:szCs w:val="16"/>
          <w:color w:val="000000"/>
        </w:rPr>
        <w:t>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On an ongoing basis, the Company evaluates these estimates, utilizing historic experience, consultation with experts and other methods the Company considers reasonable.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33"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Recent Accounting Developments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See Item 1 —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for a discussion of recent accounting developments.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6"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3 — Quantitative and Qualitative Disclosures About Market Risk</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231F20"/>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w:t>
      </w:r>
      <w:r>
        <w:rPr>
          <w:rFonts w:ascii="Arial" w:cs="Arial" w:eastAsia="Arial" w:hAnsi="Arial"/>
          <w:sz w:val="18"/>
          <w:szCs w:val="18"/>
          <w:color w:val="000000"/>
        </w:rPr>
        <w:t>The following disclosures about market risk provide</w:t>
      </w:r>
      <w:r>
        <w:rPr>
          <w:rFonts w:ascii="Arial" w:cs="Arial" w:eastAsia="Arial" w:hAnsi="Arial"/>
          <w:sz w:val="18"/>
          <w:szCs w:val="18"/>
          <w:color w:val="231F20"/>
        </w:rPr>
        <w:t xml:space="preserve"> </w:t>
      </w:r>
      <w:r>
        <w:rPr>
          <w:rFonts w:ascii="Arial" w:cs="Arial" w:eastAsia="Arial" w:hAnsi="Arial"/>
          <w:sz w:val="18"/>
          <w:szCs w:val="18"/>
          <w:color w:val="000000"/>
        </w:rPr>
        <w:t xml:space="preserve">an update to, and should be read in conjunction with, Item 7A — </w:t>
      </w:r>
      <w:r>
        <w:rPr>
          <w:rFonts w:ascii="Arial" w:cs="Arial" w:eastAsia="Arial" w:hAnsi="Arial"/>
          <w:sz w:val="18"/>
          <w:szCs w:val="18"/>
          <w:i w:val="1"/>
          <w:iCs w:val="1"/>
          <w:color w:val="000000"/>
        </w:rPr>
        <w:t>Quantitative and Qualitative Disclosures About Market Risk,</w:t>
      </w:r>
      <w:r>
        <w:rPr>
          <w:rFonts w:ascii="Arial" w:cs="Arial" w:eastAsia="Arial" w:hAnsi="Arial"/>
          <w:sz w:val="18"/>
          <w:szCs w:val="18"/>
          <w:color w:val="000000"/>
        </w:rPr>
        <w:t xml:space="preserve"> of the Company's 2020 Form 10-K.</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Interest Rate Risk</w:t>
      </w:r>
    </w:p>
    <w:p>
      <w:pPr>
        <w:spacing w:after="0" w:line="17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231F20"/>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w:t>
      </w:r>
      <w:r>
        <w:rPr>
          <w:rFonts w:ascii="Arial" w:cs="Arial" w:eastAsia="Arial" w:hAnsi="Arial"/>
          <w:sz w:val="17"/>
          <w:szCs w:val="17"/>
          <w:color w:val="000000"/>
        </w:rPr>
        <w:t>— Note 6</w:t>
      </w:r>
      <w:r>
        <w:rPr>
          <w:rFonts w:ascii="Arial" w:cs="Arial" w:eastAsia="Arial" w:hAnsi="Arial"/>
          <w:sz w:val="17"/>
          <w:szCs w:val="17"/>
          <w:color w:val="231F20"/>
        </w:rPr>
        <w:t xml:space="preserve">, </w:t>
      </w:r>
      <w:r>
        <w:rPr>
          <w:rFonts w:ascii="Arial" w:cs="Arial" w:eastAsia="Arial" w:hAnsi="Arial"/>
          <w:sz w:val="17"/>
          <w:szCs w:val="17"/>
          <w:i w:val="1"/>
          <w:iCs w:val="1"/>
          <w:color w:val="000000"/>
        </w:rPr>
        <w:t>Derivative Instruments and Hedging Activities</w:t>
      </w:r>
      <w:r>
        <w:rPr>
          <w:rFonts w:ascii="Arial" w:cs="Arial" w:eastAsia="Arial" w:hAnsi="Arial"/>
          <w:sz w:val="17"/>
          <w:szCs w:val="17"/>
          <w:color w:val="231F20"/>
        </w:rPr>
        <w:t>, for more information.</w:t>
      </w:r>
    </w:p>
    <w:p>
      <w:pPr>
        <w:spacing w:after="0" w:line="11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231F20"/>
        </w:rPr>
        <w:t xml:space="preserve">Most of the Company's project subsidiaries enter into interest rate swaps, intended to hedge the risks associated with interest rates on non-recourse project level debt. See Item 15 — </w:t>
      </w:r>
      <w:r>
        <w:rPr>
          <w:rFonts w:ascii="Arial" w:cs="Arial" w:eastAsia="Arial" w:hAnsi="Arial"/>
          <w:sz w:val="17"/>
          <w:szCs w:val="17"/>
          <w:color w:val="000000"/>
        </w:rPr>
        <w:t>Note 10</w:t>
      </w:r>
      <w:r>
        <w:rPr>
          <w:rFonts w:ascii="Arial" w:cs="Arial" w:eastAsia="Arial" w:hAnsi="Arial"/>
          <w:sz w:val="17"/>
          <w:szCs w:val="17"/>
          <w:color w:val="231F20"/>
        </w:rPr>
        <w:t xml:space="preserve">, </w:t>
      </w:r>
      <w:r>
        <w:rPr>
          <w:rFonts w:ascii="Arial" w:cs="Arial" w:eastAsia="Arial" w:hAnsi="Arial"/>
          <w:sz w:val="17"/>
          <w:szCs w:val="17"/>
          <w:i w:val="1"/>
          <w:iCs w:val="1"/>
          <w:color w:val="000000"/>
        </w:rPr>
        <w:t>Long-term Debt</w:t>
      </w:r>
      <w:r>
        <w:rPr>
          <w:rFonts w:ascii="Arial" w:cs="Arial" w:eastAsia="Arial" w:hAnsi="Arial"/>
          <w:sz w:val="17"/>
          <w:szCs w:val="17"/>
          <w:i w:val="1"/>
          <w:iCs w:val="1"/>
          <w:color w:val="231F20"/>
        </w:rPr>
        <w:t>,</w:t>
      </w:r>
      <w:r>
        <w:rPr>
          <w:rFonts w:ascii="Arial" w:cs="Arial" w:eastAsia="Arial" w:hAnsi="Arial"/>
          <w:sz w:val="17"/>
          <w:szCs w:val="17"/>
          <w:color w:val="231F20"/>
        </w:rPr>
        <w:t xml:space="preserve"> to the Company's </w:t>
      </w:r>
      <w:r>
        <w:rPr>
          <w:rFonts w:ascii="Arial" w:cs="Arial" w:eastAsia="Arial" w:hAnsi="Arial"/>
          <w:sz w:val="17"/>
          <w:szCs w:val="17"/>
          <w:color w:val="000000"/>
        </w:rPr>
        <w:t>audited consolidated financial statements for the year ended December 31,</w:t>
      </w:r>
      <w:r>
        <w:rPr>
          <w:rFonts w:ascii="Arial" w:cs="Arial" w:eastAsia="Arial" w:hAnsi="Arial"/>
          <w:sz w:val="17"/>
          <w:szCs w:val="17"/>
          <w:color w:val="231F20"/>
        </w:rPr>
        <w:t xml:space="preserve"> </w:t>
      </w:r>
      <w:r>
        <w:rPr>
          <w:rFonts w:ascii="Arial" w:cs="Arial" w:eastAsia="Arial" w:hAnsi="Arial"/>
          <w:sz w:val="17"/>
          <w:szCs w:val="17"/>
          <w:color w:val="000000"/>
        </w:rPr>
        <w:t xml:space="preserve">2020 included in the 2020 Form 10-K </w:t>
      </w:r>
      <w:r>
        <w:rPr>
          <w:rFonts w:ascii="Arial" w:cs="Arial" w:eastAsia="Arial" w:hAnsi="Arial"/>
          <w:sz w:val="17"/>
          <w:szCs w:val="17"/>
          <w:color w:val="231F20"/>
        </w:rPr>
        <w:t>for more information about interest rate swaps of the Company's project subsidiaries.</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231F20"/>
        </w:rPr>
        <w:t xml:space="preserve">If all of the interest rate swaps had been discontinued on </w:t>
      </w:r>
      <w:r>
        <w:rPr>
          <w:rFonts w:ascii="Arial" w:cs="Arial" w:eastAsia="Arial" w:hAnsi="Arial"/>
          <w:sz w:val="18"/>
          <w:szCs w:val="18"/>
          <w:color w:val="000000"/>
        </w:rPr>
        <w:t>March 31, 2021</w:t>
      </w:r>
      <w:r>
        <w:rPr>
          <w:rFonts w:ascii="Arial" w:cs="Arial" w:eastAsia="Arial" w:hAnsi="Arial"/>
          <w:sz w:val="18"/>
          <w:szCs w:val="18"/>
          <w:color w:val="231F20"/>
        </w:rPr>
        <w:t xml:space="preserve">, the Company would have owed the counterparties </w:t>
      </w:r>
      <w:r>
        <w:rPr>
          <w:rFonts w:ascii="Arial" w:cs="Arial" w:eastAsia="Arial" w:hAnsi="Arial"/>
          <w:sz w:val="18"/>
          <w:szCs w:val="18"/>
          <w:color w:val="000000"/>
        </w:rPr>
        <w:t>$74 million.</w:t>
      </w:r>
      <w:r>
        <w:rPr>
          <w:rFonts w:ascii="Arial" w:cs="Arial" w:eastAsia="Arial" w:hAnsi="Arial"/>
          <w:sz w:val="18"/>
          <w:szCs w:val="18"/>
          <w:color w:val="231F20"/>
        </w:rPr>
        <w:t xml:space="preserve"> Based on the credit ratings of the counterparties, the Company believes its exposure to credit risk due to nonperformance by counterparties to its hedge contracts to be insignificant.</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6"/>
          <w:szCs w:val="16"/>
          <w:color w:val="231F20"/>
        </w:rPr>
        <w:t xml:space="preserve">The Company has long-term debt instruments that subject it to the risk of loss associated with movements in market interest rates. As of </w:t>
      </w:r>
      <w:r>
        <w:rPr>
          <w:rFonts w:ascii="Arial" w:cs="Arial" w:eastAsia="Arial" w:hAnsi="Arial"/>
          <w:sz w:val="16"/>
          <w:szCs w:val="16"/>
          <w:color w:val="000000"/>
        </w:rPr>
        <w:t>March 31,</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2021</w:t>
      </w:r>
      <w:r>
        <w:rPr>
          <w:rFonts w:ascii="Arial" w:cs="Arial" w:eastAsia="Arial" w:hAnsi="Arial"/>
          <w:sz w:val="17"/>
          <w:szCs w:val="17"/>
          <w:color w:val="231F20"/>
        </w:rPr>
        <w:t>, a 1% change in interest rates would result in an approximately $1 million change in market interest expense on a rolling twelve-month basis.</w:t>
      </w:r>
    </w:p>
    <w:p>
      <w:pPr>
        <w:spacing w:after="0" w:line="16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March 31, 2021</w:t>
      </w:r>
      <w:r>
        <w:rPr>
          <w:rFonts w:ascii="Arial" w:cs="Arial" w:eastAsia="Arial" w:hAnsi="Arial"/>
          <w:sz w:val="18"/>
          <w:szCs w:val="18"/>
          <w:color w:val="231F20"/>
        </w:rPr>
        <w:t xml:space="preserve">, the fair value of the Company's debt was $7,852 million and the carrying value was $8,047 million. The Company estimates that a 1% decrease in market interest rates would have increased the fair value of its long-term debt by approximately </w:t>
      </w:r>
      <w:r>
        <w:rPr>
          <w:rFonts w:ascii="Arial" w:cs="Arial" w:eastAsia="Arial" w:hAnsi="Arial"/>
          <w:sz w:val="18"/>
          <w:szCs w:val="18"/>
          <w:color w:val="000000"/>
        </w:rPr>
        <w:t>$430 million</w:t>
      </w:r>
      <w:r>
        <w:rPr>
          <w:rFonts w:ascii="Arial" w:cs="Arial" w:eastAsia="Arial" w:hAnsi="Arial"/>
          <w:sz w:val="18"/>
          <w:szCs w:val="18"/>
          <w:color w:val="231F20"/>
        </w:rPr>
        <w: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Liquidity Risk</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7"/>
          <w:szCs w:val="17"/>
          <w:color w:val="231F20"/>
        </w:rPr>
        <w:t>Liquidity risk arises from the general funding needs of the Company's activities and in the management of the Company's assets and liabilities.</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231F20"/>
        </w:rPr>
        <w:t>Commodity Price Risk</w:t>
      </w:r>
    </w:p>
    <w:p>
      <w:pPr>
        <w:spacing w:after="0" w:line="17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231F20"/>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231F20"/>
        </w:rPr>
        <w:t xml:space="preserve">Based on a sensitivity analysis using simplified assumptions, the impact of a $0.50 per MMBtu increase or decrease in natural gas prices across the term of the derivative contracts would have an immaterial impact on the net value of natural gas derivatives as of </w:t>
      </w:r>
      <w:r>
        <w:rPr>
          <w:rFonts w:ascii="Arial" w:cs="Arial" w:eastAsia="Arial" w:hAnsi="Arial"/>
          <w:sz w:val="18"/>
          <w:szCs w:val="18"/>
          <w:color w:val="000000"/>
        </w:rPr>
        <w:t>March 31, 2021</w:t>
      </w:r>
      <w:r>
        <w:rPr>
          <w:rFonts w:ascii="Arial" w:cs="Arial" w:eastAsia="Arial" w:hAnsi="Arial"/>
          <w:sz w:val="18"/>
          <w:szCs w:val="18"/>
          <w:color w:val="231F20"/>
        </w:rPr>
        <w:t>. The impact of a $0.50 per MWh increase or decrease in power prices across the term of the derivatives contracts would cause a change of approximately $3 million to the net value of power derivatives as of March 31, 2021.</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2" w:name="page53"/>
    <w:bookmarkEnd w:id="52"/>
    <w:p>
      <w:pPr>
        <w:ind w:left="420"/>
        <w:spacing w:after="0"/>
        <w:rPr>
          <w:sz w:val="20"/>
          <w:szCs w:val="20"/>
          <w:color w:val="auto"/>
        </w:rPr>
      </w:pPr>
      <w:r>
        <w:rPr>
          <w:rFonts w:ascii="Arial" w:cs="Arial" w:eastAsia="Arial" w:hAnsi="Arial"/>
          <w:sz w:val="18"/>
          <w:szCs w:val="18"/>
          <w:b w:val="1"/>
          <w:bCs w:val="1"/>
          <w:i w:val="1"/>
          <w:iCs w:val="1"/>
          <w:color w:val="231F20"/>
        </w:rPr>
        <w:t>Counterparty Credit Risk</w:t>
      </w:r>
    </w:p>
    <w:p>
      <w:pPr>
        <w:spacing w:after="0" w:line="1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231F20"/>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w:t>
      </w:r>
      <w:r>
        <w:rPr>
          <w:rFonts w:ascii="Arial" w:cs="Arial" w:eastAsia="Arial" w:hAnsi="Arial"/>
          <w:sz w:val="18"/>
          <w:szCs w:val="18"/>
          <w:color w:val="000000"/>
        </w:rPr>
        <w:t>Note 5</w:t>
      </w:r>
      <w:r>
        <w:rPr>
          <w:rFonts w:ascii="Arial" w:cs="Arial" w:eastAsia="Arial" w:hAnsi="Arial"/>
          <w:sz w:val="18"/>
          <w:szCs w:val="18"/>
          <w:color w:val="231F20"/>
        </w:rPr>
        <w:t xml:space="preserve">, </w:t>
      </w:r>
      <w:r>
        <w:rPr>
          <w:rFonts w:ascii="Arial" w:cs="Arial" w:eastAsia="Arial" w:hAnsi="Arial"/>
          <w:sz w:val="18"/>
          <w:szCs w:val="18"/>
          <w:i w:val="1"/>
          <w:iCs w:val="1"/>
          <w:color w:val="000000"/>
        </w:rPr>
        <w:t>Fair Value of Financial Instruments</w:t>
      </w:r>
      <w:r>
        <w:rPr>
          <w:rFonts w:ascii="Arial" w:cs="Arial" w:eastAsia="Arial" w:hAnsi="Arial"/>
          <w:sz w:val="18"/>
          <w:szCs w:val="18"/>
          <w:color w:val="231F20"/>
        </w:rPr>
        <w:t>, to the consolidated financial statements for more information about concentration of credit risk.</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Controls and Procedures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Conclusion Regarding the Effectiveness of Disclosure Controls and Procedures</w:t>
      </w:r>
    </w:p>
    <w:p>
      <w:pPr>
        <w:spacing w:after="0" w:line="17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the Company’s internal control over financial reporting (as such term is defined in Rule 13a-15(f) under the Exchange Act) during the quarter ended March 31, 2021 that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LEGAL PROCEEDINGS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 xml:space="preserve">For a discussion of the material legal proceedings in which the Company was involved through March 31, 2021, see Item 1 — Note 10, </w:t>
      </w:r>
      <w:r>
        <w:rPr>
          <w:rFonts w:ascii="Arial" w:cs="Arial" w:eastAsia="Arial" w:hAnsi="Arial"/>
          <w:sz w:val="18"/>
          <w:szCs w:val="18"/>
          <w:i w:val="1"/>
          <w:iCs w:val="1"/>
          <w:color w:val="auto"/>
        </w:rPr>
        <w:t>Contingencies</w:t>
      </w:r>
      <w:r>
        <w:rPr>
          <w:rFonts w:ascii="Arial" w:cs="Arial" w:eastAsia="Arial" w:hAnsi="Arial"/>
          <w:sz w:val="18"/>
          <w:szCs w:val="18"/>
          <w:color w:val="auto"/>
        </w:rPr>
        <w:t>, to this Form 10-Q.</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 RISK FACTORS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 xml:space="preserve">Information regarding risk factors appears in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the Company's 2020 Form 10-K. There have been no material changes in the Company's risk factors since those reported in its 2020 Form 10-K.</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UNREGISTERED SALES OF EQUITY SECURITIES AND USE OF PROCEEDS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DEFAULTS UPON SENIOR SECURITIES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 MINE SAFETY DISCLOSURES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 OTHER INFORMATION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 EXHIBITS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40" w:type="dxa"/>
            <w:vAlign w:val="bottom"/>
            <w:gridSpan w:val="12"/>
          </w:tcPr>
          <w:p>
            <w:pPr>
              <w:spacing w:after="0"/>
              <w:rPr>
                <w:sz w:val="20"/>
                <w:szCs w:val="20"/>
                <w:color w:val="auto"/>
              </w:rPr>
            </w:pPr>
            <w:r>
              <w:rPr>
                <w:rFonts w:ascii="Arial" w:cs="Arial" w:eastAsia="Arial" w:hAnsi="Arial"/>
                <w:sz w:val="16"/>
                <w:szCs w:val="16"/>
                <w:b w:val="1"/>
                <w:bCs w:val="1"/>
                <w:color w:val="auto"/>
              </w:rPr>
              <w:t>Description</w:t>
            </w:r>
          </w:p>
        </w:tc>
      </w:tr>
      <w:tr>
        <w:trPr>
          <w:trHeight w:val="182"/>
        </w:trPr>
        <w:tc>
          <w:tcPr>
            <w:tcW w:w="1020" w:type="dxa"/>
            <w:vAlign w:val="bottom"/>
          </w:tcPr>
          <w:p>
            <w:pPr>
              <w:spacing w:after="0" w:line="181" w:lineRule="exact"/>
              <w:rPr>
                <w:sz w:val="20"/>
                <w:szCs w:val="20"/>
                <w:color w:val="auto"/>
              </w:rPr>
            </w:pPr>
            <w:r>
              <w:rPr>
                <w:rFonts w:ascii="Arial" w:cs="Arial" w:eastAsia="Arial" w:hAnsi="Arial"/>
                <w:sz w:val="16"/>
                <w:szCs w:val="16"/>
                <w:color w:val="auto"/>
              </w:rPr>
              <w:t>4.1</w:t>
            </w:r>
          </w:p>
        </w:tc>
        <w:tc>
          <w:tcPr>
            <w:tcW w:w="5740" w:type="dxa"/>
            <w:vAlign w:val="bottom"/>
            <w:gridSpan w:val="12"/>
          </w:tcPr>
          <w:p>
            <w:pPr>
              <w:spacing w:after="0" w:line="181" w:lineRule="exact"/>
              <w:rPr>
                <w:rFonts w:ascii="Arial" w:cs="Arial" w:eastAsia="Arial" w:hAnsi="Arial"/>
                <w:sz w:val="16"/>
                <w:szCs w:val="16"/>
                <w:color w:val="0000FF"/>
                <w:w w:val="97"/>
              </w:rPr>
            </w:pPr>
            <w:hyperlink r:id="rId90">
              <w:r>
                <w:rPr>
                  <w:rFonts w:ascii="Arial" w:cs="Arial" w:eastAsia="Arial" w:hAnsi="Arial"/>
                  <w:sz w:val="16"/>
                  <w:szCs w:val="16"/>
                  <w:color w:val="0000FF"/>
                  <w:w w:val="97"/>
                </w:rPr>
                <w:t>Sixteenth Supplemental Indenture, dated as of February 3, 2021, among Clearway</w:t>
              </w:r>
            </w:hyperlink>
          </w:p>
        </w:tc>
      </w:tr>
      <w:tr>
        <w:trPr>
          <w:trHeight w:val="155"/>
        </w:trPr>
        <w:tc>
          <w:tcPr>
            <w:tcW w:w="1020" w:type="dxa"/>
            <w:vAlign w:val="bottom"/>
          </w:tcPr>
          <w:p>
            <w:pPr>
              <w:spacing w:after="0"/>
              <w:rPr>
                <w:sz w:val="13"/>
                <w:szCs w:val="13"/>
                <w:color w:val="auto"/>
              </w:rPr>
            </w:pPr>
          </w:p>
        </w:tc>
        <w:tc>
          <w:tcPr>
            <w:tcW w:w="5320" w:type="dxa"/>
            <w:vAlign w:val="bottom"/>
            <w:tcBorders>
              <w:top w:val="single" w:sz="8" w:color="0000FF"/>
            </w:tcBorders>
            <w:gridSpan w:val="7"/>
          </w:tcPr>
          <w:p>
            <w:pPr>
              <w:spacing w:after="0" w:line="155" w:lineRule="exact"/>
              <w:rPr>
                <w:rFonts w:ascii="Arial" w:cs="Arial" w:eastAsia="Arial" w:hAnsi="Arial"/>
                <w:sz w:val="16"/>
                <w:szCs w:val="16"/>
                <w:color w:val="0000FF"/>
                <w:w w:val="89"/>
              </w:rPr>
            </w:pPr>
            <w:hyperlink r:id="rId90">
              <w:r>
                <w:rPr>
                  <w:rFonts w:ascii="Arial" w:cs="Arial" w:eastAsia="Arial" w:hAnsi="Arial"/>
                  <w:sz w:val="16"/>
                  <w:szCs w:val="16"/>
                  <w:color w:val="0000FF"/>
                  <w:w w:val="89"/>
                </w:rPr>
                <w:t>Energy Operating LLC, the guarantors named therein and Delaware Trust Company</w:t>
              </w:r>
            </w:hyperlink>
          </w:p>
        </w:tc>
        <w:tc>
          <w:tcPr>
            <w:tcW w:w="420" w:type="dxa"/>
            <w:vAlign w:val="bottom"/>
            <w:gridSpan w:val="5"/>
          </w:tcPr>
          <w:p>
            <w:pPr>
              <w:ind w:left="160"/>
              <w:spacing w:after="0" w:line="155" w:lineRule="exact"/>
              <w:rPr>
                <w:rFonts w:ascii="Arial" w:cs="Arial" w:eastAsia="Arial" w:hAnsi="Arial"/>
                <w:sz w:val="16"/>
                <w:szCs w:val="16"/>
                <w:color w:val="0000FF"/>
              </w:rPr>
            </w:pPr>
            <w:hyperlink r:id="rId90">
              <w:r>
                <w:rPr>
                  <w:rFonts w:ascii="Arial" w:cs="Arial" w:eastAsia="Arial" w:hAnsi="Arial"/>
                  <w:sz w:val="16"/>
                  <w:szCs w:val="16"/>
                  <w:color w:val="0000FF"/>
                </w:rPr>
                <w:t>(as</w:t>
              </w:r>
            </w:hyperlink>
          </w:p>
        </w:tc>
      </w:tr>
      <w:tr>
        <w:trPr>
          <w:trHeight w:val="156"/>
        </w:trPr>
        <w:tc>
          <w:tcPr>
            <w:tcW w:w="1020" w:type="dxa"/>
            <w:vAlign w:val="bottom"/>
          </w:tcPr>
          <w:p>
            <w:pPr>
              <w:spacing w:after="0"/>
              <w:rPr>
                <w:sz w:val="13"/>
                <w:szCs w:val="13"/>
                <w:color w:val="auto"/>
              </w:rPr>
            </w:pPr>
          </w:p>
        </w:tc>
        <w:tc>
          <w:tcPr>
            <w:tcW w:w="4540" w:type="dxa"/>
            <w:vAlign w:val="bottom"/>
            <w:tcBorders>
              <w:top w:val="single" w:sz="8" w:color="0000FF"/>
              <w:bottom w:val="single" w:sz="8" w:color="0000FF"/>
            </w:tcBorders>
            <w:gridSpan w:val="4"/>
          </w:tcPr>
          <w:p>
            <w:pPr>
              <w:spacing w:after="0" w:line="155" w:lineRule="exact"/>
              <w:rPr>
                <w:rFonts w:ascii="Arial" w:cs="Arial" w:eastAsia="Arial" w:hAnsi="Arial"/>
                <w:sz w:val="16"/>
                <w:szCs w:val="16"/>
                <w:color w:val="0000FF"/>
                <w:w w:val="91"/>
              </w:rPr>
            </w:pPr>
            <w:hyperlink r:id="rId90">
              <w:r>
                <w:rPr>
                  <w:rFonts w:ascii="Arial" w:cs="Arial" w:eastAsia="Arial" w:hAnsi="Arial"/>
                  <w:sz w:val="16"/>
                  <w:szCs w:val="16"/>
                  <w:color w:val="0000FF"/>
                  <w:w w:val="91"/>
                </w:rPr>
                <w:t>successor in interest to Law Debenture Trust Company of New York).</w:t>
              </w:r>
            </w:hyperlink>
          </w:p>
        </w:tc>
        <w:tc>
          <w:tcPr>
            <w:tcW w:w="1140" w:type="dxa"/>
            <w:vAlign w:val="bottom"/>
            <w:tcBorders>
              <w:top w:val="single" w:sz="8" w:color="0000FF"/>
            </w:tcBorders>
            <w:gridSpan w:val="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4.2</w:t>
            </w:r>
          </w:p>
        </w:tc>
        <w:tc>
          <w:tcPr>
            <w:tcW w:w="5740" w:type="dxa"/>
            <w:vAlign w:val="bottom"/>
            <w:gridSpan w:val="12"/>
          </w:tcPr>
          <w:p>
            <w:pPr>
              <w:spacing w:after="0"/>
              <w:rPr>
                <w:rFonts w:ascii="Arial" w:cs="Arial" w:eastAsia="Arial" w:hAnsi="Arial"/>
                <w:sz w:val="16"/>
                <w:szCs w:val="16"/>
                <w:color w:val="0000FF"/>
                <w:w w:val="91"/>
              </w:rPr>
            </w:pPr>
            <w:hyperlink r:id="rId91">
              <w:r>
                <w:rPr>
                  <w:rFonts w:ascii="Arial" w:cs="Arial" w:eastAsia="Arial" w:hAnsi="Arial"/>
                  <w:sz w:val="16"/>
                  <w:szCs w:val="16"/>
                  <w:color w:val="0000FF"/>
                  <w:w w:val="91"/>
                </w:rPr>
                <w:t>Twelfth Supplemental Indenture, dated as of February 3,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5"/>
          </w:tcPr>
          <w:p>
            <w:pPr>
              <w:spacing w:after="0" w:line="155" w:lineRule="exact"/>
              <w:rPr>
                <w:rFonts w:ascii="Arial" w:cs="Arial" w:eastAsia="Arial" w:hAnsi="Arial"/>
                <w:sz w:val="16"/>
                <w:szCs w:val="16"/>
                <w:color w:val="0000FF"/>
                <w:w w:val="91"/>
              </w:rPr>
            </w:pPr>
            <w:hyperlink r:id="rId91">
              <w:r>
                <w:rPr>
                  <w:rFonts w:ascii="Arial" w:cs="Arial" w:eastAsia="Arial" w:hAnsi="Arial"/>
                  <w:sz w:val="16"/>
                  <w:szCs w:val="16"/>
                  <w:color w:val="0000FF"/>
                  <w:w w:val="91"/>
                </w:rPr>
                <w:t>Operating LLC, the guarantors named therein and Delaware Trust Company.</w:t>
              </w:r>
            </w:hyperlink>
          </w:p>
        </w:tc>
        <w:tc>
          <w:tcPr>
            <w:tcW w:w="7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4.3</w:t>
            </w:r>
          </w:p>
        </w:tc>
        <w:tc>
          <w:tcPr>
            <w:tcW w:w="5740" w:type="dxa"/>
            <w:vAlign w:val="bottom"/>
            <w:gridSpan w:val="12"/>
          </w:tcPr>
          <w:p>
            <w:pPr>
              <w:spacing w:after="0"/>
              <w:rPr>
                <w:rFonts w:ascii="Arial" w:cs="Arial" w:eastAsia="Arial" w:hAnsi="Arial"/>
                <w:sz w:val="16"/>
                <w:szCs w:val="16"/>
                <w:color w:val="0000FF"/>
                <w:w w:val="92"/>
              </w:rPr>
            </w:pPr>
            <w:hyperlink r:id="rId92">
              <w:r>
                <w:rPr>
                  <w:rFonts w:ascii="Arial" w:cs="Arial" w:eastAsia="Arial" w:hAnsi="Arial"/>
                  <w:sz w:val="16"/>
                  <w:szCs w:val="16"/>
                  <w:color w:val="0000FF"/>
                  <w:w w:val="92"/>
                </w:rPr>
                <w:t>Eighth Supplemental Indenture, dated as of February 3, 2021, among Clearway Energy</w:t>
              </w:r>
            </w:hyperlink>
          </w:p>
        </w:tc>
      </w:tr>
      <w:tr>
        <w:trPr>
          <w:trHeight w:val="156"/>
        </w:trPr>
        <w:tc>
          <w:tcPr>
            <w:tcW w:w="102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5"/>
          </w:tcPr>
          <w:p>
            <w:pPr>
              <w:spacing w:after="0" w:line="155" w:lineRule="exact"/>
              <w:rPr>
                <w:rFonts w:ascii="Arial" w:cs="Arial" w:eastAsia="Arial" w:hAnsi="Arial"/>
                <w:sz w:val="16"/>
                <w:szCs w:val="16"/>
                <w:color w:val="0000FF"/>
                <w:w w:val="91"/>
              </w:rPr>
            </w:pPr>
            <w:hyperlink r:id="rId92">
              <w:r>
                <w:rPr>
                  <w:rFonts w:ascii="Arial" w:cs="Arial" w:eastAsia="Arial" w:hAnsi="Arial"/>
                  <w:sz w:val="16"/>
                  <w:szCs w:val="16"/>
                  <w:color w:val="0000FF"/>
                  <w:w w:val="91"/>
                </w:rPr>
                <w:t>Operating LLC, the guarantors named therein and Delaware Trust Company.</w:t>
              </w:r>
            </w:hyperlink>
          </w:p>
        </w:tc>
        <w:tc>
          <w:tcPr>
            <w:tcW w:w="680" w:type="dxa"/>
            <w:vAlign w:val="bottom"/>
            <w:tcBorders>
              <w:top w:val="single" w:sz="8" w:color="0000FF"/>
            </w:tcBorders>
            <w:gridSpan w:val="4"/>
          </w:tcPr>
          <w:p>
            <w:pPr>
              <w:spacing w:after="0"/>
              <w:rPr>
                <w:sz w:val="13"/>
                <w:szCs w:val="13"/>
                <w:color w:val="auto"/>
              </w:rPr>
            </w:pPr>
          </w:p>
        </w:tc>
        <w:tc>
          <w:tcPr>
            <w:tcW w:w="80" w:type="dxa"/>
            <w:vAlign w:val="bottom"/>
            <w:gridSpan w:val="3"/>
          </w:tcPr>
          <w:p>
            <w:pPr>
              <w:spacing w:after="0"/>
              <w:rPr>
                <w:sz w:val="13"/>
                <w:szCs w:val="13"/>
                <w:color w:val="auto"/>
              </w:rPr>
            </w:pPr>
          </w:p>
        </w:tc>
      </w:tr>
      <w:tr>
        <w:trPr>
          <w:trHeight w:val="209"/>
        </w:trPr>
        <w:tc>
          <w:tcPr>
            <w:tcW w:w="1020" w:type="dxa"/>
            <w:vAlign w:val="bottom"/>
          </w:tcPr>
          <w:p>
            <w:pPr>
              <w:spacing w:after="0"/>
              <w:rPr>
                <w:sz w:val="20"/>
                <w:szCs w:val="20"/>
                <w:color w:val="auto"/>
              </w:rPr>
            </w:pPr>
            <w:r>
              <w:rPr>
                <w:rFonts w:ascii="Arial" w:cs="Arial" w:eastAsia="Arial" w:hAnsi="Arial"/>
                <w:sz w:val="16"/>
                <w:szCs w:val="16"/>
                <w:color w:val="auto"/>
              </w:rPr>
              <w:t>4.4</w:t>
            </w:r>
          </w:p>
        </w:tc>
        <w:tc>
          <w:tcPr>
            <w:tcW w:w="5740" w:type="dxa"/>
            <w:vAlign w:val="bottom"/>
            <w:gridSpan w:val="12"/>
          </w:tcPr>
          <w:p>
            <w:pPr>
              <w:spacing w:after="0"/>
              <w:rPr>
                <w:rFonts w:ascii="Arial" w:cs="Arial" w:eastAsia="Arial" w:hAnsi="Arial"/>
                <w:sz w:val="16"/>
                <w:szCs w:val="16"/>
                <w:color w:val="0000FF"/>
              </w:rPr>
            </w:pPr>
            <w:hyperlink r:id="rId93">
              <w:r>
                <w:rPr>
                  <w:rFonts w:ascii="Arial" w:cs="Arial" w:eastAsia="Arial" w:hAnsi="Arial"/>
                  <w:sz w:val="16"/>
                  <w:szCs w:val="16"/>
                  <w:color w:val="0000FF"/>
                </w:rPr>
                <w:t>Indenture, dated March 9, 2021, among Clearway Energy Operating LLC, the</w:t>
              </w:r>
            </w:hyperlink>
          </w:p>
        </w:tc>
      </w:tr>
      <w:tr>
        <w:trPr>
          <w:trHeight w:val="156"/>
        </w:trPr>
        <w:tc>
          <w:tcPr>
            <w:tcW w:w="1020" w:type="dxa"/>
            <w:vAlign w:val="bottom"/>
          </w:tcPr>
          <w:p>
            <w:pPr>
              <w:spacing w:after="0"/>
              <w:rPr>
                <w:sz w:val="13"/>
                <w:szCs w:val="13"/>
                <w:color w:val="auto"/>
              </w:rPr>
            </w:pPr>
          </w:p>
        </w:tc>
        <w:tc>
          <w:tcPr>
            <w:tcW w:w="5040" w:type="dxa"/>
            <w:vAlign w:val="bottom"/>
            <w:tcBorders>
              <w:top w:val="single" w:sz="8" w:color="0000FF"/>
            </w:tcBorders>
            <w:gridSpan w:val="6"/>
          </w:tcPr>
          <w:p>
            <w:pPr>
              <w:spacing w:after="0" w:line="155" w:lineRule="exact"/>
              <w:rPr>
                <w:rFonts w:ascii="Arial" w:cs="Arial" w:eastAsia="Arial" w:hAnsi="Arial"/>
                <w:sz w:val="16"/>
                <w:szCs w:val="16"/>
                <w:color w:val="0000FF"/>
              </w:rPr>
            </w:pPr>
            <w:hyperlink r:id="rId93">
              <w:r>
                <w:rPr>
                  <w:rFonts w:ascii="Arial" w:cs="Arial" w:eastAsia="Arial" w:hAnsi="Arial"/>
                  <w:sz w:val="16"/>
                  <w:szCs w:val="16"/>
                  <w:color w:val="0000FF"/>
                </w:rPr>
                <w:t>guarantors named therein and Delaware Trust Company, as trustee.</w:t>
              </w:r>
            </w:hyperlink>
          </w:p>
        </w:tc>
        <w:tc>
          <w:tcPr>
            <w:tcW w:w="600" w:type="dxa"/>
            <w:vAlign w:val="bottom"/>
            <w:gridSpan w:val="2"/>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6"/>
                <w:szCs w:val="16"/>
                <w:color w:val="auto"/>
              </w:rPr>
              <w:t>4.5</w:t>
            </w:r>
          </w:p>
        </w:tc>
        <w:tc>
          <w:tcPr>
            <w:tcW w:w="4340" w:type="dxa"/>
            <w:vAlign w:val="bottom"/>
            <w:tcBorders>
              <w:top w:val="single" w:sz="8" w:color="0000FF"/>
            </w:tcBorders>
            <w:gridSpan w:val="3"/>
          </w:tcPr>
          <w:p>
            <w:pPr>
              <w:spacing w:after="0"/>
              <w:rPr>
                <w:rFonts w:ascii="Arial" w:cs="Arial" w:eastAsia="Arial" w:hAnsi="Arial"/>
                <w:sz w:val="16"/>
                <w:szCs w:val="16"/>
                <w:color w:val="0000FF"/>
              </w:rPr>
            </w:pPr>
            <w:hyperlink r:id="rId93">
              <w:r>
                <w:rPr>
                  <w:rFonts w:ascii="Arial" w:cs="Arial" w:eastAsia="Arial" w:hAnsi="Arial"/>
                  <w:sz w:val="16"/>
                  <w:szCs w:val="16"/>
                  <w:color w:val="0000FF"/>
                </w:rPr>
                <w:t>Form of 3.750% Senior Notes due 2031.</w:t>
              </w:r>
            </w:hyperlink>
          </w:p>
        </w:tc>
        <w:tc>
          <w:tcPr>
            <w:tcW w:w="1400" w:type="dxa"/>
            <w:vAlign w:val="bottom"/>
            <w:gridSpan w:val="9"/>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385"/>
        </w:trPr>
        <w:tc>
          <w:tcPr>
            <w:tcW w:w="1020" w:type="dxa"/>
            <w:vAlign w:val="bottom"/>
          </w:tcPr>
          <w:p>
            <w:pPr>
              <w:spacing w:after="0"/>
              <w:rPr>
                <w:sz w:val="20"/>
                <w:szCs w:val="20"/>
                <w:color w:val="auto"/>
              </w:rPr>
            </w:pPr>
            <w:r>
              <w:rPr>
                <w:rFonts w:ascii="Arial" w:cs="Arial" w:eastAsia="Arial" w:hAnsi="Arial"/>
                <w:sz w:val="16"/>
                <w:szCs w:val="16"/>
                <w:color w:val="auto"/>
              </w:rPr>
              <w:t>10.1</w:t>
            </w:r>
          </w:p>
        </w:tc>
        <w:tc>
          <w:tcPr>
            <w:tcW w:w="5740" w:type="dxa"/>
            <w:vAlign w:val="bottom"/>
            <w:gridSpan w:val="12"/>
          </w:tcPr>
          <w:p>
            <w:pPr>
              <w:spacing w:after="0"/>
              <w:rPr>
                <w:rFonts w:ascii="Arial" w:cs="Arial" w:eastAsia="Arial" w:hAnsi="Arial"/>
                <w:sz w:val="16"/>
                <w:szCs w:val="16"/>
                <w:color w:val="0000FF"/>
                <w:w w:val="92"/>
              </w:rPr>
            </w:pPr>
            <w:hyperlink r:id="rId94">
              <w:r>
                <w:rPr>
                  <w:rFonts w:ascii="Arial" w:cs="Arial" w:eastAsia="Arial" w:hAnsi="Arial"/>
                  <w:sz w:val="16"/>
                  <w:szCs w:val="16"/>
                  <w:color w:val="0000FF"/>
                  <w:w w:val="92"/>
                </w:rPr>
                <w:t>Clearway Energy, Inc. Amended and Restated 2013 Equity Incentive Plan, as amended</w:t>
              </w:r>
            </w:hyperlink>
          </w:p>
        </w:tc>
      </w:tr>
      <w:tr>
        <w:trPr>
          <w:trHeight w:val="156"/>
        </w:trPr>
        <w:tc>
          <w:tcPr>
            <w:tcW w:w="102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5" w:lineRule="exact"/>
              <w:rPr>
                <w:rFonts w:ascii="Arial" w:cs="Arial" w:eastAsia="Arial" w:hAnsi="Arial"/>
                <w:sz w:val="16"/>
                <w:szCs w:val="16"/>
                <w:color w:val="0000FF"/>
                <w:w w:val="89"/>
              </w:rPr>
            </w:pPr>
            <w:hyperlink r:id="rId94">
              <w:r>
                <w:rPr>
                  <w:rFonts w:ascii="Arial" w:cs="Arial" w:eastAsia="Arial" w:hAnsi="Arial"/>
                  <w:sz w:val="16"/>
                  <w:szCs w:val="16"/>
                  <w:color w:val="0000FF"/>
                  <w:w w:val="89"/>
                </w:rPr>
                <w:t>and restated February 19, 2021.</w:t>
              </w:r>
            </w:hyperlink>
          </w:p>
        </w:tc>
        <w:tc>
          <w:tcPr>
            <w:tcW w:w="3580" w:type="dxa"/>
            <w:vAlign w:val="bottom"/>
            <w:tcBorders>
              <w:top w:val="single" w:sz="8" w:color="0000FF"/>
            </w:tcBorders>
            <w:gridSpan w:val="7"/>
          </w:tcPr>
          <w:p>
            <w:pPr>
              <w:spacing w:after="0"/>
              <w:rPr>
                <w:sz w:val="13"/>
                <w:szCs w:val="13"/>
                <w:color w:val="auto"/>
              </w:rPr>
            </w:pPr>
          </w:p>
        </w:tc>
        <w:tc>
          <w:tcPr>
            <w:tcW w:w="100" w:type="dxa"/>
            <w:vAlign w:val="bottom"/>
            <w:gridSpan w:val="4"/>
          </w:tcPr>
          <w:p>
            <w:pPr>
              <w:spacing w:after="0"/>
              <w:rPr>
                <w:sz w:val="13"/>
                <w:szCs w:val="13"/>
                <w:color w:val="auto"/>
              </w:rPr>
            </w:pPr>
          </w:p>
        </w:tc>
      </w:tr>
    </w:tbl>
    <w:p>
      <w:pPr>
        <w:spacing w:after="0" w:line="44" w:lineRule="exact"/>
        <w:rPr>
          <w:sz w:val="20"/>
          <w:szCs w:val="20"/>
          <w:color w:val="auto"/>
        </w:rPr>
      </w:pPr>
    </w:p>
    <w:p>
      <w:pPr>
        <w:ind w:left="1060" w:hanging="1014"/>
        <w:spacing w:after="0"/>
        <w:tabs>
          <w:tab w:leader="none" w:pos="1060" w:val="left"/>
        </w:tabs>
        <w:numPr>
          <w:ilvl w:val="0"/>
          <w:numId w:val="28"/>
        </w:numPr>
        <w:rPr>
          <w:rFonts w:ascii="Arial" w:cs="Arial" w:eastAsia="Arial" w:hAnsi="Arial"/>
          <w:sz w:val="16"/>
          <w:szCs w:val="16"/>
          <w:u w:val="single" w:color="auto"/>
          <w:color w:val="0000FF"/>
        </w:rPr>
      </w:pPr>
      <w:hyperlink w:anchor="page57">
        <w:r>
          <w:rPr>
            <w:rFonts w:ascii="Arial" w:cs="Arial" w:eastAsia="Arial" w:hAnsi="Arial"/>
            <w:sz w:val="16"/>
            <w:szCs w:val="16"/>
            <w:u w:val="single" w:color="auto"/>
            <w:color w:val="0000FF"/>
          </w:rPr>
          <w:t>Guarantors.</w:t>
        </w:r>
      </w:hyperlink>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31.1</w:t>
            </w:r>
          </w:p>
        </w:tc>
        <w:tc>
          <w:tcPr>
            <w:tcW w:w="40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58">
              <w:r>
                <w:rPr>
                  <w:rFonts w:ascii="Arial" w:cs="Arial" w:eastAsia="Arial" w:hAnsi="Arial"/>
                  <w:sz w:val="16"/>
                  <w:szCs w:val="16"/>
                  <w:color w:val="0000FF"/>
                  <w:w w:val="92"/>
                </w:rPr>
                <w:t>Rule 13a-14(a)/15d-14(a) certification of Christopher S. Sotos.</w:t>
              </w:r>
            </w:hyperlink>
          </w:p>
        </w:tc>
      </w:tr>
      <w:tr>
        <w:trPr>
          <w:trHeight w:val="196"/>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31.2</w:t>
            </w:r>
          </w:p>
        </w:tc>
        <w:tc>
          <w:tcPr>
            <w:tcW w:w="4080" w:type="dxa"/>
            <w:vAlign w:val="bottom"/>
            <w:gridSpan w:val="3"/>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Rule 13a-14(a)/15d-14(a) certification of Chad Plotkin.</w:t>
              </w:r>
            </w:hyperlink>
          </w:p>
        </w:tc>
      </w:tr>
      <w:tr>
        <w:trPr>
          <w:trHeight w:val="20"/>
        </w:trPr>
        <w:tc>
          <w:tcPr>
            <w:tcW w:w="10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31.3</w:t>
            </w:r>
          </w:p>
        </w:tc>
        <w:tc>
          <w:tcPr>
            <w:tcW w:w="3880" w:type="dxa"/>
            <w:vAlign w:val="bottom"/>
            <w:tcBorders>
              <w:bottom w:val="single" w:sz="8" w:color="0000FF"/>
            </w:tcBorders>
            <w:gridSpan w:val="2"/>
          </w:tcPr>
          <w:p>
            <w:pPr>
              <w:spacing w:after="0"/>
              <w:rPr>
                <w:rFonts w:ascii="Arial" w:cs="Arial" w:eastAsia="Arial" w:hAnsi="Arial"/>
                <w:sz w:val="16"/>
                <w:szCs w:val="16"/>
                <w:color w:val="0000FF"/>
                <w:w w:val="91"/>
              </w:rPr>
            </w:pPr>
            <w:hyperlink w:anchor="page60">
              <w:r>
                <w:rPr>
                  <w:rFonts w:ascii="Arial" w:cs="Arial" w:eastAsia="Arial" w:hAnsi="Arial"/>
                  <w:sz w:val="16"/>
                  <w:szCs w:val="16"/>
                  <w:color w:val="0000FF"/>
                  <w:w w:val="91"/>
                </w:rPr>
                <w:t>Rule 13a-14(a)/15d-14(a) certification of Sarah Rubenstein.</w:t>
              </w:r>
            </w:hyperlink>
          </w:p>
        </w:tc>
        <w:tc>
          <w:tcPr>
            <w:tcW w:w="200" w:type="dxa"/>
            <w:vAlign w:val="bottom"/>
          </w:tcPr>
          <w:p>
            <w:pPr>
              <w:spacing w:after="0"/>
              <w:rPr>
                <w:sz w:val="17"/>
                <w:szCs w:val="17"/>
                <w:color w:val="auto"/>
              </w:rPr>
            </w:pPr>
          </w:p>
        </w:tc>
      </w:tr>
    </w:tbl>
    <w:p>
      <w:pPr>
        <w:spacing w:after="0" w:line="31" w:lineRule="exact"/>
        <w:rPr>
          <w:sz w:val="20"/>
          <w:szCs w:val="20"/>
          <w:color w:val="auto"/>
        </w:rPr>
      </w:pPr>
    </w:p>
    <w:p>
      <w:pPr>
        <w:ind w:left="1060" w:hanging="1014"/>
        <w:spacing w:after="0"/>
        <w:tabs>
          <w:tab w:leader="none" w:pos="1060" w:val="left"/>
        </w:tabs>
        <w:numPr>
          <w:ilvl w:val="0"/>
          <w:numId w:val="29"/>
        </w:numPr>
        <w:rPr>
          <w:rFonts w:ascii="Arial" w:cs="Arial" w:eastAsia="Arial" w:hAnsi="Arial"/>
          <w:sz w:val="16"/>
          <w:szCs w:val="16"/>
          <w:u w:val="single" w:color="auto"/>
          <w:color w:val="0000FF"/>
        </w:rPr>
      </w:pPr>
      <w:hyperlink w:anchor="page61">
        <w:r>
          <w:rPr>
            <w:rFonts w:ascii="Arial" w:cs="Arial" w:eastAsia="Arial" w:hAnsi="Arial"/>
            <w:sz w:val="16"/>
            <w:szCs w:val="16"/>
            <w:u w:val="single" w:color="auto"/>
            <w:color w:val="0000FF"/>
          </w:rPr>
          <w:t>Section 1350 Certification.</w:t>
        </w:r>
      </w:hyperlink>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INS</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Instance Document.</w:t>
            </w:r>
          </w:p>
        </w:tc>
      </w:tr>
      <w:tr>
        <w:trPr>
          <w:trHeight w:val="216"/>
        </w:trPr>
        <w:tc>
          <w:tcPr>
            <w:tcW w:w="820" w:type="dxa"/>
            <w:vAlign w:val="bottom"/>
            <w:gridSpan w:val="2"/>
          </w:tcPr>
          <w:p>
            <w:pPr>
              <w:spacing w:after="0"/>
              <w:rPr>
                <w:sz w:val="20"/>
                <w:szCs w:val="20"/>
                <w:color w:val="auto"/>
              </w:rPr>
            </w:pPr>
            <w:r>
              <w:rPr>
                <w:rFonts w:ascii="Arial" w:cs="Arial" w:eastAsia="Arial" w:hAnsi="Arial"/>
                <w:sz w:val="16"/>
                <w:szCs w:val="16"/>
                <w:color w:val="auto"/>
              </w:rPr>
              <w:t>101 SCH</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Schema.</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CAL</w:t>
            </w:r>
          </w:p>
        </w:tc>
        <w:tc>
          <w:tcPr>
            <w:tcW w:w="3980" w:type="dxa"/>
            <w:vAlign w:val="bottom"/>
          </w:tcPr>
          <w:p>
            <w:pPr>
              <w:ind w:left="200"/>
              <w:spacing w:after="0"/>
              <w:rPr>
                <w:sz w:val="20"/>
                <w:szCs w:val="20"/>
                <w:color w:val="auto"/>
              </w:rPr>
            </w:pPr>
            <w:r>
              <w:rPr>
                <w:rFonts w:ascii="Arial" w:cs="Arial" w:eastAsia="Arial" w:hAnsi="Arial"/>
                <w:sz w:val="16"/>
                <w:szCs w:val="16"/>
                <w:color w:val="auto"/>
                <w:w w:val="95"/>
              </w:rPr>
              <w:t>Inline XBRL Taxonomy Extension Calculation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DEF</w:t>
            </w:r>
          </w:p>
        </w:tc>
        <w:tc>
          <w:tcPr>
            <w:tcW w:w="3980" w:type="dxa"/>
            <w:vAlign w:val="bottom"/>
          </w:tcPr>
          <w:p>
            <w:pPr>
              <w:ind w:left="200"/>
              <w:spacing w:after="0"/>
              <w:rPr>
                <w:sz w:val="20"/>
                <w:szCs w:val="20"/>
                <w:color w:val="auto"/>
              </w:rPr>
            </w:pPr>
            <w:r>
              <w:rPr>
                <w:rFonts w:ascii="Arial" w:cs="Arial" w:eastAsia="Arial" w:hAnsi="Arial"/>
                <w:sz w:val="16"/>
                <w:szCs w:val="16"/>
                <w:color w:val="auto"/>
                <w:w w:val="98"/>
              </w:rPr>
              <w:t>Inline XBRL Taxonomy Extension Definition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LAB</w:t>
            </w:r>
          </w:p>
        </w:tc>
        <w:tc>
          <w:tcPr>
            <w:tcW w:w="3980" w:type="dxa"/>
            <w:vAlign w:val="bottom"/>
          </w:tcPr>
          <w:p>
            <w:pPr>
              <w:ind w:left="200"/>
              <w:spacing w:after="0"/>
              <w:rPr>
                <w:sz w:val="20"/>
                <w:szCs w:val="20"/>
                <w:color w:val="auto"/>
              </w:rPr>
            </w:pPr>
            <w:r>
              <w:rPr>
                <w:rFonts w:ascii="Arial" w:cs="Arial" w:eastAsia="Arial" w:hAnsi="Arial"/>
                <w:sz w:val="16"/>
                <w:szCs w:val="16"/>
                <w:color w:val="auto"/>
              </w:rPr>
              <w:t>Inline XBRL Taxonomy Extension Label Linkbase.</w:t>
            </w:r>
          </w:p>
        </w:tc>
      </w:tr>
      <w:tr>
        <w:trPr>
          <w:trHeight w:val="216"/>
        </w:trPr>
        <w:tc>
          <w:tcPr>
            <w:tcW w:w="260" w:type="dxa"/>
            <w:vAlign w:val="bottom"/>
          </w:tcPr>
          <w:p>
            <w:pPr>
              <w:spacing w:after="0"/>
              <w:rPr>
                <w:sz w:val="20"/>
                <w:szCs w:val="20"/>
                <w:color w:val="auto"/>
              </w:rPr>
            </w:pPr>
            <w:r>
              <w:rPr>
                <w:rFonts w:ascii="Arial" w:cs="Arial" w:eastAsia="Arial" w:hAnsi="Arial"/>
                <w:sz w:val="16"/>
                <w:szCs w:val="16"/>
                <w:color w:val="auto"/>
                <w:w w:val="89"/>
              </w:rPr>
              <w:t>101</w:t>
            </w:r>
          </w:p>
        </w:tc>
        <w:tc>
          <w:tcPr>
            <w:tcW w:w="560" w:type="dxa"/>
            <w:vAlign w:val="bottom"/>
          </w:tcPr>
          <w:p>
            <w:pPr>
              <w:ind w:left="20"/>
              <w:spacing w:after="0"/>
              <w:rPr>
                <w:sz w:val="20"/>
                <w:szCs w:val="20"/>
                <w:color w:val="auto"/>
              </w:rPr>
            </w:pPr>
            <w:r>
              <w:rPr>
                <w:rFonts w:ascii="Arial" w:cs="Arial" w:eastAsia="Arial" w:hAnsi="Arial"/>
                <w:sz w:val="16"/>
                <w:szCs w:val="16"/>
                <w:color w:val="auto"/>
              </w:rPr>
              <w:t>PRE</w:t>
            </w:r>
          </w:p>
        </w:tc>
        <w:tc>
          <w:tcPr>
            <w:tcW w:w="3980" w:type="dxa"/>
            <w:vAlign w:val="bottom"/>
          </w:tcPr>
          <w:p>
            <w:pPr>
              <w:ind w:left="200"/>
              <w:spacing w:after="0"/>
              <w:rPr>
                <w:sz w:val="20"/>
                <w:szCs w:val="20"/>
                <w:color w:val="auto"/>
              </w:rPr>
            </w:pPr>
            <w:r>
              <w:rPr>
                <w:rFonts w:ascii="Arial" w:cs="Arial" w:eastAsia="Arial" w:hAnsi="Arial"/>
                <w:sz w:val="16"/>
                <w:szCs w:val="16"/>
                <w:color w:val="auto"/>
                <w:w w:val="92"/>
              </w:rPr>
              <w:t>Inline XBRL Taxonomy Extension Presentation Linkbase.</w:t>
            </w:r>
          </w:p>
        </w:tc>
      </w:tr>
    </w:tbl>
    <w:p>
      <w:pPr>
        <w:spacing w:after="0" w:line="10" w:lineRule="exact"/>
        <w:rPr>
          <w:sz w:val="20"/>
          <w:szCs w:val="20"/>
          <w:color w:val="auto"/>
        </w:rPr>
      </w:pPr>
    </w:p>
    <w:p>
      <w:pPr>
        <w:ind w:left="1060" w:right="40" w:hanging="1014"/>
        <w:spacing w:after="0" w:line="230"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Cover Page Interactive Data File (the cover page interactive data file does not appear in Exhibit 104 because its Inline XBRL tags are embedded within the Inline XBRL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36" w:lineRule="exact"/>
        <w:rPr>
          <w:sz w:val="20"/>
          <w:szCs w:val="20"/>
          <w:color w:val="auto"/>
        </w:rPr>
      </w:pPr>
    </w:p>
    <w:p>
      <w:pPr>
        <w:spacing w:after="0" w:line="32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February 5, 2021.</w:t>
      </w:r>
    </w:p>
    <w:p>
      <w:pPr>
        <w:spacing w:after="0" w:line="139"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February 5,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4.3 to the Company's Current Report on Form 8-K filed on February 5,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4.1 to the Company's Current Report on Form 8-K filed on March 9, 2021.</w:t>
      </w:r>
    </w:p>
    <w:p>
      <w:pPr>
        <w:spacing w:after="0" w:line="1" w:lineRule="exact"/>
        <w:rPr>
          <w:sz w:val="20"/>
          <w:szCs w:val="20"/>
          <w:color w:val="auto"/>
        </w:rPr>
      </w:pPr>
    </w:p>
    <w:p>
      <w:pPr>
        <w:spacing w:after="0" w:line="301" w:lineRule="auto"/>
        <w:rPr>
          <w:sz w:val="20"/>
          <w:szCs w:val="20"/>
          <w:color w:val="auto"/>
        </w:rPr>
      </w:pPr>
      <w:r>
        <w:rPr>
          <w:rFonts w:ascii="Arial" w:cs="Arial" w:eastAsia="Arial" w:hAnsi="Arial"/>
          <w:sz w:val="14"/>
          <w:szCs w:val="14"/>
          <w:color w:val="auto"/>
        </w:rPr>
        <w:t>Incorporated herein by reference to Exhibit 4.2 to the Company's Current Report on Form 8-K filed on March 9, 2021.</w:t>
      </w:r>
    </w:p>
    <w:p>
      <w:pPr>
        <w:spacing w:after="0" w:line="1" w:lineRule="exact"/>
        <w:rPr>
          <w:sz w:val="20"/>
          <w:szCs w:val="20"/>
          <w:color w:val="auto"/>
        </w:rPr>
      </w:pPr>
    </w:p>
    <w:p>
      <w:pPr>
        <w:ind w:right="140"/>
        <w:spacing w:after="0" w:line="301" w:lineRule="auto"/>
        <w:rPr>
          <w:sz w:val="20"/>
          <w:szCs w:val="20"/>
          <w:color w:val="auto"/>
        </w:rPr>
      </w:pPr>
      <w:r>
        <w:rPr>
          <w:rFonts w:ascii="Arial" w:cs="Arial" w:eastAsia="Arial" w:hAnsi="Arial"/>
          <w:sz w:val="14"/>
          <w:szCs w:val="14"/>
          <w:color w:val="auto"/>
        </w:rPr>
        <w:t>Incorporated herein by reference to Exhibit 10.1 to the Company's Current Report on Form 8-K filed on May 4, 2021.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544" w:lineRule="exact"/>
        <w:rPr>
          <w:sz w:val="20"/>
          <w:szCs w:val="20"/>
          <w:color w:val="auto"/>
        </w:rPr>
      </w:pPr>
    </w:p>
    <w:p>
      <w:pPr>
        <w:sectPr>
          <w:pgSz w:w="11900" w:h="16838" w:orient="portrait"/>
          <w:cols w:equalWidth="0" w:num="2">
            <w:col w:w="6780" w:space="160"/>
            <w:col w:w="4200"/>
          </w:cols>
          <w:pgMar w:left="320" w:top="89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891" w:right="439" w:bottom="1440" w:gutter="0" w:footer="0" w:header="0"/>
          <w:type w:val="continuous"/>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CLEARWAY ENERGY LLC</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485"/>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SOTOS</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Christopher S. Sotos</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Executive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CHAD PLOTKIN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Chad Plotkin</w:t>
            </w:r>
          </w:p>
        </w:tc>
        <w:tc>
          <w:tcPr>
            <w:tcW w:w="0" w:type="dxa"/>
            <w:vAlign w:val="bottom"/>
          </w:tcPr>
          <w:p>
            <w:pPr>
              <w:spacing w:after="0"/>
              <w:rPr>
                <w:sz w:val="1"/>
                <w:szCs w:val="1"/>
                <w:color w:val="auto"/>
              </w:rPr>
            </w:pPr>
          </w:p>
        </w:tc>
      </w:tr>
      <w:tr>
        <w:trPr>
          <w:trHeight w:val="176"/>
        </w:trPr>
        <w:tc>
          <w:tcPr>
            <w:tcW w:w="6640" w:type="dxa"/>
            <w:vAlign w:val="bottom"/>
          </w:tcPr>
          <w:p>
            <w:pPr>
              <w:spacing w:after="0"/>
              <w:rPr>
                <w:sz w:val="15"/>
                <w:szCs w:val="15"/>
                <w:color w:val="auto"/>
              </w:rPr>
            </w:pP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Chief Financial Officer</w:t>
            </w: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c>
          <w:tcPr>
            <w:tcW w:w="0" w:type="dxa"/>
            <w:vAlign w:val="bottom"/>
          </w:tcPr>
          <w:p>
            <w:pPr>
              <w:spacing w:after="0"/>
              <w:rPr>
                <w:sz w:val="1"/>
                <w:szCs w:val="1"/>
                <w:color w:val="auto"/>
              </w:rPr>
            </w:pPr>
          </w:p>
        </w:tc>
      </w:tr>
      <w:tr>
        <w:trPr>
          <w:trHeight w:val="688"/>
        </w:trPr>
        <w:tc>
          <w:tcPr>
            <w:tcW w:w="66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RUBENSTEIN</w:t>
            </w:r>
          </w:p>
        </w:tc>
        <w:tc>
          <w:tcPr>
            <w:tcW w:w="0" w:type="dxa"/>
            <w:vAlign w:val="bottom"/>
          </w:tcPr>
          <w:p>
            <w:pPr>
              <w:spacing w:after="0"/>
              <w:rPr>
                <w:sz w:val="1"/>
                <w:szCs w:val="1"/>
                <w:color w:val="auto"/>
              </w:rPr>
            </w:pPr>
          </w:p>
        </w:tc>
      </w:tr>
      <w:tr>
        <w:trPr>
          <w:trHeight w:val="222"/>
        </w:trPr>
        <w:tc>
          <w:tcPr>
            <w:tcW w:w="664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Sarah Rubenstein</w:t>
            </w:r>
          </w:p>
        </w:tc>
        <w:tc>
          <w:tcPr>
            <w:tcW w:w="0" w:type="dxa"/>
            <w:vAlign w:val="bottom"/>
          </w:tcPr>
          <w:p>
            <w:pPr>
              <w:spacing w:after="0"/>
              <w:rPr>
                <w:sz w:val="1"/>
                <w:szCs w:val="1"/>
                <w:color w:val="auto"/>
              </w:rPr>
            </w:pPr>
          </w:p>
        </w:tc>
      </w:tr>
      <w:tr>
        <w:trPr>
          <w:trHeight w:val="176"/>
        </w:trPr>
        <w:tc>
          <w:tcPr>
            <w:tcW w:w="6640" w:type="dxa"/>
            <w:vAlign w:val="bottom"/>
            <w:vMerge w:val="restart"/>
          </w:tcPr>
          <w:p>
            <w:pPr>
              <w:spacing w:after="0"/>
              <w:rPr>
                <w:sz w:val="20"/>
                <w:szCs w:val="20"/>
                <w:color w:val="auto"/>
              </w:rPr>
            </w:pPr>
            <w:r>
              <w:rPr>
                <w:rFonts w:ascii="Arial" w:cs="Arial" w:eastAsia="Arial" w:hAnsi="Arial"/>
                <w:sz w:val="18"/>
                <w:szCs w:val="18"/>
                <w:color w:val="auto"/>
              </w:rPr>
              <w:t>Date: May 6, 2021</w:t>
            </w:r>
          </w:p>
        </w:tc>
        <w:tc>
          <w:tcPr>
            <w:tcW w:w="4520" w:type="dxa"/>
            <w:vAlign w:val="bottom"/>
          </w:tcPr>
          <w:p>
            <w:pPr>
              <w:spacing w:after="0" w:line="176" w:lineRule="exact"/>
              <w:rPr>
                <w:sz w:val="20"/>
                <w:szCs w:val="20"/>
                <w:color w:val="auto"/>
              </w:rPr>
            </w:pPr>
            <w:r>
              <w:rPr>
                <w:rFonts w:ascii="Arial" w:cs="Arial" w:eastAsia="Arial" w:hAnsi="Arial"/>
                <w:sz w:val="18"/>
                <w:szCs w:val="18"/>
                <w:i w:val="1"/>
                <w:iCs w:val="1"/>
                <w:color w:val="auto"/>
              </w:rPr>
              <w:t>Vice President, Accounting &amp; Controller</w:t>
            </w:r>
          </w:p>
        </w:tc>
        <w:tc>
          <w:tcPr>
            <w:tcW w:w="0" w:type="dxa"/>
            <w:vAlign w:val="bottom"/>
          </w:tcPr>
          <w:p>
            <w:pPr>
              <w:spacing w:after="0"/>
              <w:rPr>
                <w:sz w:val="1"/>
                <w:szCs w:val="1"/>
                <w:color w:val="auto"/>
              </w:rPr>
            </w:pPr>
          </w:p>
        </w:tc>
      </w:tr>
      <w:tr>
        <w:trPr>
          <w:trHeight w:val="230"/>
        </w:trPr>
        <w:tc>
          <w:tcPr>
            <w:tcW w:w="6640" w:type="dxa"/>
            <w:vAlign w:val="bottom"/>
            <w:vMerge w:val="continue"/>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i w:val="1"/>
                <w:iCs w:val="1"/>
                <w:color w:val="auto"/>
              </w:rPr>
              <w:t>(Principal 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891" w:right="359" w:bottom="1440" w:gutter="0" w:footer="0" w:header="0"/>
        </w:sectPr>
      </w:pPr>
    </w:p>
    <w:bookmarkStart w:id="56" w:name="page57"/>
    <w:bookmarkEnd w:id="56"/>
    <w:p>
      <w:pPr>
        <w:ind w:left="10040"/>
        <w:spacing w:after="0"/>
        <w:rPr>
          <w:sz w:val="20"/>
          <w:szCs w:val="20"/>
          <w:color w:val="auto"/>
        </w:rPr>
      </w:pPr>
      <w:r>
        <w:rPr>
          <w:rFonts w:ascii="Arial" w:cs="Arial" w:eastAsia="Arial" w:hAnsi="Arial"/>
          <w:sz w:val="18"/>
          <w:szCs w:val="18"/>
          <w:b w:val="1"/>
          <w:bCs w:val="1"/>
          <w:color w:val="auto"/>
        </w:rPr>
        <w:t>EXHIBIT 22.1</w:t>
      </w:r>
    </w:p>
    <w:p>
      <w:pPr>
        <w:spacing w:after="0" w:line="18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LIST OF GUARANTOR SUBSIDIARIES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Clearway Energy LLC (the “Company”) is a guarantor of the 5.00% unsecured senior notes due 2026 (the “2026 Notes”) issued by Clearway Energy Operating LLC, a wholly-owned subsidiary of the Company. In addition, the following subsidiaries of the Company and Clearway Energy Operating LLC are guarantors of the 2026 Notes:</w:t>
      </w:r>
    </w:p>
    <w:tbl>
      <w:tblPr>
        <w:tblLayout w:type="fixed"/>
        <w:tblInd w:w="10" w:type="dxa"/>
        <w:tblCellMar>
          <w:top w:w="0" w:type="dxa"/>
          <w:left w:w="0" w:type="dxa"/>
          <w:bottom w:w="0" w:type="dxa"/>
          <w:right w:w="0" w:type="dxa"/>
        </w:tblCellMar>
      </w:tblPr>
      <w:tr>
        <w:trPr>
          <w:trHeight w:val="244"/>
        </w:trPr>
        <w:tc>
          <w:tcPr>
            <w:tcW w:w="7160" w:type="dxa"/>
            <w:vAlign w:val="bottom"/>
            <w:tcBorders>
              <w:top w:val="single" w:sz="8" w:color="969696"/>
              <w:left w:val="single" w:sz="8" w:color="auto"/>
              <w:bottom w:val="single" w:sz="8" w:color="auto"/>
              <w:right w:val="single" w:sz="8" w:color="auto"/>
            </w:tcBorders>
            <w:shd w:val="clear" w:color="auto" w:fill="ACACAC"/>
          </w:tcPr>
          <w:p>
            <w:pPr>
              <w:ind w:left="40"/>
              <w:spacing w:after="0"/>
              <w:rPr>
                <w:sz w:val="20"/>
                <w:szCs w:val="20"/>
                <w:color w:val="auto"/>
              </w:rPr>
            </w:pPr>
            <w:r>
              <w:rPr>
                <w:rFonts w:ascii="Arial" w:cs="Arial" w:eastAsia="Arial" w:hAnsi="Arial"/>
                <w:sz w:val="20"/>
                <w:szCs w:val="20"/>
                <w:b w:val="1"/>
                <w:bCs w:val="1"/>
                <w:color w:val="auto"/>
              </w:rPr>
              <w:t>Name of Guarantor Subsidiary</w:t>
            </w:r>
          </w:p>
        </w:tc>
        <w:tc>
          <w:tcPr>
            <w:tcW w:w="380" w:type="dxa"/>
            <w:vAlign w:val="bottom"/>
            <w:tcBorders>
              <w:top w:val="single" w:sz="8" w:color="969696"/>
              <w:bottom w:val="single" w:sz="8" w:color="auto"/>
              <w:right w:val="single" w:sz="8" w:color="auto"/>
            </w:tcBorders>
            <w:shd w:val="clear" w:color="auto" w:fill="ACACAC"/>
          </w:tcPr>
          <w:p>
            <w:pPr>
              <w:spacing w:after="0"/>
              <w:rPr>
                <w:sz w:val="21"/>
                <w:szCs w:val="21"/>
                <w:color w:val="auto"/>
              </w:rPr>
            </w:pPr>
          </w:p>
        </w:tc>
        <w:tc>
          <w:tcPr>
            <w:tcW w:w="3640" w:type="dxa"/>
            <w:vAlign w:val="bottom"/>
            <w:tcBorders>
              <w:top w:val="single" w:sz="8" w:color="969696"/>
              <w:bottom w:val="single" w:sz="8" w:color="auto"/>
              <w:right w:val="single" w:sz="8" w:color="auto"/>
            </w:tcBorders>
            <w:shd w:val="clear" w:color="auto" w:fill="ACACAC"/>
          </w:tcPr>
          <w:p>
            <w:pPr>
              <w:ind w:left="20"/>
              <w:spacing w:after="0"/>
              <w:rPr>
                <w:sz w:val="20"/>
                <w:szCs w:val="20"/>
                <w:color w:val="auto"/>
              </w:rPr>
            </w:pPr>
            <w:r>
              <w:rPr>
                <w:rFonts w:ascii="Arial" w:cs="Arial" w:eastAsia="Arial" w:hAnsi="Arial"/>
                <w:sz w:val="20"/>
                <w:szCs w:val="20"/>
                <w:b w:val="1"/>
                <w:bCs w:val="1"/>
                <w:color w:val="auto"/>
              </w:rPr>
              <w:t>Jurisdiction</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Alta Wind 1-5 Holding Company,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Alta Wind Company,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CBAD Holdings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Central CA Fuel Cell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Clearway Solar Star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CWEN Pinnacle Repowering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CWSP Rattlesnake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Daggett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 SREC HoldCo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DG-CS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DGPV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ECP Uptown Campus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Caguas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Energy Center Fajardo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Energy Center Honolulu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Fuel Cell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Langford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Lighthouse Renewable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NIMH Solar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Ocotillo Windpower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Portfolio Solar 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Rosamond Solar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RPV Holding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Flagstaff One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Iguana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Solar Las Vegas MB 1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Solar Tabernacle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South Trent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Asset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SPP Fund II-B,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SPP Fund III,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Canada Infrastructure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Thermal Hawaii Development Holdings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Delaware</w:t>
            </w:r>
          </w:p>
        </w:tc>
      </w:tr>
      <w:tr>
        <w:trPr>
          <w:trHeight w:val="237"/>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Thermal Infrastructure Development Holdings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r>
        <w:trPr>
          <w:trHeight w:val="236"/>
        </w:trPr>
        <w:tc>
          <w:tcPr>
            <w:tcW w:w="71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UB Fuel Cell, LLC</w:t>
            </w:r>
          </w:p>
        </w:tc>
        <w:tc>
          <w:tcPr>
            <w:tcW w:w="380" w:type="dxa"/>
            <w:vAlign w:val="bottom"/>
            <w:tcBorders>
              <w:bottom w:val="single" w:sz="8" w:color="auto"/>
              <w:right w:val="single" w:sz="8" w:color="auto"/>
            </w:tcBorders>
          </w:tcPr>
          <w:p>
            <w:pPr>
              <w:spacing w:after="0"/>
              <w:rPr>
                <w:sz w:val="20"/>
                <w:szCs w:val="20"/>
                <w:color w:val="auto"/>
              </w:rPr>
            </w:pP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Connecticut</w:t>
            </w:r>
          </w:p>
        </w:tc>
      </w:tr>
      <w:tr>
        <w:trPr>
          <w:trHeight w:val="236"/>
        </w:trPr>
        <w:tc>
          <w:tcPr>
            <w:tcW w:w="716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Utah Solar Master HoldCo LLC</w:t>
            </w:r>
          </w:p>
        </w:tc>
        <w:tc>
          <w:tcPr>
            <w:tcW w:w="380" w:type="dxa"/>
            <w:vAlign w:val="bottom"/>
            <w:tcBorders>
              <w:bottom w:val="single" w:sz="8" w:color="auto"/>
              <w:right w:val="single" w:sz="8" w:color="auto"/>
            </w:tcBorders>
            <w:shd w:val="clear" w:color="auto" w:fill="CCEEFF"/>
          </w:tcPr>
          <w:p>
            <w:pPr>
              <w:spacing w:after="0"/>
              <w:rPr>
                <w:sz w:val="20"/>
                <w:szCs w:val="20"/>
                <w:color w:val="auto"/>
              </w:rPr>
            </w:pPr>
          </w:p>
        </w:tc>
        <w:tc>
          <w:tcPr>
            <w:tcW w:w="36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Delaware</w:t>
            </w:r>
          </w:p>
        </w:tc>
      </w:tr>
    </w:tbl>
    <w:p>
      <w:pPr>
        <w:sectPr>
          <w:pgSz w:w="11900" w:h="16838" w:orient="portrait"/>
          <w:cols w:equalWidth="0" w:num="1">
            <w:col w:w="11180"/>
          </w:cols>
          <w:pgMar w:left="400" w:top="162" w:right="3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47"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18776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Christopher S. Sotos</w:t>
      </w:r>
    </w:p>
    <w:p>
      <w:pPr>
        <w:ind w:left="7000"/>
        <w:spacing w:after="0" w:line="203" w:lineRule="auto"/>
        <w:rPr>
          <w:sz w:val="20"/>
          <w:szCs w:val="20"/>
          <w:color w:val="auto"/>
        </w:rPr>
      </w:pPr>
      <w:r>
        <w:rPr>
          <w:rFonts w:ascii="Arial" w:cs="Arial" w:eastAsia="Arial" w:hAnsi="Arial"/>
          <w:sz w:val="18"/>
          <w:szCs w:val="18"/>
          <w:i w:val="1"/>
          <w:iCs w:val="1"/>
          <w:color w:val="auto"/>
        </w:rPr>
        <w:t>Chief Executive Officer</w:t>
      </w:r>
    </w:p>
    <w:p>
      <w:pPr>
        <w:ind w:left="7000"/>
        <w:spacing w:after="0"/>
        <w:rPr>
          <w:sz w:val="20"/>
          <w:szCs w:val="20"/>
          <w:color w:val="auto"/>
        </w:rPr>
      </w:pPr>
      <w:r>
        <w:rPr>
          <w:rFonts w:ascii="Arial" w:cs="Arial" w:eastAsia="Arial" w:hAnsi="Arial"/>
          <w:sz w:val="18"/>
          <w:szCs w:val="18"/>
          <w:i w:val="1"/>
          <w:iCs w:val="1"/>
          <w:color w:val="auto"/>
        </w:rPr>
        <w:t>(Principal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98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47"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14605</wp:posOffset>
            </wp:positionV>
            <wp:extent cx="1954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Chad Plotkin</w:t>
      </w:r>
    </w:p>
    <w:p>
      <w:pPr>
        <w:ind w:left="6880"/>
        <w:spacing w:after="0" w:line="203" w:lineRule="auto"/>
        <w:rPr>
          <w:sz w:val="20"/>
          <w:szCs w:val="20"/>
          <w:color w:val="auto"/>
        </w:rPr>
      </w:pPr>
      <w:r>
        <w:rPr>
          <w:rFonts w:ascii="Arial" w:cs="Arial" w:eastAsia="Arial" w:hAnsi="Arial"/>
          <w:sz w:val="18"/>
          <w:szCs w:val="18"/>
          <w:i w:val="1"/>
          <w:iCs w:val="1"/>
          <w:color w:val="auto"/>
        </w:rPr>
        <w:t>Chief Financial Officer</w:t>
      </w:r>
    </w:p>
    <w:p>
      <w:pPr>
        <w:ind w:left="6880"/>
        <w:spacing w:after="0"/>
        <w:rPr>
          <w:sz w:val="20"/>
          <w:szCs w:val="20"/>
          <w:color w:val="auto"/>
        </w:rPr>
      </w:pPr>
      <w:r>
        <w:rPr>
          <w:rFonts w:ascii="Arial" w:cs="Arial" w:eastAsia="Arial" w:hAnsi="Arial"/>
          <w:sz w:val="18"/>
          <w:szCs w:val="18"/>
          <w:i w:val="1"/>
          <w:iCs w:val="1"/>
          <w:color w:val="auto"/>
        </w:rPr>
        <w:t>(Principal Financial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98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31.3</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Sarah Rubenstein, certify that:</w:t>
      </w:r>
    </w:p>
    <w:p>
      <w:pPr>
        <w:spacing w:after="0" w:line="347"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7"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hanging="644"/>
        <w:spacing w:after="0" w:line="342" w:lineRule="auto"/>
        <w:tabs>
          <w:tab w:leader="none" w:pos="1297"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644"/>
        <w:spacing w:after="0" w:line="308" w:lineRule="auto"/>
        <w:tabs>
          <w:tab w:leader="none" w:pos="1297" w:val="left"/>
        </w:tabs>
        <w:numPr>
          <w:ilvl w:val="1"/>
          <w:numId w:val="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hanging="644"/>
        <w:spacing w:after="0" w:line="277" w:lineRule="auto"/>
        <w:tabs>
          <w:tab w:leader="none" w:pos="129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14605</wp:posOffset>
            </wp:positionV>
            <wp:extent cx="18002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Sarah Rubenstein</w:t>
      </w:r>
    </w:p>
    <w:p>
      <w:pPr>
        <w:ind w:left="7300"/>
        <w:spacing w:after="0" w:line="203" w:lineRule="auto"/>
        <w:rPr>
          <w:sz w:val="20"/>
          <w:szCs w:val="20"/>
          <w:color w:val="auto"/>
        </w:rPr>
      </w:pPr>
      <w:r>
        <w:rPr>
          <w:rFonts w:ascii="Arial" w:cs="Arial" w:eastAsia="Arial" w:hAnsi="Arial"/>
          <w:sz w:val="18"/>
          <w:szCs w:val="18"/>
          <w:i w:val="1"/>
          <w:iCs w:val="1"/>
          <w:color w:val="auto"/>
        </w:rPr>
        <w:t>Vice President, Accounting &amp;</w:t>
      </w:r>
    </w:p>
    <w:p>
      <w:pPr>
        <w:ind w:left="7300"/>
        <w:spacing w:after="0" w:line="203" w:lineRule="auto"/>
        <w:rPr>
          <w:sz w:val="20"/>
          <w:szCs w:val="20"/>
          <w:color w:val="auto"/>
        </w:rPr>
      </w:pPr>
      <w:r>
        <w:rPr>
          <w:rFonts w:ascii="Arial" w:cs="Arial" w:eastAsia="Arial" w:hAnsi="Arial"/>
          <w:sz w:val="18"/>
          <w:szCs w:val="18"/>
          <w:i w:val="1"/>
          <w:iCs w:val="1"/>
          <w:color w:val="auto"/>
        </w:rPr>
        <w:t>Controller</w:t>
      </w:r>
    </w:p>
    <w:p>
      <w:pPr>
        <w:spacing w:after="0" w:line="1"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ectPr>
          <w:pgSz w:w="11900" w:h="16838" w:orient="portrait"/>
          <w:cols w:equalWidth="0" w:num="1">
            <w:col w:w="11240"/>
          </w:cols>
          <w:pgMar w:left="320" w:top="891"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Quarterly Report of Clearway Energy LLC on Form 10-Q for the quarter ended March 31, 2021,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40" w:hanging="308"/>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Form 10-Q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34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6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SARAH RUBENSTEIN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14605</wp:posOffset>
            </wp:positionV>
            <wp:extent cx="24257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Sarah Rubenstein</w:t>
      </w:r>
    </w:p>
    <w:p>
      <w:pPr>
        <w:spacing w:after="0" w:line="7"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Vice President, Accounting &amp; Controller</w:t>
      </w: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10-Q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lvl w:ilvl="1">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1)"/>
      <w:numFmt w:val="lowerLetter"/>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lowerLetter"/>
      <w:start w:val="1"/>
    </w:lvl>
  </w:abstractNum>
  <w:abstractNum w:abstractNumId="6">
    <w:nsid w:val="436C6125"/>
    <w:multiLevelType w:val="hybridMultilevel"/>
    <w:lvl w:ilvl="0">
      <w:lvlJc w:val="left"/>
      <w:lvlText w:val="(%1)"/>
      <w:numFmt w:val="lowerLetter"/>
      <w:start w:val="1"/>
    </w:lvl>
  </w:abstractNum>
  <w:abstractNum w:abstractNumId="7">
    <w:nsid w:val="628C895D"/>
    <w:multiLevelType w:val="hybridMultilevel"/>
    <w:lvl w:ilvl="0">
      <w:lvlJc w:val="left"/>
      <w:lvlText w:val="(%1)"/>
      <w:numFmt w:val="lowerLetter"/>
      <w:start w:val="2"/>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lowerLetter"/>
      <w:start w:val="1"/>
    </w:lvl>
  </w:abstractNum>
  <w:abstractNum w:abstractNumId="10">
    <w:nsid w:val="2443A858"/>
    <w:multiLevelType w:val="hybridMultilevel"/>
    <w:lvl w:ilvl="0">
      <w:lvlJc w:val="left"/>
      <w:lvlText w:val="(%1)"/>
      <w:numFmt w:val="lowerLetter"/>
      <w:start w:val="1"/>
    </w:lvl>
  </w:abstractNum>
  <w:abstractNum w:abstractNumId="11">
    <w:nsid w:val="2D1D5AE9"/>
    <w:multiLevelType w:val="hybridMultilevel"/>
    <w:lvl w:ilvl="0">
      <w:lvlJc w:val="left"/>
      <w:lvlText w:val="(%1)"/>
      <w:numFmt w:val="lowerLetter"/>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Letter"/>
      <w:start w:val="1"/>
    </w:lvl>
  </w:abstractNum>
  <w:abstractNum w:abstractNumId="15">
    <w:nsid w:val="79838CB2"/>
    <w:multiLevelType w:val="hybridMultilevel"/>
    <w:lvl w:ilvl="0">
      <w:lvlJc w:val="left"/>
      <w:lvlText w:val="(%1)"/>
      <w:numFmt w:val="lowerLetter"/>
      <w:start w:val="4"/>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lowerLetter"/>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1"/>
      <w:numFmt w:val="decimal"/>
      <w:start w:val="22"/>
    </w:lvl>
  </w:abstractNum>
  <w:abstractNum w:abstractNumId="28">
    <w:nsid w:val="737B8DDC"/>
    <w:multiLevelType w:val="hybridMultilevel"/>
    <w:lvl w:ilvl="0">
      <w:lvlJc w:val="left"/>
      <w:lvlText w:val="%1"/>
      <w:numFmt w:val="decimal"/>
      <w:start w:val="32"/>
    </w:lvl>
  </w:abstractNum>
  <w:abstractNum w:abstractNumId="29">
    <w:nsid w:val="6CEAF087"/>
    <w:multiLevelType w:val="hybridMultilevel"/>
    <w:lvl w:ilvl="0">
      <w:lvlJc w:val="left"/>
      <w:lvlText w:val="%1"/>
      <w:numFmt w:val="decimal"/>
      <w:start w:val="104"/>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90" Type="http://schemas.openxmlformats.org/officeDocument/2006/relationships/hyperlink" Target="http://www.sec.gov/Archives/edgar/data/1567683/000110465921012966/tm215220d2_ex4-1.htm" TargetMode="External"/><Relationship Id="rId91" Type="http://schemas.openxmlformats.org/officeDocument/2006/relationships/hyperlink" Target="http://www.sec.gov/Archives/edgar/data/1567683/000110465921012966/tm215220d2_ex4-2.htm" TargetMode="External"/><Relationship Id="rId92" Type="http://schemas.openxmlformats.org/officeDocument/2006/relationships/hyperlink" Target="http://www.sec.gov/Archives/edgar/data/1567683/000110465921012966/tm215220d2_ex4-3.htm" TargetMode="External"/><Relationship Id="rId93" Type="http://schemas.openxmlformats.org/officeDocument/2006/relationships/hyperlink" Target="http://www.sec.gov/Archives/edgar/data/1567683/000110465921033800/tm219068d1_ex4-1.htm" TargetMode="External"/><Relationship Id="rId94" Type="http://schemas.openxmlformats.org/officeDocument/2006/relationships/hyperlink" Target="http://www.sec.gov/Archives/edgar/data/0001637757/000110465921061064/tm2115172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2021-05-06T12:11:01Z</dcterms:created>
  <dcterms:modified xsi:type="dcterms:W3CDTF">2021-05-06T12:11:01Z</dcterms:modified>
</cp:coreProperties>
</file>