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06/01/2019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0"/>
          </w:tcPr>
          <w:p>
            <w:pPr>
              <w:jc w:val="center"/>
              <w:ind w:right="5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jc w:val="center"/>
              <w:ind w:left="2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06/01/2019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jc w:val="center"/>
              <w:ind w:right="79"/>
              <w:spacing w:after="0"/>
              <w:rPr>
                <w:sz w:val="20"/>
                <w:szCs w:val="20"/>
                <w:color w:val="auto"/>
              </w:rPr>
            </w:pPr>
            <w:r>
              <w:rPr>
                <w:rFonts w:ascii="Arial" w:cs="Arial" w:eastAsia="Arial" w:hAnsi="Arial"/>
                <w:sz w:val="18"/>
                <w:szCs w:val="18"/>
                <w:color w:val="0000FF"/>
                <w:w w:val="82"/>
              </w:rPr>
              <w:t>13,667</w:t>
            </w:r>
            <w:r>
              <w:rPr>
                <w:rFonts w:ascii="Arial" w:cs="Arial" w:eastAsia="Arial" w:hAnsi="Arial"/>
                <w:sz w:val="22"/>
                <w:szCs w:val="22"/>
                <w:color w:val="008000"/>
                <w:w w:val="82"/>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7"/>
              </w:rPr>
              <w:t>71,962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06/03/2019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center"/>
              <w:ind w:left="230"/>
              <w:spacing w:after="0"/>
              <w:rPr>
                <w:sz w:val="20"/>
                <w:szCs w:val="20"/>
                <w:color w:val="auto"/>
              </w:rPr>
            </w:pPr>
            <w:r>
              <w:rPr>
                <w:rFonts w:ascii="Arial" w:cs="Arial" w:eastAsia="Arial" w:hAnsi="Arial"/>
                <w:sz w:val="18"/>
                <w:szCs w:val="18"/>
                <w:color w:val="0000FF"/>
                <w:w w:val="86"/>
              </w:rPr>
              <w:t>164</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15,272</w:t>
            </w:r>
            <w:r>
              <w:rPr>
                <w:rFonts w:ascii="Arial" w:cs="Arial" w:eastAsia="Arial" w:hAnsi="Arial"/>
                <w:sz w:val="22"/>
                <w:szCs w:val="22"/>
                <w:color w:val="008000"/>
                <w:w w:val="84"/>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8"/>
              </w:rPr>
              <w:t>06/03/2019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center"/>
              <w:ind w:left="230"/>
              <w:spacing w:after="0"/>
              <w:rPr>
                <w:sz w:val="20"/>
                <w:szCs w:val="20"/>
                <w:color w:val="auto"/>
              </w:rPr>
            </w:pPr>
            <w:r>
              <w:rPr>
                <w:rFonts w:ascii="Arial" w:cs="Arial" w:eastAsia="Arial" w:hAnsi="Arial"/>
                <w:sz w:val="18"/>
                <w:szCs w:val="18"/>
                <w:color w:val="0000FF"/>
                <w:w w:val="86"/>
              </w:rPr>
              <w:t>557</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72,519</w:t>
            </w:r>
            <w:r>
              <w:rPr>
                <w:rFonts w:ascii="Arial" w:cs="Arial" w:eastAsia="Arial" w:hAnsi="Arial"/>
                <w:sz w:val="22"/>
                <w:szCs w:val="22"/>
                <w:color w:val="008000"/>
                <w:w w:val="84"/>
                <w:vertAlign w:val="superscript"/>
              </w:rPr>
              <w:t>(5)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0"/>
          </w:tcPr>
          <w:p>
            <w:pPr>
              <w:jc w:val="center"/>
              <w:ind w:right="5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13,667 Deferred Stock Units issued to the Reporting Person by Clearway Energy, Inc. under Clearway Energy, Inc.'s Amended and Restated 2013 Equity Incentive Plan.</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w:t>
      </w: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3,179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4,899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2019-12-23T22:35:45Z</dcterms:created>
  <dcterms:modified xsi:type="dcterms:W3CDTF">2019-12-23T22:35:45Z</dcterms:modified>
</cp:coreProperties>
</file>