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Global Infrastructure Investors III,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920"/>
        <w:spacing w:after="0" w:line="357" w:lineRule="auto"/>
        <w:rPr>
          <w:sz w:val="20"/>
          <w:szCs w:val="20"/>
          <w:color w:val="auto"/>
        </w:rPr>
      </w:pPr>
      <w:r>
        <w:rPr>
          <w:rFonts w:ascii="Arial" w:cs="Arial" w:eastAsia="Arial" w:hAnsi="Arial"/>
          <w:sz w:val="17"/>
          <w:szCs w:val="17"/>
          <w:color w:val="0000FF"/>
        </w:rPr>
        <w:t>1345 AVENUE OF THE AMERICAS, 30TH FLOOR</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Clearway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CWEN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980" w:type="dxa"/>
            <w:vAlign w:val="bottom"/>
            <w:gridSpan w:val="3"/>
          </w:tcPr>
          <w:p>
            <w:pPr>
              <w:ind w:left="80"/>
              <w:spacing w:after="0"/>
              <w:rPr>
                <w:sz w:val="20"/>
                <w:szCs w:val="20"/>
                <w:color w:val="auto"/>
              </w:rPr>
            </w:pPr>
            <w:r>
              <w:rPr>
                <w:rFonts w:ascii="Arial" w:cs="Arial" w:eastAsia="Arial" w:hAnsi="Arial"/>
                <w:sz w:val="17"/>
                <w:szCs w:val="17"/>
                <w:color w:val="0000FF"/>
              </w:rPr>
              <w:t>10/19/2021</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1"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3"/>
                <w:szCs w:val="13"/>
                <w:color w:val="auto"/>
              </w:rPr>
            </w:pPr>
          </w:p>
        </w:tc>
        <w:tc>
          <w:tcPr>
            <w:tcW w:w="860" w:type="dxa"/>
            <w:vAlign w:val="bottom"/>
            <w:gridSpan w:val="4"/>
          </w:tcPr>
          <w:p>
            <w:pPr>
              <w:ind w:left="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6"/>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4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40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5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7"/>
                <w:szCs w:val="7"/>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600" w:type="dxa"/>
            <w:vAlign w:val="bottom"/>
            <w:gridSpan w:val="6"/>
            <w:vMerge w:val="restart"/>
          </w:tcPr>
          <w:p>
            <w:pPr>
              <w:ind w:left="420"/>
              <w:spacing w:after="0"/>
              <w:rPr>
                <w:sz w:val="20"/>
                <w:szCs w:val="20"/>
                <w:color w:val="auto"/>
              </w:rPr>
            </w:pPr>
            <w:r>
              <w:rPr>
                <w:rFonts w:ascii="Arial" w:cs="Arial" w:eastAsia="Arial" w:hAnsi="Arial"/>
                <w:sz w:val="17"/>
                <w:szCs w:val="17"/>
                <w:color w:val="0000FF"/>
              </w:rPr>
              <w:t>10/19/2021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840" w:type="dxa"/>
            <w:vAlign w:val="bottom"/>
            <w:vMerge w:val="restart"/>
          </w:tcPr>
          <w:p>
            <w:pPr>
              <w:ind w:left="200"/>
              <w:spacing w:after="0"/>
              <w:rPr>
                <w:sz w:val="20"/>
                <w:szCs w:val="20"/>
                <w:color w:val="auto"/>
              </w:rPr>
            </w:pPr>
            <w:r>
              <w:rPr>
                <w:rFonts w:ascii="Arial" w:cs="Arial" w:eastAsia="Arial" w:hAnsi="Arial"/>
                <w:sz w:val="17"/>
                <w:szCs w:val="17"/>
                <w:color w:val="0000FF"/>
              </w:rPr>
              <w:t>1,141</w:t>
            </w: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A</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31.82</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39,038</w:t>
            </w:r>
          </w:p>
        </w:tc>
        <w:tc>
          <w:tcPr>
            <w:tcW w:w="5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400" w:type="dxa"/>
            <w:vAlign w:val="bottom"/>
          </w:tcPr>
          <w:p>
            <w:pPr>
              <w:spacing w:after="0"/>
              <w:rPr>
                <w:sz w:val="22"/>
                <w:szCs w:val="22"/>
                <w:color w:val="auto"/>
              </w:rPr>
            </w:pP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4"/>
            <w:vMerge w:val="continue"/>
          </w:tcPr>
          <w:p>
            <w:pPr>
              <w:spacing w:after="0"/>
              <w:rPr>
                <w:sz w:val="9"/>
                <w:szCs w:val="9"/>
                <w:color w:val="auto"/>
              </w:rPr>
            </w:pPr>
          </w:p>
        </w:tc>
        <w:tc>
          <w:tcPr>
            <w:tcW w:w="1600" w:type="dxa"/>
            <w:vAlign w:val="bottom"/>
            <w:gridSpan w:val="6"/>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560" w:type="dxa"/>
            <w:vAlign w:val="bottom"/>
            <w:gridSpan w:val="21"/>
          </w:tcPr>
          <w:p>
            <w:pPr>
              <w:jc w:val="center"/>
              <w:ind w:left="45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80" w:type="dxa"/>
            <w:vAlign w:val="bottom"/>
            <w:gridSpan w:val="17"/>
          </w:tcPr>
          <w:p>
            <w:pPr>
              <w:jc w:val="center"/>
              <w:ind w:left="1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5"/>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5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gridSpan w:val="2"/>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8"/>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Global Infrastructure Investors III, LLC</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5"/>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8"/>
          </w:tcPr>
          <w:p>
            <w:pPr>
              <w:spacing w:after="0"/>
              <w:rPr>
                <w:sz w:val="20"/>
                <w:szCs w:val="20"/>
                <w:color w:val="auto"/>
              </w:rPr>
            </w:pPr>
            <w:r>
              <w:rPr>
                <w:rFonts w:ascii="Arial" w:cs="Arial" w:eastAsia="Arial" w:hAnsi="Arial"/>
                <w:sz w:val="17"/>
                <w:szCs w:val="17"/>
                <w:color w:val="0000FF"/>
              </w:rPr>
              <w:t>1345 AVENUE OF THE AMERICAS,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30TH FLOOR</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860" w:type="dxa"/>
            <w:vAlign w:val="bottom"/>
            <w:gridSpan w:val="2"/>
          </w:tcPr>
          <w:p>
            <w:pPr>
              <w:ind w:left="240"/>
              <w:spacing w:after="0"/>
              <w:rPr>
                <w:sz w:val="20"/>
                <w:szCs w:val="20"/>
                <w:color w:val="auto"/>
              </w:rPr>
            </w:pPr>
            <w:r>
              <w:rPr>
                <w:rFonts w:ascii="Arial" w:cs="Arial" w:eastAsia="Arial" w:hAnsi="Arial"/>
                <w:sz w:val="17"/>
                <w:szCs w:val="17"/>
                <w:color w:val="0000FF"/>
              </w:rPr>
              <w:t>10105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5"/>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8"/>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Global Infrastructure GP III,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5"/>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8"/>
          </w:tcPr>
          <w:p>
            <w:pPr>
              <w:spacing w:after="0"/>
              <w:rPr>
                <w:sz w:val="20"/>
                <w:szCs w:val="20"/>
                <w:color w:val="auto"/>
              </w:rPr>
            </w:pPr>
            <w:r>
              <w:rPr>
                <w:rFonts w:ascii="Arial" w:cs="Arial" w:eastAsia="Arial" w:hAnsi="Arial"/>
                <w:sz w:val="17"/>
                <w:szCs w:val="17"/>
                <w:color w:val="0000FF"/>
              </w:rPr>
              <w:t>1345 AVENUE OF THE AMERICAS,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30TH FLOOR</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860" w:type="dxa"/>
            <w:vAlign w:val="bottom"/>
            <w:gridSpan w:val="2"/>
          </w:tcPr>
          <w:p>
            <w:pPr>
              <w:ind w:left="240"/>
              <w:spacing w:after="0"/>
              <w:rPr>
                <w:sz w:val="20"/>
                <w:szCs w:val="20"/>
                <w:color w:val="auto"/>
              </w:rPr>
            </w:pPr>
            <w:r>
              <w:rPr>
                <w:rFonts w:ascii="Arial" w:cs="Arial" w:eastAsia="Arial" w:hAnsi="Arial"/>
                <w:sz w:val="17"/>
                <w:szCs w:val="17"/>
                <w:color w:val="0000FF"/>
              </w:rPr>
              <w:t>10105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5"/>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8"/>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GIP III Zephyr Acquisition Partners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5"/>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-6019800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1345 AVENUE OF THE AMERICAS,</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t>30TH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2737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2737485"/>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NEW YORK</w:t>
            </w:r>
          </w:p>
        </w:tc>
        <w:tc>
          <w:tcPr>
            <w:tcW w:w="1540" w:type="dxa"/>
            <w:vAlign w:val="bottom"/>
            <w:gridSpan w:val="2"/>
          </w:tcPr>
          <w:p>
            <w:pPr>
              <w:ind w:left="180"/>
              <w:spacing w:after="0"/>
              <w:rPr>
                <w:sz w:val="20"/>
                <w:szCs w:val="20"/>
                <w:color w:val="auto"/>
              </w:rPr>
            </w:pPr>
            <w:r>
              <w:rPr>
                <w:rFonts w:ascii="Arial" w:cs="Arial" w:eastAsia="Arial" w:hAnsi="Arial"/>
                <w:sz w:val="17"/>
                <w:szCs w:val="17"/>
                <w:color w:val="0000FF"/>
              </w:rPr>
              <w:t>NY</w:t>
            </w:r>
          </w:p>
        </w:tc>
        <w:tc>
          <w:tcPr>
            <w:tcW w:w="1400" w:type="dxa"/>
            <w:vAlign w:val="bottom"/>
          </w:tcPr>
          <w:p>
            <w:pPr>
              <w:ind w:left="4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Clearway Energy Group LLC</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Arial" w:cs="Arial" w:eastAsia="Arial" w:hAnsi="Arial"/>
                <w:sz w:val="17"/>
                <w:szCs w:val="17"/>
                <w:color w:val="0000FF"/>
                <w:w w:val="98"/>
              </w:rPr>
              <w:t>1345 AVENUE OF THE AMERICAS,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30TH FLOOR</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NEW YORK</w:t>
            </w:r>
          </w:p>
        </w:tc>
        <w:tc>
          <w:tcPr>
            <w:tcW w:w="1540" w:type="dxa"/>
            <w:vAlign w:val="bottom"/>
            <w:gridSpan w:val="2"/>
          </w:tcPr>
          <w:p>
            <w:pPr>
              <w:ind w:left="180"/>
              <w:spacing w:after="0"/>
              <w:rPr>
                <w:sz w:val="20"/>
                <w:szCs w:val="20"/>
                <w:color w:val="auto"/>
              </w:rPr>
            </w:pPr>
            <w:r>
              <w:rPr>
                <w:rFonts w:ascii="Arial" w:cs="Arial" w:eastAsia="Arial" w:hAnsi="Arial"/>
                <w:sz w:val="17"/>
                <w:szCs w:val="17"/>
                <w:color w:val="0000FF"/>
              </w:rPr>
              <w:t>NY</w:t>
            </w:r>
          </w:p>
        </w:tc>
        <w:tc>
          <w:tcPr>
            <w:tcW w:w="1400" w:type="dxa"/>
            <w:vAlign w:val="bottom"/>
          </w:tcPr>
          <w:p>
            <w:pPr>
              <w:ind w:left="4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8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withholding of shares to satisfy tax withholding obligations in connection with the vesting of restricted stock of the Issuer previously granted by Clearway Energy Group LLC ("Clearway Energy Group") under its Long Term Equity Incentive Program to one of its employees.</w:t>
      </w:r>
    </w:p>
    <w:p>
      <w:pPr>
        <w:spacing w:after="0" w:line="15" w:lineRule="exact"/>
        <w:rPr>
          <w:rFonts w:ascii="Arial" w:cs="Arial" w:eastAsia="Arial" w:hAnsi="Arial"/>
          <w:sz w:val="13"/>
          <w:szCs w:val="13"/>
          <w:color w:val="008000"/>
        </w:rPr>
      </w:pPr>
    </w:p>
    <w:p>
      <w:pPr>
        <w:jc w:val="both"/>
        <w:ind w:left="20" w:right="40" w:firstLine="7"/>
        <w:spacing w:after="0" w:line="243"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securities held directly by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and, pursuant to Rule 16a-1(a)</w:t>
      </w:r>
    </w:p>
    <w:p>
      <w:pPr>
        <w:spacing w:after="0" w:line="18" w:lineRule="exact"/>
        <w:rPr>
          <w:rFonts w:ascii="Arial" w:cs="Arial" w:eastAsia="Arial" w:hAnsi="Arial"/>
          <w:sz w:val="12"/>
          <w:szCs w:val="12"/>
          <w:color w:val="008000"/>
        </w:rPr>
      </w:pPr>
    </w:p>
    <w:p>
      <w:pPr>
        <w:ind w:left="20"/>
        <w:spacing w:after="0" w:line="291" w:lineRule="auto"/>
        <w:rPr>
          <w:rFonts w:ascii="Arial" w:cs="Arial" w:eastAsia="Arial" w:hAnsi="Arial"/>
          <w:sz w:val="12"/>
          <w:szCs w:val="12"/>
          <w:color w:val="008000"/>
        </w:rPr>
      </w:pPr>
      <w:r>
        <w:rPr>
          <w:rFonts w:ascii="Arial" w:cs="Arial" w:eastAsia="Arial" w:hAnsi="Arial"/>
          <w:sz w:val="12"/>
          <w:szCs w:val="12"/>
          <w:color w:val="008000"/>
        </w:rPr>
        <w:t>(4) under the Securities Exchange Act of 1934 (the "Exchange Act"), each of the Reporting Persons states that the inclusion of these securities in this report shall not be deemed an admission of beneficial ownership of the securities reported herein for purposes of Section 16 or for any other purpose or that the transaction reported herein is subject to Section 16(b) of the Exchange Act.</w:t>
      </w:r>
    </w:p>
    <w:p>
      <w:pPr>
        <w:sectPr>
          <w:pgSz w:w="11900" w:h="16838" w:orient="portrait"/>
          <w:cols w:equalWidth="0" w:num="1">
            <w:col w:w="10860"/>
          </w:cols>
          <w:pgMar w:left="480" w:top="131" w:right="559" w:bottom="1440" w:gutter="0" w:footer="0" w:header="0"/>
        </w:sectPr>
      </w:pPr>
    </w:p>
    <w:p>
      <w:pPr>
        <w:spacing w:after="0" w:line="2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700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696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93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531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687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04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9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0000FF"/>
        </w:rPr>
        <w:t>10/21/2021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10/21/2021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10/21/2021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10/21/2021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8700" w:space="60"/>
            <w:col w:w="2100"/>
          </w:cols>
          <w:pgMar w:left="480" w:top="131" w:right="55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4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131"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5" Type="http://schemas.openxmlformats.org/officeDocument/2006/relationships/hyperlink" Target="http://www.sec.gov/cgi-bin/browse-edgar?action=getcompany&amp;CIK=0001752556" TargetMode="External"/><Relationship Id="rId18"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2021-10-21T15:33:34Z</dcterms:created>
  <dcterms:modified xsi:type="dcterms:W3CDTF">2021-10-21T15:33:34Z</dcterms:modified>
</cp:coreProperties>
</file>