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21,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May 21, 2020, Clearway Energy Operating LLC (“Clearway Operating”), a subsidiary of Clearway Energy LLC, completed the sale of an additional $250 million aggregate principal amount of 4.750% senior notes due 2028 (the “Additional Notes”) pursuant to the terms of the purchase agreement, dated May 19, 2020 (the “Purchase Agreement”), among Clearway Operating, the guarantors named therein, and the initial purchasers set forth on Schedule A thereto (the “Initial Purchasers”). The Additional Notes were offered as an additional issue of Clearway Operating’s existing 4.750% senior notes due 2028 that Clearway Operating issued on December 11, 2019 in an aggregate principal amount of $600 million (the “Initial Notes” and together with the Additional Notes, the “Senior Notes”). Like the Initial Notes, the Additional Notes were issued under the Indenture, dated December 11, 2019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March 15 and September 15 of each year beginning on September 15, 2020 until their maturity date of March 15, 2028. Interest on the Additional Notes will accrue from December 11, 2019.</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any time prior to March 15, 2023, Clearway Operating may redeem up to 40% of the Senior Notes at a redemption price of 104.750%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at any time prior to March 15, 2023, Clearway Operating may redeem all or a portion of the Senior Notes for cash at a redemption price equal to 100% of the principal amount of the Senior Notes redeemed, plus an applicable make-whole premium and accrued and unpaid interest to the redemption date. On and after March 15, 2023, Clearway Operating may redeem all or a portion of the Senior Notes at redemption prices set forth in the Indenture, plus accrued and unpaid interest to the redemption date.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Additional Notes were sold to the Initial Purchasers for resale to qualified institutional buyers under Rule 144A of the Securities Act of 1933, as amended (the “Securities Act”), and to persons outside the United States under Regulation S of the Securities Act. The Additional Notes were issued in a transaction exempt from registration under the Securities Act or any state securities laws. Therefore, the Additional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9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540" w:type="dxa"/>
            <w:vAlign w:val="bottom"/>
            <w:gridSpan w:val="4"/>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tcBorders>
              <w:top w:val="single" w:sz="8" w:color="auto"/>
            </w:tcBorders>
          </w:tcPr>
          <w:p>
            <w:pPr>
              <w:jc w:val="right"/>
              <w:ind w:right="370"/>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6"/>
          </w:tcPr>
          <w:p>
            <w:pPr>
              <w:spacing w:after="0"/>
              <w:rPr>
                <w:rFonts w:ascii="Arial" w:cs="Arial" w:eastAsia="Arial" w:hAnsi="Arial"/>
                <w:sz w:val="18"/>
                <w:szCs w:val="18"/>
                <w:color w:val="0000EE"/>
                <w:w w:val="95"/>
              </w:rPr>
            </w:pPr>
            <w:hyperlink r:id="rId14">
              <w:r>
                <w:rPr>
                  <w:rFonts w:ascii="Arial" w:cs="Arial" w:eastAsia="Arial" w:hAnsi="Arial"/>
                  <w:sz w:val="18"/>
                  <w:szCs w:val="18"/>
                  <w:color w:val="0000EE"/>
                  <w:w w:val="95"/>
                </w:rPr>
                <w:t>Indenture, dated December 11, 2019, among Clearway Energy Operating LLC, the guarantors named therein and Delaware Trust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Company, as trustee (incorporated by reference to Exhibit 4.1 to Clearway Energy LLC’s Current Report on Form 8-K, filed on</w:t>
              </w:r>
            </w:hyperlink>
          </w:p>
        </w:tc>
        <w:tc>
          <w:tcPr>
            <w:tcW w:w="100" w:type="dxa"/>
            <w:vAlign w:val="bottom"/>
            <w:tcBorders>
              <w:top w:val="single" w:sz="8" w:color="0000EE"/>
            </w:tcBorders>
          </w:tcPr>
          <w:p>
            <w:pPr>
              <w:spacing w:after="0"/>
              <w:rPr>
                <w:sz w:val="17"/>
                <w:szCs w:val="17"/>
                <w:color w:val="auto"/>
              </w:rPr>
            </w:pPr>
          </w:p>
        </w:tc>
        <w:tc>
          <w:tcPr>
            <w:tcW w:w="6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4">
              <w:r>
                <w:rPr>
                  <w:rFonts w:ascii="Arial" w:cs="Arial" w:eastAsia="Arial" w:hAnsi="Arial"/>
                  <w:sz w:val="18"/>
                  <w:szCs w:val="18"/>
                  <w:color w:val="0000EE"/>
                  <w:w w:val="88"/>
                </w:rPr>
                <w:t>December 12, 2019).</w:t>
              </w:r>
            </w:hyperlink>
          </w:p>
        </w:tc>
        <w:tc>
          <w:tcPr>
            <w:tcW w:w="8360" w:type="dxa"/>
            <w:vAlign w:val="bottom"/>
            <w:gridSpan w:val="5"/>
          </w:tcPr>
          <w:p>
            <w:pPr>
              <w:spacing w:after="0"/>
              <w:rPr>
                <w:sz w:val="17"/>
                <w:szCs w:val="17"/>
                <w:color w:val="auto"/>
              </w:rPr>
            </w:pPr>
          </w:p>
        </w:tc>
      </w:tr>
      <w:tr>
        <w:trPr>
          <w:trHeight w:val="412"/>
        </w:trPr>
        <w:tc>
          <w:tcPr>
            <w:tcW w:w="1140" w:type="dxa"/>
            <w:vAlign w:val="bottom"/>
          </w:tcPr>
          <w:p>
            <w:pPr>
              <w:jc w:val="right"/>
              <w:ind w:right="370"/>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gridSpan w:val="6"/>
          </w:tcPr>
          <w:p>
            <w:pPr>
              <w:spacing w:after="0"/>
              <w:rPr>
                <w:rFonts w:ascii="Arial" w:cs="Arial" w:eastAsia="Arial" w:hAnsi="Arial"/>
                <w:sz w:val="18"/>
                <w:szCs w:val="18"/>
                <w:color w:val="0000EE"/>
                <w:w w:val="91"/>
              </w:rPr>
            </w:pPr>
            <w:hyperlink r:id="rId14">
              <w:r>
                <w:rPr>
                  <w:rFonts w:ascii="Arial" w:cs="Arial" w:eastAsia="Arial" w:hAnsi="Arial"/>
                  <w:sz w:val="18"/>
                  <w:szCs w:val="18"/>
                  <w:color w:val="0000EE"/>
                  <w:w w:val="91"/>
                </w:rPr>
                <w:t>Form of 4.750% Senior Notes due 2028 (incorporated by reference to Exhibit 4.1 to Clearway Energy LLC’s Current Report on Form 8-</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K, filed on December 12, 2019).</w:t>
              </w:r>
            </w:hyperlink>
          </w:p>
        </w:tc>
        <w:tc>
          <w:tcPr>
            <w:tcW w:w="74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r>
    </w:tbl>
    <w:p>
      <w:pPr>
        <w:spacing w:after="0" w:line="229" w:lineRule="exact"/>
        <w:rPr>
          <w:sz w:val="20"/>
          <w:szCs w:val="20"/>
          <w:color w:val="auto"/>
        </w:rPr>
      </w:pPr>
    </w:p>
    <w:p>
      <w:pPr>
        <w:ind w:left="1360" w:hanging="92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www.sec.gov/Archives/edgar/data/1637757/000110465919072222/tm1925067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2020-05-21T15:09:15Z</dcterms:created>
  <dcterms:modified xsi:type="dcterms:W3CDTF">2020-05-21T15:09:15Z</dcterms:modified>
</cp:coreProperties>
</file>