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6" w:lineRule="exact"/>
        <w:rPr>
          <w:sz w:val="24"/>
          <w:szCs w:val="24"/>
          <w:color w:val="auto"/>
        </w:rPr>
      </w:pPr>
    </w:p>
    <w:p>
      <w:pPr>
        <w:ind w:left="540" w:hanging="350"/>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001-36002</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Clearway Energy,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6"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2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4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64" w:lineRule="exact"/>
        <w:rPr>
          <w:sz w:val="24"/>
          <w:szCs w:val="24"/>
          <w:color w:val="auto"/>
        </w:rPr>
      </w:pPr>
    </w:p>
    <w:p>
      <w:pPr>
        <w:sectPr>
          <w:pgSz w:w="11900" w:h="16838" w:orient="portrait"/>
          <w:cols w:equalWidth="0" w:num="2">
            <w:col w:w="7760" w:space="720"/>
            <w:col w:w="2760"/>
          </w:cols>
          <w:pgMar w:left="320" w:top="1440" w:right="339" w:bottom="1440" w:gutter="0" w:footer="0" w:header="0"/>
          <w:type w:val="continuous"/>
        </w:sectPr>
      </w:pPr>
    </w:p>
    <w:p>
      <w:pPr>
        <w:ind w:left="2160" w:right="100" w:hanging="1477"/>
        <w:spacing w:after="0" w:line="302" w:lineRule="auto"/>
        <w:rPr>
          <w:sz w:val="20"/>
          <w:szCs w:val="20"/>
          <w:color w:val="auto"/>
        </w:rPr>
      </w:pPr>
      <w:r>
        <w:rPr>
          <w:rFonts w:ascii="Times New Roman" w:cs="Times New Roman" w:eastAsia="Times New Roman" w:hAnsi="Times New Roman"/>
          <w:sz w:val="18"/>
          <w:szCs w:val="18"/>
          <w:b w:val="1"/>
          <w:bCs w:val="1"/>
          <w:color w:val="auto"/>
        </w:rPr>
        <w:t>300 Carnegie Center, Suite 300</w:t>
      </w:r>
      <w:r>
        <w:rPr>
          <w:sz w:val="20"/>
          <w:szCs w:val="20"/>
          <w:color w:val="auto"/>
        </w:rPr>
        <w:t xml:space="preserve"> </w:t>
      </w:r>
      <w:r>
        <w:rPr>
          <w:rFonts w:ascii="Times New Roman" w:cs="Times New Roman" w:eastAsia="Times New Roman" w:hAnsi="Times New Roman"/>
          <w:sz w:val="18"/>
          <w:szCs w:val="18"/>
          <w:b w:val="1"/>
          <w:bCs w:val="1"/>
          <w:color w:val="auto"/>
        </w:rPr>
        <w:t xml:space="preserve">Princeton </w:t>
      </w: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08540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(Zip Code)</w:t>
      </w:r>
    </w:p>
    <w:p>
      <w:pPr>
        <w:spacing w:after="0" w:line="275" w:lineRule="exact"/>
        <w:rPr>
          <w:sz w:val="24"/>
          <w:szCs w:val="24"/>
          <w:color w:val="auto"/>
        </w:rPr>
      </w:pPr>
    </w:p>
    <w:p>
      <w:pPr>
        <w:sectPr>
          <w:pgSz w:w="11900" w:h="16838" w:orient="portrait"/>
          <w:cols w:equalWidth="0" w:num="3">
            <w:col w:w="5120" w:space="720"/>
            <w:col w:w="2180" w:space="720"/>
            <w:col w:w="2500"/>
          </w:cols>
          <w:pgMar w:left="320" w:top="1440" w:right="339" w:bottom="1440" w:gutter="0" w:footer="0" w:header="0"/>
          <w:type w:val="continuous"/>
        </w:sectPr>
      </w:pP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6"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0"/>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CWEN.A</w:t>
            </w:r>
          </w:p>
        </w:tc>
        <w:tc>
          <w:tcPr>
            <w:tcW w:w="3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CWEN</w:t>
            </w:r>
          </w:p>
        </w:tc>
        <w:tc>
          <w:tcPr>
            <w:tcW w:w="3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5"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p>
    <w:p>
      <w:pPr>
        <w:jc w:val="center"/>
        <w:spacing w:after="0" w:line="184" w:lineRule="exact"/>
        <w:tabs>
          <w:tab w:leader="none" w:pos="2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22"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p>
    <w:p>
      <w:pPr>
        <w:jc w:val="center"/>
        <w:spacing w:after="0" w:line="184" w:lineRule="exact"/>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22"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200" w:type="dxa"/>
        <w:tblCellMar>
          <w:top w:w="0" w:type="dxa"/>
          <w:left w:w="0" w:type="dxa"/>
          <w:bottom w:w="0" w:type="dxa"/>
          <w:right w:w="0" w:type="dxa"/>
        </w:tblCellMar>
      </w:tblPr>
      <w:tr>
        <w:trPr>
          <w:trHeight w:val="257"/>
        </w:trPr>
        <w:tc>
          <w:tcPr>
            <w:tcW w:w="22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2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jc w:val="both"/>
        <w:ind w:firstLine="324"/>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77" w:lineRule="exact"/>
        <w:rPr>
          <w:sz w:val="24"/>
          <w:szCs w:val="24"/>
          <w:color w:val="auto"/>
        </w:rPr>
      </w:pPr>
    </w:p>
    <w:p>
      <w:pPr>
        <w:ind w:left="5080"/>
        <w:spacing w:after="0" w:line="184" w:lineRule="exact"/>
        <w:tabs>
          <w:tab w:leader="none" w:pos="57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22"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As of April 25, 2025, there were 34,613,853 shares of Class A common stock outstanding, par value $0.01 per share, 42,738,750 shares of Class B common stock outstanding, par value $0.01 per share, 83,257,149 shares of Class C common stock outstanding, par value $0.01 per share, and 41,576,142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797560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CAUTIONARY STATEMENT REGARDING FORWARD LOOKING INFORMATION</w:t>
            </w:r>
          </w:p>
        </w:tc>
        <w:tc>
          <w:tcPr>
            <w:tcW w:w="3660" w:type="dxa"/>
            <w:vAlign w:val="bottom"/>
            <w:gridSpan w:val="4"/>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GLOSSARY OF TERMS</w:t>
            </w:r>
          </w:p>
        </w:tc>
        <w:tc>
          <w:tcPr>
            <w:tcW w:w="3660" w:type="dxa"/>
            <w:vAlign w:val="bottom"/>
            <w:gridSpan w:val="4"/>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2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20" w:type="dxa"/>
            <w:vAlign w:val="bottom"/>
            <w:gridSpan w:val="8"/>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 FINANCIAL STATEMENTS AND NOTES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 OPERATIONS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9"/>
        </w:trPr>
        <w:tc>
          <w:tcPr>
            <w:tcW w:w="20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ITEM 3 — QUANTITATIVE AND QUALITATIVE DISCLOSURES ABOUT MARKET RISK</w:t>
            </w:r>
          </w:p>
        </w:tc>
        <w:tc>
          <w:tcPr>
            <w:tcW w:w="27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6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10"/>
        </w:trPr>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 RISK FACTORS</w:t>
            </w:r>
          </w:p>
        </w:tc>
        <w:tc>
          <w:tcPr>
            <w:tcW w:w="480" w:type="dxa"/>
            <w:vAlign w:val="bottom"/>
            <w:tcBorders>
              <w:top w:val="single" w:sz="8" w:color="0000FF"/>
            </w:tcBorders>
          </w:tcPr>
          <w:p>
            <w:pPr>
              <w:spacing w:after="0"/>
              <w:rPr>
                <w:sz w:val="18"/>
                <w:szCs w:val="18"/>
                <w:color w:val="auto"/>
              </w:rPr>
            </w:pPr>
          </w:p>
        </w:tc>
        <w:tc>
          <w:tcPr>
            <w:tcW w:w="756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09"/>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3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4</w:t>
            </w:r>
          </w:p>
        </w:tc>
        <w:tc>
          <w:tcPr>
            <w:tcW w:w="27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 MINE SAFETY DISCLOSURES</w:t>
            </w:r>
          </w:p>
        </w:tc>
        <w:tc>
          <w:tcPr>
            <w:tcW w:w="69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21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 OTHER INFORMATION</w:t>
            </w:r>
          </w:p>
        </w:tc>
        <w:tc>
          <w:tcPr>
            <w:tcW w:w="754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6</w:t>
            </w:r>
          </w:p>
        </w:tc>
        <w:tc>
          <w:tcPr>
            <w:tcW w:w="10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 EXHIBITS</w:t>
            </w:r>
          </w:p>
        </w:tc>
        <w:tc>
          <w:tcPr>
            <w:tcW w:w="86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2024, as well as the following:</w:t>
      </w:r>
    </w:p>
    <w:p>
      <w:pPr>
        <w:spacing w:after="0" w:line="3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CEG and its owners;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investment opportunities, as well as acquisitions from, and dispositions to, third parties;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CEG;</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85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324"/>
        </w:trPr>
        <w:tc>
          <w:tcPr>
            <w:tcW w:w="1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203"/>
        </w:trPr>
        <w:tc>
          <w:tcPr>
            <w:tcW w:w="2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2024 Form 10-K</w:t>
            </w:r>
          </w:p>
        </w:tc>
        <w:tc>
          <w:tcPr>
            <w:tcW w:w="85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The Company’s Annual Report on Form 10-K for the year ended December 31, 2024, as filed with the SEC on</w:t>
            </w:r>
          </w:p>
        </w:tc>
      </w:tr>
      <w:tr>
        <w:trPr>
          <w:trHeight w:val="234"/>
        </w:trPr>
        <w:tc>
          <w:tcPr>
            <w:tcW w:w="26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184"/>
        </w:trPr>
        <w:tc>
          <w:tcPr>
            <w:tcW w:w="2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2028 Senior Notes</w:t>
            </w:r>
          </w:p>
        </w:tc>
        <w:tc>
          <w:tcPr>
            <w:tcW w:w="8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$850 million aggregate principal amount of 4.75% unsecured senior notes due 2028, issued by Clearway Energy</w:t>
            </w:r>
          </w:p>
        </w:tc>
      </w:tr>
      <w:tr>
        <w:trPr>
          <w:trHeight w:val="234"/>
        </w:trPr>
        <w:tc>
          <w:tcPr>
            <w:tcW w:w="26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2031 Senior Notes</w:t>
            </w:r>
          </w:p>
        </w:tc>
        <w:tc>
          <w:tcPr>
            <w:tcW w:w="8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$925 million aggregate principal amount of 3.75% unsecured senior notes due 2031, issued by Clearway Energy</w:t>
            </w:r>
          </w:p>
        </w:tc>
      </w:tr>
      <w:tr>
        <w:trPr>
          <w:trHeight w:val="234"/>
        </w:trPr>
        <w:tc>
          <w:tcPr>
            <w:tcW w:w="26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2032 Senior Notes</w:t>
            </w:r>
          </w:p>
        </w:tc>
        <w:tc>
          <w:tcPr>
            <w:tcW w:w="8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$350 million aggregate principal amount of 3.75% unsecured senior notes due 2032, issued by Clearway Energy</w:t>
            </w:r>
          </w:p>
        </w:tc>
      </w:tr>
      <w:tr>
        <w:trPr>
          <w:trHeight w:val="234"/>
        </w:trPr>
        <w:tc>
          <w:tcPr>
            <w:tcW w:w="26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2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non-GAAP measure, represents earnings before interest (including loss on debt extinguishment), tax,</w:t>
            </w:r>
          </w:p>
        </w:tc>
      </w:tr>
      <w:tr>
        <w:trPr>
          <w:trHeight w:val="216"/>
        </w:trPr>
        <w:tc>
          <w:tcPr>
            <w:tcW w:w="2680" w:type="dxa"/>
            <w:vAlign w:val="bottom"/>
          </w:tcPr>
          <w:p>
            <w:pPr>
              <w:spacing w:after="0"/>
              <w:rPr>
                <w:sz w:val="18"/>
                <w:szCs w:val="18"/>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adjusted for mark-to-market gains or losses, asset write offs and impairments; and</w:t>
            </w:r>
          </w:p>
        </w:tc>
      </w:tr>
      <w:tr>
        <w:trPr>
          <w:trHeight w:val="234"/>
        </w:trPr>
        <w:tc>
          <w:tcPr>
            <w:tcW w:w="26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factors which the Company does not consider indicative of future operating performance</w:t>
            </w:r>
          </w:p>
        </w:tc>
      </w:tr>
      <w:tr>
        <w:trPr>
          <w:trHeight w:val="238"/>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At-The-Market Equity Offering Program</w:t>
            </w: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BESS</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Battery energy storage system</w:t>
            </w:r>
          </w:p>
        </w:tc>
      </w:tr>
      <w:tr>
        <w:trPr>
          <w:trHeight w:val="38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BlackRock, Inc., a publicly-traded global investment management firm</w:t>
            </w:r>
          </w:p>
        </w:tc>
      </w:tr>
      <w:tr>
        <w:trPr>
          <w:trHeight w:val="180"/>
        </w:trPr>
        <w:tc>
          <w:tcPr>
            <w:tcW w:w="2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CAFD</w:t>
            </w:r>
          </w:p>
        </w:tc>
        <w:tc>
          <w:tcPr>
            <w:tcW w:w="85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A non-GAAP measure, Cash Available for Distribution is defined as of March 31, 2025 as Adjusted EBITDA plus</w:t>
            </w:r>
          </w:p>
        </w:tc>
      </w:tr>
      <w:tr>
        <w:trPr>
          <w:trHeight w:val="184"/>
        </w:trPr>
        <w:tc>
          <w:tcPr>
            <w:tcW w:w="2680" w:type="dxa"/>
            <w:vAlign w:val="bottom"/>
          </w:tcPr>
          <w:p>
            <w:pPr>
              <w:spacing w:after="0"/>
              <w:rPr>
                <w:sz w:val="16"/>
                <w:szCs w:val="16"/>
                <w:color w:val="auto"/>
              </w:rPr>
            </w:pPr>
          </w:p>
        </w:tc>
        <w:tc>
          <w:tcPr>
            <w:tcW w:w="8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cash distributions/return of investment from unconsolidated affiliates, cash receipts from notes receivable, cash</w:t>
            </w:r>
          </w:p>
        </w:tc>
      </w:tr>
      <w:tr>
        <w:trPr>
          <w:trHeight w:val="180"/>
        </w:trPr>
        <w:tc>
          <w:tcPr>
            <w:tcW w:w="2680" w:type="dxa"/>
            <w:vAlign w:val="bottom"/>
          </w:tcPr>
          <w:p>
            <w:pPr>
              <w:spacing w:after="0"/>
              <w:rPr>
                <w:sz w:val="15"/>
                <w:szCs w:val="15"/>
                <w:color w:val="auto"/>
              </w:rPr>
            </w:pPr>
          </w:p>
        </w:tc>
        <w:tc>
          <w:tcPr>
            <w:tcW w:w="85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distributions from noncontrolling interests, adjustments to reflect sales-type lease cash payments and payments for</w:t>
            </w:r>
          </w:p>
        </w:tc>
      </w:tr>
      <w:tr>
        <w:trPr>
          <w:trHeight w:val="176"/>
        </w:trPr>
        <w:tc>
          <w:tcPr>
            <w:tcW w:w="2680" w:type="dxa"/>
            <w:vAlign w:val="bottom"/>
          </w:tcPr>
          <w:p>
            <w:pPr>
              <w:spacing w:after="0"/>
              <w:rPr>
                <w:sz w:val="15"/>
                <w:szCs w:val="15"/>
                <w:color w:val="auto"/>
              </w:rPr>
            </w:pPr>
          </w:p>
        </w:tc>
        <w:tc>
          <w:tcPr>
            <w:tcW w:w="85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lease expenses, less cash distributions to noncontrolling interests, maintenance capital expenditures, pro-rata</w:t>
            </w:r>
          </w:p>
        </w:tc>
      </w:tr>
      <w:tr>
        <w:trPr>
          <w:trHeight w:val="184"/>
        </w:trPr>
        <w:tc>
          <w:tcPr>
            <w:tcW w:w="2680" w:type="dxa"/>
            <w:vAlign w:val="bottom"/>
          </w:tcPr>
          <w:p>
            <w:pPr>
              <w:spacing w:after="0"/>
              <w:rPr>
                <w:sz w:val="16"/>
                <w:szCs w:val="16"/>
                <w:color w:val="auto"/>
              </w:rPr>
            </w:pPr>
          </w:p>
        </w:tc>
        <w:tc>
          <w:tcPr>
            <w:tcW w:w="8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Adjusted EBITDA from unconsolidated affiliates, cash interest paid, income taxes paid, principal amortization of</w:t>
            </w:r>
          </w:p>
        </w:tc>
      </w:tr>
      <w:tr>
        <w:trPr>
          <w:trHeight w:val="229"/>
        </w:trPr>
        <w:tc>
          <w:tcPr>
            <w:tcW w:w="2680" w:type="dxa"/>
            <w:vAlign w:val="bottom"/>
          </w:tcPr>
          <w:p>
            <w:pPr>
              <w:spacing w:after="0"/>
              <w:rPr>
                <w:sz w:val="19"/>
                <w:szCs w:val="19"/>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indebtedness, changes in prepaid and accrued capacity payments and adjusted for development expenses</w:t>
            </w:r>
          </w:p>
        </w:tc>
      </w:tr>
      <w:tr>
        <w:trPr>
          <w:trHeight w:val="180"/>
        </w:trPr>
        <w:tc>
          <w:tcPr>
            <w:tcW w:w="2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Capistrano Portfolio Holdco LLC</w:t>
            </w:r>
          </w:p>
        </w:tc>
        <w:tc>
          <w:tcPr>
            <w:tcW w:w="85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The holding company that owns four wind facilities representing 263 MW of capacity, which includes Broken</w:t>
            </w:r>
          </w:p>
        </w:tc>
      </w:tr>
      <w:tr>
        <w:trPr>
          <w:trHeight w:val="234"/>
        </w:trPr>
        <w:tc>
          <w:tcPr>
            <w:tcW w:w="26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Bow, Crofton Bluffs, Mountain Wind 1 and Mountain Wind 2</w:t>
            </w:r>
          </w:p>
        </w:tc>
      </w:tr>
      <w:tr>
        <w:trPr>
          <w:trHeight w:val="23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180"/>
        </w:trPr>
        <w:tc>
          <w:tcPr>
            <w:tcW w:w="2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5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Amended and Restated Master Services Agreement and Payroll Sharing Agreement, effective as of January 1,</w:t>
            </w:r>
          </w:p>
        </w:tc>
      </w:tr>
      <w:tr>
        <w:trPr>
          <w:trHeight w:val="184"/>
        </w:trPr>
        <w:tc>
          <w:tcPr>
            <w:tcW w:w="2680" w:type="dxa"/>
            <w:vAlign w:val="bottom"/>
          </w:tcPr>
          <w:p>
            <w:pPr>
              <w:spacing w:after="0"/>
              <w:rPr>
                <w:sz w:val="16"/>
                <w:szCs w:val="16"/>
                <w:color w:val="auto"/>
              </w:rPr>
            </w:pPr>
          </w:p>
        </w:tc>
        <w:tc>
          <w:tcPr>
            <w:tcW w:w="8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2025, among the Company, Clearway Energy Finance Inc., Clearway Energy LLC, Clearway Energy Operating</w:t>
            </w:r>
          </w:p>
        </w:tc>
      </w:tr>
      <w:tr>
        <w:trPr>
          <w:trHeight w:val="229"/>
        </w:trPr>
        <w:tc>
          <w:tcPr>
            <w:tcW w:w="2680" w:type="dxa"/>
            <w:vAlign w:val="bottom"/>
          </w:tcPr>
          <w:p>
            <w:pPr>
              <w:spacing w:after="0"/>
              <w:rPr>
                <w:sz w:val="19"/>
                <w:szCs w:val="19"/>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LLC and CEG</w:t>
            </w:r>
          </w:p>
        </w:tc>
      </w:tr>
      <w:tr>
        <w:trPr>
          <w:trHeight w:val="180"/>
        </w:trPr>
        <w:tc>
          <w:tcPr>
            <w:tcW w:w="2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Clearway Energy LLC</w:t>
            </w:r>
          </w:p>
        </w:tc>
        <w:tc>
          <w:tcPr>
            <w:tcW w:w="85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The holding company through which the facilities are owned by Clearway Energy Group LLC, the holder of Class</w:t>
            </w:r>
          </w:p>
        </w:tc>
      </w:tr>
      <w:tr>
        <w:trPr>
          <w:trHeight w:val="234"/>
        </w:trPr>
        <w:tc>
          <w:tcPr>
            <w:tcW w:w="26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 and Class D units, and Clearway Energy, Inc., the holder of the Class A and Class C units</w:t>
            </w:r>
          </w:p>
        </w:tc>
      </w:tr>
      <w:tr>
        <w:trPr>
          <w:trHeight w:val="184"/>
        </w:trPr>
        <w:tc>
          <w:tcPr>
            <w:tcW w:w="2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Clearway Energy Group LLC</w:t>
            </w:r>
          </w:p>
        </w:tc>
        <w:tc>
          <w:tcPr>
            <w:tcW w:w="8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The holder of all shares of the Company’s Class B and Class D common stock and Clearway Energy LLC’s Class</w:t>
            </w:r>
          </w:p>
        </w:tc>
      </w:tr>
      <w:tr>
        <w:trPr>
          <w:trHeight w:val="184"/>
        </w:trPr>
        <w:tc>
          <w:tcPr>
            <w:tcW w:w="2680" w:type="dxa"/>
            <w:vAlign w:val="bottom"/>
          </w:tcPr>
          <w:p>
            <w:pPr>
              <w:spacing w:after="0"/>
              <w:rPr>
                <w:sz w:val="16"/>
                <w:szCs w:val="16"/>
                <w:color w:val="auto"/>
              </w:rPr>
            </w:pPr>
          </w:p>
        </w:tc>
        <w:tc>
          <w:tcPr>
            <w:tcW w:w="8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B and Class D units and, from time to time, possibly shares of the Company’s Class A and/or Class C common</w:t>
            </w:r>
          </w:p>
        </w:tc>
      </w:tr>
      <w:tr>
        <w:trPr>
          <w:trHeight w:val="180"/>
        </w:trPr>
        <w:tc>
          <w:tcPr>
            <w:tcW w:w="2680" w:type="dxa"/>
            <w:vAlign w:val="bottom"/>
          </w:tcPr>
          <w:p>
            <w:pPr>
              <w:spacing w:after="0"/>
              <w:rPr>
                <w:sz w:val="15"/>
                <w:szCs w:val="15"/>
                <w:color w:val="auto"/>
              </w:rPr>
            </w:pPr>
          </w:p>
        </w:tc>
        <w:tc>
          <w:tcPr>
            <w:tcW w:w="85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stock. Clearway Energy Group LLC is a leading developer of renewable energy, energy storage and power</w:t>
            </w:r>
          </w:p>
        </w:tc>
      </w:tr>
      <w:tr>
        <w:trPr>
          <w:trHeight w:val="225"/>
        </w:trPr>
        <w:tc>
          <w:tcPr>
            <w:tcW w:w="2680" w:type="dxa"/>
            <w:vAlign w:val="bottom"/>
          </w:tcPr>
          <w:p>
            <w:pPr>
              <w:spacing w:after="0"/>
              <w:rPr>
                <w:sz w:val="19"/>
                <w:szCs w:val="19"/>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infrastructure in the U.S.</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holder of facilities that are owned by Clearway Energy LLC</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Renew</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Clearway Renew LLC, a subsidiary of CEG, and its wholly-owned subsidiaries</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 Holdco</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Daggett 1 Class B</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Daggett 1 Class B Member LLC</w:t>
            </w:r>
          </w:p>
        </w:tc>
      </w:tr>
      <w:tr>
        <w:trPr>
          <w:trHeight w:val="180"/>
        </w:trPr>
        <w:tc>
          <w:tcPr>
            <w:tcW w:w="2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Distributed Solar</w:t>
            </w:r>
          </w:p>
        </w:tc>
        <w:tc>
          <w:tcPr>
            <w:tcW w:w="85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w w:val="99"/>
              </w:rPr>
              <w:t>Solar power facilities, typically less than 20 MW in size (on an alternating current, or AC, basis), that primarily sell</w:t>
            </w:r>
          </w:p>
        </w:tc>
      </w:tr>
      <w:tr>
        <w:trPr>
          <w:trHeight w:val="234"/>
        </w:trPr>
        <w:tc>
          <w:tcPr>
            <w:tcW w:w="26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 produced to customers for usage on site, or are interconnected to sell power into the local distribution grid</w:t>
            </w:r>
          </w:p>
        </w:tc>
      </w:tr>
      <w:tr>
        <w:trPr>
          <w:trHeight w:val="23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r>
      <w:tr>
        <w:trPr>
          <w:trHeight w:val="180"/>
        </w:trPr>
        <w:tc>
          <w:tcPr>
            <w:tcW w:w="2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ERCOT</w:t>
            </w:r>
          </w:p>
        </w:tc>
        <w:tc>
          <w:tcPr>
            <w:tcW w:w="85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Electric Reliability Council of Texas, the ISO and the regional reliability coordinator of the various electricity</w:t>
            </w:r>
          </w:p>
        </w:tc>
      </w:tr>
      <w:tr>
        <w:trPr>
          <w:trHeight w:val="234"/>
        </w:trPr>
        <w:tc>
          <w:tcPr>
            <w:tcW w:w="26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systems within Texas</w:t>
            </w:r>
          </w:p>
        </w:tc>
      </w:tr>
      <w:tr>
        <w:trPr>
          <w:trHeight w:val="23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864"/>
        </w:trPr>
        <w:tc>
          <w:tcPr>
            <w:tcW w:w="268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Times New Roman" w:cs="Times New Roman" w:eastAsia="Times New Roman" w:hAnsi="Times New Roman"/>
                <w:sz w:val="18"/>
                <w:szCs w:val="18"/>
                <w:color w:val="231F20"/>
              </w:rPr>
              <w:t>4</w:t>
            </w:r>
          </w:p>
        </w:tc>
      </w:tr>
      <w:tr>
        <w:trPr>
          <w:trHeight w:val="115"/>
        </w:trPr>
        <w:tc>
          <w:tcPr>
            <w:tcW w:w="2680" w:type="dxa"/>
            <w:vAlign w:val="bottom"/>
            <w:tcBorders>
              <w:bottom w:val="single" w:sz="8" w:color="9A9A9A"/>
            </w:tcBorders>
          </w:tcPr>
          <w:p>
            <w:pPr>
              <w:spacing w:after="0"/>
              <w:rPr>
                <w:sz w:val="10"/>
                <w:szCs w:val="10"/>
                <w:color w:val="auto"/>
              </w:rPr>
            </w:pPr>
          </w:p>
        </w:tc>
        <w:tc>
          <w:tcPr>
            <w:tcW w:w="8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Flexible Generation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GenConn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Formerly the Conventional Generation segment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GenConn Energy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Infrastructure Management, LLC, the manager of GIP and an indirect subsidiary of BlackRock</w:t>
      </w:r>
    </w:p>
    <w:p>
      <w:pPr>
        <w:spacing w:after="0" w:line="1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Global Infrastructure Partners, an infrastructure fund manager managed by GIM that makes equity and debt investments in infrastructure assets and businesses. GIM is an indirect subsidiary of BlackRock.</w:t>
      </w:r>
    </w:p>
    <w:p>
      <w:pPr>
        <w:spacing w:after="0" w:line="91" w:lineRule="exact"/>
        <w:rPr>
          <w:sz w:val="20"/>
          <w:szCs w:val="20"/>
          <w:color w:val="auto"/>
        </w:rPr>
      </w:pPr>
    </w:p>
    <w:p>
      <w:pPr>
        <w:sectPr>
          <w:pgSz w:w="11900" w:h="16838" w:orient="portrait"/>
          <w:cols w:equalWidth="0" w:num="2">
            <w:col w:w="2160" w:space="720"/>
            <w:col w:w="8320"/>
          </w:cols>
          <w:pgMar w:left="340" w:top="931" w:right="359" w:bottom="1440" w:gutter="0" w:footer="0" w:header="0"/>
        </w:sect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GW</w:t>
      </w:r>
      <w:r>
        <w:rPr>
          <w:sz w:val="20"/>
          <w:szCs w:val="20"/>
          <w:color w:val="auto"/>
        </w:rPr>
        <w:tab/>
      </w:r>
      <w:r>
        <w:rPr>
          <w:rFonts w:ascii="Times New Roman" w:cs="Times New Roman" w:eastAsia="Times New Roman" w:hAnsi="Times New Roman"/>
          <w:sz w:val="18"/>
          <w:szCs w:val="18"/>
          <w:color w:val="auto"/>
        </w:rPr>
        <w:t>Gigawatt</w:t>
      </w:r>
    </w:p>
    <w:p>
      <w:pPr>
        <w:spacing w:after="0" w:line="27"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HLBV</w:t>
      </w:r>
      <w:r>
        <w:rPr>
          <w:sz w:val="20"/>
          <w:szCs w:val="20"/>
          <w:color w:val="auto"/>
        </w:rPr>
        <w:tab/>
      </w:r>
      <w:r>
        <w:rPr>
          <w:rFonts w:ascii="Times New Roman" w:cs="Times New Roman" w:eastAsia="Times New Roman" w:hAnsi="Times New Roman"/>
          <w:sz w:val="18"/>
          <w:szCs w:val="18"/>
          <w:color w:val="auto"/>
        </w:rPr>
        <w:t>Hypothetical Liquidation at Book Value</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IRS</w:t>
      </w:r>
      <w:r>
        <w:rPr>
          <w:sz w:val="20"/>
          <w:szCs w:val="20"/>
          <w:color w:val="auto"/>
        </w:rPr>
        <w:tab/>
      </w:r>
      <w:r>
        <w:rPr>
          <w:rFonts w:ascii="Times New Roman" w:cs="Times New Roman" w:eastAsia="Times New Roman" w:hAnsi="Times New Roman"/>
          <w:sz w:val="18"/>
          <w:szCs w:val="18"/>
          <w:color w:val="auto"/>
        </w:rPr>
        <w:t>Internal Revenue Service</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ISO</w:t>
      </w:r>
      <w:r>
        <w:rPr>
          <w:sz w:val="20"/>
          <w:szCs w:val="20"/>
          <w:color w:val="auto"/>
        </w:rPr>
        <w:tab/>
      </w:r>
      <w:r>
        <w:rPr>
          <w:rFonts w:ascii="Times New Roman" w:cs="Times New Roman" w:eastAsia="Times New Roman" w:hAnsi="Times New Roman"/>
          <w:sz w:val="18"/>
          <w:szCs w:val="18"/>
          <w:color w:val="auto"/>
        </w:rPr>
        <w:t>Independent System Operator, also referred to as an RTO</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ITC</w:t>
      </w:r>
      <w:r>
        <w:rPr>
          <w:sz w:val="20"/>
          <w:szCs w:val="20"/>
          <w:color w:val="auto"/>
        </w:rPr>
        <w:tab/>
      </w:r>
      <w:r>
        <w:rPr>
          <w:rFonts w:ascii="Times New Roman" w:cs="Times New Roman" w:eastAsia="Times New Roman" w:hAnsi="Times New Roman"/>
          <w:sz w:val="18"/>
          <w:szCs w:val="18"/>
          <w:color w:val="auto"/>
        </w:rPr>
        <w:t>Investment Tax Credit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Luna Valley Class B</w:t>
      </w:r>
      <w:r>
        <w:rPr>
          <w:sz w:val="20"/>
          <w:szCs w:val="20"/>
          <w:color w:val="auto"/>
        </w:rPr>
        <w:tab/>
      </w:r>
      <w:r>
        <w:rPr>
          <w:rFonts w:ascii="Times New Roman" w:cs="Times New Roman" w:eastAsia="Times New Roman" w:hAnsi="Times New Roman"/>
          <w:sz w:val="17"/>
          <w:szCs w:val="17"/>
          <w:color w:val="auto"/>
        </w:rPr>
        <w:t>Luna Valley Class B Member LLC</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Mesquite Star</w:t>
      </w:r>
      <w:r>
        <w:rPr>
          <w:sz w:val="20"/>
          <w:szCs w:val="20"/>
          <w:color w:val="auto"/>
        </w:rPr>
        <w:tab/>
      </w:r>
      <w:r>
        <w:rPr>
          <w:rFonts w:ascii="Times New Roman" w:cs="Times New Roman" w:eastAsia="Times New Roman" w:hAnsi="Times New Roman"/>
          <w:sz w:val="17"/>
          <w:szCs w:val="17"/>
          <w:color w:val="auto"/>
        </w:rPr>
        <w:t>Mesquite Star Special LLC</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MMBtu</w:t>
      </w:r>
      <w:r>
        <w:rPr>
          <w:sz w:val="20"/>
          <w:szCs w:val="20"/>
          <w:color w:val="auto"/>
        </w:rPr>
        <w:tab/>
      </w:r>
      <w:r>
        <w:rPr>
          <w:rFonts w:ascii="Times New Roman" w:cs="Times New Roman" w:eastAsia="Times New Roman" w:hAnsi="Times New Roman"/>
          <w:sz w:val="18"/>
          <w:szCs w:val="18"/>
          <w:color w:val="auto"/>
        </w:rPr>
        <w:t>Million British Thermal Units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Mt. Storm</w:t>
      </w:r>
      <w:r>
        <w:rPr>
          <w:sz w:val="20"/>
          <w:szCs w:val="20"/>
          <w:color w:val="auto"/>
        </w:rPr>
        <w:tab/>
      </w:r>
      <w:r>
        <w:rPr>
          <w:rFonts w:ascii="Times New Roman" w:cs="Times New Roman" w:eastAsia="Times New Roman" w:hAnsi="Times New Roman"/>
          <w:sz w:val="18"/>
          <w:szCs w:val="18"/>
          <w:color w:val="auto"/>
        </w:rPr>
        <w:t>NedPower Mount Storm LLC</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MW</w:t>
      </w:r>
      <w:r>
        <w:rPr>
          <w:sz w:val="20"/>
          <w:szCs w:val="20"/>
          <w:color w:val="auto"/>
        </w:rPr>
        <w:tab/>
      </w:r>
      <w:r>
        <w:rPr>
          <w:rFonts w:ascii="Times New Roman" w:cs="Times New Roman" w:eastAsia="Times New Roman" w:hAnsi="Times New Roman"/>
          <w:sz w:val="18"/>
          <w:szCs w:val="18"/>
          <w:color w:val="auto"/>
        </w:rPr>
        <w:t>Megawatt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MWh</w:t>
      </w:r>
      <w:r>
        <w:rPr>
          <w:sz w:val="20"/>
          <w:szCs w:val="20"/>
          <w:color w:val="auto"/>
        </w:rPr>
        <w:tab/>
      </w:r>
      <w:r>
        <w:rPr>
          <w:rFonts w:ascii="Times New Roman" w:cs="Times New Roman" w:eastAsia="Times New Roman" w:hAnsi="Times New Roman"/>
          <w:sz w:val="18"/>
          <w:szCs w:val="18"/>
          <w:color w:val="auto"/>
        </w:rPr>
        <w:t>Saleable megawatt hours, net of internal/parasitic load megawatt-hours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Natural Gas Holdco</w:t>
      </w:r>
      <w:r>
        <w:rPr>
          <w:sz w:val="20"/>
          <w:szCs w:val="20"/>
          <w:color w:val="auto"/>
        </w:rPr>
        <w:tab/>
      </w:r>
      <w:r>
        <w:rPr>
          <w:rFonts w:ascii="Times New Roman" w:cs="Times New Roman" w:eastAsia="Times New Roman" w:hAnsi="Times New Roman"/>
          <w:sz w:val="17"/>
          <w:szCs w:val="17"/>
          <w:color w:val="auto"/>
        </w:rPr>
        <w:t>Natural Gas CA Holdco LLC</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Net Exposure</w:t>
      </w:r>
      <w:r>
        <w:rPr>
          <w:sz w:val="20"/>
          <w:szCs w:val="20"/>
          <w:color w:val="auto"/>
        </w:rPr>
        <w:tab/>
      </w:r>
      <w:r>
        <w:rPr>
          <w:rFonts w:ascii="Times New Roman" w:cs="Times New Roman" w:eastAsia="Times New Roman" w:hAnsi="Times New Roman"/>
          <w:sz w:val="17"/>
          <w:szCs w:val="17"/>
          <w:color w:val="auto"/>
        </w:rPr>
        <w:t>Counterparty credit exposure to Clearway Energy, Inc., net of collateral</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NOLs</w:t>
      </w:r>
      <w:r>
        <w:rPr>
          <w:sz w:val="20"/>
          <w:szCs w:val="20"/>
          <w:color w:val="auto"/>
        </w:rPr>
        <w:tab/>
      </w:r>
      <w:r>
        <w:rPr>
          <w:rFonts w:ascii="Times New Roman" w:cs="Times New Roman" w:eastAsia="Times New Roman" w:hAnsi="Times New Roman"/>
          <w:sz w:val="18"/>
          <w:szCs w:val="18"/>
          <w:color w:val="auto"/>
        </w:rPr>
        <w:t>Net Operating Losses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OCI</w:t>
      </w:r>
      <w:r>
        <w:rPr>
          <w:sz w:val="20"/>
          <w:szCs w:val="20"/>
          <w:color w:val="auto"/>
        </w:rPr>
        <w:tab/>
      </w:r>
      <w:r>
        <w:rPr>
          <w:rFonts w:ascii="Times New Roman" w:cs="Times New Roman" w:eastAsia="Times New Roman" w:hAnsi="Times New Roman"/>
          <w:sz w:val="18"/>
          <w:szCs w:val="18"/>
          <w:color w:val="auto"/>
        </w:rPr>
        <w:t>Other comprehensive income</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O&amp;M</w:t>
      </w:r>
      <w:r>
        <w:rPr>
          <w:sz w:val="20"/>
          <w:szCs w:val="20"/>
          <w:color w:val="auto"/>
        </w:rPr>
        <w:tab/>
      </w:r>
      <w:r>
        <w:rPr>
          <w:rFonts w:ascii="Times New Roman" w:cs="Times New Roman" w:eastAsia="Times New Roman" w:hAnsi="Times New Roman"/>
          <w:sz w:val="18"/>
          <w:szCs w:val="18"/>
          <w:color w:val="auto"/>
        </w:rPr>
        <w:t>Operations and Maintenance</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PG&amp;E</w:t>
      </w:r>
      <w:r>
        <w:rPr>
          <w:sz w:val="20"/>
          <w:szCs w:val="20"/>
          <w:color w:val="auto"/>
        </w:rPr>
        <w:tab/>
      </w:r>
      <w:r>
        <w:rPr>
          <w:rFonts w:ascii="Times New Roman" w:cs="Times New Roman" w:eastAsia="Times New Roman" w:hAnsi="Times New Roman"/>
          <w:sz w:val="18"/>
          <w:szCs w:val="18"/>
          <w:color w:val="auto"/>
        </w:rPr>
        <w:t>Pacific Gas and Electric Company</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PJM</w:t>
      </w:r>
      <w:r>
        <w:rPr>
          <w:sz w:val="20"/>
          <w:szCs w:val="20"/>
          <w:color w:val="auto"/>
        </w:rPr>
        <w:tab/>
      </w:r>
      <w:r>
        <w:rPr>
          <w:rFonts w:ascii="Times New Roman" w:cs="Times New Roman" w:eastAsia="Times New Roman" w:hAnsi="Times New Roman"/>
          <w:sz w:val="18"/>
          <w:szCs w:val="18"/>
          <w:color w:val="auto"/>
        </w:rPr>
        <w:t>PJM Interconnection, LLC</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PPA</w:t>
      </w:r>
      <w:r>
        <w:rPr>
          <w:sz w:val="20"/>
          <w:szCs w:val="20"/>
          <w:color w:val="auto"/>
        </w:rPr>
        <w:tab/>
      </w:r>
      <w:r>
        <w:rPr>
          <w:rFonts w:ascii="Times New Roman" w:cs="Times New Roman" w:eastAsia="Times New Roman" w:hAnsi="Times New Roman"/>
          <w:sz w:val="18"/>
          <w:szCs w:val="18"/>
          <w:color w:val="auto"/>
        </w:rPr>
        <w:t>Power Purchase Agreement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PTC</w:t>
      </w:r>
      <w:r>
        <w:rPr>
          <w:sz w:val="20"/>
          <w:szCs w:val="20"/>
          <w:color w:val="auto"/>
        </w:rPr>
        <w:tab/>
      </w:r>
      <w:r>
        <w:rPr>
          <w:rFonts w:ascii="Times New Roman" w:cs="Times New Roman" w:eastAsia="Times New Roman" w:hAnsi="Times New Roman"/>
          <w:sz w:val="18"/>
          <w:szCs w:val="18"/>
          <w:color w:val="auto"/>
        </w:rPr>
        <w:t>Production Tax Credit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RA</w:t>
      </w:r>
      <w:r>
        <w:rPr>
          <w:sz w:val="20"/>
          <w:szCs w:val="20"/>
          <w:color w:val="auto"/>
        </w:rPr>
        <w:tab/>
      </w:r>
      <w:r>
        <w:rPr>
          <w:rFonts w:ascii="Times New Roman" w:cs="Times New Roman" w:eastAsia="Times New Roman" w:hAnsi="Times New Roman"/>
          <w:sz w:val="18"/>
          <w:szCs w:val="18"/>
          <w:color w:val="auto"/>
        </w:rPr>
        <w:t>Resource adequacy</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Renewables &amp; Storage</w:t>
      </w:r>
      <w:r>
        <w:rPr>
          <w:sz w:val="20"/>
          <w:szCs w:val="20"/>
          <w:color w:val="auto"/>
        </w:rPr>
        <w:tab/>
      </w:r>
      <w:r>
        <w:rPr>
          <w:rFonts w:ascii="Times New Roman" w:cs="Times New Roman" w:eastAsia="Times New Roman" w:hAnsi="Times New Roman"/>
          <w:sz w:val="18"/>
          <w:szCs w:val="18"/>
          <w:color w:val="auto"/>
        </w:rPr>
        <w:t>Formerly the Renewables segment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RENOM</w:t>
      </w:r>
      <w:r>
        <w:rPr>
          <w:sz w:val="20"/>
          <w:szCs w:val="20"/>
          <w:color w:val="auto"/>
        </w:rPr>
        <w:tab/>
      </w:r>
      <w:r>
        <w:rPr>
          <w:rFonts w:ascii="Times New Roman" w:cs="Times New Roman" w:eastAsia="Times New Roman" w:hAnsi="Times New Roman"/>
          <w:sz w:val="18"/>
          <w:szCs w:val="18"/>
          <w:color w:val="auto"/>
        </w:rPr>
        <w:t>Clearway Renewable Operation &amp; Maintenance LLC, a wholly-owned subsidiary of CEG</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Rosie South TargetCo</w:t>
      </w:r>
      <w:r>
        <w:rPr>
          <w:sz w:val="20"/>
          <w:szCs w:val="20"/>
          <w:color w:val="auto"/>
        </w:rPr>
        <w:tab/>
      </w:r>
      <w:r>
        <w:rPr>
          <w:rFonts w:ascii="Times New Roman" w:cs="Times New Roman" w:eastAsia="Times New Roman" w:hAnsi="Times New Roman"/>
          <w:sz w:val="17"/>
          <w:szCs w:val="17"/>
          <w:color w:val="auto"/>
        </w:rPr>
        <w:t>Rosie South TargetCo LLC, a partnership and indirect owner of Rosamond South I</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RTO</w:t>
      </w:r>
      <w:r>
        <w:rPr>
          <w:sz w:val="20"/>
          <w:szCs w:val="20"/>
          <w:color w:val="auto"/>
        </w:rPr>
        <w:tab/>
      </w:r>
      <w:r>
        <w:rPr>
          <w:rFonts w:ascii="Times New Roman" w:cs="Times New Roman" w:eastAsia="Times New Roman" w:hAnsi="Times New Roman"/>
          <w:sz w:val="18"/>
          <w:szCs w:val="18"/>
          <w:color w:val="auto"/>
        </w:rPr>
        <w:t>Regional Transmission Organization</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SCE</w:t>
      </w:r>
      <w:r>
        <w:rPr>
          <w:sz w:val="20"/>
          <w:szCs w:val="20"/>
          <w:color w:val="auto"/>
        </w:rPr>
        <w:tab/>
      </w:r>
      <w:r>
        <w:rPr>
          <w:rFonts w:ascii="Times New Roman" w:cs="Times New Roman" w:eastAsia="Times New Roman" w:hAnsi="Times New Roman"/>
          <w:sz w:val="18"/>
          <w:szCs w:val="18"/>
          <w:color w:val="auto"/>
        </w:rPr>
        <w:t>Southern California Edison</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SDG&amp;E</w:t>
      </w:r>
      <w:r>
        <w:rPr>
          <w:sz w:val="20"/>
          <w:szCs w:val="20"/>
          <w:color w:val="auto"/>
        </w:rPr>
        <w:tab/>
      </w:r>
      <w:r>
        <w:rPr>
          <w:rFonts w:ascii="Times New Roman" w:cs="Times New Roman" w:eastAsia="Times New Roman" w:hAnsi="Times New Roman"/>
          <w:sz w:val="18"/>
          <w:szCs w:val="18"/>
          <w:color w:val="auto"/>
        </w:rPr>
        <w:t>San Diego Gas &amp; Electric</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SEC</w:t>
      </w:r>
      <w:r>
        <w:rPr>
          <w:sz w:val="20"/>
          <w:szCs w:val="20"/>
          <w:color w:val="auto"/>
        </w:rPr>
        <w:tab/>
      </w:r>
      <w:r>
        <w:rPr>
          <w:rFonts w:ascii="Times New Roman" w:cs="Times New Roman" w:eastAsia="Times New Roman" w:hAnsi="Times New Roman"/>
          <w:sz w:val="18"/>
          <w:szCs w:val="18"/>
          <w:color w:val="auto"/>
        </w:rPr>
        <w:t>U.S. Securities and Exchange Commission</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Senior Notes</w:t>
      </w:r>
      <w:r>
        <w:rPr>
          <w:sz w:val="20"/>
          <w:szCs w:val="20"/>
          <w:color w:val="auto"/>
        </w:rPr>
        <w:tab/>
      </w:r>
      <w:r>
        <w:rPr>
          <w:rFonts w:ascii="Times New Roman" w:cs="Times New Roman" w:eastAsia="Times New Roman" w:hAnsi="Times New Roman"/>
          <w:sz w:val="17"/>
          <w:szCs w:val="17"/>
          <w:color w:val="auto"/>
        </w:rPr>
        <w:t>Collectively, the 2028 Senior Notes, the 2031 Senior Notes and the 2032 Senior Notes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SOFR</w:t>
      </w:r>
      <w:r>
        <w:rPr>
          <w:sz w:val="20"/>
          <w:szCs w:val="20"/>
          <w:color w:val="auto"/>
        </w:rPr>
        <w:tab/>
      </w: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SPP</w:t>
      </w:r>
      <w:r>
        <w:rPr>
          <w:sz w:val="20"/>
          <w:szCs w:val="20"/>
          <w:color w:val="auto"/>
        </w:rPr>
        <w:tab/>
      </w:r>
      <w:r>
        <w:rPr>
          <w:rFonts w:ascii="Times New Roman" w:cs="Times New Roman" w:eastAsia="Times New Roman" w:hAnsi="Times New Roman"/>
          <w:sz w:val="18"/>
          <w:szCs w:val="18"/>
          <w:color w:val="auto"/>
        </w:rPr>
        <w:t>Solar Power Partners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SREC</w:t>
      </w:r>
      <w:r>
        <w:rPr>
          <w:sz w:val="20"/>
          <w:szCs w:val="20"/>
          <w:color w:val="auto"/>
        </w:rPr>
        <w:tab/>
      </w:r>
      <w:r>
        <w:rPr>
          <w:rFonts w:ascii="Times New Roman" w:cs="Times New Roman" w:eastAsia="Times New Roman" w:hAnsi="Times New Roman"/>
          <w:sz w:val="18"/>
          <w:szCs w:val="18"/>
          <w:color w:val="auto"/>
        </w:rPr>
        <w:t>Solar Renewable Energy Credit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TotalEnergies</w:t>
      </w:r>
      <w:r>
        <w:rPr>
          <w:sz w:val="20"/>
          <w:szCs w:val="20"/>
          <w:color w:val="auto"/>
        </w:rPr>
        <w:tab/>
      </w:r>
      <w:r>
        <w:rPr>
          <w:rFonts w:ascii="Times New Roman" w:cs="Times New Roman" w:eastAsia="Times New Roman" w:hAnsi="Times New Roman"/>
          <w:sz w:val="18"/>
          <w:szCs w:val="18"/>
          <w:color w:val="auto"/>
        </w:rPr>
        <w:t>TotalEnergies SE, a global multi-energy company</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United States of America</w:t>
      </w:r>
    </w:p>
    <w:p>
      <w:pPr>
        <w:spacing w:after="0" w:line="6"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Utah Solar Portfolio</w:t>
      </w:r>
      <w:r>
        <w:rPr>
          <w:sz w:val="20"/>
          <w:szCs w:val="20"/>
          <w:color w:val="auto"/>
        </w:rPr>
        <w:tab/>
      </w:r>
      <w:r>
        <w:rPr>
          <w:rFonts w:ascii="Times New Roman" w:cs="Times New Roman" w:eastAsia="Times New Roman" w:hAnsi="Times New Roman"/>
          <w:sz w:val="18"/>
          <w:szCs w:val="18"/>
          <w:color w:val="auto"/>
        </w:rPr>
        <w:t>Seven utility-scale solar farms located in Utah, representing 530 MW of capacity, which includes Enterprise,</w:t>
      </w:r>
    </w:p>
    <w:p>
      <w:pPr>
        <w:ind w:left="2880"/>
        <w:spacing w:after="0"/>
        <w:rPr>
          <w:sz w:val="20"/>
          <w:szCs w:val="20"/>
          <w:color w:val="auto"/>
        </w:rPr>
      </w:pPr>
      <w:r>
        <w:rPr>
          <w:rFonts w:ascii="Times New Roman" w:cs="Times New Roman" w:eastAsia="Times New Roman" w:hAnsi="Times New Roman"/>
          <w:sz w:val="18"/>
          <w:szCs w:val="18"/>
          <w:color w:val="auto"/>
        </w:rPr>
        <w:t>Escalante I, Escalante II, Escalante III, Granite Mountain East, Granite Mountain West and Iron Springs</w:t>
      </w:r>
    </w:p>
    <w:p>
      <w:pPr>
        <w:spacing w:after="0" w:line="5"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Utility Scale Solar</w:t>
      </w:r>
      <w:r>
        <w:rPr>
          <w:sz w:val="20"/>
          <w:szCs w:val="20"/>
          <w:color w:val="auto"/>
        </w:rPr>
        <w:tab/>
      </w:r>
      <w:r>
        <w:rPr>
          <w:rFonts w:ascii="Times New Roman" w:cs="Times New Roman" w:eastAsia="Times New Roman" w:hAnsi="Times New Roman"/>
          <w:sz w:val="18"/>
          <w:szCs w:val="18"/>
          <w:color w:val="auto"/>
        </w:rPr>
        <w:t>Solar power facilities, typically 20 MW or greater in size (on an alternating current, or AC, basis), that are</w:t>
      </w:r>
    </w:p>
    <w:p>
      <w:pPr>
        <w:ind w:left="2880"/>
        <w:spacing w:after="0"/>
        <w:rPr>
          <w:sz w:val="20"/>
          <w:szCs w:val="20"/>
          <w:color w:val="auto"/>
        </w:rPr>
      </w:pPr>
      <w:r>
        <w:rPr>
          <w:rFonts w:ascii="Times New Roman" w:cs="Times New Roman" w:eastAsia="Times New Roman" w:hAnsi="Times New Roman"/>
          <w:sz w:val="18"/>
          <w:szCs w:val="18"/>
          <w:color w:val="auto"/>
        </w:rPr>
        <w:t>interconnected into the transmission or distribution grid to sell power at a wholesale level</w:t>
      </w:r>
    </w:p>
    <w:p>
      <w:pPr>
        <w:spacing w:after="0" w:line="16"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VIE</w:t>
      </w:r>
      <w:r>
        <w:rPr>
          <w:sz w:val="20"/>
          <w:szCs w:val="20"/>
          <w:color w:val="auto"/>
        </w:rPr>
        <w:tab/>
      </w:r>
      <w:r>
        <w:rPr>
          <w:rFonts w:ascii="Times New Roman" w:cs="Times New Roman" w:eastAsia="Times New Roman" w:hAnsi="Times New Roman"/>
          <w:sz w:val="18"/>
          <w:szCs w:val="18"/>
          <w:color w:val="auto"/>
        </w:rPr>
        <w:t>Variable Interest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type w:val="continuous"/>
        </w:sectPr>
      </w:pPr>
    </w:p>
    <w:bookmarkStart w:id="5" w:name="page6"/>
    <w:bookmarkEnd w:id="5"/>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 below</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and 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Earnings (Loss) Per Share Attributable to Clearway Energy, Inc. Class A and Class C Common</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Weighted Average Class A and Class C Common Share - Basic and Diluted</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0.4033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0.4312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0.4033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derivatives and changes in accumulated OCI, net of income tax benefit of $(1), and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 and redeemable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Clearway Energy,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80" w:type="dxa"/>
            <w:vAlign w:val="bottom"/>
            <w:vMerge w:val="restart"/>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0" w:type="dxa"/>
            <w:vAlign w:val="bottom"/>
          </w:tcPr>
          <w:p>
            <w:pPr>
              <w:spacing w:after="0"/>
              <w:rPr>
                <w:sz w:val="1"/>
                <w:szCs w:val="1"/>
                <w:color w:val="auto"/>
              </w:rPr>
            </w:pPr>
          </w:p>
        </w:tc>
      </w:tr>
      <w:tr>
        <w:trPr>
          <w:trHeight w:val="19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8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19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liabilities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w:t>
            </w:r>
          </w:p>
        </w:tc>
        <w:tc>
          <w:tcPr>
            <w:tcW w:w="0" w:type="dxa"/>
            <w:vAlign w:val="bottom"/>
          </w:tcPr>
          <w:p>
            <w:pPr>
              <w:spacing w:after="0"/>
              <w:rPr>
                <w:sz w:val="1"/>
                <w:szCs w:val="1"/>
                <w:color w:val="auto"/>
              </w:rPr>
            </w:pPr>
          </w:p>
        </w:tc>
      </w:tr>
      <w:tr>
        <w:trPr>
          <w:trHeight w:val="19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8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202,147,579 shares issued and</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(Class A 34,613,853, Class B 42,738,750, Class C 83,218,834, Class D 41,576,142) at March 31, 2025</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202,147,579 shares issued and outstanding (Class A 34,613,853, Class B 42,738,750, Class C 82,833,226, Class D</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41,961,750) at December 31, 2024</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140"/>
          </w:cols>
          <w:pgMar w:left="320" w:top="88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derivative instruments and amortization of accumulated OCI</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Drop Down Assets, net of cash acquired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 net of distributions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1"/>
                <w:szCs w:val="11"/>
                <w:color w:val="auto"/>
              </w:rPr>
            </w:pPr>
          </w:p>
        </w:tc>
        <w:tc>
          <w:tcPr>
            <w:tcW w:w="920" w:type="dxa"/>
            <w:vAlign w:val="bottom"/>
          </w:tcPr>
          <w:p>
            <w:pPr>
              <w:jc w:val="center"/>
              <w:ind w:right="63"/>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4"/>
                <w:szCs w:val="14"/>
                <w:color w:val="auto"/>
              </w:rPr>
            </w:pPr>
          </w:p>
        </w:tc>
        <w:tc>
          <w:tcPr>
            <w:tcW w:w="92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4"/>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5,564</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Unrealized loss on derivatives and changes in</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cash</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interests, non-cash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2"/>
        </w:trPr>
        <w:tc>
          <w:tcPr>
            <w:tcW w:w="3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5,420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restart"/>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12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63"/>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3"/>
        </w:trPr>
        <w:tc>
          <w:tcPr>
            <w:tcW w:w="3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2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4,994</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Unrealized (loss) gain on derivatives and changes in</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cash</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5,045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time to time, CEG may also hold shares of the Company’s Class A and/or Class C common stock.</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2025, the Company owned 58.29% of the economic interests of Clearway Energy LLC, with CEG owning 41.71% of the economic interests of Clearway Energy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8"/>
          <w:szCs w:val="18"/>
          <w:color w:val="auto"/>
        </w:rPr>
        <w:t>The following table represents a summarized structure of the Company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606415" cy="4105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2024 Form 10-K. Interim results are not necessarily indicative of results for a full year.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for a fair statement of the Company’s consolidated financial position as of March 31, 2025, and results of operations, comprehensive income (loss) and cash flows for the three months ended March 31, 2025 and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subsidiary facilities was $207 million and $194 million as of March 31, 2025 and December 31, 2024, respectively.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920" w:type="dxa"/>
            <w:vAlign w:val="bottom"/>
          </w:tcPr>
          <w:p>
            <w:pPr>
              <w:spacing w:after="0"/>
              <w:rPr>
                <w:sz w:val="18"/>
                <w:szCs w:val="18"/>
                <w:color w:val="auto"/>
              </w:rPr>
            </w:pPr>
          </w:p>
        </w:tc>
      </w:tr>
      <w:tr>
        <w:trPr>
          <w:trHeight w:val="27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7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148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facilities that are restricted in their use. As of March 31, 2025, these restricted funds were comprised of $166 million designated to fund operating expenses, $133 million designated for current debt service payments and $83 million restricted for reserves including debt service, performance obligations and other reserves as well as capital expenditures. The remaining $32 million is held in distributions reserve accounts.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26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and Class C common stock during the three months ended March 31,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2025</w:t>
            </w:r>
          </w:p>
        </w:tc>
      </w:tr>
      <w:tr>
        <w:trPr>
          <w:trHeight w:val="23"/>
        </w:trPr>
        <w:tc>
          <w:tcPr>
            <w:tcW w:w="9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r>
      <w:tr>
        <w:trPr>
          <w:trHeight w:val="23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0.4312</w:t>
            </w:r>
          </w:p>
        </w:tc>
      </w:tr>
    </w:tbl>
    <w:p>
      <w:pPr>
        <w:spacing w:after="0" w:line="2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On April 29, 2025, the Company declared quarterly dividends on its Class A and Class C common stock of $0.4384 per share payable on June 16, 2025 to stockholders of record as of June 2,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Distributions to CEG</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distributions paid to CEG during the three months ended March 31, 2025 on Clearway Energy LLC’s Class B and D units: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2025</w:t>
            </w:r>
          </w:p>
        </w:tc>
      </w:tr>
      <w:tr>
        <w:trPr>
          <w:trHeight w:val="23"/>
        </w:trPr>
        <w:tc>
          <w:tcPr>
            <w:tcW w:w="9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B Unit</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per Class D Unit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0.4312</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29, 2025, Clearway Energy LLC declared a distribution on its Class B and Class D units of $0.4384 per unit payable on June 16, 2025 to unit holders of record as of June 2,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6"/>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40" w:type="dxa"/>
            <w:vAlign w:val="bottom"/>
          </w:tcPr>
          <w:p>
            <w:pPr>
              <w:spacing w:after="0"/>
              <w:rPr>
                <w:sz w:val="16"/>
                <w:szCs w:val="16"/>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333333"/>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248</w:t>
            </w:r>
          </w:p>
        </w:tc>
        <w:tc>
          <w:tcPr>
            <w:tcW w:w="0" w:type="dxa"/>
            <w:vAlign w:val="bottom"/>
          </w:tcPr>
          <w:p>
            <w:pPr>
              <w:spacing w:after="0"/>
              <w:rPr>
                <w:sz w:val="1"/>
                <w:szCs w:val="1"/>
                <w:color w:val="auto"/>
              </w:rPr>
            </w:pPr>
          </w:p>
        </w:tc>
      </w:tr>
      <w:tr>
        <w:trPr>
          <w:trHeight w:val="31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85</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20</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(44)</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298</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44</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(210)</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333333"/>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143</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151"/>
        <w:spacing w:after="0"/>
        <w:tabs>
          <w:tab w:leader="none" w:pos="2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40" w:type="dxa"/>
            <w:vAlign w:val="bottom"/>
          </w:tcPr>
          <w:p>
            <w:pPr>
              <w:spacing w:after="0"/>
              <w:rPr>
                <w:sz w:val="16"/>
                <w:szCs w:val="16"/>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22</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221</w:t>
            </w: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311"/>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0"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left="4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contract assets included on the Company’s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920" w:type="dxa"/>
            <w:vAlign w:val="bottom"/>
          </w:tcPr>
          <w:p>
            <w:pPr>
              <w:spacing w:after="0"/>
              <w:rPr>
                <w:sz w:val="18"/>
                <w:szCs w:val="18"/>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8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Tuolumne Wind Acquisition — </w:t>
      </w:r>
      <w:r>
        <w:rPr>
          <w:rFonts w:ascii="Times New Roman" w:cs="Times New Roman" w:eastAsia="Times New Roman" w:hAnsi="Times New Roman"/>
          <w:sz w:val="18"/>
          <w:szCs w:val="18"/>
          <w:color w:val="auto"/>
        </w:rPr>
        <w:t>On April 29, 2025, the Company acquired Tuolumne, a 137 MW wind facility located in Klickitat County,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from an investment-grade regulated entity for approximately $207 million, subject to working capital adjustments.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Company utilized a portion of the proceeds from the term loan to pay $4 million in related financing costs. The term loan bears interest at a rate of SOFR plus 1.625% per annum and matures on April 28, 2030. The acquisition was funded with the borrowings under the new non-recourse facility-level debt, as well as existing sources of liquidity. The Company estimates that its total capital investment in Tuolumne will be $61 million, which includes estimated transaction expenses.</w:t>
      </w:r>
    </w:p>
    <w:p>
      <w:pPr>
        <w:spacing w:after="0" w:line="13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Luna Valley Drop Down </w:t>
      </w:r>
      <w:r>
        <w:rPr>
          <w:rFonts w:ascii="Times New Roman" w:cs="Times New Roman" w:eastAsia="Times New Roman" w:hAnsi="Times New Roman"/>
          <w:sz w:val="18"/>
          <w:szCs w:val="18"/>
          <w:color w:val="auto"/>
        </w:rPr>
        <w:t>— On April 29, 2025, the Company, through its indirect subsidiary, LV-Daggett Parent Holdco LLC, acquired Luna Valley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Member LLC, or Luna Valley Class B, the indirect owner of Luna Valley, a 200 MW solar facility that is currently under construction in Fresno County, California, from Clearway Renew for initial cash consideration of $18 million. At substantial completion, which is expected to occur in the second half of 2025, the Company estimates it will pay an additional $72 million to Clearway Renew. Luna Valley Class B consolidates as primary beneficiary, Luna Valley TE Holdco LLC, a tax equity fund that owns the Luna Valley solar facility. Also on April 29, 2025, a tax equity investor contributed $29 million to acquire the Class A membership interests in Luna Valley TE Holdco LLC. Luna Valley has PPAs with investment-grade counterparties that have a 17-year weighted average contract duration that commence when the underlying operating assets reach commercial operations, which is expected to occur in the second half of 2025. The acquisition was funded with existing sources of liquidity. The Company estimates that its total capital investment in Luna Valley Class B will be $90 million, excluding the impact of any closing adjustments noted in the purchase agreement.</w:t>
      </w:r>
    </w:p>
    <w:p>
      <w:pPr>
        <w:spacing w:after="0" w:line="13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Daggett 1 Drop Down </w:t>
      </w:r>
      <w:r>
        <w:rPr>
          <w:rFonts w:ascii="Times New Roman" w:cs="Times New Roman" w:eastAsia="Times New Roman" w:hAnsi="Times New Roman"/>
          <w:sz w:val="18"/>
          <w:szCs w:val="18"/>
          <w:color w:val="auto"/>
        </w:rPr>
        <w:t>— On April 29, 2025, the Company, through its indirect subsidiary, LV-Daggett Parent Holdco LLC, acquired Daggett 1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 Member LLC, or Daggett 1 Class B, the indirect owner of Daggett 1, a 114 MW BESS facility that is currently under construction in San Bernardino County, California, from Clearway Renew for initial cash consideration of $11 million. At substantial completion, which is expected to occur in the second half of 2025, the Company estimates it will pay an additional $42 million to Clearway Renew. Daggett 1 Class B consolidates as primary beneficiary, Daggett 1 TE Holdco LLC, a tax equity fund that owns the Daggett 1 BESS facility. Also on April 29, 2025, a tax equity investor contributed $27 million to acquire the Class A membership interests in Daggett 1 TE Holdco LLC. Daggett 1 has a PPA for capacity with an investment-grade counterparty for a contract duration of 15 years that commences when the facility reaches commercial operations, which is expected to occur in the second half of 2025. The acquisition was funded with existing sources of liquidity. The Company estimates that its total capital investment in Daggett 1 Class B will be $53 million, excluding the impact of any closing adjustments noted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 w:name="page16"/>
    <w:bookmarkEnd w:id="15"/>
    <w:p>
      <w:pPr>
        <w:jc w:val="both"/>
        <w:ind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Rosamond South I Drop Down </w:t>
      </w:r>
      <w:r>
        <w:rPr>
          <w:rFonts w:ascii="Times New Roman" w:cs="Times New Roman" w:eastAsia="Times New Roman" w:hAnsi="Times New Roman"/>
          <w:sz w:val="18"/>
          <w:szCs w:val="18"/>
          <w:color w:val="auto"/>
        </w:rPr>
        <w:t>— On March 20, 2025, the Company, through its indirect subsidiary, Rosamond South Investment LLC, acquired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Class A membership interests in Rosie South TargetCo LLC, or Rosie South TargetCo, a partnership and the indirect owner of Rosamond South I, a 140 MW solar facility that is paired with a 117 MW BESS facility, which are both currently under construction in Rosamond, California, from Clearway Renew for initial cash consideration of $4 million. Simultaneously, a third-party cash equity investor acquired the Class B membership interests in Rosie South TargetCo from Clearway Renew for initial cash consideration of $10 million. At substantial completion, which is expected to occur in the second half of 2025, the Company estimates it will pay an additional $17 million to Clearway Renew and the third-party cash equity investor will contribute an additional $41 million. Rosie South TargetCo consolidates as primary beneficiary, Rosie South TE Holdco LLC, a tax equity fund that owns the Rosamond South I solar and BESS facility, as further described in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Rosamond South I has PPAs with investment-grade counterparties that have a 15-year weighted average contract duration that commence when the underlying operating assets reach commercial operations, which is expected to occur in the second half of 2025. The Rosamond South I operations are reflected in the Company’s Renewables &amp; Storage segment and the acquisition was funded with existing sources of liquidity. The acquisition was determined to be an asset acquisition and the Company consolidates Rosamond South I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 Combinations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w:t>
      </w:r>
      <w:r>
        <w:rPr>
          <w:rFonts w:ascii="Times New Roman" w:cs="Times New Roman" w:eastAsia="Times New Roman" w:hAnsi="Times New Roman"/>
          <w:sz w:val="18"/>
          <w:szCs w:val="18"/>
          <w:color w:val="auto"/>
        </w:rPr>
        <w:t>. The sum of the initial cash consideration of $4 million and the historical cost of the Company’s net liabilities assumed of $3 million was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adjustment to CEG’s noncontrolling interest balance. In addition, the Company reflected the entire $4 million of the Company’s initial purchase price, which was contributed back to the Company by CEG to pay down the acquired long-term debt, in the line item distributions to CEG, net of contributions in the consolidated statements of stockholders’ equity. The Company estimates that its total capital investment in Rosie South TargetCo will be $21 million, excluding the impact of any closing adjustments noted in the purchase agreement.</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March 20,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Rosamond South I</w:t>
            </w:r>
          </w:p>
        </w:tc>
      </w:tr>
      <w:tr>
        <w:trPr>
          <w:trHeight w:val="226"/>
        </w:trPr>
        <w:tc>
          <w:tcPr>
            <w:tcW w:w="914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9"/>
        </w:trPr>
        <w:tc>
          <w:tcPr>
            <w:tcW w:w="91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Right-of-use assets, net </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70"/>
        </w:trPr>
        <w:tc>
          <w:tcPr>
            <w:tcW w:w="2180" w:type="dxa"/>
            <w:vAlign w:val="bottom"/>
            <w:shd w:val="clear" w:color="auto" w:fill="CCEEFF"/>
          </w:tcPr>
          <w:p>
            <w:pPr>
              <w:spacing w:after="0"/>
              <w:rPr>
                <w:sz w:val="23"/>
                <w:szCs w:val="23"/>
                <w:color w:val="auto"/>
              </w:rPr>
            </w:pPr>
          </w:p>
        </w:tc>
        <w:tc>
          <w:tcPr>
            <w:tcW w:w="6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29"/>
        </w:trPr>
        <w:tc>
          <w:tcPr>
            <w:tcW w:w="91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1"/>
                <w:szCs w:val="21"/>
                <w:color w:val="auto"/>
                <w:vertAlign w:val="superscript"/>
              </w:rPr>
              <w:t>(c)</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91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lease liabilities </w:t>
            </w:r>
            <w:r>
              <w:rPr>
                <w:rFonts w:ascii="Times New Roman" w:cs="Times New Roman" w:eastAsia="Times New Roman" w:hAnsi="Times New Roman"/>
                <w:sz w:val="21"/>
                <w:szCs w:val="21"/>
                <w:color w:val="auto"/>
                <w:vertAlign w:val="superscript"/>
              </w:rPr>
              <w:t>(b)</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91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9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1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tcPr>
          <w:p>
            <w:pPr>
              <w:spacing w:after="0"/>
              <w:rPr>
                <w:sz w:val="13"/>
                <w:szCs w:val="13"/>
                <w:color w:val="auto"/>
              </w:rPr>
            </w:pPr>
          </w:p>
        </w:tc>
      </w:tr>
    </w:tbl>
    <w:p>
      <w:pPr>
        <w:spacing w:after="0" w:line="84"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$495 million.</w:t>
      </w:r>
    </w:p>
    <w:p>
      <w:pPr>
        <w:spacing w:after="0" w:line="57" w:lineRule="exact"/>
        <w:rPr>
          <w:rFonts w:ascii="Times New Roman" w:cs="Times New Roman" w:eastAsia="Times New Roman" w:hAnsi="Times New Roman"/>
          <w:sz w:val="20"/>
          <w:szCs w:val="20"/>
          <w:color w:val="auto"/>
          <w:vertAlign w:val="superscript"/>
        </w:rPr>
      </w:pPr>
    </w:p>
    <w:p>
      <w:pPr>
        <w:ind w:left="240" w:hanging="151"/>
        <w:spacing w:after="0" w:line="189" w:lineRule="auto"/>
        <w:tabs>
          <w:tab w:leader="none" w:pos="24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Balances primarily relate to a land lease agreement with a wholly-owned subsidiary of CEG, which expires on September 30, 2058.</w:t>
      </w:r>
    </w:p>
    <w:p>
      <w:pPr>
        <w:spacing w:after="0" w:line="57" w:lineRule="exact"/>
        <w:rPr>
          <w:rFonts w:ascii="Times New Roman" w:cs="Times New Roman" w:eastAsia="Times New Roman" w:hAnsi="Times New Roman"/>
          <w:sz w:val="19"/>
          <w:szCs w:val="19"/>
          <w:color w:val="auto"/>
          <w:vertAlign w:val="superscript"/>
        </w:rPr>
      </w:pPr>
    </w:p>
    <w:p>
      <w:pPr>
        <w:ind w:left="80" w:firstLine="9"/>
        <w:spacing w:after="0" w:line="217" w:lineRule="auto"/>
        <w:tabs>
          <w:tab w:leader="none" w:pos="233"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Includes a $179 million construction loan, a $6 million cash equity bridge loan and a $284 million tax equity bridge loan, offset by $1 million in unamortized debt issuance costs.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 of the long-term debt assumed in the acquisition.</w:t>
      </w:r>
    </w:p>
    <w:p>
      <w:pPr>
        <w:spacing w:after="0" w:line="151" w:lineRule="exact"/>
        <w:rPr>
          <w:sz w:val="20"/>
          <w:szCs w:val="20"/>
          <w:color w:val="auto"/>
        </w:rPr>
      </w:pPr>
    </w:p>
    <w:p>
      <w:pPr>
        <w:ind w:right="46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included in the Company’s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Company’s equity investments in unconsolidated affiliates as of March 31, 2025: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Economic Interest</w:t>
            </w:r>
          </w:p>
        </w:tc>
        <w:tc>
          <w:tcPr>
            <w:tcW w:w="180" w:type="dxa"/>
            <w:vAlign w:val="bottom"/>
          </w:tcPr>
          <w:p>
            <w:pPr>
              <w:spacing w:after="0"/>
              <w:rPr>
                <w:sz w:val="22"/>
                <w:szCs w:val="22"/>
                <w:color w:val="auto"/>
              </w:rPr>
            </w:pPr>
          </w:p>
        </w:tc>
        <w:tc>
          <w:tcPr>
            <w:tcW w:w="18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 xml:space="preserve">Investment Balance </w:t>
            </w:r>
            <w:r>
              <w:rPr>
                <w:rFonts w:ascii="Times New Roman" w:cs="Times New Roman" w:eastAsia="Times New Roman" w:hAnsi="Times New Roman"/>
                <w:sz w:val="23"/>
                <w:szCs w:val="23"/>
                <w:b w:val="1"/>
                <w:bCs w:val="1"/>
                <w:color w:val="auto"/>
                <w:vertAlign w:val="superscript"/>
              </w:rPr>
              <w:t>(a)</w:t>
            </w:r>
          </w:p>
        </w:tc>
      </w:tr>
      <w:tr>
        <w:trPr>
          <w:trHeight w:val="208"/>
        </w:trPr>
        <w:tc>
          <w:tcPr>
            <w:tcW w:w="2180" w:type="dxa"/>
            <w:vAlign w:val="bottom"/>
            <w:tcBorders>
              <w:top w:val="single" w:sz="8" w:color="auto"/>
            </w:tcBorders>
          </w:tcPr>
          <w:p>
            <w:pPr>
              <w:spacing w:after="0"/>
              <w:rPr>
                <w:sz w:val="18"/>
                <w:szCs w:val="18"/>
                <w:color w:val="auto"/>
              </w:rPr>
            </w:pPr>
          </w:p>
        </w:tc>
        <w:tc>
          <w:tcPr>
            <w:tcW w:w="5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6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3"/>
                <w:szCs w:val="23"/>
                <w:color w:val="auto"/>
                <w:vertAlign w:val="superscript"/>
              </w:rPr>
              <w:t>(b)</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1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
        </w:trPr>
        <w:tc>
          <w:tcPr>
            <w:tcW w:w="2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4"/>
          <w:szCs w:val="14"/>
          <w:color w:val="auto"/>
        </w:rPr>
        <w:t xml:space="preserve"> The Company’s maximum exposure to loss is limited to its investment balances.</w:t>
      </w:r>
    </w:p>
    <w:p>
      <w:pPr>
        <w:ind w:left="80"/>
        <w:spacing w:after="0"/>
        <w:rPr>
          <w:sz w:val="20"/>
          <w:szCs w:val="20"/>
          <w:color w:val="auto"/>
        </w:rPr>
      </w:pP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4"/>
          <w:szCs w:val="14"/>
          <w:color w:val="auto"/>
        </w:rPr>
        <w:t xml:space="preserve"> GenConn is a VIE.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2024 Form 10-K, 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significant activity during the three months ended March 31, 2025 related to the Company’s consolidated VIEs:</w:t>
      </w:r>
    </w:p>
    <w:p>
      <w:pPr>
        <w:spacing w:after="0" w:line="167"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Rosie South TargetCo </w:t>
      </w:r>
      <w:r>
        <w:rPr>
          <w:rFonts w:ascii="Times New Roman" w:cs="Times New Roman" w:eastAsia="Times New Roman" w:hAnsi="Times New Roman"/>
          <w:sz w:val="17"/>
          <w:szCs w:val="17"/>
          <w:color w:val="auto"/>
        </w:rPr>
        <w:t>— As described in Note 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on March 20, 2025, Rosamond South Investment LLC, an indirect subsidiary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acquired the Class A membership interests in Rosie South TargetCo, which is a partnership. The Company consolidates Rosie South TargetCo as a VIE, as the Company is the primary beneficiary. Through its membership interests in Rosie South TargetCo, the Company receives 50% of distributable cash. The Company recorded the third-party cash equity investor’s noncontrolling interest in Rosie South TargetCo at the historical carrying amount, with the offset to additional paid-in capital. Rosie South TargetCo consolidates as primary beneficiary, and through its ownership of the Class B membership interests, Rosie South TE Holdco LLC, a tax equity fund that owns the Rosamond South I solar and BESS facility. The Class A membership interests in Rosie South TE Holdco LLC are held by a tax equity investor and are reflected as noncontrolling interest on the Company’s consolidated balance sheet.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updated the following disclosure of assets and liabilities for its consolidated VIEs to present combined totals, and has revised the amounts as of December 31, 2024 to reflect accurate comparative totals for the same relevant entities: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w:t>
            </w:r>
          </w:p>
        </w:tc>
      </w:tr>
      <w:tr>
        <w:trPr>
          <w:trHeight w:val="223"/>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34"/>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hanging="240"/>
        <w:spacing w:after="0" w:line="281" w:lineRule="auto"/>
        <w:tabs>
          <w:tab w:leader="none" w:pos="1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hanging="240"/>
        <w:spacing w:after="0" w:line="281" w:lineRule="auto"/>
        <w:tabs>
          <w:tab w:leader="none" w:pos="1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right="20" w:hanging="240"/>
        <w:spacing w:after="0" w:line="282" w:lineRule="auto"/>
        <w:tabs>
          <w:tab w:leader="none" w:pos="1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trade,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 and estimated fair value of the Company’s recorded financial instrument not carried at fair market value or that does not approximate fair value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42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606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6060" w:type="dxa"/>
            <w:vAlign w:val="bottom"/>
            <w:shd w:val="clear" w:color="auto" w:fill="CCEEFF"/>
          </w:tcPr>
          <w:p>
            <w:pPr>
              <w:ind w:left="40"/>
              <w:spacing w:after="0" w:line="235"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7,677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7,237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2" w:lineRule="exact"/>
        <w:rPr>
          <w:sz w:val="20"/>
          <w:szCs w:val="20"/>
          <w:color w:val="auto"/>
        </w:rPr>
      </w:pPr>
    </w:p>
    <w:p>
      <w:pPr>
        <w:ind w:left="260" w:hanging="171"/>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net debt issuance costs, which are recorded as a reduction to long-term debt on the Company’s consolidated balance sheets.</w:t>
      </w:r>
    </w:p>
    <w:p>
      <w:pPr>
        <w:spacing w:after="0" w:line="1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0"/>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1,943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1,922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r>
        <w:trPr>
          <w:trHeight w:val="157"/>
        </w:trPr>
        <w:tc>
          <w:tcPr>
            <w:tcW w:w="6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Pr>
          <w:p>
            <w:pPr>
              <w:spacing w:after="0"/>
              <w:rPr>
                <w:sz w:val="16"/>
                <w:szCs w:val="16"/>
                <w:color w:val="auto"/>
              </w:rPr>
            </w:pPr>
          </w:p>
        </w:tc>
        <w:tc>
          <w:tcPr>
            <w:tcW w:w="24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1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380" w:type="dxa"/>
            <w:vAlign w:val="bottom"/>
          </w:tcPr>
          <w:p>
            <w:pPr>
              <w:spacing w:after="0"/>
              <w:rPr>
                <w:sz w:val="17"/>
                <w:szCs w:val="17"/>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40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3"/>
                <w:szCs w:val="23"/>
                <w:b w:val="1"/>
                <w:bCs w:val="1"/>
                <w:color w:val="auto"/>
                <w:vertAlign w:val="superscript"/>
              </w:rPr>
              <w:t>(d)</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78" w:lineRule="exact"/>
        <w:rPr>
          <w:sz w:val="20"/>
          <w:szCs w:val="20"/>
          <w:color w:val="auto"/>
        </w:rPr>
      </w:pPr>
    </w:p>
    <w:p>
      <w:pPr>
        <w:ind w:left="260" w:hanging="171"/>
        <w:spacing w:after="0"/>
        <w:tabs>
          <w:tab w:leader="none" w:pos="2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There were no derivative assets or liabilities classified as Level 1 as of March 31, 2025 and December 31, 2024.</w:t>
      </w:r>
    </w:p>
    <w:p>
      <w:pPr>
        <w:spacing w:after="0" w:line="84" w:lineRule="exact"/>
        <w:rPr>
          <w:rFonts w:ascii="Times New Roman" w:cs="Times New Roman" w:eastAsia="Times New Roman" w:hAnsi="Times New Roman"/>
          <w:sz w:val="23"/>
          <w:szCs w:val="23"/>
          <w:color w:val="auto"/>
          <w:vertAlign w:val="superscript"/>
        </w:rPr>
      </w:pPr>
    </w:p>
    <w:p>
      <w:pPr>
        <w:ind w:left="80" w:right="20" w:firstLine="9"/>
        <w:spacing w:after="0" w:line="213" w:lineRule="auto"/>
        <w:tabs>
          <w:tab w:leader="none" w:pos="257"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 Company’s interest rate swaps are measured at fair value using an income approach, which uses readily observable inputs, such as forward interest rates (e.g., SOFR) and contractual terms to estimate fair value.</w:t>
      </w:r>
    </w:p>
    <w:p>
      <w:pPr>
        <w:ind w:left="260" w:hanging="171"/>
        <w:spacing w:after="0" w:line="232" w:lineRule="auto"/>
        <w:tabs>
          <w:tab w:leader="none" w:pos="2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heat rate call option contracts.</w:t>
      </w:r>
    </w:p>
    <w:p>
      <w:pPr>
        <w:spacing w:after="0" w:line="79" w:lineRule="exact"/>
        <w:rPr>
          <w:rFonts w:ascii="Times New Roman" w:cs="Times New Roman" w:eastAsia="Times New Roman" w:hAnsi="Times New Roman"/>
          <w:sz w:val="23"/>
          <w:szCs w:val="23"/>
          <w:color w:val="auto"/>
          <w:vertAlign w:val="superscript"/>
        </w:rPr>
      </w:pPr>
    </w:p>
    <w:p>
      <w:pPr>
        <w:ind w:left="260" w:hanging="171"/>
        <w:spacing w:after="0" w:line="185" w:lineRule="auto"/>
        <w:tabs>
          <w:tab w:leader="none" w:pos="2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SREC contract.</w:t>
      </w:r>
    </w:p>
    <w:p>
      <w:pPr>
        <w:spacing w:after="0" w:line="71" w:lineRule="exact"/>
        <w:rPr>
          <w:rFonts w:ascii="Times New Roman" w:cs="Times New Roman" w:eastAsia="Times New Roman" w:hAnsi="Times New Roman"/>
          <w:sz w:val="20"/>
          <w:szCs w:val="20"/>
          <w:color w:val="auto"/>
          <w:vertAlign w:val="superscript"/>
        </w:rPr>
      </w:pPr>
    </w:p>
    <w:p>
      <w:pPr>
        <w:ind w:left="80" w:firstLine="9"/>
        <w:spacing w:after="0" w:line="213" w:lineRule="auto"/>
        <w:tabs>
          <w:tab w:leader="none" w:pos="25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Includes $378 million and $366 million related to long-term power commodity contracts as of March 31, 2025 and December 31, 2024, respectively, and $5 million related to heat rate call option contracts as of both March 31, 2025 and December 31, 2024.</w:t>
      </w:r>
    </w:p>
    <w:p>
      <w:pPr>
        <w:spacing w:after="0" w:line="154" w:lineRule="exact"/>
        <w:rPr>
          <w:sz w:val="20"/>
          <w:szCs w:val="20"/>
          <w:color w:val="auto"/>
        </w:rPr>
      </w:pPr>
    </w:p>
    <w:p>
      <w:pPr>
        <w:ind w:left="80"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6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1" w:lineRule="exact"/>
        <w:rPr>
          <w:sz w:val="20"/>
          <w:szCs w:val="20"/>
          <w:color w:val="auto"/>
        </w:rPr>
      </w:pPr>
    </w:p>
    <w:p>
      <w:pPr>
        <w:ind w:left="300" w:hanging="161"/>
        <w:spacing w:after="0" w:line="234" w:lineRule="auto"/>
        <w:rPr>
          <w:sz w:val="20"/>
          <w:szCs w:val="20"/>
          <w:color w:val="auto"/>
        </w:rPr>
      </w:pPr>
      <w:r>
        <w:rPr>
          <w:rFonts w:ascii="Times New Roman" w:cs="Times New Roman" w:eastAsia="Times New Roman" w:hAnsi="Times New Roman"/>
          <w:sz w:val="18"/>
          <w:szCs w:val="18"/>
          <w:color w:val="auto"/>
        </w:rPr>
        <w:t>Change in unrealized losses included in earnings for derivatives and other financial instruments held as of March 31,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18516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5" w:lineRule="exact"/>
        <w:rPr>
          <w:sz w:val="20"/>
          <w:szCs w:val="20"/>
          <w:color w:val="auto"/>
        </w:rPr>
      </w:pPr>
    </w:p>
    <w:p>
      <w:pPr>
        <w:ind w:left="56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18516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Significant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080" w:hanging="1058"/>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643" w:lineRule="exact"/>
        <w:rPr>
          <w:sz w:val="20"/>
          <w:szCs w:val="20"/>
          <w:color w:val="auto"/>
        </w:rPr>
      </w:pPr>
    </w:p>
    <w:p>
      <w:pPr>
        <w:sectPr>
          <w:pgSz w:w="11900" w:h="16838" w:orient="portrait"/>
          <w:cols w:equalWidth="0" w:num="2">
            <w:col w:w="7760" w:space="560"/>
            <w:col w:w="2920"/>
          </w:cols>
          <w:pgMar w:left="320" w:top="887" w:right="339" w:bottom="1440" w:gutter="0" w:footer="0" w:header="0"/>
          <w:type w:val="continuous"/>
        </w:sect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March 31, 2025, contracts valued with prices provided by models and other valuation techniques make up 7% of derivative assets, 99% of derivative liabilities and 100% of other financial instruments.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Input/Range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Valuation</w:t>
            </w: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240" w:type="dxa"/>
            <w:vAlign w:val="bottom"/>
          </w:tcPr>
          <w:p>
            <w:pPr>
              <w:spacing w:after="0"/>
              <w:rPr>
                <w:sz w:val="14"/>
                <w:szCs w:val="14"/>
                <w:color w:val="auto"/>
              </w:rPr>
            </w:pPr>
          </w:p>
        </w:tc>
        <w:tc>
          <w:tcPr>
            <w:tcW w:w="1040" w:type="dxa"/>
            <w:vAlign w:val="bottom"/>
            <w:vMerge w:val="restart"/>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4"/>
                <w:szCs w:val="14"/>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14"/>
                <w:szCs w:val="14"/>
                <w:color w:val="auto"/>
              </w:rPr>
            </w:pPr>
          </w:p>
        </w:tc>
        <w:tc>
          <w:tcPr>
            <w:tcW w:w="1100" w:type="dxa"/>
            <w:vAlign w:val="bottom"/>
          </w:tcPr>
          <w:p>
            <w:pPr>
              <w:jc w:val="right"/>
              <w:ind w:right="196"/>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08"/>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Long-term Power Commodity</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4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102.71</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10</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973.92</w:t>
            </w: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0" w:type="dxa"/>
            <w:vAlign w:val="bottom"/>
          </w:tcPr>
          <w:p>
            <w:pPr>
              <w:spacing w:after="0"/>
              <w:rPr>
                <w:sz w:val="1"/>
                <w:szCs w:val="1"/>
                <w:color w:val="auto"/>
              </w:rPr>
            </w:pPr>
          </w:p>
        </w:tc>
      </w:tr>
      <w:tr>
        <w:trPr>
          <w:trHeight w:val="210"/>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Heat Rate Call Option</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Commodity Contracts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4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MMBtu)</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Forecast annual</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generation levels of</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 Instruments</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continue"/>
            <w:shd w:val="clear" w:color="auto" w:fill="CCEEFF"/>
          </w:tcPr>
          <w:p>
            <w:pPr>
              <w:spacing w:after="0"/>
              <w:rPr>
                <w:sz w:val="14"/>
                <w:szCs w:val="14"/>
                <w:color w:val="auto"/>
              </w:rPr>
            </w:pP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certain DG solar</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59,425 MWh</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118,850 MWh</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111,091 MWh</w:t>
            </w:r>
          </w:p>
        </w:tc>
        <w:tc>
          <w:tcPr>
            <w:tcW w:w="0" w:type="dxa"/>
            <w:vAlign w:val="bottom"/>
          </w:tcPr>
          <w:p>
            <w:pPr>
              <w:spacing w:after="0"/>
              <w:rPr>
                <w:sz w:val="1"/>
                <w:szCs w:val="1"/>
                <w:color w:val="auto"/>
              </w:rPr>
            </w:pPr>
          </w:p>
        </w:tc>
      </w:tr>
      <w:tr>
        <w:trPr>
          <w:trHeight w:val="216"/>
        </w:trPr>
        <w:tc>
          <w:tcPr>
            <w:tcW w:w="2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facilities</w:t>
            </w: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impact on the fair value measurements to increases/(decreases) in significant unobservable inputs as of March 31, 2025:</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Significant Unobservable Input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9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Impact on Fair Value</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28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92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Energy-Related Commodity Contracts</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Lower/(Higher)</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Energy-Related Commodity Contracts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Forward Market Price Gas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Forecast Generation Levels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2025, the non-performance reserve was a $7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under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2024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Item 15 — Note 7, </w:t>
      </w:r>
      <w:r>
        <w:rPr>
          <w:rFonts w:ascii="Times New Roman" w:cs="Times New Roman" w:eastAsia="Times New Roman" w:hAnsi="Times New Roman"/>
          <w:sz w:val="18"/>
          <w:szCs w:val="18"/>
          <w:i w:val="1"/>
          <w:iCs w:val="1"/>
          <w:color w:val="auto"/>
        </w:rPr>
        <w:t>Accounting for Derivative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the Company’s 2024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March 31, 2025, the Company had interest rate derivative instruments on non-recourse debt extending through 2033, a portion of which were designated as cash flow hedges. Under the interest rate swap agreements, the Company pays a fixed rate and the counterparties to the agreements pay a variable interest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Commodity Contracts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energy-related derivative instruments extending through 2033. At March 31, 2025,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gridSpan w:val="3"/>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Total Volume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9"/>
        </w:trPr>
        <w:tc>
          <w:tcPr>
            <w:tcW w:w="20" w:type="dxa"/>
            <w:vAlign w:val="bottom"/>
          </w:tcPr>
          <w:p>
            <w:pPr>
              <w:spacing w:after="0"/>
              <w:rPr>
                <w:sz w:val="12"/>
                <w:szCs w:val="12"/>
                <w:color w:val="auto"/>
              </w:rPr>
            </w:pPr>
          </w:p>
        </w:tc>
        <w:tc>
          <w:tcPr>
            <w:tcW w:w="5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2"/>
                <w:szCs w:val="12"/>
                <w:color w:val="auto"/>
              </w:rPr>
            </w:pPr>
          </w:p>
        </w:tc>
        <w:tc>
          <w:tcPr>
            <w:tcW w:w="2000" w:type="dxa"/>
            <w:vAlign w:val="bottom"/>
            <w:gridSpan w:val="2"/>
          </w:tcPr>
          <w:p>
            <w:pPr>
              <w:jc w:val="center"/>
              <w:ind w:left="1159"/>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MWh</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MMBtu</w:t>
            </w:r>
          </w:p>
        </w:tc>
        <w:tc>
          <w:tcPr>
            <w:tcW w:w="280" w:type="dxa"/>
            <w:vAlign w:val="bottom"/>
          </w:tcPr>
          <w:p>
            <w:pPr>
              <w:spacing w:after="0"/>
              <w:rPr>
                <w:sz w:val="19"/>
                <w:szCs w:val="19"/>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1,798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40" w:type="dxa"/>
            <w:vAlign w:val="bottom"/>
          </w:tcPr>
          <w:p>
            <w:pPr>
              <w:spacing w:after="0"/>
              <w:rPr>
                <w:sz w:val="16"/>
                <w:szCs w:val="16"/>
                <w:color w:val="auto"/>
              </w:rPr>
            </w:pPr>
          </w:p>
        </w:tc>
        <w:tc>
          <w:tcPr>
            <w:tcW w:w="29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6"/>
        </w:trPr>
        <w:tc>
          <w:tcPr>
            <w:tcW w:w="45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current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long-term</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March 31, 2025 and December 31, 2024, the amount of outstanding collateral paid or received was immaterial. The following tables summarize the offsetting of derivatives by counterparty: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balance attributable to interest rate swaps designated as cash flow hedge derivatives, net of tax:</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4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beginning balance</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Rosamond South I Drop Down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Reclassified from accumulated OCI to income due to realization of previously deferred amounts</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ending balance, net of income tax expense of, $— and $2, respectively</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OCI attributable to noncontrolling interests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attributable to Clearway Energy, Inc.</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Gains expected to be realized from OCI during the next 12 months, net of income tax expense of $1</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60" w:type="dxa"/>
            <w:vAlign w:val="bottom"/>
            <w:vMerge w:val="continue"/>
          </w:tcPr>
          <w:p>
            <w:pPr>
              <w:spacing w:after="0"/>
              <w:rPr>
                <w:sz w:val="18"/>
                <w:szCs w:val="18"/>
                <w:color w:val="auto"/>
              </w:rPr>
            </w:pP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3798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4"/>
          <w:szCs w:val="14"/>
          <w:color w:val="auto"/>
        </w:rPr>
        <w:t xml:space="preserve"> Represents $1 million attributable to the Company and $3 million attributable to noncontrolling interests.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reclassified from accumulated OCI into income are recorded to interest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Mark-to-market gains/(losses) related to the Company’s derivatives are recorded in the consolidated statements of operations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189"/>
        </w:trPr>
        <w:tc>
          <w:tcPr>
            <w:tcW w:w="8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94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242424"/>
              </w:rPr>
              <w:t>$</w:t>
            </w:r>
          </w:p>
        </w:tc>
        <w:tc>
          <w:tcPr>
            <w:tcW w:w="4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242424"/>
                <w:w w:val="99"/>
              </w:rPr>
              <w:t>(34)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75"/>
        </w:trPr>
        <w:tc>
          <w:tcPr>
            <w:tcW w:w="8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 Commodity Contracts (Mark-to-market for economic hedging activities included in Total</w:t>
            </w: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43"/>
        </w:trPr>
        <w:tc>
          <w:tcPr>
            <w:tcW w:w="83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21"/>
                <w:szCs w:val="21"/>
                <w:color w:val="auto"/>
              </w:rPr>
            </w:pPr>
          </w:p>
        </w:tc>
        <w:tc>
          <w:tcPr>
            <w:tcW w:w="46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242424"/>
                <w:w w:val="99"/>
              </w:rPr>
              <w:t>(11)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75"/>
        </w:trPr>
        <w:tc>
          <w:tcPr>
            <w:tcW w:w="8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 Commodity Contracts (Mark-to-market for economic hedging activities included in Cost of</w:t>
            </w: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243"/>
        </w:trPr>
        <w:tc>
          <w:tcPr>
            <w:tcW w:w="83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3"/>
                <w:szCs w:val="23"/>
                <w:color w:val="auto"/>
                <w:vertAlign w:val="superscript"/>
              </w:rPr>
              <w:t>(b)</w:t>
            </w:r>
          </w:p>
        </w:tc>
        <w:tc>
          <w:tcPr>
            <w:tcW w:w="9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42424"/>
                <w:w w:val="99"/>
              </w:rPr>
              <w:t>—</w:t>
            </w: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7" w:lineRule="exact"/>
        <w:rPr>
          <w:sz w:val="20"/>
          <w:szCs w:val="20"/>
          <w:color w:val="auto"/>
        </w:rPr>
      </w:pPr>
    </w:p>
    <w:p>
      <w:pPr>
        <w:ind w:left="80" w:firstLine="9"/>
        <w:spacing w:after="0" w:line="230" w:lineRule="auto"/>
        <w:tabs>
          <w:tab w:leader="none" w:pos="239"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Relates to long-term energy related commodity contracts at Elbow Creek, Mesquite Star, Mt. Storm, Langford and Mesquite Sky and heat rate call option energy-related commodity contracts at El Segundo, Marsh Landing and Walnut Creek.</w:t>
      </w:r>
    </w:p>
    <w:p>
      <w:pPr>
        <w:ind w:left="260" w:hanging="171"/>
        <w:spacing w:after="0" w:line="228" w:lineRule="auto"/>
        <w:tabs>
          <w:tab w:leader="none" w:pos="26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Relates to long-term backbone transportation service energy-related commodity contracts at El Segundo and Walnut Creek.</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consolidated financial statements included in the Company’s 2024 Form 10-K. The Company’s borrowings, including short-term and long-term portions,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8"/>
                <w:szCs w:val="18"/>
                <w:color w:val="auto"/>
              </w:rPr>
            </w:pPr>
          </w:p>
        </w:tc>
        <w:tc>
          <w:tcPr>
            <w:tcW w:w="14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8"/>
                <w:szCs w:val="18"/>
                <w:color w:val="auto"/>
              </w:rPr>
            </w:pPr>
          </w:p>
        </w:tc>
        <w:tc>
          <w:tcPr>
            <w:tcW w:w="176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18"/>
                <w:szCs w:val="18"/>
                <w:b w:val="1"/>
                <w:bCs w:val="1"/>
                <w:color w:val="auto"/>
                <w:vertAlign w:val="superscript"/>
              </w:rPr>
              <w:t>(a)</w:t>
            </w:r>
          </w:p>
        </w:tc>
      </w:tr>
      <w:tr>
        <w:trPr>
          <w:trHeight w:val="196"/>
        </w:trPr>
        <w:tc>
          <w:tcPr>
            <w:tcW w:w="44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0" w:type="dxa"/>
            <w:vAlign w:val="bottom"/>
            <w:tcBorders>
              <w:top w:val="single" w:sz="8" w:color="auto"/>
            </w:tcBorders>
            <w:gridSpan w:val="4"/>
            <w:shd w:val="clear" w:color="auto" w:fill="CCEEFF"/>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2028-2032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- 4.750%</w:t>
            </w: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Non-recourse facility-level debt:</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2031-2040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- 8.000%</w:t>
            </w: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2025-2033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S+1.250%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- 2.775%</w:t>
            </w:r>
          </w:p>
        </w:tc>
      </w:tr>
      <w:tr>
        <w:trPr>
          <w:trHeight w:val="207"/>
        </w:trPr>
        <w:tc>
          <w:tcPr>
            <w:tcW w:w="4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44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1"/>
                <w:szCs w:val="21"/>
                <w:color w:val="auto"/>
                <w:vertAlign w:val="superscript"/>
              </w:rPr>
              <w:t>(b)</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0"/>
        </w:trPr>
        <w:tc>
          <w:tcPr>
            <w:tcW w:w="4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0" w:lineRule="exact"/>
        <w:rPr>
          <w:sz w:val="20"/>
          <w:szCs w:val="20"/>
          <w:color w:val="auto"/>
        </w:rPr>
      </w:pPr>
    </w:p>
    <w:p>
      <w:pPr>
        <w:ind w:left="220" w:hanging="131"/>
        <w:spacing w:after="0"/>
        <w:tabs>
          <w:tab w:leader="none" w:pos="2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of March 31, 2025, S+ equals SOFR plus x%.</w:t>
      </w:r>
    </w:p>
    <w:p>
      <w:pPr>
        <w:spacing w:after="0" w:line="16" w:lineRule="exact"/>
        <w:rPr>
          <w:rFonts w:ascii="Times New Roman" w:cs="Times New Roman" w:eastAsia="Times New Roman" w:hAnsi="Times New Roman"/>
          <w:sz w:val="17"/>
          <w:szCs w:val="17"/>
          <w:color w:val="auto"/>
          <w:vertAlign w:val="superscript"/>
        </w:rPr>
      </w:pPr>
    </w:p>
    <w:p>
      <w:pPr>
        <w:ind w:left="240" w:hanging="151"/>
        <w:spacing w:after="0" w:line="189" w:lineRule="auto"/>
        <w:tabs>
          <w:tab w:leader="none" w:pos="2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Premiums relate to the 2028 Senior Notes.</w:t>
      </w:r>
    </w:p>
    <w:p>
      <w:pPr>
        <w:spacing w:after="0" w:line="1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March 31, 2025, the Company had approximately $927 million in letters of credit outstanding, $86 million of which is related to the Company’s revolving credit facility.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March 31, 2025, the Company was in compliance with all of the required covenants.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discussion below describes material changes to or additions of long-term debt for the three months ended March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Buckthorn Solar</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April 9, 2025, the Company, through its indirect subsidiary, Buckthorn Solar Portfolio LLC, </w:t>
      </w:r>
      <w:r>
        <w:rPr>
          <w:rFonts w:ascii="Times New Roman" w:cs="Times New Roman" w:eastAsia="Times New Roman" w:hAnsi="Times New Roman"/>
          <w:sz w:val="18"/>
          <w:szCs w:val="18"/>
          <w:color w:val="212529"/>
        </w:rPr>
        <w:t>refinanced its existing credit agreement, which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scheduled to mature in May 2025, resulting in the issuance of a $104 million term loan facility, as well as $22 million in letters of credit in support of debt service and facility obligations. </w:t>
      </w:r>
      <w:r>
        <w:rPr>
          <w:rFonts w:ascii="Times New Roman" w:cs="Times New Roman" w:eastAsia="Times New Roman" w:hAnsi="Times New Roman"/>
          <w:sz w:val="18"/>
          <w:szCs w:val="18"/>
          <w:color w:val="000000"/>
        </w:rPr>
        <w:t>The term loan bears interest at a rate of SOFR plus 1.625% per annum and matures on April 9, 2031. The obligations under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new financing arrangement are supported by the Company’s interests in the Buckthorn Solar facility. The Company utilized the proceeds from the term loan and existing sources of liquidity to pay off the existing debt in the amount of $112 million.</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Rosamond South I</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March 20, 2025, as part of the acquisition of Rosamond South I,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$179 million construction loan that converts to a term loan when the facility reaches substantial completion, which is expected to occur in the second half of 2025,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 The tax equity bridge loan will be repaid upon Rosamond South I reaching substantial completion with the final proceeds received from the tax equity investor, as well as the Company’s and the third-party cash equity investor’s additional purchase price, along with the $58 million that was contributed into escrow by the tax equity investor at acquisition date, which is included in restricted cash on the Company’s consolidated balance sheet. Subsequent to the acquisition, the Company borrowed an additional $14 million in construction loans through March 31, 2025.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Earnings (Loss) Per Share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earnings (loss) per common share is computed by dividing net income (loss) by the weighted average number of common shares outstanding. Shares issued during the year are weighted for the portion of the year that they were outstanding. Diluted earnings (loss) per share is computed in a manner consistent with that of basic losses per share while giving effect to all potentially dilutive common shares that were outstanding during the period.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reconciliation of the Company’s basic and diluted earnings (loss) per share is shown in the following table: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18"/>
                <w:szCs w:val="18"/>
                <w:b w:val="1"/>
                <w:bCs w:val="1"/>
                <w:color w:val="auto"/>
                <w:vertAlign w:val="superscript"/>
              </w:rPr>
              <w:t>(a)</w:t>
            </w:r>
          </w:p>
        </w:tc>
        <w:tc>
          <w:tcPr>
            <w:tcW w:w="10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1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0" w:type="dxa"/>
            <w:vAlign w:val="bottom"/>
          </w:tcPr>
          <w:p>
            <w:pPr>
              <w:spacing w:after="0"/>
              <w:rPr>
                <w:sz w:val="1"/>
                <w:szCs w:val="1"/>
                <w:color w:val="auto"/>
              </w:rPr>
            </w:pPr>
          </w:p>
        </w:tc>
      </w:tr>
      <w:tr>
        <w:trPr>
          <w:trHeight w:val="200"/>
        </w:trPr>
        <w:tc>
          <w:tcPr>
            <w:tcW w:w="67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280" w:type="dxa"/>
            <w:vAlign w:val="bottom"/>
          </w:tcPr>
          <w:p>
            <w:pPr>
              <w:spacing w:after="0"/>
              <w:rPr>
                <w:sz w:val="17"/>
                <w:szCs w:val="17"/>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280" w:type="dxa"/>
            <w:vAlign w:val="bottom"/>
          </w:tcPr>
          <w:p>
            <w:pPr>
              <w:spacing w:after="0"/>
              <w:rPr>
                <w:sz w:val="17"/>
                <w:szCs w:val="17"/>
                <w:color w:val="auto"/>
              </w:rPr>
            </w:pPr>
          </w:p>
        </w:tc>
        <w:tc>
          <w:tcPr>
            <w:tcW w:w="7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6"/>
        </w:trPr>
        <w:tc>
          <w:tcPr>
            <w:tcW w:w="676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Basic and diluted earnings (loss) per share attributable to Clearway Energy, Inc.</w:t>
            </w: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Clearway Energy, Inc.</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3"/>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weighted average common share — basic and diluted</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40" w:hanging="151"/>
        <w:spacing w:after="0"/>
        <w:tabs>
          <w:tab w:leader="none" w:pos="24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Net income (loss) attributable to Clearway Energy, Inc. and basic and diluted earnings (loss) per share might not recalculate due to presenting amounts in millions rather than whole dollars.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20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620" w:type="dxa"/>
            <w:vAlign w:val="bottom"/>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75"/>
        </w:trPr>
        <w:tc>
          <w:tcPr>
            <w:tcW w:w="5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(b)</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p>
      <w:pPr>
        <w:ind w:left="80"/>
        <w:spacing w:after="0"/>
        <w:rPr>
          <w:sz w:val="20"/>
          <w:szCs w:val="20"/>
          <w:color w:val="auto"/>
        </w:rPr>
      </w:pP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6"/>
          <w:szCs w:val="16"/>
          <w:color w:val="auto"/>
        </w:rPr>
        <w:t xml:space="preserve"> Includes accruals.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44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5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3"/>
              </w:rPr>
              <w:t>(a)</w:t>
            </w:r>
          </w:p>
        </w:tc>
        <w:tc>
          <w:tcPr>
            <w:tcW w:w="420" w:type="dxa"/>
            <w:vAlign w:val="bottom"/>
          </w:tcPr>
          <w:p>
            <w:pPr>
              <w:spacing w:after="0"/>
              <w:rPr>
                <w:sz w:val="11"/>
                <w:szCs w:val="11"/>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4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940" w:type="dxa"/>
            <w:vAlign w:val="bottom"/>
            <w:gridSpan w:val="2"/>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58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76"/>
        </w:trPr>
        <w:tc>
          <w:tcPr>
            <w:tcW w:w="5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5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56"/>
        </w:trPr>
        <w:tc>
          <w:tcPr>
            <w:tcW w:w="564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 redeemable</w:t>
            </w: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580" w:type="dxa"/>
            <w:vAlign w:val="bottom"/>
            <w:shd w:val="clear" w:color="auto" w:fill="BFE4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FE4FF"/>
          </w:tcPr>
          <w:p>
            <w:pPr>
              <w:spacing w:after="0"/>
              <w:rPr>
                <w:sz w:val="19"/>
                <w:szCs w:val="19"/>
                <w:color w:val="auto"/>
              </w:rPr>
            </w:pPr>
          </w:p>
        </w:tc>
        <w:tc>
          <w:tcPr>
            <w:tcW w:w="4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BFE4FF"/>
          </w:tcPr>
          <w:p>
            <w:pPr>
              <w:spacing w:after="0"/>
              <w:rPr>
                <w:sz w:val="19"/>
                <w:szCs w:val="19"/>
                <w:color w:val="auto"/>
              </w:rPr>
            </w:pPr>
          </w:p>
        </w:tc>
        <w:tc>
          <w:tcPr>
            <w:tcW w:w="680" w:type="dxa"/>
            <w:vAlign w:val="bottom"/>
            <w:shd w:val="clear" w:color="auto" w:fill="BFE4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5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BFE4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BFE4FF"/>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9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(b)</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11"/>
        </w:trPr>
        <w:tc>
          <w:tcPr>
            <w:tcW w:w="2180" w:type="dxa"/>
            <w:vAlign w:val="bottom"/>
            <w:tcBorders>
              <w:bottom w:val="single" w:sz="8" w:color="auto"/>
            </w:tcBorders>
          </w:tcPr>
          <w:p>
            <w:pPr>
              <w:spacing w:after="0"/>
              <w:rPr>
                <w:sz w:val="9"/>
                <w:szCs w:val="9"/>
                <w:color w:val="auto"/>
              </w:rPr>
            </w:pPr>
          </w:p>
        </w:tc>
        <w:tc>
          <w:tcPr>
            <w:tcW w:w="3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6"/>
                <w:szCs w:val="16"/>
                <w:color w:val="auto"/>
              </w:rPr>
              <w:t xml:space="preserve"> Includes accruals.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income tax provision consisted of the following amounts: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60" w:type="dxa"/>
            <w:vAlign w:val="bottom"/>
            <w:gridSpan w:val="8"/>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w w:val="94"/>
              </w:rPr>
              <w:t>(In millions, except</w:t>
            </w:r>
          </w:p>
        </w:tc>
        <w:tc>
          <w:tcPr>
            <w:tcW w:w="106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income tax provision, which was immaterial, was calculated based on year-to-date results as this represents the best estimate of the income tax rate. This differs from the three months ended March 31, 2024, where the income tax provision was calculated based on a forecasted effective tax rate under ASC 740-270.</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 This footnote should be read in conjunction with the complete description under Item 15 — Note 15,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Company’s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$21 million and $19 million for the three months ended March 31, 2025 and 2024, respectively, included in cost of operations in the consolidated statements of operations. There was a balance of $12 million due to RENOM as of both March 31, 2025 and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$5 million and $6 million for the three months ended March 31, 2025 and 2024, respectively, included in cost of operations in the consolidated statements of operations. There was a balance of $3 million due to CEG as of both March 31, 2025 and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along with certain of its subsidiaries, is a party to the CEG Master Services Agreement, pursuant to which CEG and certain of its affiliates or third-party service providers provide certain services to the Company. These services include operational and administrative services, including human resources, information systems, cybersecurity, external affairs, accounting, procurement and risk management services, and, effective January 1, 2025,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In addition, effective January 1, 2025, the Company directly bears all labor costs for certain employees of CEG who perform work on behalf of the Company.</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incurred net expenses under these agreements of $6 million and $1 million for the three months ended March 31, 2025 and 2024, respectively, included in the cost of operations in the consolidated statements of operations. There was a balance of $1 million and $5 million due to CEG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jc w:val="right"/>
        <w:ind w:right="316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ITEM 2 — Management’s Discussion and Analysis of Financial Condition and the Results of Operations </w:t>
      </w:r>
      <w:r>
        <w:rPr>
          <w:rFonts w:ascii="Times New Roman" w:cs="Times New Roman" w:eastAsia="Times New Roman" w:hAnsi="Times New Roman"/>
          <w:sz w:val="17"/>
          <w:szCs w:val="17"/>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months ended March 31, 2025 and 2024. Also refer to the Company’s 2024 Form 10-K, which includes detailed discussions of various items impacting the Company’s business, results of operations and financial condition.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81" w:lineRule="auto"/>
        <w:tabs>
          <w:tab w:leader="none" w:pos="1299"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980" w:right="80"/>
        <w:spacing w:after="0" w:line="281" w:lineRule="auto"/>
        <w:tabs>
          <w:tab w:leader="none" w:pos="12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operations;</w:t>
      </w:r>
    </w:p>
    <w:p>
      <w:pPr>
        <w:spacing w:after="0" w:line="1" w:lineRule="exact"/>
        <w:rPr>
          <w:rFonts w:ascii="Times New Roman" w:cs="Times New Roman" w:eastAsia="Times New Roman" w:hAnsi="Times New Roman"/>
          <w:sz w:val="18"/>
          <w:szCs w:val="18"/>
          <w:color w:val="auto"/>
        </w:rPr>
      </w:pPr>
    </w:p>
    <w:p>
      <w:pPr>
        <w:ind w:left="980" w:right="100"/>
        <w:spacing w:after="0" w:line="281" w:lineRule="auto"/>
        <w:tabs>
          <w:tab w:leader="none" w:pos="1299"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231F20"/>
        </w:rPr>
      </w:pPr>
    </w:p>
    <w:p>
      <w:pPr>
        <w:ind w:left="980" w:right="80"/>
        <w:spacing w:after="0" w:line="282" w:lineRule="auto"/>
        <w:tabs>
          <w:tab w:leader="none" w:pos="12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March 31, 2025 </w:t>
      </w:r>
      <w:r>
        <w:rPr>
          <w:rFonts w:ascii="Times New Roman" w:cs="Times New Roman" w:eastAsia="Times New Roman" w:hAnsi="Times New Roman"/>
          <w:sz w:val="18"/>
          <w:szCs w:val="18"/>
          <w:color w:val="231F20"/>
        </w:rPr>
        <w:t>based on CAFD.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2025, the Company’s operating assets are comprised of the following facilities:</w:t>
      </w:r>
    </w:p>
    <w:p>
      <w:pPr>
        <w:spacing w:after="0" w:line="97" w:lineRule="exact"/>
        <w:rPr>
          <w:sz w:val="20"/>
          <w:szCs w:val="20"/>
          <w:color w:val="auto"/>
        </w:rPr>
      </w:pPr>
    </w:p>
    <w:tbl>
      <w:tblPr>
        <w:tblLayout w:type="fixed"/>
        <w:tblInd w:w="150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9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74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74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Rated</w:t>
            </w:r>
          </w:p>
        </w:tc>
        <w:tc>
          <w:tcPr>
            <w:tcW w:w="1420" w:type="dxa"/>
            <w:vAlign w:val="bottom"/>
            <w:tcBorders>
              <w:top w:val="single" w:sz="8" w:color="auto"/>
            </w:tcBorders>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9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MW</w:t>
            </w:r>
          </w:p>
        </w:tc>
        <w:tc>
          <w:tcPr>
            <w:tcW w:w="1520" w:type="dxa"/>
            <w:vAlign w:val="bottom"/>
            <w:gridSpan w:val="2"/>
          </w:tcPr>
          <w:p>
            <w:pPr>
              <w:jc w:val="center"/>
              <w:ind w:left="255"/>
              <w:spacing w:after="0" w:line="233" w:lineRule="exact"/>
              <w:rPr>
                <w:sz w:val="20"/>
                <w:szCs w:val="20"/>
                <w:color w:val="auto"/>
              </w:rPr>
            </w:pPr>
            <w:r>
              <w:rPr>
                <w:rFonts w:ascii="Times New Roman" w:cs="Times New Roman" w:eastAsia="Times New Roman" w:hAnsi="Times New Roman"/>
                <w:sz w:val="27"/>
                <w:szCs w:val="27"/>
                <w:b w:val="1"/>
                <w:bCs w:val="1"/>
                <w:color w:val="auto"/>
                <w:w w:val="89"/>
                <w:vertAlign w:val="subscript"/>
              </w:rPr>
              <w:t>MW</w:t>
            </w:r>
            <w:r>
              <w:rPr>
                <w:rFonts w:ascii="Times New Roman" w:cs="Times New Roman" w:eastAsia="Times New Roman" w:hAnsi="Times New Roman"/>
                <w:sz w:val="10"/>
                <w:szCs w:val="10"/>
                <w:b w:val="1"/>
                <w:bCs w:val="1"/>
                <w:color w:val="auto"/>
                <w:w w:val="89"/>
              </w:rPr>
              <w:t xml:space="preserve"> (a)</w:t>
            </w:r>
          </w:p>
        </w:tc>
        <w:tc>
          <w:tcPr>
            <w:tcW w:w="27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3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Flexible Generation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SDG&amp;E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0"/>
        </w:trPr>
        <w:tc>
          <w:tcPr>
            <w:tcW w:w="2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2027 - 2029</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r>
      <w:tr>
        <w:trPr>
          <w:trHeight w:val="21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2026 - 2030</w:t>
            </w: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2026 - 2027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Flexible Generation</w:t>
            </w:r>
          </w:p>
        </w:tc>
        <w:tc>
          <w:tcPr>
            <w:tcW w:w="190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2,774</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2,584</w:t>
            </w:r>
          </w:p>
        </w:tc>
        <w:tc>
          <w:tcPr>
            <w:tcW w:w="25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51 %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290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66</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263</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2026 - 2041</w:t>
            </w:r>
          </w:p>
        </w:tc>
      </w:tr>
      <w:tr>
        <w:trPr>
          <w:trHeight w:val="20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45</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Avra Valley</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27</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Tucson Electric Power</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Blythe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21</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Borrego</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SDG&amp;E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37"/>
        </w:trPr>
        <w:tc>
          <w:tcPr>
            <w:tcW w:w="330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150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City of Georgetown, TX</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10"/>
        </w:trPr>
        <w:tc>
          <w:tcPr>
            <w:tcW w:w="330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182</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300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2033 - 2038</w:t>
            </w:r>
          </w:p>
        </w:tc>
      </w:tr>
      <w:tr>
        <w:trPr>
          <w:trHeight w:val="20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300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Enterprise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Escalante II</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III</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Granite Mountain East</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Granite Mountain West</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Iron Springs</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Kansas South</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210"/>
        </w:trPr>
        <w:tc>
          <w:tcPr>
            <w:tcW w:w="330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39</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61</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r>
      <w:tr>
        <w:trPr>
          <w:trHeight w:val="202"/>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Roadrunner</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 Paso Electric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Rated</w:t>
            </w:r>
          </w:p>
        </w:tc>
        <w:tc>
          <w:tcPr>
            <w:tcW w:w="7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98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Borders>
              <w:bottom w:val="single" w:sz="8" w:color="auto"/>
            </w:tcBorders>
          </w:tcPr>
          <w:p>
            <w:pPr>
              <w:jc w:val="right"/>
              <w:ind w:right="1407"/>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7"/>
                <w:szCs w:val="17"/>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MW</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MW</w:t>
            </w:r>
            <w:r>
              <w:rPr>
                <w:rFonts w:ascii="Times New Roman" w:cs="Times New Roman" w:eastAsia="Times New Roman" w:hAnsi="Times New Roman"/>
                <w:sz w:val="10"/>
                <w:szCs w:val="10"/>
                <w:b w:val="1"/>
                <w:bCs w:val="1"/>
                <w:color w:val="auto"/>
              </w:rPr>
              <w:t xml:space="preserve"> (a)</w:t>
            </w:r>
          </w:p>
        </w:tc>
        <w:tc>
          <w:tcPr>
            <w:tcW w:w="100" w:type="dxa"/>
            <w:vAlign w:val="bottom"/>
          </w:tcPr>
          <w:p>
            <w:pPr>
              <w:spacing w:after="0"/>
              <w:rPr>
                <w:sz w:val="17"/>
                <w:szCs w:val="17"/>
                <w:color w:val="auto"/>
              </w:rPr>
            </w:pPr>
          </w:p>
        </w:tc>
        <w:tc>
          <w:tcPr>
            <w:tcW w:w="28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2035 - 2047</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 High Desert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1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Verizon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2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Verizon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5"/>
        </w:trPr>
        <w:tc>
          <w:tcPr>
            <w:tcW w:w="3660" w:type="dxa"/>
            <w:vAlign w:val="bottom"/>
            <w:gridSpan w:val="2"/>
          </w:tcPr>
          <w:p>
            <w:pPr>
              <w:jc w:val="right"/>
              <w:ind w:right="162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BESS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2039 - 2041</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2033 - 2038</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6"/>
        </w:trPr>
        <w:tc>
          <w:tcPr>
            <w:tcW w:w="3660" w:type="dxa"/>
            <w:vAlign w:val="bottom"/>
            <w:gridSpan w:val="2"/>
            <w:shd w:val="clear" w:color="auto" w:fill="CCEEFF"/>
          </w:tcPr>
          <w:p>
            <w:pPr>
              <w:jc w:val="right"/>
              <w:ind w:right="160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BESS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DGPV Funds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2030 - 2044</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Solar Power Partners (SPP)</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2026 - 2037</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DG Facilities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2025 - 2039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I</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II</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III</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IV</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V</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X</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XI</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37"/>
        </w:trPr>
        <w:tc>
          <w:tcPr>
            <w:tcW w:w="3660" w:type="dxa"/>
            <w:vAlign w:val="bottom"/>
            <w:gridSpan w:val="2"/>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Toyota and Google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Broken Bow</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Buffalo Bear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Cedar Creek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Cedro Hill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CPS Energy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Crofton Bluffs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37"/>
        </w:trPr>
        <w:tc>
          <w:tcPr>
            <w:tcW w:w="3660" w:type="dxa"/>
            <w:vAlign w:val="bottom"/>
            <w:gridSpan w:val="2"/>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Forward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Goat Wind</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Dow Pipeline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7"/>
        </w:trPr>
        <w:tc>
          <w:tcPr>
            <w:tcW w:w="3660" w:type="dxa"/>
            <w:vAlign w:val="bottom"/>
            <w:gridSpan w:val="2"/>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Lookout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2033 - 2036</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Mesquite Star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2032 - 2035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Mountain Wind 1</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Wind 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88"/>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Mt. Storm</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Citigroup</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Rated</w:t>
            </w:r>
          </w:p>
        </w:tc>
        <w:tc>
          <w:tcPr>
            <w:tcW w:w="7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300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MW</w:t>
            </w:r>
          </w:p>
        </w:tc>
        <w:tc>
          <w:tcPr>
            <w:tcW w:w="76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MW</w:t>
            </w:r>
            <w:r>
              <w:rPr>
                <w:rFonts w:ascii="Times New Roman" w:cs="Times New Roman" w:eastAsia="Times New Roman" w:hAnsi="Times New Roman"/>
                <w:sz w:val="10"/>
                <w:szCs w:val="10"/>
                <w:b w:val="1"/>
                <w:bCs w:val="1"/>
                <w:color w:val="auto"/>
              </w:rPr>
              <w:t xml:space="preserve"> (a)</w:t>
            </w:r>
          </w:p>
        </w:tc>
        <w:tc>
          <w:tcPr>
            <w:tcW w:w="100" w:type="dxa"/>
            <w:vAlign w:val="bottom"/>
          </w:tcPr>
          <w:p>
            <w:pPr>
              <w:spacing w:after="0"/>
              <w:rPr>
                <w:sz w:val="17"/>
                <w:szCs w:val="17"/>
                <w:color w:val="auto"/>
              </w:rPr>
            </w:pPr>
          </w:p>
        </w:tc>
        <w:tc>
          <w:tcPr>
            <w:tcW w:w="300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6"/>
        </w:trPr>
        <w:tc>
          <w:tcPr>
            <w:tcW w:w="3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1"/>
                <w:szCs w:val="21"/>
                <w:color w:val="auto"/>
                <w:vertAlign w:val="superscript"/>
              </w:rPr>
              <w:t>(b)</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30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Maryland Department of General Services and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36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University System of Maryland</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1"/>
                <w:szCs w:val="21"/>
                <w:color w:val="auto"/>
                <w:vertAlign w:val="superscript"/>
              </w:rPr>
              <w:t>(b) (c)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Avista Corporation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95"/>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95"/>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AEP Energy Partners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Spanish Fork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95"/>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Spring Canyon II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Spring Canyon III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5"/>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10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Clearway Energy, Inc.</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10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Net capacity represents the maximum, or rated, generating or storage capacity of the facility multiplied by the Company’s percentage ownership in the facility as of March 31, 2025.</w:t>
      </w:r>
    </w:p>
    <w:p>
      <w:pPr>
        <w:spacing w:after="0" w:line="57" w:lineRule="exact"/>
        <w:rPr>
          <w:rFonts w:ascii="Times New Roman" w:cs="Times New Roman" w:eastAsia="Times New Roman" w:hAnsi="Times New Roman"/>
          <w:sz w:val="20"/>
          <w:szCs w:val="20"/>
          <w:color w:val="auto"/>
          <w:vertAlign w:val="superscript"/>
        </w:rPr>
      </w:pPr>
    </w:p>
    <w:p>
      <w:pPr>
        <w:ind w:left="260" w:hanging="171"/>
        <w:spacing w:after="0" w:line="189" w:lineRule="auto"/>
        <w:tabs>
          <w:tab w:leader="none" w:pos="2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 xml:space="preserve">Facilities are part of tax equity arrangements, as further described in Note 4, </w:t>
      </w:r>
      <w:r>
        <w:rPr>
          <w:rFonts w:ascii="Times New Roman" w:cs="Times New Roman" w:eastAsia="Times New Roman" w:hAnsi="Times New Roman"/>
          <w:sz w:val="12"/>
          <w:szCs w:val="12"/>
          <w:i w:val="1"/>
          <w:iCs w:val="1"/>
          <w:color w:val="auto"/>
        </w:rPr>
        <w:t>Investments Accounted for by the Equity Method and Variable Interest Entities</w:t>
      </w:r>
      <w:r>
        <w:rPr>
          <w:rFonts w:ascii="Times New Roman" w:cs="Times New Roman" w:eastAsia="Times New Roman" w:hAnsi="Times New Roman"/>
          <w:sz w:val="12"/>
          <w:szCs w:val="12"/>
          <w:color w:val="auto"/>
        </w:rPr>
        <w:t>.</w:t>
      </w:r>
    </w:p>
    <w:p>
      <w:pPr>
        <w:spacing w:after="0" w:line="57"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Rattlesnake has a deliverable capacity of 144 MW.</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Acquisitions</w:t>
      </w:r>
    </w:p>
    <w:p>
      <w:pPr>
        <w:spacing w:after="0" w:line="173" w:lineRule="exact"/>
        <w:rPr>
          <w:sz w:val="20"/>
          <w:szCs w:val="20"/>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acquired the Tuolumne wind facility from an investment-grade regulated entity for approximately $207 million, subject to working capital adjustments.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Company estimates that its total capital investment in Tuolumne will be $61 million, which includes estimated transaction expenses.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2025, the Company entered into a binding agreement to acquire an approximately 100 MW operating solar facility located in California from a third party. The Company expects its total corporate capital commitment to acquire the facility to be between $120 million and $125 million, which the Company expects to fund with existing sources of liquidity. The facility reached commercial operations in 2013 and has a revenue contract with an investment-grade utility through 2038. The consummation of the transaction is subject to customary closing conditions and certain third-party approvals and is expected in the second half of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73" w:lineRule="exact"/>
        <w:rPr>
          <w:sz w:val="20"/>
          <w:szCs w:val="20"/>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LV-Daggett Parent Holdco LLC, acquired Luna Valley Class B, the indirect owner of the Luna Valley solar facility, from Clearway Renew for initial cash consideration of $18 million. At substantial completion, which is expected to occur in the second half of 2025, the Company estimates it will pay an additional $72 million to Clearway Renew. The Company estimates that its total capital investment in Luna Valley Class B will be $90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LV-Daggett Parent Holdco LLC, acquired Daggett 1 Class B, the indirect owner of the Daggett 1 BESS facility, from Clearway Renew for initial cash consideration of $11 million. At substantial completion, which is expected to occur in the second half of 2025, the Company estimates it will pay an additional $42 million to Clearway Renew. The Company estimates that its total capital investment in Daggett 1 Class B will be $53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20, 2025, the Company, through its indirect subsidiary, Rosamond South Investment LLC, acquired the Class A membership interests in Rosie South TargetCo, a partnership and the indirect owner of the Rosamond South I solar facility, from Clearway Renew for initial cash consideration of $4 million. Simultaneously, a third-party cash equity investor acquired the Class B membership interests in Rosie South TargetCo from Clearway Renew for initial cash consideration of $10 million. At substantial completion, which is expected to occur in the second half of 2025, the Company estimates it will pay an additional $17 million to Clearway Renew and the third-party cash equity investor will contribute an additional $41 million. The Company estimates that its total capital investment in Rosie South TargetCo will be $21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2025, the Company, through an indirect subsidiary, entered into an agreement with Clearway Renew to sell its membership interests in Mt. Storm, a 264 MW wind facility that is located in Grant County, West Virginia, for $121 million in cash consideration in order for Clearway Renew to repower the facility, which will occur in two phases. The consummation of the transaction is subject to customary conditions and third-party approvals and is expected in the second half of 2025. Additionally, the agreement contains an exclusive option for the Company to purchase the Class B membership interests in the tax equity fund that, upon mechanical completion of the first phase of the repowering of the facility, will own Mt. Storm. Mechanical completion of the first phase of the Mt. Storm repowering is expected to occur in the second half of 2026 with the second phase of the repowering expected to occur in the second half of 2027. The repowering of the facility is expected to increase the facility’s capacity to 335 MW. Upon achieving repowering commercial operations, which is expected to occur in 2027, the facility will sell power to Microsoft under a 20-year PPA.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RA Agreements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in December 2029. El Segundo is now contracted for 100% of its capacity through 2027 and approximately 50% of its capacity through 2028.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Facility-level Financing Activities</w:t>
      </w:r>
    </w:p>
    <w:p>
      <w:pPr>
        <w:spacing w:after="0" w:line="171" w:lineRule="exact"/>
        <w:rPr>
          <w:sz w:val="20"/>
          <w:szCs w:val="20"/>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2025 Drop Down of Rosamond South I, the Company assumed non-recourse facility-level debt. See Note 7,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discussion of the non-recourse facility-level debt associated with the facility.</w:t>
      </w:r>
    </w:p>
    <w:p>
      <w:pPr>
        <w:spacing w:after="0" w:line="1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9, 2025, the Company, through its indirect subsidiary, Buckthorn Solar Portfolio LLC, refinanced its credit agreement, which was scheduled to mature in May 2025, resulting in the issuance of a $104 million term loan facility, as well as $22 million in letters of credit in support of debt service and facility obligations. The Company utilized the proceeds from the term loan and existing sources of liquidity to pay off the existing debt.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refinanced credit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could change in the future.</w:t>
      </w:r>
    </w:p>
    <w:p>
      <w:pPr>
        <w:spacing w:after="0" w:line="13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2024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following disclosures about the Company’s regulatory matters provide an update to, and should be read in conjunction with,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Regulatory Matters </w:t>
      </w:r>
      <w:r>
        <w:rPr>
          <w:rFonts w:ascii="Times New Roman" w:cs="Times New Roman" w:eastAsia="Times New Roman" w:hAnsi="Times New Roman"/>
          <w:sz w:val="18"/>
          <w:szCs w:val="18"/>
          <w:color w:val="auto"/>
        </w:rPr>
        <w:t>and Item 1A,</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 of the Company’s 2024 Form 10-K</w:t>
      </w:r>
      <w:r>
        <w:rPr>
          <w:rFonts w:ascii="Times New Roman" w:cs="Times New Roman" w:eastAsia="Times New Roman" w:hAnsi="Times New Roman"/>
          <w:sz w:val="18"/>
          <w:szCs w:val="18"/>
          <w:i w:val="1"/>
          <w:iCs w:val="1"/>
          <w:color w:val="auto"/>
        </w:rPr>
        <w:t>.</w:t>
      </w:r>
    </w:p>
    <w:p>
      <w:pPr>
        <w:spacing w:after="0" w:line="10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6,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8"/>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3333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315</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Derivative interest (expense) income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80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and redeemable noncontrolling interests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Solar MWh generated/sold (in thousands)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2"/>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Wind MWh generated/sold (in thousands)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2,743</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0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Solar &amp; Wind MWh generated/sold (in thousands)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4,481</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bottom w:val="single" w:sz="8" w:color="CCEEFF"/>
            </w:tcBorders>
            <w:gridSpan w:val="2"/>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Solar weighted-average capacity factor </w:t>
            </w:r>
            <w:r>
              <w:rPr>
                <w:rFonts w:ascii="Times New Roman" w:cs="Times New Roman" w:eastAsia="Times New Roman" w:hAnsi="Times New Roman"/>
                <w:sz w:val="23"/>
                <w:szCs w:val="23"/>
                <w:color w:val="auto"/>
                <w:vertAlign w:val="superscript"/>
              </w:rPr>
              <w:t>(b)</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Wind weighted-average capacity factor </w:t>
            </w:r>
            <w:r>
              <w:rPr>
                <w:rFonts w:ascii="Times New Roman" w:cs="Times New Roman" w:eastAsia="Times New Roman" w:hAnsi="Times New Roman"/>
                <w:sz w:val="23"/>
                <w:szCs w:val="23"/>
                <w:color w:val="auto"/>
                <w:vertAlign w:val="superscript"/>
              </w:rPr>
              <w:t>(c)</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Flexible Generation MWh generated (in thousands)</w:t>
            </w:r>
          </w:p>
        </w:tc>
        <w:tc>
          <w:tcPr>
            <w:tcW w:w="2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Flexible Generation equivalent availability factor</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3" w:lineRule="exact"/>
        <w:rPr>
          <w:rFonts w:ascii="Times New Roman" w:cs="Times New Roman" w:eastAsia="Times New Roman" w:hAnsi="Times New Roman"/>
          <w:sz w:val="20"/>
          <w:szCs w:val="20"/>
          <w:color w:val="auto"/>
          <w:vertAlign w:val="superscript"/>
        </w:rPr>
      </w:pPr>
    </w:p>
    <w:p>
      <w:pPr>
        <w:ind w:left="260" w:hanging="171"/>
        <w:spacing w:after="0" w:line="189" w:lineRule="auto"/>
        <w:tabs>
          <w:tab w:leader="none" w:pos="2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solar facilities is 25%. The weighted-average capacity factors can vary based on seasonality and weather.</w:t>
      </w:r>
    </w:p>
    <w:p>
      <w:pPr>
        <w:spacing w:after="0" w:line="16" w:lineRule="exact"/>
        <w:rPr>
          <w:rFonts w:ascii="Times New Roman" w:cs="Times New Roman" w:eastAsia="Times New Roman" w:hAnsi="Times New Roman"/>
          <w:sz w:val="19"/>
          <w:szCs w:val="19"/>
          <w:color w:val="auto"/>
          <w:vertAlign w:val="superscript"/>
        </w:rPr>
      </w:pPr>
    </w:p>
    <w:p>
      <w:pPr>
        <w:ind w:left="260" w:hanging="171"/>
        <w:spacing w:after="0" w:line="189" w:lineRule="auto"/>
        <w:tabs>
          <w:tab w:leader="none" w:pos="2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ind w:right="28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Three Months Ended March 31, 2025 and 2024 </w:t>
      </w:r>
      <w:r>
        <w:rPr>
          <w:rFonts w:ascii="Times New Roman" w:cs="Times New Roman" w:eastAsia="Times New Roman" w:hAnsi="Times New Roman"/>
          <w:sz w:val="18"/>
          <w:szCs w:val="18"/>
          <w:b w:val="1"/>
          <w:bCs w:val="1"/>
          <w:i w:val="1"/>
          <w:iCs w:val="1"/>
          <w:color w:val="auto"/>
        </w:rPr>
        <w:t>Operating Revenues</w:t>
      </w:r>
    </w:p>
    <w:p>
      <w:pPr>
        <w:spacing w:after="0" w:line="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increased by $35 million during the three months ended March 31, 2025, compared to the same period in 2024,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887" w:right="339" w:bottom="1440" w:gutter="0" w:footer="0" w:header="0"/>
        </w:sectPr>
      </w:pP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Renewables &amp; Storage Segment</w:t>
            </w:r>
          </w:p>
        </w:tc>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driven by the Victory Pass and Arica solar and BESS acquisitions, which reached</w:t>
            </w: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73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commercial operations in March 2024 and April 2024, respectively, the acquisition of Texas Solar</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73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Nova 2 in March 2024 and the Rosamond Central BESS acquisition, which reached commercial</w:t>
            </w:r>
          </w:p>
        </w:tc>
        <w:tc>
          <w:tcPr>
            <w:tcW w:w="0" w:type="dxa"/>
            <w:vAlign w:val="bottom"/>
          </w:tcPr>
          <w:p>
            <w:pPr>
              <w:spacing w:after="0"/>
              <w:rPr>
                <w:sz w:val="1"/>
                <w:szCs w:val="1"/>
                <w:color w:val="auto"/>
              </w:rPr>
            </w:pPr>
          </w:p>
        </w:tc>
      </w:tr>
      <w:tr>
        <w:trPr>
          <w:trHeight w:val="225"/>
        </w:trPr>
        <w:tc>
          <w:tcPr>
            <w:tcW w:w="2540" w:type="dxa"/>
            <w:vAlign w:val="bottom"/>
          </w:tcPr>
          <w:p>
            <w:pPr>
              <w:spacing w:after="0"/>
              <w:rPr>
                <w:sz w:val="19"/>
                <w:szCs w:val="19"/>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operations in June 2024.</w:t>
            </w: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driven primarily by higher solar generation.</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driven by the Cedar Creek wind acquisition in April 2024.</w:t>
            </w:r>
          </w:p>
        </w:tc>
        <w:tc>
          <w:tcPr>
            <w:tcW w:w="0" w:type="dxa"/>
            <w:vAlign w:val="bottom"/>
          </w:tcPr>
          <w:p>
            <w:pPr>
              <w:spacing w:after="0"/>
              <w:rPr>
                <w:sz w:val="1"/>
                <w:szCs w:val="1"/>
                <w:color w:val="auto"/>
              </w:rPr>
            </w:pPr>
          </w:p>
        </w:tc>
      </w:tr>
      <w:tr>
        <w:trPr>
          <w:trHeight w:val="229"/>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Flexible Generation Segment</w:t>
            </w:r>
          </w:p>
        </w:tc>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driven primarily by higher wind generation.</w:t>
            </w:r>
          </w:p>
        </w:tc>
        <w:tc>
          <w:tcPr>
            <w:tcW w:w="0" w:type="dxa"/>
            <w:vAlign w:val="bottom"/>
          </w:tcPr>
          <w:p>
            <w:pPr>
              <w:spacing w:after="0"/>
              <w:rPr>
                <w:sz w:val="1"/>
                <w:szCs w:val="1"/>
                <w:color w:val="auto"/>
              </w:rPr>
            </w:pPr>
          </w:p>
        </w:tc>
      </w:tr>
      <w:tr>
        <w:trPr>
          <w:trHeight w:val="180"/>
        </w:trPr>
        <w:tc>
          <w:tcPr>
            <w:tcW w:w="2540" w:type="dxa"/>
            <w:vAlign w:val="bottom"/>
            <w:vMerge w:val="continue"/>
          </w:tcPr>
          <w:p>
            <w:pPr>
              <w:spacing w:after="0"/>
              <w:rPr>
                <w:sz w:val="15"/>
                <w:szCs w:val="15"/>
                <w:color w:val="auto"/>
              </w:rPr>
            </w:pPr>
          </w:p>
        </w:tc>
        <w:tc>
          <w:tcPr>
            <w:tcW w:w="73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Decrease in energy revenue primarily driven by lower generation at the Walnut Creek, Marsh</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Landing and El Segundo facilities, which also decreased cost of fuels as noted below.</w:t>
            </w:r>
          </w:p>
        </w:tc>
        <w:tc>
          <w:tcPr>
            <w:tcW w:w="0" w:type="dxa"/>
            <w:vAlign w:val="bottom"/>
          </w:tcPr>
          <w:p>
            <w:pPr>
              <w:spacing w:after="0"/>
              <w:rPr>
                <w:sz w:val="1"/>
                <w:szCs w:val="1"/>
                <w:color w:val="auto"/>
              </w:rPr>
            </w:pPr>
          </w:p>
        </w:tc>
      </w:tr>
      <w:tr>
        <w:trPr>
          <w:trHeight w:val="184"/>
        </w:trPr>
        <w:tc>
          <w:tcPr>
            <w:tcW w:w="25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3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Increase driven by Cedro Hill, which reached repowering commercial operations in December</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 resulting in the extension of the amortization period.</w:t>
            </w:r>
          </w:p>
        </w:tc>
        <w:tc>
          <w:tcPr>
            <w:tcW w:w="0" w:type="dxa"/>
            <w:vAlign w:val="bottom"/>
          </w:tcPr>
          <w:p>
            <w:pPr>
              <w:spacing w:after="0"/>
              <w:rPr>
                <w:sz w:val="1"/>
                <w:szCs w:val="1"/>
                <w:color w:val="auto"/>
              </w:rPr>
            </w:pPr>
          </w:p>
        </w:tc>
      </w:tr>
      <w:tr>
        <w:trPr>
          <w:trHeight w:val="184"/>
        </w:trPr>
        <w:tc>
          <w:tcPr>
            <w:tcW w:w="25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3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Increase primarily driven by decreases in forward power prices in the PJM market.</w:t>
            </w:r>
          </w:p>
        </w:tc>
        <w:tc>
          <w:tcPr>
            <w:tcW w:w="0" w:type="dxa"/>
            <w:vAlign w:val="bottom"/>
          </w:tcPr>
          <w:p>
            <w:pPr>
              <w:spacing w:after="0"/>
              <w:rPr>
                <w:sz w:val="1"/>
                <w:szCs w:val="1"/>
                <w:color w:val="auto"/>
              </w:rPr>
            </w:pPr>
          </w:p>
        </w:tc>
      </w:t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tc>
        <w:tc>
          <w:tcPr>
            <w:tcW w:w="7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Decrease in heat rate call option contracts primarily driven by changes in power market prices.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488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1086" w:hanging="1086"/>
        <w:spacing w:after="0"/>
        <w:tabs>
          <w:tab w:leader="none" w:pos="10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7" w:lineRule="exact"/>
        <w:rPr>
          <w:rFonts w:ascii="Times New Roman" w:cs="Times New Roman" w:eastAsia="Times New Roman" w:hAnsi="Times New Roman"/>
          <w:sz w:val="18"/>
          <w:szCs w:val="18"/>
          <w:color w:val="auto"/>
        </w:rPr>
      </w:pPr>
    </w:p>
    <w:p>
      <w:pPr>
        <w:ind w:left="11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2" w:lineRule="exact"/>
        <w:rPr>
          <w:rFonts w:ascii="Times New Roman" w:cs="Times New Roman" w:eastAsia="Times New Roman" w:hAnsi="Times New Roman"/>
          <w:sz w:val="18"/>
          <w:szCs w:val="18"/>
          <w:color w:val="auto"/>
        </w:rPr>
      </w:pPr>
    </w:p>
    <w:p>
      <w:pPr>
        <w:ind w:left="11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2" w:lineRule="exact"/>
        <w:rPr>
          <w:rFonts w:ascii="Times New Roman" w:cs="Times New Roman" w:eastAsia="Times New Roman" w:hAnsi="Times New Roman"/>
          <w:sz w:val="18"/>
          <w:szCs w:val="18"/>
          <w:color w:val="auto"/>
        </w:rPr>
      </w:pPr>
    </w:p>
    <w:p>
      <w:pPr>
        <w:ind w:left="11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ind w:left="1026"/>
        <w:spacing w:after="0"/>
        <w:rPr>
          <w:sz w:val="20"/>
          <w:szCs w:val="20"/>
          <w:color w:val="auto"/>
        </w:rPr>
      </w:pPr>
      <w:r>
        <w:rPr>
          <w:rFonts w:ascii="Times New Roman" w:cs="Times New Roman" w:eastAsia="Times New Roman" w:hAnsi="Times New Roman"/>
          <w:sz w:val="18"/>
          <w:szCs w:val="18"/>
          <w:color w:val="auto"/>
        </w:rPr>
        <w:t>(16)</w:t>
      </w:r>
    </w:p>
    <w:p>
      <w:pPr>
        <w:spacing w:after="0" w:line="212" w:lineRule="exact"/>
        <w:rPr>
          <w:sz w:val="20"/>
          <w:szCs w:val="20"/>
          <w:color w:val="auto"/>
        </w:rPr>
      </w:pPr>
    </w:p>
    <w:p>
      <w:pPr>
        <w:ind w:left="1186"/>
        <w:spacing w:after="0"/>
        <w:rPr>
          <w:sz w:val="20"/>
          <w:szCs w:val="20"/>
          <w:color w:val="auto"/>
        </w:rPr>
      </w:pPr>
      <w:r>
        <w:rPr>
          <w:rFonts w:ascii="Times New Roman" w:cs="Times New Roman" w:eastAsia="Times New Roman" w:hAnsi="Times New Roman"/>
          <w:sz w:val="18"/>
          <w:szCs w:val="18"/>
          <w:color w:val="auto"/>
        </w:rPr>
        <w:t>2</w:t>
      </w:r>
    </w:p>
    <w:p>
      <w:pPr>
        <w:spacing w:after="0" w:line="212" w:lineRule="exact"/>
        <w:rPr>
          <w:sz w:val="20"/>
          <w:szCs w:val="20"/>
          <w:color w:val="auto"/>
        </w:rPr>
      </w:pPr>
    </w:p>
    <w:p>
      <w:pPr>
        <w:ind w:left="1086"/>
        <w:spacing w:after="0"/>
        <w:rPr>
          <w:sz w:val="20"/>
          <w:szCs w:val="20"/>
          <w:color w:val="auto"/>
        </w:rPr>
      </w:pPr>
      <w:r>
        <w:rPr>
          <w:rFonts w:ascii="Times New Roman" w:cs="Times New Roman" w:eastAsia="Times New Roman" w:hAnsi="Times New Roman"/>
          <w:sz w:val="18"/>
          <w:szCs w:val="18"/>
          <w:color w:val="auto"/>
        </w:rPr>
        <w:t>22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w:t>
      </w:r>
    </w:p>
    <w:p>
      <w:pPr>
        <w:spacing w:after="0" w:line="31" w:lineRule="exact"/>
        <w:rPr>
          <w:sz w:val="20"/>
          <w:szCs w:val="20"/>
          <w:color w:val="auto"/>
        </w:rPr>
      </w:pPr>
    </w:p>
    <w:p>
      <w:pPr>
        <w:ind w:left="1086" w:hanging="1086"/>
        <w:spacing w:after="0"/>
        <w:tabs>
          <w:tab w:leader="none" w:pos="10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87"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Cost of fuels decreased by $14 million during the three months ended March 31, 2025, compared to the same period in 2024, primarily due to lower generation at the Walnut Creek, Marsh Landing and El Segundo facilities, which resulted in less fuel purchases.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by $59 million during the three months ended March 31, 2025, compared to the same period in 2024, primarily due to the change in fair value of interest rate swaps due to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an immaterial income tax expense on a pretax loss of $104 million. For the same period in 2024, the Company recorded an income tax benefit of $13 million on a pretax loss of $59 million. The $13 million decrease in income tax benefit during the three months ended March 31, 2025, compared to the same period in 2024, was primarily due to the allocation of taxable earnings and losses, which includes the effect of applying the HLBV method of accounting for book purposes for certain partnerships.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had a net loss of $108 million attributable to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8"/>
        </w:trPr>
        <w:tc>
          <w:tcPr>
            <w:tcW w:w="99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Daggett TE Holdco</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 Daggett 2 TE Holdco LLC, VP-Arica TE Holdco LLC and Cedro Hill TE Holdco LLC HLBV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9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 and Redeemable Noncontrolling Interests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had a net loss of $44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99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The Company’s principal liquidity requirements are to meet its financial commitments, finance current operations, fund capital expenditures, including investments and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the Company’s liquidity was approximately $1,325 million and $1,330 million, respectively, comprised of cash, restricted cash and availability under the Company’s revolving credit facility.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7"/>
                <w:szCs w:val="17"/>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accounts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The Company’s liquidity includes $414 million and $401 million of restricted cash balances as of March 31, 2025 and December 31, 2024,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8"/>
          <w:szCs w:val="18"/>
          <w:color w:val="000000"/>
        </w:rPr>
        <w:t>March 31, 2025, these restricted funds were comprised of $166 million designated to fund operating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expenses, approximately $133 million designated for current debt service payments and $83 million restricted for reserves including debt service, performance obligations and other reserves, as well as capital expenditures. The remaining $32 million is held in distribution reserve accounts.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and Clearway Energy Operating LLC Revolving Credit Facility</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2025, the Company had no outstanding borrowings under the revolving credit facility and $86 million in letters of credit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facility will continue to be used for general corporate purposes including financing of future investments or acquisitions and posting letters of credit.</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March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23"/>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Clearway Energy, Inc.</w:t>
            </w:r>
          </w:p>
        </w:tc>
        <w:tc>
          <w:tcPr>
            <w:tcW w:w="1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Notes, due 2028</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3.750% Senior Notes, due 2031</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3.750% Senior Notes, due 2032</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this Form 10-Q and Item 15 — Note 10,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to the consolidated financial statements included in the Company’s 2024 Form 10-K, the Company’s financing arrangements consist of corporate level debt, which includes Senior Notes and the revolving credit facility; the ATM Program; and facility-level financings for its various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(ii) capital expenditures; (iii) off-balance sheet arrangements; (iv) acquisitions and investments, as described more fully in </w:t>
      </w:r>
      <w:r>
        <w:rPr>
          <w:rFonts w:ascii="Times New Roman" w:cs="Times New Roman" w:eastAsia="Times New Roman" w:hAnsi="Times New Roman"/>
          <w:sz w:val="18"/>
          <w:szCs w:val="18"/>
          <w:color w:val="000000"/>
        </w:rPr>
        <w:t>Note 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Acquisitions</w:t>
      </w:r>
      <w:r>
        <w:rPr>
          <w:rFonts w:ascii="Times New Roman" w:cs="Times New Roman" w:eastAsia="Times New Roman" w:hAnsi="Times New Roman"/>
          <w:sz w:val="18"/>
          <w:szCs w:val="18"/>
          <w:color w:val="231F20"/>
        </w:rPr>
        <w:t>; and (v) cash dividends to investors.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Capital Expenditures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For the three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the Company used approximately $56 million to fund capital expenditures, including growth </w:t>
      </w:r>
      <w:r>
        <w:rPr>
          <w:rFonts w:ascii="Times New Roman" w:cs="Times New Roman" w:eastAsia="Times New Roman" w:hAnsi="Times New Roman"/>
          <w:sz w:val="18"/>
          <w:szCs w:val="18"/>
          <w:color w:val="000000"/>
        </w:rPr>
        <w:t xml:space="preserve">expenditures of $55 million, primarily in the Renewables &amp; Storage segment, funded through construction-related financing. Growth capital expenditures included $19 million incurred in connection with the Dan’s Mountain wind facility, $17 million incurred in connection with the repowering of the Cedro Hill wind facility, $9 million in connection with the Rosamond South I solar and BESS facility, $6 million in connection with the Victory Pass and Arica solar and BESS facilities and $4 million incurred by other facilities. </w:t>
      </w:r>
      <w:r>
        <w:rPr>
          <w:rFonts w:ascii="Times New Roman" w:cs="Times New Roman" w:eastAsia="Times New Roman" w:hAnsi="Times New Roman"/>
          <w:sz w:val="18"/>
          <w:szCs w:val="18"/>
          <w:color w:val="231F20"/>
        </w:rPr>
        <w:t>In addition, the Company incurred</w:t>
      </w:r>
      <w:r>
        <w:rPr>
          <w:rFonts w:ascii="Times New Roman" w:cs="Times New Roman" w:eastAsia="Times New Roman" w:hAnsi="Times New Roman"/>
          <w:sz w:val="18"/>
          <w:szCs w:val="18"/>
          <w:color w:val="000000"/>
        </w:rPr>
        <w:t xml:space="preserve"> $1 million of maintenance capital expenditures, which is net of credits received from equipment manufacturers.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March 31, 2025, the Company has several investments with an ownership interest percentage of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less. GenConn is a VIE for which the Company is not the primary beneficiary. The Company’s pro-rata share of non-recourse debt held by unconsolidated affiliates was approximately $277 million as of March 31, 2025. This indebtedness may restrict the ability of these subsidiaries to issue dividends or distributions to the Company.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 w:cs="Times New Roman" w:eastAsia="Times New Roman" w:hAnsi="Times New Roman"/>
          <w:sz w:val="18"/>
          <w:szCs w:val="18"/>
          <w:color w:val="231F20"/>
        </w:rPr>
        <w:t>2024</w:t>
      </w:r>
      <w:r>
        <w:rPr>
          <w:rFonts w:ascii="Times New Roman" w:cs="Times New Roman" w:eastAsia="Times New Roman" w:hAnsi="Times New Roman"/>
          <w:sz w:val="18"/>
          <w:szCs w:val="18"/>
          <w:color w:val="auto"/>
        </w:rPr>
        <w:t xml:space="preserve">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1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Tuolumne Wind Acquisition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29, 2025, the Company acquired the Tuolumne wind facility from an investment-grade regulated entity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$207 million, subject to working capital adjustments.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Company utilized a portion of the proceeds from the term loan to pay $4 million in related financing costs. The acquisition was funded with the borrowings under the new non-recourse facility-level debt, as well as existing sources of liquidity. The Company estimates that its total capital investment in Tuolumne will be $61 million, which includes estimated transaction expenses.</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Luna Valley Drop Down </w:t>
      </w:r>
      <w:r>
        <w:rPr>
          <w:rFonts w:ascii="Times New Roman" w:cs="Times New Roman" w:eastAsia="Times New Roman" w:hAnsi="Times New Roman"/>
          <w:sz w:val="18"/>
          <w:szCs w:val="18"/>
          <w:color w:val="auto"/>
        </w:rPr>
        <w:t>— On April 29, 2025, the Company, through its indirect subsidiary, LV-Daggett Parent Holdco LLC, acquired Luna Valley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the indirect owner of the Luna Valley solar facility, from Clearway Renew for initial cash consideration of $18 million. At substantial completion, which is expected to occur in the second half of 2025, the Company estimates it will pay an additional $72 million to Clearway Renew. The Company estimates that its total capital investment in Luna Valley Class B will be $90 million, excluding the impact of any closing adjustments noted in the purchase agreement. Luna Valley has PPAs with investment-grade counterparties that have a 17-year weighted average contract duration that commence when the underlying operating assets reach commercial operations, which is expected to occur in the second half of 2025. The acquisition was funded with existing sources of liquidity.</w:t>
      </w:r>
    </w:p>
    <w:p>
      <w:pPr>
        <w:spacing w:after="0" w:line="12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Daggett 1 Drop Down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29, 2025, the Company, through its indirect subsidiary, LV-Daggett Parent Holdco LLC, acquired Daggett 1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indirect owner of the Daggett 1 BESS facility, from Clearway Renew for initial cash consideration of $11 million. At substantial completion, which is expected to occur in the second half of 2025, the Company estimates it will pay an additional $42 million to Clearway Renew. The Company estimates that its total capital investment in Daggett 1 Class B will be $53 million, excluding the impact of any closing adjustments noted in the purchase agreement. Daggett 1 has a PPA for capacity with an investment-grade counterparty for a contract duration of 15 years that commences when the facility reaches commercial operations, which is expected to occur in the second half of 2025. The acquisition was funded with existing sources of liquidity.</w:t>
      </w:r>
    </w:p>
    <w:p>
      <w:pPr>
        <w:spacing w:after="0" w:line="13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Rosamond South I Drop Down </w:t>
      </w:r>
      <w:r>
        <w:rPr>
          <w:rFonts w:ascii="Times New Roman" w:cs="Times New Roman" w:eastAsia="Times New Roman" w:hAnsi="Times New Roman"/>
          <w:sz w:val="18"/>
          <w:szCs w:val="18"/>
          <w:color w:val="auto"/>
        </w:rPr>
        <w:t>— On March 20, 2025, the Company, through its indirect subsidiary, Rosamond South Investment LLC, acquired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membership interests in Rosie South TargetCo, a partnership and the indirect owner of the Rosamond South I solar facility, from Clearway Renew for initial cash consideration of $4 million. At substantial completion, which is expected to occur in the second half of 2025, the Company estimates it will pay an additional $17 million to Clearway Renew. The Company estimates that its total capital investment in Rosie South TargetCo will be $21 million, excluding the impact of any closing adjustments noted in the purchase agreement. Rosamond South I has PPAs with investment-grade counterparties that have a 15-year weighted average contract duration that commence when the underlying operating assets reach commercial operations, which is expected to occur in the second half of 2025. The acquisition was funded with existing sources of liquidity. As part of the acquisition of Rosamond South I, the Company assumed the facility’s financing agreement, which included a construction loan, which converts to a term loan when the facility reaches substantial completion, a cash equity bridge loan that was paid off at acquisition date and a tax equity bridge loan, which will be completely paid off when the facility reaches substantial completion. Subsequent to the acquisition, the Company borrowed an additional $14 million in construction loans through March 31, 2025.</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Dividends to Investors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8"/>
          <w:szCs w:val="18"/>
          <w:color w:val="000000"/>
        </w:rPr>
        <w:t>he Class A common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 2025</w:t>
            </w:r>
          </w:p>
        </w:tc>
      </w:tr>
      <w:tr>
        <w:trPr>
          <w:trHeight w:val="23"/>
        </w:trPr>
        <w:tc>
          <w:tcPr>
            <w:tcW w:w="9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0.4312</w:t>
            </w:r>
          </w:p>
        </w:tc>
      </w:tr>
    </w:tbl>
    <w:p>
      <w:pPr>
        <w:spacing w:after="0" w:line="233"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On April 29, 2025, the Company declared quarterly dividends on its Class A and Class C common stock of $0.4384 per share payable on June 16, 2025 to stockholders of record as of June 2,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reflect the changes in cash flows for the comparative periods: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140" w:type="dxa"/>
            <w:vAlign w:val="bottom"/>
          </w:tcPr>
          <w:p>
            <w:pPr>
              <w:spacing w:after="0"/>
              <w:rPr>
                <w:sz w:val="16"/>
                <w:szCs w:val="16"/>
                <w:color w:val="auto"/>
              </w:rPr>
            </w:pPr>
          </w:p>
        </w:tc>
        <w:tc>
          <w:tcPr>
            <w:tcW w:w="9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240"/>
          </w:cols>
          <w:pgMar w:left="320" w:top="88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Increase from changes in working capital primarily driven by the timing of accounts receivable collections and payments of current liabilities, including accounts payable and current income taxes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operating income after adjusting for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distributions from unconsolidated affiliates</w:t>
      </w: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cash paid for Drop Down Assets, net of cash acquired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the return of investment from unconsolidated affiliates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net cash (used in) provided by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contributions from noncontrolling interests, net of distributions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dividends paid to common stockholders and distributions paid to CEG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payments for long-term debt and proceeds from issuance of long-term debt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9" w:lineRule="exact"/>
        <w:rPr>
          <w:sz w:val="20"/>
          <w:szCs w:val="20"/>
          <w:color w:val="auto"/>
        </w:rPr>
      </w:pPr>
    </w:p>
    <w:p>
      <w:pPr>
        <w:ind w:left="1020" w:hanging="1011"/>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058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1" w:lineRule="exact"/>
        <w:rPr>
          <w:sz w:val="20"/>
          <w:szCs w:val="20"/>
          <w:color w:val="auto"/>
        </w:rPr>
      </w:pPr>
    </w:p>
    <w:p>
      <w:pPr>
        <w:ind w:left="1000" w:hanging="991"/>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058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8058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920" w:hanging="91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2"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2"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31" w:lineRule="exact"/>
        <w:rPr>
          <w:sz w:val="20"/>
          <w:szCs w:val="20"/>
          <w:color w:val="auto"/>
        </w:rPr>
      </w:pPr>
    </w:p>
    <w:p>
      <w:pPr>
        <w:ind w:left="920" w:hanging="911"/>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058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840" w:hanging="831"/>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2"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058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1" w:lineRule="exact"/>
        <w:rPr>
          <w:sz w:val="20"/>
          <w:szCs w:val="20"/>
          <w:color w:val="auto"/>
        </w:rPr>
      </w:pPr>
    </w:p>
    <w:p>
      <w:pPr>
        <w:ind w:left="840" w:hanging="831"/>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058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8058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0" w:space="380"/>
            <w:col w:w="126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 cumulative federal NOL carryforward balance of $278 million for financial statement purposes, none of which were subject to expiration. Additionally, as of December 31, 2024, the Company had a cumulative state NOL carryforward balance of $99 million for financial statement purposes, which will expire between 2025 and 2041 if unutilized. The Company does not anticipate material income tax payments through 2026. In addition, as of December 31, 2024, the Company had PTC and ITC carryforward balances totaling $23 million, which will expire between 2035 and 2044 if unutilized.</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an interest disallowance carryforward of $82 million as a result of Internal Revenue Code §163(j). The disallowed interest deduction has an indefinite carryforward period and any limitations on the utilization of this carryforward have been factored into the Company’s valuation allowance analysis.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did not make any income tax payments during the three months ended March 31, 2025. The Company does not expect to pay additional material federal or state income taxes for the remainder of the current year. The Company does not anticipate being subject to the corporate minimum tax on financial statement income, which is discussed in further detail below.</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Federal tax legislation enacted in 2022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facilities and the production of clean energy. The Company continues to analyze the potential impact of this tax legislation and monitor guidance that may be issued by the United States Department of the Treasury, but it does not anticipate the corporate minimum tax will apply to it or that the foregoing tax provisions will otherwise have a material impact on its consolidated financial statements.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2024, the U.S. federal partnership returns of three of the Company’s subsidiaries are under audit by the IRS. The IRS has issued proposed adjustments with respect to one of the subsidiaries under audit. The Company believes that such proposed adjustments are without merit and in any case would not impact the Company’s tax liability or the tax liability of such subsidiary. The IRS has not yet issued any proposed adjustments with respect to the other two subsidiaries under audit. The Company believes that the ultimate resolution of each of these audits will not be material to the Company’s financial condition, results of operations or liquidity, and thus no material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no material uncertain tax benefits as of March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1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Activity (Losses) Gains</w:t>
            </w:r>
          </w:p>
        </w:tc>
        <w:tc>
          <w:tcPr>
            <w:tcW w:w="18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20" w:type="dxa"/>
            <w:vAlign w:val="bottom"/>
          </w:tcPr>
          <w:p>
            <w:pPr>
              <w:spacing w:after="0"/>
              <w:rPr>
                <w:sz w:val="19"/>
                <w:szCs w:val="19"/>
                <w:color w:val="auto"/>
              </w:rPr>
            </w:pPr>
          </w:p>
        </w:tc>
        <w:tc>
          <w:tcPr>
            <w:tcW w:w="9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9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March 31,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2025</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Hierarchy (Losses) Gains</w:t>
            </w: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8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2240" w:type="dxa"/>
            <w:vAlign w:val="bottom"/>
            <w:tcBorders>
              <w:bottom w:val="single" w:sz="8" w:color="auto"/>
            </w:tcBorders>
            <w:vMerge w:val="continue"/>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1 Year or Less</w:t>
            </w:r>
          </w:p>
        </w:tc>
        <w:tc>
          <w:tcPr>
            <w:tcW w:w="12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 Years to 5 Years</w:t>
            </w: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2"/>
                <w:szCs w:val="12"/>
                <w:color w:val="auto"/>
              </w:rPr>
            </w:pPr>
          </w:p>
        </w:tc>
        <w:tc>
          <w:tcPr>
            <w:tcW w:w="960" w:type="dxa"/>
            <w:vAlign w:val="bottom"/>
          </w:tcPr>
          <w:p>
            <w:pPr>
              <w:jc w:val="center"/>
              <w:ind w:right="97"/>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6"/>
              </w:rPr>
              <w:t>123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9"/>
              </w:rPr>
              <w:t>(69)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7"/>
              </w:rPr>
              <w:t>(373)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(49)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7"/>
              </w:rPr>
              <w:t>(250)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Company has elected to disclose derivative assets and liabilities on a trade-by-trade basis and does not offset amounts at the counterparty master agreement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and determining the fair value of financial instruments.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update to, and 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2024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Most of the Company’s subsidiaries enter into interest rate swaps intended to hedge the risks associated with interest rates on non-recourse facility-level debt.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 financial statements for the year ended December 31, 2024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included in the 2024 Form 10-K </w:t>
      </w:r>
      <w:r>
        <w:rPr>
          <w:rFonts w:ascii="Times New Roman" w:cs="Times New Roman" w:eastAsia="Times New Roman" w:hAnsi="Times New Roman"/>
          <w:sz w:val="18"/>
          <w:szCs w:val="18"/>
          <w:color w:val="231F20"/>
        </w:rPr>
        <w:t>for more information about interest rate swaps of the Company’s subsidiaries.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the counterparties would have owed the Company </w:t>
      </w:r>
      <w:r>
        <w:rPr>
          <w:rFonts w:ascii="Times New Roman" w:cs="Times New Roman" w:eastAsia="Times New Roman" w:hAnsi="Times New Roman"/>
          <w:sz w:val="18"/>
          <w:szCs w:val="18"/>
          <w:color w:val="000000"/>
        </w:rPr>
        <w:t>$132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a change of 1%, or 100 basis points, in interest rates would result in an approximately $2 million change in market interest expense on a rolling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twelve-month basis.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the fair value of the Company’s debt was $7,255 million and the carrying value was $7,677 million. The Company estimates that a decrease of 1%, or 100 basis points, in market interest rates would have increased the fair value of its long-term debt by approximately $293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March 31, 2025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2024 Form 10-K. There have been no material changes in the Company’s risk factors since those reported in its 2024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Plans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(as defined in Rule 16a-1(f) of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7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1"/>
        </w:trPr>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10.1</w:t>
            </w:r>
          </w:p>
        </w:tc>
        <w:tc>
          <w:tcPr>
            <w:tcW w:w="5780" w:type="dxa"/>
            <w:vAlign w:val="bottom"/>
            <w:gridSpan w:val="7"/>
          </w:tcPr>
          <w:p>
            <w:pPr>
              <w:spacing w:after="0" w:line="181"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Third  Amended  and  Restated  Master  Services  Agreement  and  Payroll  Sharing</w:t>
              </w:r>
            </w:hyperlink>
          </w:p>
        </w:tc>
      </w:tr>
      <w:tr>
        <w:trPr>
          <w:trHeight w:val="142"/>
        </w:trPr>
        <w:tc>
          <w:tcPr>
            <w:tcW w:w="1020" w:type="dxa"/>
            <w:vAlign w:val="bottom"/>
          </w:tcPr>
          <w:p>
            <w:pPr>
              <w:spacing w:after="0"/>
              <w:rPr>
                <w:sz w:val="12"/>
                <w:szCs w:val="12"/>
                <w:color w:val="auto"/>
              </w:rPr>
            </w:pPr>
          </w:p>
        </w:tc>
        <w:tc>
          <w:tcPr>
            <w:tcW w:w="574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Agreement, dated as of February 13, 2025, by and among Clearway Energy,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572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Clearway Energy Finance Inc., Clearway Energy LLC, Clearway Energy Operating</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5760" w:type="dxa"/>
            <w:vAlign w:val="bottom"/>
            <w:gridSpan w:val="6"/>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LLC and Clearway Energy Group LLC.</w:t>
              </w:r>
            </w:hyperlink>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7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Rule 13a-14(a)/15d-14(a) certification of Craig Cornelius.</w:t>
            </w:r>
          </w:p>
        </w:tc>
      </w:tr>
      <w:tr>
        <w:trPr>
          <w:trHeight w:val="20"/>
        </w:trPr>
        <w:tc>
          <w:tcPr>
            <w:tcW w:w="1020" w:type="dxa"/>
            <w:vAlign w:val="bottom"/>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Rule 13a-14(a)/15d-14(a) certification of Sarah Rubenstein.</w:t>
            </w:r>
          </w:p>
        </w:tc>
        <w:tc>
          <w:tcPr>
            <w:tcW w:w="1900" w:type="dxa"/>
            <w:vAlign w:val="bottom"/>
            <w:gridSpan w:val="4"/>
          </w:tcPr>
          <w:p>
            <w:pPr>
              <w:spacing w:after="0"/>
              <w:rPr>
                <w:sz w:val="17"/>
                <w:szCs w:val="17"/>
                <w:color w:val="auto"/>
              </w:rPr>
            </w:pPr>
          </w:p>
        </w:tc>
      </w:tr>
    </w:tbl>
    <w:p>
      <w:pPr>
        <w:spacing w:after="0" w:line="27" w:lineRule="exact"/>
        <w:rPr>
          <w:sz w:val="20"/>
          <w:szCs w:val="20"/>
          <w:color w:val="auto"/>
        </w:rPr>
      </w:pPr>
    </w:p>
    <w:p>
      <w:pPr>
        <w:ind w:left="1040" w:hanging="1014"/>
        <w:spacing w:after="0"/>
        <w:tabs>
          <w:tab w:leader="none" w:pos="10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Section 1350 Certification.</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6" w:lineRule="exact"/>
        <w:rPr>
          <w:sz w:val="20"/>
          <w:szCs w:val="20"/>
          <w:color w:val="auto"/>
        </w:rPr>
      </w:pPr>
    </w:p>
    <w:p>
      <w:pPr>
        <w:jc w:val="both"/>
        <w:ind w:left="1040" w:hanging="1014"/>
        <w:spacing w:after="0" w:line="232" w:lineRule="auto"/>
        <w:tabs>
          <w:tab w:leader="none" w:pos="10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3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10.32 to the Company’s Annual Report on Form 10-K filed on February 25,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549" w:lineRule="exact"/>
        <w:rPr>
          <w:sz w:val="20"/>
          <w:szCs w:val="20"/>
          <w:color w:val="auto"/>
        </w:rPr>
      </w:pPr>
    </w:p>
    <w:p>
      <w:pPr>
        <w:sectPr>
          <w:pgSz w:w="11900" w:h="16838" w:orient="portrait"/>
          <w:cols w:equalWidth="0" w:num="2">
            <w:col w:w="6760" w:space="160"/>
            <w:col w:w="4260"/>
          </w:cols>
          <w:pgMar w:left="320" w:top="1130" w:right="3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CLEARWAY ENERGY, INC.</w:t>
      </w:r>
    </w:p>
    <w:p>
      <w:pPr>
        <w:ind w:left="6680"/>
        <w:spacing w:after="0"/>
        <w:rPr>
          <w:sz w:val="20"/>
          <w:szCs w:val="20"/>
          <w:color w:val="auto"/>
        </w:rPr>
      </w:pPr>
      <w:r>
        <w:rPr>
          <w:rFonts w:ascii="Times New Roman" w:cs="Times New Roman" w:eastAsia="Times New Roman" w:hAnsi="Times New Roman"/>
          <w:sz w:val="18"/>
          <w:szCs w:val="18"/>
          <w:color w:val="auto"/>
        </w:rPr>
        <w:t>(Registrant)</w:t>
      </w:r>
    </w:p>
    <w:p>
      <w:pPr>
        <w:spacing w:after="0" w:line="27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6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RUBENSTEIN</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Rubenstein</w:t>
            </w: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c>
          <w:tcPr>
            <w:tcW w:w="0" w:type="dxa"/>
            <w:vAlign w:val="bottom"/>
          </w:tcPr>
          <w:p>
            <w:pPr>
              <w:spacing w:after="0"/>
              <w:rPr>
                <w:sz w:val="1"/>
                <w:szCs w:val="1"/>
                <w:color w:val="auto"/>
              </w:rPr>
            </w:pPr>
          </w:p>
        </w:tc>
      </w:tr>
      <w:tr>
        <w:trPr>
          <w:trHeight w:val="182"/>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6"/>
        </w:trPr>
        <w:tc>
          <w:tcPr>
            <w:tcW w:w="6640" w:type="dxa"/>
            <w:vAlign w:val="bottom"/>
            <w:vMerge w:val="continue"/>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48</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Cornelius, certify that:</w:t>
      </w:r>
    </w:p>
    <w:p>
      <w:pPr>
        <w:spacing w:after="0" w:line="347"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1800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Craig Cornelius</w:t>
      </w:r>
    </w:p>
    <w:p>
      <w:pPr>
        <w:ind w:left="7200"/>
        <w:spacing w:after="0" w:line="203"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17145</wp:posOffset>
            </wp:positionV>
            <wp:extent cx="1834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Sarah Rubenstein</w:t>
      </w:r>
    </w:p>
    <w:p>
      <w:pPr>
        <w:ind w:left="7520"/>
        <w:spacing w:after="0" w:line="219"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ind w:left="7520"/>
        <w:spacing w:after="0" w:line="203" w:lineRule="auto"/>
        <w:rPr>
          <w:sz w:val="20"/>
          <w:szCs w:val="20"/>
          <w:color w:val="auto"/>
        </w:rPr>
      </w:pPr>
      <w:r>
        <w:rPr>
          <w:rFonts w:ascii="Times New Roman" w:cs="Times New Roman" w:eastAsia="Times New Roman" w:hAnsi="Times New Roman"/>
          <w:sz w:val="18"/>
          <w:szCs w:val="18"/>
          <w:i w:val="1"/>
          <w:iCs w:val="1"/>
          <w:color w:val="auto"/>
        </w:rPr>
        <w:t>Financial Officer</w:t>
      </w:r>
    </w:p>
    <w:p>
      <w:pPr>
        <w:ind w:left="7520"/>
        <w:spacing w:after="0" w:line="204" w:lineRule="auto"/>
        <w:rPr>
          <w:sz w:val="20"/>
          <w:szCs w:val="20"/>
          <w:color w:val="auto"/>
        </w:rPr>
      </w:pPr>
      <w:r>
        <w:rPr>
          <w:rFonts w:ascii="Times New Roman" w:cs="Times New Roman" w:eastAsia="Times New Roman" w:hAnsi="Times New Roman"/>
          <w:sz w:val="18"/>
          <w:szCs w:val="18"/>
          <w:i w:val="1"/>
          <w:iCs w:val="1"/>
          <w:color w:val="auto"/>
        </w:rPr>
        <w:t>(Principal Financial Officer and</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Inc. on Form 10-Q for the quarter ended March 31, 2025,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32"/>
    </w:lvl>
  </w:abstractNum>
  <w:abstractNum w:abstractNumId="29">
    <w:nsid w:val="737B8DDC"/>
    <w:multiLevelType w:val="hybridMultilevel"/>
    <w:lvl w:ilvl="0">
      <w:lvlJc w:val="left"/>
      <w:lvlText w:val="%1"/>
      <w:numFmt w:val="decimal"/>
      <w:start w:val="104"/>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95" Type="http://schemas.openxmlformats.org/officeDocument/2006/relationships/hyperlink" Target="https://www.sec.gov/Archives/edgar/data/1567683/000156768325000007/thirdarmsaandpayrollsh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2025-05-01T05:15:22Z</dcterms:created>
  <dcterms:modified xsi:type="dcterms:W3CDTF">2025-05-01T05:15:22Z</dcterms:modified>
</cp:coreProperties>
</file>