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574040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540385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63" w:lineRule="exact"/>
        <w:rPr>
          <w:sz w:val="24"/>
          <w:szCs w:val="24"/>
          <w:color w:val="auto"/>
        </w:rPr>
      </w:pPr>
    </w:p>
    <w:p>
      <w:pPr>
        <w:ind w:left="620" w:hanging="355"/>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30" w:lineRule="exact"/>
        <w:rPr>
          <w:sz w:val="24"/>
          <w:szCs w:val="24"/>
          <w:color w:val="auto"/>
        </w:rPr>
      </w:pPr>
    </w:p>
    <w:p>
      <w:pPr>
        <w:ind w:left="780" w:hanging="335"/>
        <w:spacing w:after="0"/>
        <w:tabs>
          <w:tab w:leader="none" w:pos="7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333-203369</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Clearway Energy LLC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1136" w:right="319" w:bottom="1440" w:gutter="0" w:footer="0" w:header="0"/>
        </w:sectPr>
      </w:pPr>
    </w:p>
    <w:p>
      <w:pPr>
        <w:spacing w:after="0" w:line="23"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32-0407370</w:t>
      </w:r>
    </w:p>
    <w:p>
      <w:pPr>
        <w:spacing w:after="0" w:line="25" w:lineRule="exact"/>
        <w:rPr>
          <w:sz w:val="24"/>
          <w:szCs w:val="24"/>
          <w:color w:val="auto"/>
        </w:rPr>
      </w:pPr>
    </w:p>
    <w:p>
      <w:pPr>
        <w:sectPr>
          <w:pgSz w:w="11900" w:h="16838" w:orient="portrait"/>
          <w:cols w:equalWidth="0" w:num="2">
            <w:col w:w="8120" w:space="720"/>
            <w:col w:w="2440"/>
          </w:cols>
          <w:pgMar w:left="300" w:top="1136" w:right="319" w:bottom="1440" w:gutter="0" w:footer="0" w:header="0"/>
          <w:type w:val="continuous"/>
        </w:sectPr>
      </w:pPr>
    </w:p>
    <w:p>
      <w:pPr>
        <w:jc w:val="center"/>
        <w:ind w:right="4180"/>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4180"/>
        <w:spacing w:after="0"/>
        <w:rPr>
          <w:sz w:val="20"/>
          <w:szCs w:val="20"/>
          <w:color w:val="auto"/>
        </w:rPr>
      </w:pPr>
      <w:r>
        <w:rPr>
          <w:rFonts w:ascii="Times New Roman" w:cs="Times New Roman" w:eastAsia="Times New Roman" w:hAnsi="Times New Roman"/>
          <w:sz w:val="14"/>
          <w:szCs w:val="14"/>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55" w:lineRule="exact"/>
        <w:rPr>
          <w:sz w:val="24"/>
          <w:szCs w:val="24"/>
          <w:color w:val="auto"/>
        </w:rPr>
      </w:pPr>
    </w:p>
    <w:p>
      <w:pPr>
        <w:sectPr>
          <w:pgSz w:w="11900" w:h="16838" w:orient="portrait"/>
          <w:cols w:equalWidth="0" w:num="2">
            <w:col w:w="7940" w:space="720"/>
            <w:col w:w="2620"/>
          </w:cols>
          <w:pgMar w:left="300" w:top="1136" w:right="31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Princeton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08540</w:t>
      </w:r>
    </w:p>
    <w:p>
      <w:pPr>
        <w:spacing w:after="0" w:line="25" w:lineRule="exact"/>
        <w:rPr>
          <w:sz w:val="24"/>
          <w:szCs w:val="24"/>
          <w:color w:val="auto"/>
        </w:rPr>
      </w:pPr>
    </w:p>
    <w:p>
      <w:pPr>
        <w:sectPr>
          <w:pgSz w:w="11900" w:h="16838" w:orient="portrait"/>
          <w:cols w:equalWidth="0" w:num="4">
            <w:col w:w="3560" w:space="720"/>
            <w:col w:w="960" w:space="720"/>
            <w:col w:w="2320" w:space="720"/>
            <w:col w:w="2280"/>
          </w:cols>
          <w:pgMar w:left="300" w:top="1136" w:right="31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8160" w:space="720"/>
            <w:col w:w="2400"/>
          </w:cols>
          <w:pgMar w:left="300" w:top="1136" w:right="31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(609) 608-1525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87"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5" w:lineRule="exact"/>
        <w:rPr>
          <w:sz w:val="24"/>
          <w:szCs w:val="24"/>
          <w:color w:val="auto"/>
        </w:rPr>
      </w:pPr>
    </w:p>
    <w:p>
      <w:pPr>
        <w:jc w:val="center"/>
        <w:ind w:right="-239"/>
        <w:spacing w:after="0"/>
        <w:tabs>
          <w:tab w:leader="none" w:pos="14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Wingdings" w:cs="Wingdings" w:eastAsia="Wingdings" w:hAnsi="Wingdings"/>
          <w:sz w:val="12"/>
          <w:szCs w:val="12"/>
          <w:b w:val="1"/>
          <w:bCs w:val="1"/>
          <w:color w:val="auto"/>
        </w:rPr>
        <w:t>o</w:t>
      </w:r>
    </w:p>
    <w:p>
      <w:pPr>
        <w:spacing w:after="0" w:line="65"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5" w:lineRule="exact"/>
        <w:rPr>
          <w:sz w:val="24"/>
          <w:szCs w:val="24"/>
          <w:color w:val="auto"/>
        </w:rPr>
      </w:pPr>
    </w:p>
    <w:p>
      <w:pPr>
        <w:jc w:val="center"/>
        <w:ind w:right="-239"/>
        <w:spacing w:after="0"/>
        <w:tabs>
          <w:tab w:leader="none" w:pos="18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Wingdings" w:cs="Wingdings" w:eastAsia="Wingdings" w:hAnsi="Wingdings"/>
          <w:sz w:val="12"/>
          <w:szCs w:val="12"/>
          <w:b w:val="1"/>
          <w:bCs w:val="1"/>
          <w:color w:val="auto"/>
        </w:rPr>
        <w:t>o</w:t>
      </w:r>
    </w:p>
    <w:p>
      <w:pPr>
        <w:spacing w:after="0" w:line="65"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130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62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Accelerated filer</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62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6" w:lineRule="exact"/>
        <w:rPr>
          <w:sz w:val="24"/>
          <w:szCs w:val="24"/>
          <w:color w:val="auto"/>
        </w:rPr>
      </w:pPr>
    </w:p>
    <w:p>
      <w:pPr>
        <w:ind w:firstLine="255"/>
        <w:spacing w:after="0" w:line="235"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47"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38" w:lineRule="exact"/>
        <w:rPr>
          <w:sz w:val="24"/>
          <w:szCs w:val="24"/>
          <w:color w:val="auto"/>
        </w:rPr>
      </w:pPr>
    </w:p>
    <w:p>
      <w:pPr>
        <w:ind w:left="5200"/>
        <w:spacing w:after="0" w:line="161" w:lineRule="exact"/>
        <w:tabs>
          <w:tab w:leader="none" w:pos="574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Wingdings" w:cs="Wingdings" w:eastAsia="Wingdings" w:hAnsi="Wingdings"/>
          <w:sz w:val="12"/>
          <w:szCs w:val="12"/>
          <w:b w:val="1"/>
          <w:bCs w:val="1"/>
          <w:color w:val="auto"/>
        </w:rPr>
        <w:t>x</w:t>
      </w:r>
    </w:p>
    <w:p>
      <w:pPr>
        <w:spacing w:after="0" w:line="118"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As of October 28, 2024, there were 34,613,853 Class A units outstanding, 42,738,750 Class B units outstanding, 82,831,652 Class C units outstanding, and 41,961,750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683895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76835</wp:posOffset>
            </wp:positionV>
            <wp:extent cx="714819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56515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FF"/>
              </w:rPr>
              <w:t>CAUTIONARY STATEMENT REGARDING FORWARD LOOKING INFORMATION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w:t>
            </w:r>
          </w:p>
        </w:tc>
      </w:tr>
      <w:tr>
        <w:trPr>
          <w:trHeight w:val="160"/>
        </w:trPr>
        <w:tc>
          <w:tcPr>
            <w:tcW w:w="1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b w:val="1"/>
                <w:bCs w:val="1"/>
                <w:color w:val="0000FF"/>
              </w:rPr>
              <w:t>GLOSSARY OF TERMS</w:t>
            </w:r>
          </w:p>
        </w:tc>
        <w:tc>
          <w:tcPr>
            <w:tcW w:w="3800" w:type="dxa"/>
            <w:vAlign w:val="bottom"/>
            <w:tcBorders>
              <w:top w:val="single" w:sz="8" w:color="0000FF"/>
            </w:tcBorders>
            <w:gridSpan w:val="9"/>
          </w:tcPr>
          <w:p>
            <w:pPr>
              <w:spacing w:after="0"/>
              <w:rPr>
                <w:sz w:val="13"/>
                <w:szCs w:val="13"/>
                <w:color w:val="auto"/>
              </w:rPr>
            </w:pPr>
          </w:p>
        </w:tc>
        <w:tc>
          <w:tcPr>
            <w:tcW w:w="2480" w:type="dxa"/>
            <w:vAlign w:val="bottom"/>
            <w:gridSpan w:val="2"/>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w:t>
            </w:r>
          </w:p>
        </w:tc>
      </w:tr>
      <w:tr>
        <w:trPr>
          <w:trHeight w:val="160"/>
        </w:trPr>
        <w:tc>
          <w:tcPr>
            <w:tcW w:w="78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3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9"/>
              </w:rPr>
              <w:t>ITEM 1 — FINANCIAL STATEMENTS AND NOTES</w:t>
            </w:r>
          </w:p>
        </w:tc>
        <w:tc>
          <w:tcPr>
            <w:tcW w:w="4480" w:type="dxa"/>
            <w:vAlign w:val="bottom"/>
            <w:gridSpan w:val="3"/>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r>
      <w:tr>
        <w:trPr>
          <w:trHeight w:val="160"/>
        </w:trPr>
        <w:tc>
          <w:tcPr>
            <w:tcW w:w="160" w:type="dxa"/>
            <w:vAlign w:val="bottom"/>
          </w:tcPr>
          <w:p>
            <w:pPr>
              <w:spacing w:after="0"/>
              <w:rPr>
                <w:sz w:val="13"/>
                <w:szCs w:val="13"/>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2 — MANAGEMENT’S DISCUSSION AND ANALYSIS OF FINANCIAL CONDITION AND RESULTS OF OPERATIONS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33</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4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54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w w:val="98"/>
              </w:rPr>
              <w:t>ITEM 3 — QUANTITATIVE AND QUALITATIVE DISCLOSURES ABOUT MARKET RISK</w:t>
            </w:r>
          </w:p>
        </w:tc>
        <w:tc>
          <w:tcPr>
            <w:tcW w:w="2240" w:type="dxa"/>
            <w:vAlign w:val="bottom"/>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52</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40" w:type="dxa"/>
            <w:vAlign w:val="bottom"/>
            <w:tcBorders>
              <w:left w:val="single" w:sz="8" w:color="0000FF"/>
            </w:tcBorders>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27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4 — CONTROLS AND PROCEDURES</w:t>
            </w:r>
          </w:p>
        </w:tc>
        <w:tc>
          <w:tcPr>
            <w:tcW w:w="2720" w:type="dxa"/>
            <w:vAlign w:val="bottom"/>
            <w:gridSpan w:val="4"/>
          </w:tcPr>
          <w:p>
            <w:pPr>
              <w:spacing w:after="0"/>
              <w:rPr>
                <w:sz w:val="13"/>
                <w:szCs w:val="13"/>
                <w:color w:val="auto"/>
              </w:rPr>
            </w:pPr>
          </w:p>
        </w:tc>
        <w:tc>
          <w:tcPr>
            <w:tcW w:w="2240" w:type="dxa"/>
            <w:vAlign w:val="bottom"/>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53</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3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0000FF"/>
                <w:w w:val="98"/>
              </w:rPr>
              <w:t>PART II — OTHER INFORMATION</w:t>
            </w:r>
          </w:p>
        </w:tc>
        <w:tc>
          <w:tcPr>
            <w:tcW w:w="5520" w:type="dxa"/>
            <w:vAlign w:val="bottom"/>
            <w:gridSpan w:val="8"/>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54</w:t>
            </w:r>
          </w:p>
        </w:tc>
      </w:tr>
      <w:tr>
        <w:trPr>
          <w:trHeight w:val="20"/>
        </w:trPr>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1 — LEGAL PROCEEDINGS</w:t>
            </w:r>
          </w:p>
        </w:tc>
        <w:tc>
          <w:tcPr>
            <w:tcW w:w="5520" w:type="dxa"/>
            <w:vAlign w:val="bottom"/>
            <w:gridSpan w:val="8"/>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54</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9"/>
              </w:rPr>
              <w:t>ITEM 1A — RISK FACTORS</w:t>
            </w:r>
          </w:p>
        </w:tc>
        <w:tc>
          <w:tcPr>
            <w:tcW w:w="380" w:type="dxa"/>
            <w:vAlign w:val="bottom"/>
          </w:tcPr>
          <w:p>
            <w:pPr>
              <w:spacing w:after="0"/>
              <w:rPr>
                <w:sz w:val="13"/>
                <w:szCs w:val="13"/>
                <w:color w:val="auto"/>
              </w:rPr>
            </w:pPr>
          </w:p>
        </w:tc>
        <w:tc>
          <w:tcPr>
            <w:tcW w:w="5540" w:type="dxa"/>
            <w:vAlign w:val="bottom"/>
            <w:gridSpan w:val="9"/>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54</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2 — UNREGISTERED SALES OF EQUITY SECURITIES AND USE OF PROCEEDS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54</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3</w:t>
            </w:r>
          </w:p>
        </w:tc>
        <w:tc>
          <w:tcPr>
            <w:tcW w:w="27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0000FF"/>
                <w:w w:val="99"/>
              </w:rPr>
              <w:t>— DEFAULTS UPON SENIOR SECURITIES</w:t>
            </w:r>
          </w:p>
        </w:tc>
        <w:tc>
          <w:tcPr>
            <w:tcW w:w="2260" w:type="dxa"/>
            <w:vAlign w:val="bottom"/>
            <w:gridSpan w:val="3"/>
          </w:tcPr>
          <w:p>
            <w:pPr>
              <w:spacing w:after="0"/>
              <w:rPr>
                <w:sz w:val="13"/>
                <w:szCs w:val="13"/>
                <w:color w:val="auto"/>
              </w:rPr>
            </w:pPr>
          </w:p>
        </w:tc>
        <w:tc>
          <w:tcPr>
            <w:tcW w:w="2240" w:type="dxa"/>
            <w:vAlign w:val="bottom"/>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54</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4</w:t>
            </w:r>
          </w:p>
        </w:tc>
        <w:tc>
          <w:tcPr>
            <w:tcW w:w="27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0000FF"/>
              </w:rPr>
              <w:t>— MINE SAFETY DISCLOSURES</w:t>
            </w:r>
          </w:p>
        </w:tc>
        <w:tc>
          <w:tcPr>
            <w:tcW w:w="4500" w:type="dxa"/>
            <w:vAlign w:val="bottom"/>
            <w:gridSpan w:val="4"/>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54</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5</w:t>
            </w: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0000FF"/>
                <w:w w:val="97"/>
              </w:rPr>
              <w:t>— OTHER INFORMATION</w:t>
            </w:r>
          </w:p>
        </w:tc>
        <w:tc>
          <w:tcPr>
            <w:tcW w:w="420" w:type="dxa"/>
            <w:vAlign w:val="bottom"/>
            <w:gridSpan w:val="2"/>
          </w:tcPr>
          <w:p>
            <w:pPr>
              <w:spacing w:after="0"/>
              <w:rPr>
                <w:sz w:val="13"/>
                <w:szCs w:val="13"/>
                <w:color w:val="auto"/>
              </w:rPr>
            </w:pPr>
          </w:p>
        </w:tc>
        <w:tc>
          <w:tcPr>
            <w:tcW w:w="5100" w:type="dxa"/>
            <w:vAlign w:val="bottom"/>
            <w:gridSpan w:val="6"/>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54</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6</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98"/>
              </w:rPr>
              <w:t>— EXHIBITS</w:t>
            </w:r>
          </w:p>
        </w:tc>
        <w:tc>
          <w:tcPr>
            <w:tcW w:w="840" w:type="dxa"/>
            <w:vAlign w:val="bottom"/>
            <w:gridSpan w:val="4"/>
          </w:tcPr>
          <w:p>
            <w:pPr>
              <w:spacing w:after="0"/>
              <w:rPr>
                <w:sz w:val="13"/>
                <w:szCs w:val="13"/>
                <w:color w:val="auto"/>
              </w:rPr>
            </w:pPr>
          </w:p>
        </w:tc>
        <w:tc>
          <w:tcPr>
            <w:tcW w:w="5520" w:type="dxa"/>
            <w:vAlign w:val="bottom"/>
            <w:gridSpan w:val="8"/>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56</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w w:val="98"/>
              </w:rPr>
              <w:t>SIGNATURES</w:t>
            </w:r>
          </w:p>
        </w:tc>
        <w:tc>
          <w:tcPr>
            <w:tcW w:w="400" w:type="dxa"/>
            <w:vAlign w:val="bottom"/>
          </w:tcPr>
          <w:p>
            <w:pPr>
              <w:spacing w:after="0"/>
              <w:rPr>
                <w:sz w:val="13"/>
                <w:szCs w:val="13"/>
                <w:color w:val="auto"/>
              </w:rPr>
            </w:pPr>
          </w:p>
        </w:tc>
        <w:tc>
          <w:tcPr>
            <w:tcW w:w="6360" w:type="dxa"/>
            <w:vAlign w:val="bottom"/>
            <w:gridSpan w:val="12"/>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57</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Part I of the Company’s Annual Report on Form 10-K for the year ended December 31, 2023, as well as the following:</w:t>
      </w:r>
    </w:p>
    <w:p>
      <w:pPr>
        <w:spacing w:after="0" w:line="6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distributions;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CEG and its owners;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CEG;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3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8820" w:type="dxa"/>
            <w:vAlign w:val="bottom"/>
          </w:tcPr>
          <w:p>
            <w:pPr>
              <w:ind w:left="2420"/>
              <w:spacing w:after="0"/>
              <w:rPr>
                <w:sz w:val="20"/>
                <w:szCs w:val="20"/>
                <w:color w:val="auto"/>
              </w:rPr>
            </w:pPr>
            <w:r>
              <w:rPr>
                <w:rFonts w:ascii="Times New Roman" w:cs="Times New Roman" w:eastAsia="Times New Roman" w:hAnsi="Times New Roman"/>
                <w:sz w:val="14"/>
                <w:szCs w:val="14"/>
                <w:b w:val="1"/>
                <w:bCs w:val="1"/>
                <w:color w:val="auto"/>
              </w:rPr>
              <w:t>GLOSSARY OF TERMS</w:t>
            </w:r>
          </w:p>
        </w:tc>
      </w:tr>
      <w:tr>
        <w:trPr>
          <w:trHeight w:val="297"/>
        </w:trPr>
        <w:tc>
          <w:tcPr>
            <w:tcW w:w="112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r>
      <w:tr>
        <w:trPr>
          <w:trHeight w:val="198"/>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$850 million aggregate principal amount of 4.75% unsecured senior notes due 2028, issued by Clearway Energy Operating LLC</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$925 million aggregate principal amount of 3.75% unsecured senior notes due 2031, issued by Clearway Energy Operating LLC</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$350 million aggregate principal amount of 3.75% unsecured senior notes due 2032, issued by Clearway Energy Operating LLC</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w:t>
            </w:r>
          </w:p>
        </w:tc>
      </w:tr>
      <w:tr>
        <w:trPr>
          <w:trHeight w:val="170"/>
        </w:trPr>
        <w:tc>
          <w:tcPr>
            <w:tcW w:w="2460" w:type="dxa"/>
            <w:vAlign w:val="bottom"/>
          </w:tcPr>
          <w:p>
            <w:pPr>
              <w:spacing w:after="0"/>
              <w:rPr>
                <w:sz w:val="14"/>
                <w:szCs w:val="14"/>
                <w:color w:val="auto"/>
              </w:rPr>
            </w:pP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for mark-to-market gains or losses, asset write offs and impairments; and factors which the Company does not consider indicative of future</w:t>
            </w:r>
          </w:p>
        </w:tc>
      </w:tr>
      <w:tr>
        <w:trPr>
          <w:trHeight w:val="184"/>
        </w:trPr>
        <w:tc>
          <w:tcPr>
            <w:tcW w:w="2460" w:type="dxa"/>
            <w:vAlign w:val="bottom"/>
          </w:tcPr>
          <w:p>
            <w:pPr>
              <w:spacing w:after="0"/>
              <w:rPr>
                <w:sz w:val="16"/>
                <w:szCs w:val="16"/>
                <w:color w:val="auto"/>
              </w:rPr>
            </w:pP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operating performance</w:t>
            </w:r>
          </w:p>
        </w:tc>
      </w:tr>
      <w:tr>
        <w:trPr>
          <w:trHeight w:val="187"/>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 authoritative GAAP</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At-The-Market Equity Offering Program</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BESS</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Battery energy storage system</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BlackRock</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BlackRock, Inc.</w:t>
            </w: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CAFD</w:t>
            </w:r>
          </w:p>
        </w:tc>
        <w:tc>
          <w:tcPr>
            <w:tcW w:w="8820" w:type="dxa"/>
            <w:vAlign w:val="bottom"/>
          </w:tcPr>
          <w:p>
            <w:pPr>
              <w:ind w:left="520"/>
              <w:spacing w:after="0" w:line="142"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September 30, 2024 as Adjusted EBITDA plus cash distributions/return</w:t>
            </w:r>
          </w:p>
        </w:tc>
      </w:tr>
      <w:tr>
        <w:trPr>
          <w:trHeight w:val="144"/>
        </w:trPr>
        <w:tc>
          <w:tcPr>
            <w:tcW w:w="2460" w:type="dxa"/>
            <w:vAlign w:val="bottom"/>
          </w:tcPr>
          <w:p>
            <w:pPr>
              <w:spacing w:after="0"/>
              <w:rPr>
                <w:sz w:val="12"/>
                <w:szCs w:val="12"/>
                <w:color w:val="auto"/>
              </w:rPr>
            </w:pPr>
          </w:p>
        </w:tc>
        <w:tc>
          <w:tcPr>
            <w:tcW w:w="8820" w:type="dxa"/>
            <w:vAlign w:val="bottom"/>
          </w:tcPr>
          <w:p>
            <w:pPr>
              <w:ind w:left="520"/>
              <w:spacing w:after="0" w:line="145" w:lineRule="exact"/>
              <w:rPr>
                <w:sz w:val="20"/>
                <w:szCs w:val="20"/>
                <w:color w:val="auto"/>
              </w:rPr>
            </w:pPr>
            <w:r>
              <w:rPr>
                <w:rFonts w:ascii="Times New Roman" w:cs="Times New Roman" w:eastAsia="Times New Roman" w:hAnsi="Times New Roman"/>
                <w:sz w:val="14"/>
                <w:szCs w:val="14"/>
                <w:color w:val="auto"/>
              </w:rPr>
              <w:t>of investment from unconsolidated affiliates, cash receipts from notes receivable, cash distributions from noncontrolling interests, adjustments to</w:t>
            </w:r>
          </w:p>
        </w:tc>
      </w:tr>
      <w:tr>
        <w:trPr>
          <w:trHeight w:val="142"/>
        </w:trPr>
        <w:tc>
          <w:tcPr>
            <w:tcW w:w="2460" w:type="dxa"/>
            <w:vAlign w:val="bottom"/>
          </w:tcPr>
          <w:p>
            <w:pPr>
              <w:spacing w:after="0"/>
              <w:rPr>
                <w:sz w:val="12"/>
                <w:szCs w:val="12"/>
                <w:color w:val="auto"/>
              </w:rPr>
            </w:pPr>
          </w:p>
        </w:tc>
        <w:tc>
          <w:tcPr>
            <w:tcW w:w="8820" w:type="dxa"/>
            <w:vAlign w:val="bottom"/>
          </w:tcPr>
          <w:p>
            <w:pPr>
              <w:ind w:left="52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r>
      <w:tr>
        <w:trPr>
          <w:trHeight w:val="138"/>
        </w:trPr>
        <w:tc>
          <w:tcPr>
            <w:tcW w:w="2460" w:type="dxa"/>
            <w:vAlign w:val="bottom"/>
          </w:tcPr>
          <w:p>
            <w:pPr>
              <w:spacing w:after="0"/>
              <w:rPr>
                <w:sz w:val="11"/>
                <w:szCs w:val="11"/>
                <w:color w:val="auto"/>
              </w:rPr>
            </w:pPr>
          </w:p>
        </w:tc>
        <w:tc>
          <w:tcPr>
            <w:tcW w:w="8820" w:type="dxa"/>
            <w:vAlign w:val="bottom"/>
          </w:tcPr>
          <w:p>
            <w:pPr>
              <w:ind w:left="52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r>
      <w:tr>
        <w:trPr>
          <w:trHeight w:val="184"/>
        </w:trPr>
        <w:tc>
          <w:tcPr>
            <w:tcW w:w="2460" w:type="dxa"/>
            <w:vAlign w:val="bottom"/>
          </w:tcPr>
          <w:p>
            <w:pPr>
              <w:spacing w:after="0"/>
              <w:rPr>
                <w:sz w:val="16"/>
                <w:szCs w:val="16"/>
                <w:color w:val="auto"/>
              </w:rPr>
            </w:pP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r>
      <w:tr>
        <w:trPr>
          <w:trHeight w:val="145"/>
        </w:trPr>
        <w:tc>
          <w:tcPr>
            <w:tcW w:w="24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Capistrano Portfolio Holdco LLC</w:t>
            </w:r>
          </w:p>
        </w:tc>
        <w:tc>
          <w:tcPr>
            <w:tcW w:w="8820" w:type="dxa"/>
            <w:vAlign w:val="bottom"/>
          </w:tcPr>
          <w:p>
            <w:pPr>
              <w:ind w:left="520"/>
              <w:spacing w:after="0" w:line="145" w:lineRule="exact"/>
              <w:rPr>
                <w:sz w:val="20"/>
                <w:szCs w:val="20"/>
                <w:color w:val="auto"/>
              </w:rPr>
            </w:pPr>
            <w:r>
              <w:rPr>
                <w:rFonts w:ascii="Times New Roman" w:cs="Times New Roman" w:eastAsia="Times New Roman" w:hAnsi="Times New Roman"/>
                <w:sz w:val="14"/>
                <w:szCs w:val="14"/>
                <w:color w:val="auto"/>
              </w:rPr>
              <w:t>The holding company that owns four wind facilities representing 263 MW of capacity, which includes Broken Bow and Crofton Bluffs located in</w:t>
            </w:r>
          </w:p>
        </w:tc>
      </w:tr>
      <w:tr>
        <w:trPr>
          <w:trHeight w:val="184"/>
        </w:trPr>
        <w:tc>
          <w:tcPr>
            <w:tcW w:w="2460" w:type="dxa"/>
            <w:vAlign w:val="bottom"/>
          </w:tcPr>
          <w:p>
            <w:pPr>
              <w:spacing w:after="0"/>
              <w:rPr>
                <w:sz w:val="16"/>
                <w:szCs w:val="16"/>
                <w:color w:val="auto"/>
              </w:rPr>
            </w:pP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Nebraska and Mountain Wind 1 and Mountain Wind 2 located in Wyoming</w:t>
            </w:r>
          </w:p>
        </w:tc>
      </w:tr>
      <w:tr>
        <w:trPr>
          <w:trHeight w:val="18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20" w:type="dxa"/>
            <w:vAlign w:val="bottom"/>
          </w:tcPr>
          <w:p>
            <w:pPr>
              <w:ind w:left="520"/>
              <w:spacing w:after="0" w:line="142" w:lineRule="exact"/>
              <w:rPr>
                <w:sz w:val="20"/>
                <w:szCs w:val="20"/>
                <w:color w:val="auto"/>
              </w:rPr>
            </w:pPr>
            <w:r>
              <w:rPr>
                <w:rFonts w:ascii="Times New Roman" w:cs="Times New Roman" w:eastAsia="Times New Roman" w:hAnsi="Times New Roman"/>
                <w:sz w:val="14"/>
                <w:szCs w:val="14"/>
                <w:color w:val="auto"/>
              </w:rPr>
              <w:t>Amended and Restated Master Services Agreement, dated as of April 30, 2024, among the Company, Clearway, Inc., Clearway Energy Operating</w:t>
            </w:r>
          </w:p>
        </w:tc>
      </w:tr>
      <w:tr>
        <w:trPr>
          <w:trHeight w:val="184"/>
        </w:trPr>
        <w:tc>
          <w:tcPr>
            <w:tcW w:w="2460" w:type="dxa"/>
            <w:vAlign w:val="bottom"/>
          </w:tcPr>
          <w:p>
            <w:pPr>
              <w:spacing w:after="0"/>
              <w:rPr>
                <w:sz w:val="16"/>
                <w:szCs w:val="16"/>
                <w:color w:val="auto"/>
              </w:rPr>
            </w:pP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LLC and CEG</w:t>
            </w:r>
          </w:p>
        </w:tc>
      </w:tr>
      <w:tr>
        <w:trPr>
          <w:trHeight w:val="18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Inc.</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Clearway Energy, Inc., the holder of the Company’s Class A and Class C units</w:t>
            </w: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Clearway Energy Group LLC</w:t>
            </w:r>
          </w:p>
        </w:tc>
        <w:tc>
          <w:tcPr>
            <w:tcW w:w="8820" w:type="dxa"/>
            <w:vAlign w:val="bottom"/>
          </w:tcPr>
          <w:p>
            <w:pPr>
              <w:ind w:left="520"/>
              <w:spacing w:after="0" w:line="142" w:lineRule="exact"/>
              <w:rPr>
                <w:sz w:val="20"/>
                <w:szCs w:val="20"/>
                <w:color w:val="auto"/>
              </w:rPr>
            </w:pPr>
            <w:r>
              <w:rPr>
                <w:rFonts w:ascii="Times New Roman" w:cs="Times New Roman" w:eastAsia="Times New Roman" w:hAnsi="Times New Roman"/>
                <w:sz w:val="14"/>
                <w:szCs w:val="14"/>
                <w:color w:val="auto"/>
              </w:rPr>
              <w:t>The holder of all shares of Clearway, Inc.’s Class B and Class D common stock and the Company’s Class B and Class D units and, from time to</w:t>
            </w:r>
          </w:p>
        </w:tc>
      </w:tr>
      <w:tr>
        <w:trPr>
          <w:trHeight w:val="184"/>
        </w:trPr>
        <w:tc>
          <w:tcPr>
            <w:tcW w:w="2460" w:type="dxa"/>
            <w:vAlign w:val="bottom"/>
          </w:tcPr>
          <w:p>
            <w:pPr>
              <w:spacing w:after="0"/>
              <w:rPr>
                <w:sz w:val="16"/>
                <w:szCs w:val="16"/>
                <w:color w:val="auto"/>
              </w:rPr>
            </w:pP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time, possibly shares of Clearway, Inc.’s Class A and/or Class C common stock</w:t>
            </w:r>
          </w:p>
        </w:tc>
      </w:tr>
      <w:tr>
        <w:trPr>
          <w:trHeight w:val="18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holder of facilities that are owned by the Company</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Renew</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Clearway Renew LLC, a subsidiary of CEG, and its wholly-owned subsidiaries</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Clearway Energy LLC, together with its consolidated subsidiaries</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California Valley Solar Ranch</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8820" w:type="dxa"/>
            <w:vAlign w:val="bottom"/>
          </w:tcPr>
          <w:p>
            <w:pPr>
              <w:ind w:left="52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less than 20 MW in size (on an alternating current, or AC, basis), that primarily sell power produced to customers</w:t>
            </w:r>
          </w:p>
        </w:tc>
      </w:tr>
      <w:tr>
        <w:trPr>
          <w:trHeight w:val="184"/>
        </w:trPr>
        <w:tc>
          <w:tcPr>
            <w:tcW w:w="2460" w:type="dxa"/>
            <w:vAlign w:val="bottom"/>
          </w:tcPr>
          <w:p>
            <w:pPr>
              <w:spacing w:after="0"/>
              <w:rPr>
                <w:sz w:val="16"/>
                <w:szCs w:val="16"/>
                <w:color w:val="auto"/>
              </w:rPr>
            </w:pP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r>
      <w:tr>
        <w:trPr>
          <w:trHeight w:val="18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Drop Down Assets</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Electric Reliability Council of Texas, the ISO and the regional reliability coordinator of the various electricity systems within Texas</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GenConn</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GenConn Energy LLC</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GIM</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Global Infrastructure Management, LLC, the manager of GIP</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GIP</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Global Infrastructure Partners</w:t>
            </w:r>
          </w:p>
        </w:tc>
      </w:tr>
      <w:tr>
        <w:trPr>
          <w:trHeight w:val="184"/>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HLBV</w:t>
            </w:r>
          </w:p>
        </w:tc>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Hypothetical Liquidation at Book Value</w:t>
            </w:r>
          </w:p>
        </w:tc>
      </w:tr>
      <w:tr>
        <w:trPr>
          <w:trHeight w:val="679"/>
        </w:trPr>
        <w:tc>
          <w:tcPr>
            <w:tcW w:w="2460" w:type="dxa"/>
            <w:vAlign w:val="bottom"/>
          </w:tcPr>
          <w:p>
            <w:pPr>
              <w:spacing w:after="0"/>
              <w:rPr>
                <w:sz w:val="24"/>
                <w:szCs w:val="24"/>
                <w:color w:val="auto"/>
              </w:rPr>
            </w:pPr>
          </w:p>
        </w:tc>
        <w:tc>
          <w:tcPr>
            <w:tcW w:w="882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2460" w:type="dxa"/>
            <w:vAlign w:val="bottom"/>
            <w:tcBorders>
              <w:bottom w:val="single" w:sz="8" w:color="9A9A9A"/>
            </w:tcBorders>
          </w:tcPr>
          <w:p>
            <w:pPr>
              <w:spacing w:after="0"/>
              <w:rPr>
                <w:sz w:val="7"/>
                <w:szCs w:val="7"/>
                <w:color w:val="auto"/>
              </w:rPr>
            </w:pPr>
          </w:p>
        </w:tc>
        <w:tc>
          <w:tcPr>
            <w:tcW w:w="8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Independent System Operator, also referred to as an RTO</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Mesquite Star</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Mesquite Star Special LLC</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MMBtu</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Million British Thermal Units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Mt. Storm</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NedPower Mount Storm LLC</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Megawatt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MWh</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Holdco</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Natural Gas CA Holdco LLC</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Exposure</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Counterparty credit exposure to Clearway, Inc. net of collateral</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Other comprehensive income</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O&amp;M</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Operations and Maintenance</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PG&amp;E</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Pacific Gas and Electric Company</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PJM Interconnection, LLC</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PPA</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Power Purchase Agreement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Resource adequacy</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RENOM</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Clearway Renewable Operation &amp; Maintenance LLC, a wholly-owned subsidiary of CEG</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Rosie Central BESS</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Rosie BESS Devco LLC</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RTO</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Regional Transmission Organization</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Southern California Edison</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and the 2032 Senior Notes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SPP</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Solar Power Partners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SREC</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Solar Renewable Energy Credit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TotalEnergies</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TotalEnergies SE</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Utah Solar Portfolio</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w:t>
            </w: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Utility Scale Solar</w:t>
            </w:r>
          </w:p>
        </w:tc>
        <w:tc>
          <w:tcPr>
            <w:tcW w:w="9200" w:type="dxa"/>
            <w:vAlign w:val="bottom"/>
          </w:tcPr>
          <w:p>
            <w:pPr>
              <w:ind w:left="90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20 MW or greater in size (on an alternating current, or AC, basis), that are interconnected into the transmission or</w:t>
            </w:r>
          </w:p>
        </w:tc>
      </w:tr>
      <w:tr>
        <w:trPr>
          <w:trHeight w:val="184"/>
        </w:trPr>
        <w:tc>
          <w:tcPr>
            <w:tcW w:w="2080" w:type="dxa"/>
            <w:vAlign w:val="bottom"/>
          </w:tcPr>
          <w:p>
            <w:pPr>
              <w:spacing w:after="0"/>
              <w:rPr>
                <w:sz w:val="16"/>
                <w:szCs w:val="16"/>
                <w:color w:val="auto"/>
              </w:rPr>
            </w:pP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r>
      <w:tr>
        <w:trPr>
          <w:trHeight w:val="187"/>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870"/>
        </w:trPr>
        <w:tc>
          <w:tcPr>
            <w:tcW w:w="2080" w:type="dxa"/>
            <w:vAlign w:val="bottom"/>
          </w:tcPr>
          <w:p>
            <w:pPr>
              <w:spacing w:after="0"/>
              <w:rPr>
                <w:sz w:val="24"/>
                <w:szCs w:val="24"/>
                <w:color w:val="auto"/>
              </w:rPr>
            </w:pPr>
          </w:p>
        </w:tc>
        <w:tc>
          <w:tcPr>
            <w:tcW w:w="920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5</w:t>
            </w:r>
          </w:p>
        </w:tc>
      </w:tr>
      <w:tr>
        <w:trPr>
          <w:trHeight w:val="87"/>
        </w:trPr>
        <w:tc>
          <w:tcPr>
            <w:tcW w:w="2080" w:type="dxa"/>
            <w:vAlign w:val="bottom"/>
            <w:tcBorders>
              <w:bottom w:val="single" w:sz="8" w:color="9A9A9A"/>
            </w:tcBorders>
          </w:tcPr>
          <w:p>
            <w:pPr>
              <w:spacing w:after="0"/>
              <w:rPr>
                <w:sz w:val="7"/>
                <w:szCs w:val="7"/>
                <w:color w:val="auto"/>
              </w:rPr>
            </w:pPr>
          </w:p>
        </w:tc>
        <w:tc>
          <w:tcPr>
            <w:tcW w:w="9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ind w:left="434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3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ITEM 1 — FINANCIAL STATEMENTS</w:t>
      </w:r>
    </w:p>
    <w:p>
      <w:pPr>
        <w:spacing w:after="0" w:line="1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20" w:type="dxa"/>
            <w:vAlign w:val="bottom"/>
          </w:tcPr>
          <w:p>
            <w:pPr>
              <w:spacing w:after="0"/>
              <w:rPr>
                <w:sz w:val="13"/>
                <w:szCs w:val="13"/>
                <w:color w:val="auto"/>
              </w:rPr>
            </w:pPr>
          </w:p>
        </w:tc>
        <w:tc>
          <w:tcPr>
            <w:tcW w:w="2520" w:type="dxa"/>
            <w:vAlign w:val="bottom"/>
            <w:gridSpan w:val="4"/>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5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operating revenues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474747"/>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474747"/>
              </w:rPr>
              <w:t>486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r>
      <w:tr>
        <w:trPr>
          <w:trHeight w:val="16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38"/>
        </w:trPr>
        <w:tc>
          <w:tcPr>
            <w:tcW w:w="550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91"/>
        </w:trPr>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below</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74747"/>
              </w:rPr>
              <w:t>135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81"/>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474747"/>
              </w:rPr>
              <w:t>164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80"/>
        </w:trPr>
        <w:tc>
          <w:tcPr>
            <w:tcW w:w="5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74747"/>
              </w:rPr>
              <w:t>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474747"/>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5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474747"/>
              </w:rPr>
              <w:t>308</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474747"/>
              </w:rPr>
              <w:t>178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60"/>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474747"/>
              </w:rPr>
              <w:t>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474747"/>
              </w:rPr>
              <w:t>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5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74747"/>
              </w:rPr>
              <w:t>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74747"/>
              </w:rPr>
              <w:t>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474747"/>
              </w:rPr>
              <w: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474747"/>
              </w:rPr>
              <w:t>(139)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474747"/>
              </w:rPr>
              <w:t>(48)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71"/>
        </w:trPr>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expense, net</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474747"/>
              </w:rPr>
              <w:t>(118)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71"/>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474747"/>
              </w:rPr>
              <w:t>60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71"/>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and redeemable noncontrolling interests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474747"/>
              </w:rPr>
              <w:t>(58)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LLC</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20" w:type="dxa"/>
            <w:vAlign w:val="bottom"/>
          </w:tcPr>
          <w:p>
            <w:pPr>
              <w:spacing w:after="0"/>
              <w:rPr>
                <w:sz w:val="13"/>
                <w:szCs w:val="13"/>
                <w:color w:val="auto"/>
              </w:rPr>
            </w:pPr>
          </w:p>
        </w:tc>
        <w:tc>
          <w:tcPr>
            <w:tcW w:w="2520" w:type="dxa"/>
            <w:vAlign w:val="bottom"/>
            <w:gridSpan w:val="4"/>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0"/>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Unrealized (loss) gain on derivatives and changes in accumulated OCI</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5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38"/>
        </w:trPr>
        <w:tc>
          <w:tcPr>
            <w:tcW w:w="550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Less: Comprehensive loss attributable to noncontrolling interests and redeemable</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91"/>
        </w:trPr>
        <w:tc>
          <w:tcPr>
            <w:tcW w:w="5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6"/>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Clearway Energy LLC</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61"/>
        </w:trPr>
        <w:tc>
          <w:tcPr>
            <w:tcW w:w="764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 trade</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receivable — affiliate</w:t>
            </w:r>
          </w:p>
        </w:tc>
        <w:tc>
          <w:tcPr>
            <w:tcW w:w="2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9,526</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investments in affiliates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for power purchase agreements, net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assets, net</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other assets</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LIABILITIES AND MEMBERS’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6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 — external</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 — affiliate</w:t>
            </w:r>
          </w:p>
        </w:tc>
        <w:tc>
          <w:tcPr>
            <w:tcW w:w="2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 — trade</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 affiliates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 expense</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60"/>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 external</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other liabilities</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8,671</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9,582</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 in subsidiaries</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Contributed capital</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2,764</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Members’ Equity</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8" w:name="page9"/>
    <w:bookmarkEnd w:id="8"/>
    <w:p>
      <w:pPr>
        <w:ind w:left="50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financing costs and debt discounts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Reduction in carrying amount of right-of-use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derivative instruments and amortization of accumulated OCI</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provided by (used in) changes in other working capital:</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prepaid and accrued liabilities for tolling agreements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Changes in other working capital</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r>
      <w:tr>
        <w:trPr>
          <w:trHeight w:val="16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Return of investment from unconsolidated affiliates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Decrease (increase) in note receivable — affiliate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6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Contributions from CEG, net of distributions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of distributions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Tax-related distributions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the issuance of long-term debt — external</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for long-term debt — external</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for long-term debt — affiliate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w:t>
            </w:r>
          </w:p>
        </w:tc>
      </w:tr>
      <w:tr>
        <w:trPr>
          <w:trHeight w:val="196"/>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MEMBERS’ EQUITY</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Contributed Capital</w:t>
            </w: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360" w:type="dxa"/>
            <w:vAlign w:val="bottom"/>
            <w:gridSpan w:val="3"/>
            <w:vMerge w:val="continue"/>
          </w:tcPr>
          <w:p>
            <w:pPr>
              <w:spacing w:after="0"/>
              <w:rPr>
                <w:sz w:val="13"/>
                <w:szCs w:val="13"/>
                <w:color w:val="auto"/>
              </w:rPr>
            </w:pPr>
          </w:p>
        </w:tc>
        <w:tc>
          <w:tcPr>
            <w:tcW w:w="98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0" w:type="dxa"/>
            <w:vAlign w:val="bottom"/>
          </w:tcPr>
          <w:p>
            <w:pPr>
              <w:spacing w:after="0"/>
              <w:rPr>
                <w:sz w:val="1"/>
                <w:szCs w:val="1"/>
                <w:color w:val="auto"/>
              </w:rPr>
            </w:pPr>
          </w:p>
        </w:tc>
      </w:tr>
      <w:tr>
        <w:trPr>
          <w:trHeight w:val="165"/>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400" w:type="dxa"/>
            <w:vAlign w:val="bottom"/>
            <w:tcBorders>
              <w:top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5,105</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(loss) gain on derivatives and changes in accumulated OCI</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to CEG, net of contributions, cash</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Transfers of assets under common control</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 paid to Clearway, Inc.</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paid to CEG Class B and Class D unit holders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2024</w:t>
            </w:r>
          </w:p>
        </w:tc>
        <w:tc>
          <w:tcPr>
            <w:tcW w:w="4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2,947</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5,138</w:t>
            </w:r>
          </w:p>
        </w:tc>
        <w:tc>
          <w:tcPr>
            <w:tcW w:w="0" w:type="dxa"/>
            <w:vAlign w:val="bottom"/>
          </w:tcPr>
          <w:p>
            <w:pPr>
              <w:spacing w:after="0"/>
              <w:rPr>
                <w:sz w:val="1"/>
                <w:szCs w:val="1"/>
                <w:color w:val="auto"/>
              </w:rPr>
            </w:pPr>
          </w:p>
        </w:tc>
      </w:tr>
      <w:tr>
        <w:trPr>
          <w:trHeight w:val="170"/>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income (loss)</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gain on derivatives and changes in accumulated OCI</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CEG, net of distributions, cash</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 to noncontrolling interests, net of contributions, non-cash</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Transfers of assets under common control</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Tax-related distributions</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paid to Clearway, Inc.</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 paid to CEG Class B and Class D unit holders</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4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5,730</w:t>
            </w:r>
          </w:p>
        </w:tc>
        <w:tc>
          <w:tcPr>
            <w:tcW w:w="0" w:type="dxa"/>
            <w:vAlign w:val="bottom"/>
          </w:tcPr>
          <w:p>
            <w:pPr>
              <w:spacing w:after="0"/>
              <w:rPr>
                <w:sz w:val="1"/>
                <w:szCs w:val="1"/>
                <w:color w:val="auto"/>
              </w:rPr>
            </w:pP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 (loss)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Unrealized loss on derivatives</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Contributions from CEG, cash</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Distributions to noncontrolling interests, net of contributions, cash</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Distributions paid to Clearway, Inc.</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Distributions paid to CEG Class B and Class D unit holders</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2024</w:t>
            </w: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3,747</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8"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MEMBERS’ EQUITY</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Contributed Capital</w:t>
            </w: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360" w:type="dxa"/>
            <w:vAlign w:val="bottom"/>
            <w:gridSpan w:val="3"/>
            <w:vMerge w:val="continue"/>
          </w:tcPr>
          <w:p>
            <w:pPr>
              <w:spacing w:after="0"/>
              <w:rPr>
                <w:sz w:val="13"/>
                <w:szCs w:val="13"/>
                <w:color w:val="auto"/>
              </w:rPr>
            </w:pPr>
          </w:p>
        </w:tc>
        <w:tc>
          <w:tcPr>
            <w:tcW w:w="98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0" w:type="dxa"/>
            <w:vAlign w:val="bottom"/>
          </w:tcPr>
          <w:p>
            <w:pPr>
              <w:spacing w:after="0"/>
              <w:rPr>
                <w:sz w:val="1"/>
                <w:szCs w:val="1"/>
                <w:color w:val="auto"/>
              </w:rPr>
            </w:pPr>
          </w:p>
        </w:tc>
      </w:tr>
      <w:tr>
        <w:trPr>
          <w:trHeight w:val="165"/>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400" w:type="dxa"/>
            <w:vAlign w:val="bottom"/>
            <w:tcBorders>
              <w:top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4,160</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loss on derivatives and changes in accumulated OCI</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Contributions from CEG, net of distributions, cash</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Transfers of assets under common control</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 paid to Clearway, Inc.</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paid to CEG Class B and Class D unit holders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2023</w:t>
            </w:r>
          </w:p>
        </w:tc>
        <w:tc>
          <w:tcPr>
            <w:tcW w:w="4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4,264</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 (loss)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gain on derivatives and changes in accumulated OCI</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to CEG, cash</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 to noncontrolling interests, net of contributions, cash</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Tax-related distributions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 paid to Clearway, Inc.</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68"/>
        </w:trPr>
        <w:tc>
          <w:tcPr>
            <w:tcW w:w="5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paid to CEG Class B and Class D unit holders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2023</w:t>
            </w:r>
          </w:p>
        </w:tc>
        <w:tc>
          <w:tcPr>
            <w:tcW w:w="4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4,237</w:t>
            </w:r>
          </w:p>
        </w:tc>
        <w:tc>
          <w:tcPr>
            <w:tcW w:w="0" w:type="dxa"/>
            <w:vAlign w:val="bottom"/>
          </w:tcPr>
          <w:p>
            <w:pPr>
              <w:spacing w:after="0"/>
              <w:rPr>
                <w:sz w:val="1"/>
                <w:szCs w:val="1"/>
                <w:color w:val="auto"/>
              </w:rPr>
            </w:pP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 (loss)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Unrealized gain on derivatives and changes in accumulated OCI</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Distributions to CEG, cash</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Distributions to noncontrolling interests, non-cash</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Tax-related distributions</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Transfer of assets under common control</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Distributions paid to Clearway, Inc.</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Distributions paid to CEG Class B and Class D unit holders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2023</w:t>
            </w: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1,233</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1,147</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 — </w:t>
      </w:r>
      <w:r>
        <w:rPr>
          <w:rFonts w:ascii="Times New Roman" w:cs="Times New Roman" w:eastAsia="Times New Roman" w:hAnsi="Times New Roman"/>
          <w:sz w:val="14"/>
          <w:szCs w:val="14"/>
          <w:b w:val="1"/>
          <w:bCs w:val="1"/>
          <w:i w:val="1"/>
          <w:iCs w:val="1"/>
          <w:color w:val="auto"/>
        </w:rPr>
        <w:t>Nature of Business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October 1, 2024, BlackRock acquired 100% of the business and assets of GIM, which is the investment manager of the GIP funds that own an interest in CEG. BlackRock is a publicly-traded global investment management firm.</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approximately 6,500 net MW of installed wind, solar and battery energy storage system, or BESS, facilities. The Company’s approximately 9,000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September 30, 2024, Clearway, Inc. owned 58.10% of the economic interests of the Company, with CEG owning 41.90% of the economic interests of the Company.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4"/>
          <w:szCs w:val="14"/>
          <w:color w:val="auto"/>
        </w:rPr>
        <w:t>The following table represents a summarized structure of the Company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406265" cy="3288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06265" cy="328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2023 Form 10-K. Interim results are not necessarily indicative of results for a full year.</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the opinion of management, the accompanying unaudited interim consolidated financial statements contain all material adjustments consisting of normal and recurring accruals necessary for a fair statement of the Company’s consolidated financial position as of September 30, 2024, and results of operations, comprehensive income and cash flows for the three and nine months ended September 30, 2024 and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subsidiary facilities was $202 million and $125 million as of September 30, 2024 and December 31, 2023,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1"/>
        </w:trPr>
        <w:tc>
          <w:tcPr>
            <w:tcW w:w="7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00" w:type="dxa"/>
            <w:vAlign w:val="bottom"/>
            <w:shd w:val="clear" w:color="auto" w:fill="CCEEFF"/>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196"/>
        </w:trPr>
        <w:tc>
          <w:tcPr>
            <w:tcW w:w="7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1500" w:type="dxa"/>
            <w:vAlign w:val="bottom"/>
            <w:tcBorders>
              <w:bottom w:val="single" w:sz="8" w:color="auto"/>
            </w:tcBorders>
            <w:shd w:val="clear" w:color="auto" w:fill="CCEEFF"/>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facilities that are restricted in their use. As of September 30, 2024, these restricted funds were comprised of $183 million designated to fund operating expenses, $71 million designated for current debt service payments and $89 million restricted for reserves including debt service, performance obligations and other reserves as well as capital expenditures. The remaining $39 million is held in distributions reserve accounts.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a disaggregation of the amounts classified as Acquisition of Drop Down Assets, net of cash acquired, shown in the consolidated statements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26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4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80" w:type="dxa"/>
            <w:vAlign w:val="bottom"/>
            <w:gridSpan w:val="3"/>
          </w:tcPr>
          <w:p>
            <w:pPr>
              <w:jc w:val="right"/>
              <w:ind w:right="95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40" w:type="dxa"/>
            <w:vAlign w:val="bottom"/>
          </w:tcPr>
          <w:p>
            <w:pPr>
              <w:spacing w:after="0"/>
              <w:rPr>
                <w:sz w:val="13"/>
                <w:szCs w:val="13"/>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to acquire Drop Down Assets</w:t>
            </w:r>
          </w:p>
        </w:tc>
        <w:tc>
          <w:tcPr>
            <w:tcW w:w="128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acquired from the acquisition of Drop Down Assets</w:t>
            </w:r>
          </w:p>
        </w:tc>
        <w:tc>
          <w:tcPr>
            <w:tcW w:w="1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134</w:t>
            </w:r>
          </w:p>
        </w:tc>
      </w:tr>
      <w:tr>
        <w:trPr>
          <w:trHeight w:val="196"/>
        </w:trPr>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128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Depreciation and Accumulated Amortization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the accumulated depreciation included in property, plant and equipment, net, and accumulated amortization included in intangible assets, net: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5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Accumulated Depreciation</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5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r>
      <w:tr>
        <w:trPr>
          <w:trHeight w:val="184"/>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Accumulated Amortization</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r>
      <w:tr>
        <w:trPr>
          <w:trHeight w:val="367"/>
        </w:trPr>
        <w:tc>
          <w:tcPr>
            <w:tcW w:w="6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84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The following table lists distributions paid on the Company's Class A, B, C and D units during the nine months ended September 30, 2024:</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4"/>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20" w:type="dxa"/>
            <w:vAlign w:val="bottom"/>
          </w:tcPr>
          <w:p>
            <w:pPr>
              <w:spacing w:after="0"/>
              <w:rPr>
                <w:sz w:val="18"/>
                <w:szCs w:val="18"/>
                <w:color w:val="auto"/>
              </w:rPr>
            </w:pPr>
          </w:p>
        </w:tc>
        <w:tc>
          <w:tcPr>
            <w:tcW w:w="1240" w:type="dxa"/>
            <w:vAlign w:val="bottom"/>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per Class A, B, C and D unit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October 29, 2024, the Company declared a distribution on its Class A, Class B, Class C and Class D units of $0.4240 per unit payable on December 16, 2024 to unit holders of record as of December 2,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along with the reportable segment for each category: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gridSpan w:val="6"/>
          </w:tcPr>
          <w:p>
            <w:pPr>
              <w:jc w:val="center"/>
              <w:ind w:left="972"/>
              <w:spacing w:after="0"/>
              <w:rPr>
                <w:sz w:val="20"/>
                <w:szCs w:val="20"/>
                <w:color w:val="auto"/>
              </w:rPr>
            </w:pPr>
            <w:r>
              <w:rPr>
                <w:rFonts w:ascii="Times New Roman" w:cs="Times New Roman" w:eastAsia="Times New Roman" w:hAnsi="Times New Roman"/>
                <w:sz w:val="11"/>
                <w:szCs w:val="11"/>
                <w:b w:val="1"/>
                <w:bCs w:val="1"/>
                <w:color w:val="auto"/>
              </w:rPr>
              <w:t>Three months ended September 30, 2024</w:t>
            </w:r>
          </w:p>
        </w:tc>
        <w:tc>
          <w:tcPr>
            <w:tcW w:w="1140" w:type="dxa"/>
            <w:vAlign w:val="bottom"/>
            <w:tcBorders>
              <w:bottom w:val="single" w:sz="8" w:color="auto"/>
            </w:tcBorders>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648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0"/>
                <w:szCs w:val="10"/>
                <w:color w:val="auto"/>
              </w:rPr>
            </w:pPr>
          </w:p>
        </w:tc>
        <w:tc>
          <w:tcPr>
            <w:tcW w:w="152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0"/>
                <w:szCs w:val="10"/>
                <w:color w:val="auto"/>
              </w:rPr>
            </w:pPr>
          </w:p>
        </w:tc>
        <w:tc>
          <w:tcPr>
            <w:tcW w:w="13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Renewables</w:t>
            </w:r>
          </w:p>
        </w:tc>
        <w:tc>
          <w:tcPr>
            <w:tcW w:w="380" w:type="dxa"/>
            <w:vAlign w:val="bottom"/>
          </w:tcPr>
          <w:p>
            <w:pPr>
              <w:spacing w:after="0"/>
              <w:rPr>
                <w:sz w:val="10"/>
                <w:szCs w:val="10"/>
                <w:color w:val="auto"/>
              </w:rPr>
            </w:pPr>
          </w:p>
        </w:tc>
        <w:tc>
          <w:tcPr>
            <w:tcW w:w="1140" w:type="dxa"/>
            <w:vAlign w:val="bottom"/>
          </w:tcPr>
          <w:p>
            <w:pPr>
              <w:jc w:val="right"/>
              <w:ind w:right="571"/>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Contract amortization</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Lease revenue</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23" w:lineRule="exact"/>
        <w:rPr>
          <w:sz w:val="20"/>
          <w:szCs w:val="20"/>
          <w:color w:val="auto"/>
        </w:rPr>
      </w:pPr>
    </w:p>
    <w:p>
      <w:pPr>
        <w:ind w:left="200" w:hanging="131"/>
        <w:spacing w:after="0"/>
        <w:tabs>
          <w:tab w:leader="none" w:pos="20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and capacity revenues relate to leases and are accounted for under ASC 842: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1"/>
                <w:szCs w:val="1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1"/>
                <w:szCs w:val="11"/>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80" w:type="dxa"/>
            <w:vAlign w:val="bottom"/>
          </w:tcPr>
          <w:p>
            <w:pPr>
              <w:spacing w:after="0"/>
              <w:rPr>
                <w:sz w:val="11"/>
                <w:szCs w:val="11"/>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Capacity revenue</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center"/>
              <w:ind w:left="972"/>
              <w:spacing w:after="0"/>
              <w:rPr>
                <w:sz w:val="20"/>
                <w:szCs w:val="20"/>
                <w:color w:val="auto"/>
              </w:rPr>
            </w:pPr>
            <w:r>
              <w:rPr>
                <w:rFonts w:ascii="Times New Roman" w:cs="Times New Roman" w:eastAsia="Times New Roman" w:hAnsi="Times New Roman"/>
                <w:sz w:val="11"/>
                <w:szCs w:val="11"/>
                <w:b w:val="1"/>
                <w:bCs w:val="1"/>
                <w:color w:val="auto"/>
              </w:rPr>
              <w:t>Three months ended September 30, 2023</w:t>
            </w:r>
          </w:p>
        </w:tc>
        <w:tc>
          <w:tcPr>
            <w:tcW w:w="1140" w:type="dxa"/>
            <w:vAlign w:val="bottom"/>
            <w:tcBorders>
              <w:bottom w:val="single" w:sz="8" w:color="auto"/>
            </w:tcBorders>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648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0"/>
                <w:szCs w:val="10"/>
                <w:color w:val="auto"/>
              </w:rPr>
            </w:pPr>
          </w:p>
        </w:tc>
        <w:tc>
          <w:tcPr>
            <w:tcW w:w="152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0"/>
                <w:szCs w:val="10"/>
                <w:color w:val="auto"/>
              </w:rPr>
            </w:pPr>
          </w:p>
        </w:tc>
        <w:tc>
          <w:tcPr>
            <w:tcW w:w="13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Renewables</w:t>
            </w:r>
          </w:p>
        </w:tc>
        <w:tc>
          <w:tcPr>
            <w:tcW w:w="380" w:type="dxa"/>
            <w:vAlign w:val="bottom"/>
          </w:tcPr>
          <w:p>
            <w:pPr>
              <w:spacing w:after="0"/>
              <w:rPr>
                <w:sz w:val="10"/>
                <w:szCs w:val="10"/>
                <w:color w:val="auto"/>
              </w:rPr>
            </w:pPr>
          </w:p>
        </w:tc>
        <w:tc>
          <w:tcPr>
            <w:tcW w:w="1140" w:type="dxa"/>
            <w:vAlign w:val="bottom"/>
          </w:tcPr>
          <w:p>
            <w:pPr>
              <w:jc w:val="right"/>
              <w:ind w:right="571"/>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Contract amortization</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239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Lease revenue</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33" w:lineRule="exact"/>
        <w:rPr>
          <w:sz w:val="20"/>
          <w:szCs w:val="20"/>
          <w:color w:val="auto"/>
        </w:rPr>
      </w:pPr>
    </w:p>
    <w:p>
      <w:pPr>
        <w:ind w:left="200" w:hanging="131"/>
        <w:spacing w:after="0"/>
        <w:tabs>
          <w:tab w:leader="none" w:pos="20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and capacity revenues relate to leases and are accounted for under ASC 842: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0"/>
                <w:szCs w:val="1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0"/>
                <w:szCs w:val="10"/>
                <w:color w:val="auto"/>
              </w:rPr>
            </w:pPr>
          </w:p>
        </w:tc>
        <w:tc>
          <w:tcPr>
            <w:tcW w:w="116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revenue</w:t>
            </w:r>
          </w:p>
        </w:tc>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Capacity revenue</w:t>
            </w:r>
          </w:p>
        </w:tc>
        <w:tc>
          <w:tcPr>
            <w:tcW w:w="3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3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70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gridSpan w:val="6"/>
          </w:tcPr>
          <w:p>
            <w:pPr>
              <w:jc w:val="center"/>
              <w:ind w:left="972"/>
              <w:spacing w:after="0"/>
              <w:rPr>
                <w:sz w:val="20"/>
                <w:szCs w:val="20"/>
                <w:color w:val="auto"/>
              </w:rPr>
            </w:pPr>
            <w:r>
              <w:rPr>
                <w:rFonts w:ascii="Times New Roman" w:cs="Times New Roman" w:eastAsia="Times New Roman" w:hAnsi="Times New Roman"/>
                <w:sz w:val="11"/>
                <w:szCs w:val="11"/>
                <w:b w:val="1"/>
                <w:bCs w:val="1"/>
                <w:color w:val="auto"/>
              </w:rPr>
              <w:t>Nine months ended September 30, 2024</w:t>
            </w:r>
          </w:p>
        </w:tc>
        <w:tc>
          <w:tcPr>
            <w:tcW w:w="1160" w:type="dxa"/>
            <w:vAlign w:val="bottom"/>
            <w:tcBorders>
              <w:bottom w:val="single" w:sz="8" w:color="auto"/>
            </w:tcBorders>
          </w:tcPr>
          <w:p>
            <w:pPr>
              <w:spacing w:after="0"/>
              <w:rPr>
                <w:sz w:val="13"/>
                <w:szCs w:val="13"/>
                <w:color w:val="auto"/>
              </w:rPr>
            </w:pPr>
          </w:p>
        </w:tc>
      </w:tr>
      <w:tr>
        <w:trPr>
          <w:trHeight w:val="15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3"/>
                <w:szCs w:val="13"/>
                <w:color w:val="auto"/>
              </w:rPr>
            </w:pP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9"/>
        </w:trPr>
        <w:tc>
          <w:tcPr>
            <w:tcW w:w="6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r>
              <w:rPr>
                <w:rFonts w:ascii="Times New Roman" w:cs="Times New Roman" w:eastAsia="Times New Roman" w:hAnsi="Times New Roman"/>
                <w:sz w:val="18"/>
                <w:szCs w:val="18"/>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333333"/>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937</w:t>
            </w:r>
          </w:p>
        </w:tc>
      </w:tr>
      <w:tr>
        <w:trPr>
          <w:trHeight w:val="24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Capacity revenue</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239</w:t>
            </w:r>
          </w:p>
        </w:tc>
      </w:tr>
      <w:tr>
        <w:trPr>
          <w:trHeight w:val="180"/>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69</w:t>
            </w:r>
          </w:p>
        </w:tc>
      </w:tr>
      <w:tr>
        <w:trPr>
          <w:trHeight w:val="18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 amortization</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(138)</w:t>
            </w:r>
          </w:p>
        </w:tc>
      </w:tr>
      <w:tr>
        <w:trPr>
          <w:trHeight w:val="180"/>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w:t>
            </w:r>
          </w:p>
        </w:tc>
      </w:tr>
      <w:tr>
        <w:trPr>
          <w:trHeight w:val="171"/>
        </w:trPr>
        <w:tc>
          <w:tcPr>
            <w:tcW w:w="6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operating revenue</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266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849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1,115</w:t>
            </w:r>
          </w:p>
        </w:tc>
      </w:tr>
      <w:tr>
        <w:trPr>
          <w:trHeight w:val="180"/>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138</w:t>
            </w:r>
          </w:p>
        </w:tc>
      </w:tr>
      <w:tr>
        <w:trPr>
          <w:trHeight w:val="18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(8)</w:t>
            </w:r>
          </w:p>
        </w:tc>
      </w:tr>
      <w:tr>
        <w:trPr>
          <w:trHeight w:val="180"/>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Lease revenue</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(691)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(775)</w:t>
            </w:r>
          </w:p>
        </w:tc>
      </w:tr>
      <w:tr>
        <w:trPr>
          <w:trHeight w:val="171"/>
        </w:trPr>
        <w:tc>
          <w:tcPr>
            <w:tcW w:w="6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184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333333"/>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286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333333"/>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470</w:t>
            </w:r>
          </w:p>
        </w:tc>
      </w:tr>
      <w:tr>
        <w:trPr>
          <w:trHeight w:val="20"/>
        </w:trPr>
        <w:tc>
          <w:tcPr>
            <w:tcW w:w="22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9"/>
        </w:trPr>
        <w:tc>
          <w:tcPr>
            <w:tcW w:w="22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23" w:lineRule="exact"/>
        <w:rPr>
          <w:sz w:val="20"/>
          <w:szCs w:val="20"/>
          <w:color w:val="auto"/>
        </w:rPr>
      </w:pPr>
    </w:p>
    <w:p>
      <w:pPr>
        <w:ind w:left="200" w:hanging="131"/>
        <w:spacing w:after="0"/>
        <w:tabs>
          <w:tab w:leader="none" w:pos="20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and capacity revenues relate to leases and are accounted for under ASC 842: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52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60" w:type="dxa"/>
            <w:vAlign w:val="bottom"/>
          </w:tcPr>
          <w:p>
            <w:pPr>
              <w:spacing w:after="0"/>
              <w:rPr>
                <w:sz w:val="13"/>
                <w:szCs w:val="13"/>
                <w:color w:val="auto"/>
              </w:rPr>
            </w:pPr>
          </w:p>
        </w:tc>
        <w:tc>
          <w:tcPr>
            <w:tcW w:w="1360" w:type="dxa"/>
            <w:vAlign w:val="bottom"/>
            <w:gridSpan w:val="4"/>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3"/>
                <w:szCs w:val="13"/>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5"/>
        </w:trPr>
        <w:tc>
          <w:tcPr>
            <w:tcW w:w="65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center"/>
              <w:ind w:left="791"/>
              <w:spacing w:after="0"/>
              <w:rPr>
                <w:sz w:val="20"/>
                <w:szCs w:val="20"/>
                <w:color w:val="auto"/>
              </w:rPr>
            </w:pPr>
            <w:r>
              <w:rPr>
                <w:rFonts w:ascii="Times New Roman" w:cs="Times New Roman" w:eastAsia="Times New Roman" w:hAnsi="Times New Roman"/>
                <w:sz w:val="14"/>
                <w:szCs w:val="14"/>
                <w:color w:val="auto"/>
                <w:w w:val="95"/>
              </w:rPr>
              <w:t>663</w:t>
            </w:r>
          </w:p>
        </w:tc>
        <w:tc>
          <w:tcPr>
            <w:tcW w:w="20" w:type="dxa"/>
            <w:vAlign w:val="bottom"/>
            <w:tcBorders>
              <w:top w:val="single" w:sz="8" w:color="auto"/>
            </w:tcBorders>
            <w:shd w:val="clear" w:color="auto" w:fill="CCEEFF"/>
          </w:tcPr>
          <w:p>
            <w:pPr>
              <w:spacing w:after="0"/>
              <w:rPr>
                <w:sz w:val="15"/>
                <w:szCs w:val="15"/>
                <w:color w:val="auto"/>
              </w:rPr>
            </w:pPr>
          </w:p>
        </w:tc>
      </w:tr>
      <w:tr>
        <w:trPr>
          <w:trHeight w:val="180"/>
        </w:trPr>
        <w:tc>
          <w:tcPr>
            <w:tcW w:w="6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791"/>
              <w:spacing w:after="0"/>
              <w:rPr>
                <w:sz w:val="20"/>
                <w:szCs w:val="20"/>
                <w:color w:val="auto"/>
              </w:rPr>
            </w:pPr>
            <w:r>
              <w:rPr>
                <w:rFonts w:ascii="Times New Roman" w:cs="Times New Roman" w:eastAsia="Times New Roman" w:hAnsi="Times New Roman"/>
                <w:sz w:val="14"/>
                <w:szCs w:val="14"/>
                <w:color w:val="auto"/>
                <w:w w:val="95"/>
              </w:rPr>
              <w:t>112</w:t>
            </w:r>
          </w:p>
        </w:tc>
        <w:tc>
          <w:tcPr>
            <w:tcW w:w="20" w:type="dxa"/>
            <w:vAlign w:val="bottom"/>
            <w:tcBorders>
              <w:bottom w:val="single" w:sz="8" w:color="auto"/>
            </w:tcBorders>
          </w:tcPr>
          <w:p>
            <w:pPr>
              <w:spacing w:after="0"/>
              <w:rPr>
                <w:sz w:val="15"/>
                <w:szCs w:val="15"/>
                <w:color w:val="auto"/>
              </w:rPr>
            </w:pPr>
          </w:p>
        </w:tc>
      </w:tr>
      <w:tr>
        <w:trPr>
          <w:trHeight w:val="196"/>
        </w:trPr>
        <w:tc>
          <w:tcPr>
            <w:tcW w:w="65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center"/>
              <w:ind w:left="791"/>
              <w:spacing w:after="0"/>
              <w:rPr>
                <w:sz w:val="20"/>
                <w:szCs w:val="20"/>
                <w:color w:val="auto"/>
              </w:rPr>
            </w:pPr>
            <w:r>
              <w:rPr>
                <w:rFonts w:ascii="Times New Roman" w:cs="Times New Roman" w:eastAsia="Times New Roman" w:hAnsi="Times New Roman"/>
                <w:sz w:val="14"/>
                <w:szCs w:val="14"/>
                <w:color w:val="auto"/>
                <w:w w:val="95"/>
              </w:rPr>
              <w:t>775</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24"/>
        </w:trPr>
        <w:tc>
          <w:tcPr>
            <w:tcW w:w="22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0"/>
          </w:tcPr>
          <w:p>
            <w:pPr>
              <w:jc w:val="center"/>
              <w:ind w:left="952"/>
              <w:spacing w:after="0"/>
              <w:rPr>
                <w:sz w:val="20"/>
                <w:szCs w:val="20"/>
                <w:color w:val="auto"/>
              </w:rPr>
            </w:pPr>
            <w:r>
              <w:rPr>
                <w:rFonts w:ascii="Times New Roman" w:cs="Times New Roman" w:eastAsia="Times New Roman" w:hAnsi="Times New Roman"/>
                <w:sz w:val="11"/>
                <w:szCs w:val="11"/>
                <w:b w:val="1"/>
                <w:bCs w:val="1"/>
                <w:color w:val="auto"/>
              </w:rPr>
              <w:t>Nine months ended September 30, 2023</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4"/>
        </w:trPr>
        <w:tc>
          <w:tcPr>
            <w:tcW w:w="6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1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3"/>
                <w:szCs w:val="13"/>
                <w:color w:val="auto"/>
              </w:rPr>
            </w:pPr>
          </w:p>
        </w:tc>
      </w:tr>
      <w:tr>
        <w:trPr>
          <w:trHeight w:val="229"/>
        </w:trPr>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20" w:type="dxa"/>
            <w:vAlign w:val="bottom"/>
          </w:tcPr>
          <w:p>
            <w:pPr>
              <w:spacing w:after="0"/>
              <w:rPr>
                <w:sz w:val="19"/>
                <w:szCs w:val="19"/>
                <w:color w:val="auto"/>
              </w:rPr>
            </w:pPr>
          </w:p>
        </w:tc>
      </w:tr>
      <w:tr>
        <w:trPr>
          <w:trHeight w:val="244"/>
        </w:trPr>
        <w:tc>
          <w:tcPr>
            <w:tcW w:w="6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0" w:type="dxa"/>
            <w:vAlign w:val="bottom"/>
          </w:tcPr>
          <w:p>
            <w:pPr>
              <w:spacing w:after="0"/>
              <w:rPr>
                <w:sz w:val="21"/>
                <w:szCs w:val="21"/>
                <w:color w:val="auto"/>
              </w:rPr>
            </w:pPr>
          </w:p>
        </w:tc>
      </w:tr>
      <w:tr>
        <w:trPr>
          <w:trHeight w:val="180"/>
        </w:trPr>
        <w:tc>
          <w:tcPr>
            <w:tcW w:w="652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(a)</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5"/>
                <w:szCs w:val="15"/>
                <w:color w:val="auto"/>
              </w:rPr>
            </w:pPr>
          </w:p>
        </w:tc>
      </w:tr>
      <w:tr>
        <w:trPr>
          <w:trHeight w:val="180"/>
        </w:trPr>
        <w:tc>
          <w:tcPr>
            <w:tcW w:w="6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Contract amortization</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0" w:type="dxa"/>
            <w:vAlign w:val="bottom"/>
          </w:tcPr>
          <w:p>
            <w:pPr>
              <w:spacing w:after="0"/>
              <w:rPr>
                <w:sz w:val="15"/>
                <w:szCs w:val="15"/>
                <w:color w:val="auto"/>
              </w:rPr>
            </w:pPr>
          </w:p>
        </w:tc>
      </w:tr>
      <w:tr>
        <w:trPr>
          <w:trHeight w:val="180"/>
        </w:trPr>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5"/>
                <w:szCs w:val="15"/>
                <w:color w:val="auto"/>
              </w:rPr>
            </w:pPr>
          </w:p>
        </w:tc>
      </w:tr>
      <w:tr>
        <w:trPr>
          <w:trHeight w:val="171"/>
        </w:trPr>
        <w:tc>
          <w:tcPr>
            <w:tcW w:w="6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operating revenue</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20" w:type="dxa"/>
            <w:vAlign w:val="bottom"/>
          </w:tcPr>
          <w:p>
            <w:pPr>
              <w:spacing w:after="0"/>
              <w:rPr>
                <w:sz w:val="14"/>
                <w:szCs w:val="14"/>
                <w:color w:val="auto"/>
              </w:rPr>
            </w:pPr>
          </w:p>
        </w:tc>
      </w:tr>
      <w:tr>
        <w:trPr>
          <w:trHeight w:val="180"/>
        </w:trPr>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0" w:type="dxa"/>
            <w:vAlign w:val="bottom"/>
          </w:tcPr>
          <w:p>
            <w:pPr>
              <w:spacing w:after="0"/>
              <w:rPr>
                <w:sz w:val="15"/>
                <w:szCs w:val="15"/>
                <w:color w:val="auto"/>
              </w:rPr>
            </w:pPr>
          </w:p>
        </w:tc>
      </w:tr>
      <w:tr>
        <w:trPr>
          <w:trHeight w:val="180"/>
        </w:trPr>
        <w:tc>
          <w:tcPr>
            <w:tcW w:w="6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5"/>
                <w:szCs w:val="15"/>
                <w:color w:val="auto"/>
              </w:rPr>
            </w:pPr>
          </w:p>
        </w:tc>
      </w:tr>
      <w:tr>
        <w:trPr>
          <w:trHeight w:val="180"/>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Lease revenue</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0" w:type="dxa"/>
            <w:vAlign w:val="bottom"/>
          </w:tcPr>
          <w:p>
            <w:pPr>
              <w:spacing w:after="0"/>
              <w:rPr>
                <w:sz w:val="15"/>
                <w:szCs w:val="15"/>
                <w:color w:val="auto"/>
              </w:rPr>
            </w:pPr>
          </w:p>
        </w:tc>
      </w:tr>
      <w:tr>
        <w:trPr>
          <w:trHeight w:val="171"/>
        </w:trPr>
        <w:tc>
          <w:tcPr>
            <w:tcW w:w="6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ind w:right="23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0" w:type="dxa"/>
            <w:vAlign w:val="bottom"/>
          </w:tcPr>
          <w:p>
            <w:pPr>
              <w:spacing w:after="0"/>
              <w:rPr>
                <w:sz w:val="14"/>
                <w:szCs w:val="14"/>
                <w:color w:val="auto"/>
              </w:rPr>
            </w:pPr>
          </w:p>
        </w:tc>
      </w:tr>
      <w:tr>
        <w:trPr>
          <w:trHeight w:val="20"/>
        </w:trPr>
        <w:tc>
          <w:tcPr>
            <w:tcW w:w="22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9"/>
        </w:trPr>
        <w:tc>
          <w:tcPr>
            <w:tcW w:w="22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33" w:lineRule="exact"/>
        <w:rPr>
          <w:sz w:val="20"/>
          <w:szCs w:val="20"/>
          <w:color w:val="auto"/>
        </w:rPr>
      </w:pPr>
    </w:p>
    <w:p>
      <w:pPr>
        <w:ind w:left="200" w:hanging="131"/>
        <w:spacing w:after="0"/>
        <w:tabs>
          <w:tab w:leader="none" w:pos="20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capacity and other revenues relate to leases and are accounted for under ASC 842:</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18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0"/>
        </w:trPr>
        <w:tc>
          <w:tcPr>
            <w:tcW w:w="6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(b)</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6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9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20"/>
        </w:trPr>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3" w:lineRule="exact"/>
        <w:rPr>
          <w:sz w:val="20"/>
          <w:szCs w:val="20"/>
          <w:color w:val="auto"/>
        </w:rPr>
      </w:pPr>
    </w:p>
    <w:p>
      <w:pPr>
        <w:ind w:left="200" w:hanging="131"/>
        <w:spacing w:after="0"/>
        <w:tabs>
          <w:tab w:leader="none" w:pos="20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sales-type lease revenue recognized for the Marsh Landing Black Start addition that reached commercial operations on May 31, 2023.</w:t>
      </w:r>
    </w:p>
    <w:p>
      <w:pPr>
        <w:spacing w:after="0" w:line="200" w:lineRule="exact"/>
        <w:rPr>
          <w:rFonts w:ascii="Times New Roman" w:cs="Times New Roman" w:eastAsia="Times New Roman" w:hAnsi="Times New Roman"/>
          <w:sz w:val="16"/>
          <w:szCs w:val="16"/>
          <w:color w:val="auto"/>
          <w:vertAlign w:val="superscript"/>
        </w:rPr>
      </w:pPr>
    </w:p>
    <w:p>
      <w:pPr>
        <w:spacing w:after="0" w:line="352" w:lineRule="exact"/>
        <w:rPr>
          <w:rFonts w:ascii="Times New Roman" w:cs="Times New Roman" w:eastAsia="Times New Roman" w:hAnsi="Times New Roman"/>
          <w:sz w:val="16"/>
          <w:szCs w:val="16"/>
          <w:color w:val="auto"/>
          <w:vertAlign w:val="superscript"/>
        </w:rPr>
      </w:pPr>
    </w:p>
    <w:p>
      <w:pPr>
        <w:ind w:left="558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contract assets and liabilities included on the Company’s consolidated balance sheets: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1"/>
        </w:trPr>
        <w:tc>
          <w:tcPr>
            <w:tcW w:w="7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 - Contracts with customers</w:t>
            </w:r>
          </w:p>
        </w:tc>
        <w:tc>
          <w:tcPr>
            <w:tcW w:w="1500" w:type="dxa"/>
            <w:vAlign w:val="bottom"/>
            <w:shd w:val="clear" w:color="auto" w:fill="CCEEFF"/>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Accounts receivable, net - Leases</w:t>
            </w:r>
          </w:p>
        </w:tc>
        <w:tc>
          <w:tcPr>
            <w:tcW w:w="1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6"/>
        </w:trPr>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1500" w:type="dxa"/>
            <w:vAlign w:val="bottom"/>
            <w:tcBorders>
              <w:bottom w:val="single" w:sz="8" w:color="auto"/>
            </w:tcBorders>
            <w:shd w:val="clear" w:color="auto" w:fill="CCEEFF"/>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3 — </w:t>
      </w:r>
      <w:r>
        <w:rPr>
          <w:rFonts w:ascii="Times New Roman" w:cs="Times New Roman" w:eastAsia="Times New Roman" w:hAnsi="Times New Roman"/>
          <w:sz w:val="14"/>
          <w:szCs w:val="14"/>
          <w:b w:val="1"/>
          <w:bCs w:val="1"/>
          <w:i w:val="1"/>
          <w:iCs w:val="1"/>
          <w:color w:val="auto"/>
        </w:rPr>
        <w:t>Acquisitions</w:t>
      </w:r>
    </w:p>
    <w:p>
      <w:pPr>
        <w:spacing w:after="0" w:line="13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Cedar Creek Drop Down — </w:t>
      </w: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Creek, a 160 MW wind facility that is located in Bingham County, Idaho, from Clearway Renew for cash consideration of $117 million. Cedar Creek Holdco LLC consolidates as primary beneficiary, Cedar Creek TE Holdco LLC, a tax equity fund that owns the Cedar Creek wind facility, as further described in Note 4,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Cedar Creek has a 25-year PPA with an investment-grade utility that commenced in March 2024. The Cedar Creek operations are reflected in the Company’s Renewables segment and the acquisition was funded with existing sources of liquidity. The acquisition was determined to be an asset acquisition and the Company consolidates Cedar Creek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Issues</w:t>
      </w:r>
      <w:r>
        <w:rPr>
          <w:rFonts w:ascii="Times New Roman" w:cs="Times New Roman" w:eastAsia="Times New Roman" w:hAnsi="Times New Roman"/>
          <w:sz w:val="14"/>
          <w:szCs w:val="14"/>
          <w:color w:val="auto"/>
        </w:rPr>
        <w:t>. The difference between the cash paid of $117 million and the historical cost of the Company’s net assets acquired of $17 million was recorded as an adjustment to contributed capital.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 the Company reflected the entire $117 million of the Company’s purchase price, which was contributed back to the Company by CEG to pay down the acquired long-term debt, in the line item contributions from CEG, net of distributions in the consolidated statements of members’ equity.</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April 16,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Cedar Creek</w:t>
            </w:r>
          </w:p>
        </w:tc>
      </w:tr>
      <w:tr>
        <w:trPr>
          <w:trHeight w:val="173"/>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12"/>
        </w:trPr>
        <w:tc>
          <w:tcPr>
            <w:tcW w:w="2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0"/>
        </w:trPr>
        <w:tc>
          <w:tcPr>
            <w:tcW w:w="92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9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22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10"/>
        </w:trPr>
        <w:tc>
          <w:tcPr>
            <w:tcW w:w="2200" w:type="dxa"/>
            <w:vAlign w:val="bottom"/>
            <w:tcBorders>
              <w:bottom w:val="single" w:sz="8" w:color="auto"/>
            </w:tcBorders>
          </w:tcPr>
          <w:p>
            <w:pPr>
              <w:spacing w:after="0"/>
              <w:rPr>
                <w:sz w:val="9"/>
                <w:szCs w:val="9"/>
                <w:color w:val="auto"/>
              </w:rPr>
            </w:pPr>
          </w:p>
        </w:tc>
        <w:tc>
          <w:tcPr>
            <w:tcW w:w="7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tcPr>
          <w:p>
            <w:pPr>
              <w:spacing w:after="0"/>
              <w:rPr>
                <w:sz w:val="9"/>
                <w:szCs w:val="9"/>
                <w:color w:val="auto"/>
              </w:rPr>
            </w:pPr>
          </w:p>
        </w:tc>
      </w:tr>
    </w:tbl>
    <w:p>
      <w:pPr>
        <w:spacing w:after="0" w:line="87" w:lineRule="exact"/>
        <w:rPr>
          <w:sz w:val="20"/>
          <w:szCs w:val="20"/>
          <w:color w:val="auto"/>
        </w:rPr>
      </w:pPr>
    </w:p>
    <w:p>
      <w:pPr>
        <w:ind w:left="60" w:firstLine="9"/>
        <w:spacing w:after="0" w:line="230" w:lineRule="auto"/>
        <w:tabs>
          <w:tab w:leader="none" w:pos="19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$112 million construction loan, a $91 million cash equity bridge loan, and a $109 million tax equity bridge loan, offset by $3 million in unamortized debt issuance costs. See Note 7,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xml:space="preserve"> for further discussion of the long-term debt assumed in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7" w:name="page18"/>
    <w:bookmarkEnd w:id="17"/>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2 Drop Down — </w:t>
      </w: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as further described in Note 4, </w:t>
      </w:r>
      <w:r>
        <w:rPr>
          <w:rFonts w:ascii="Times New Roman" w:cs="Times New Roman" w:eastAsia="Times New Roman" w:hAnsi="Times New Roman"/>
          <w:sz w:val="14"/>
          <w:szCs w:val="14"/>
          <w:i w:val="1"/>
          <w:iCs w:val="1"/>
          <w:color w:val="auto"/>
        </w:rPr>
        <w:t>Investments Accounted for by the Equity Method and Variable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Entities. </w:t>
      </w:r>
      <w:r>
        <w:rPr>
          <w:rFonts w:ascii="Times New Roman" w:cs="Times New Roman" w:eastAsia="Times New Roman" w:hAnsi="Times New Roman"/>
          <w:sz w:val="14"/>
          <w:szCs w:val="14"/>
          <w:color w:val="auto"/>
        </w:rPr>
        <w:t>Texas Solar Nova 2 has an 18-year PPA with an investment-grade counterparty that commenced in February 2024. The Texas Solar Nova 2 operations are reflected in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Renewables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cash paid of $112 million and the historical cost of the Company’s net assets acquired of $72 million was recorded as an adjustment to contributed capital. In addition, the Company reflected $9 million of the Company’s purchase price, which was contributed back to the Company by CEG to pay down the acquired long-term debt, in the line item distributions to CEG, net of contributions in the consolidated statements of members’ equity.</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15,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Texas Solar Nova 2</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12"/>
        </w:trPr>
        <w:tc>
          <w:tcPr>
            <w:tcW w:w="9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an $80 million term loan and a $115 million tax equity bridge loan, offset by $1 million in unamortized debt issuance costs. See Note 7,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4 — </w:t>
      </w:r>
      <w:r>
        <w:rPr>
          <w:rFonts w:ascii="Times New Roman" w:cs="Times New Roman" w:eastAsia="Times New Roman" w:hAnsi="Times New Roman"/>
          <w:sz w:val="14"/>
          <w:szCs w:val="14"/>
          <w:b w:val="1"/>
          <w:bCs w:val="1"/>
          <w:i w:val="1"/>
          <w:iCs w:val="1"/>
          <w:color w:val="auto"/>
        </w:rPr>
        <w:t>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not Consolidated</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Variable Interest Entities, </w:t>
      </w:r>
      <w:r>
        <w:rPr>
          <w:rFonts w:ascii="Times New Roman" w:cs="Times New Roman" w:eastAsia="Times New Roman" w:hAnsi="Times New Roman"/>
          <w:sz w:val="14"/>
          <w:szCs w:val="14"/>
          <w:color w:val="231F20"/>
        </w:rPr>
        <w:t>to the consolidated financial statements included in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Form 10</w:t>
      </w:r>
      <w:r>
        <w:rPr>
          <w:rFonts w:ascii="Times New Roman" w:cs="Times New Roman" w:eastAsia="Times New Roman" w:hAnsi="Times New Roman"/>
          <w:sz w:val="14"/>
          <w:szCs w:val="14"/>
          <w:color w:val="auto"/>
        </w:rPr>
        <w:t>-K.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Company’s equity investments in unconsolidated affiliates as of September 30,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7060" w:type="dxa"/>
            <w:vAlign w:val="bottom"/>
            <w:tcBorders>
              <w:bottom w:val="single" w:sz="8" w:color="auto"/>
            </w:tcBorders>
          </w:tcPr>
          <w:p>
            <w:pPr>
              <w:ind w:left="5840"/>
              <w:spacing w:after="0"/>
              <w:rPr>
                <w:sz w:val="20"/>
                <w:szCs w:val="20"/>
                <w:color w:val="auto"/>
              </w:rPr>
            </w:pPr>
            <w:r>
              <w:rPr>
                <w:rFonts w:ascii="Times New Roman" w:cs="Times New Roman" w:eastAsia="Times New Roman" w:hAnsi="Times New Roman"/>
                <w:sz w:val="13"/>
                <w:szCs w:val="13"/>
                <w:b w:val="1"/>
                <w:bCs w:val="1"/>
                <w:color w:val="auto"/>
              </w:rPr>
              <w:t>Economic Interest</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 xml:space="preserve">Investment Balance </w:t>
            </w:r>
            <w:r>
              <w:rPr>
                <w:rFonts w:ascii="Times New Roman" w:cs="Times New Roman" w:eastAsia="Times New Roman" w:hAnsi="Times New Roman"/>
                <w:sz w:val="18"/>
                <w:szCs w:val="18"/>
                <w:b w:val="1"/>
                <w:bCs w:val="1"/>
                <w:color w:val="auto"/>
                <w:vertAlign w:val="superscript"/>
              </w:rPr>
              <w:t>(a)</w:t>
            </w:r>
          </w:p>
        </w:tc>
      </w:tr>
      <w:tr>
        <w:trPr>
          <w:trHeight w:val="159"/>
        </w:trPr>
        <w:tc>
          <w:tcPr>
            <w:tcW w:w="220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ind w:right="61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Avenal</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Desert Sunlight</w:t>
            </w:r>
          </w:p>
        </w:tc>
        <w:tc>
          <w:tcPr>
            <w:tcW w:w="7060" w:type="dxa"/>
            <w:vAlign w:val="bottom"/>
          </w:tcPr>
          <w:p>
            <w:pPr>
              <w:jc w:val="center"/>
              <w:ind w:left="5530"/>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18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Elkhorn Ridge</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66.7%</w:t>
            </w: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(b)</w:t>
            </w:r>
          </w:p>
        </w:tc>
        <w:tc>
          <w:tcPr>
            <w:tcW w:w="7060" w:type="dxa"/>
            <w:vAlign w:val="bottom"/>
          </w:tcPr>
          <w:p>
            <w:pPr>
              <w:jc w:val="center"/>
              <w:ind w:left="553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Juan Mesa</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22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20"/>
        </w:trPr>
        <w:tc>
          <w:tcPr>
            <w:tcW w:w="22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7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tcPr>
          <w:p>
            <w:pPr>
              <w:spacing w:after="0"/>
              <w:rPr>
                <w:sz w:val="10"/>
                <w:szCs w:val="10"/>
                <w:color w:val="auto"/>
              </w:rPr>
            </w:pPr>
          </w:p>
        </w:tc>
      </w:tr>
    </w:tbl>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The Company’s maximum exposure to loss is limited to its investment balances.</w:t>
      </w:r>
    </w:p>
    <w:p>
      <w:pPr>
        <w:ind w:left="60"/>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3"/>
          <w:szCs w:val="13"/>
          <w:color w:val="auto"/>
        </w:rPr>
        <w:t xml:space="preserve"> GenConn is a VIE.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Rosie Central BESS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Clearway Renew redeemed Rosie Class B LLC’s entire investment of $28 million in Rosie Central BESS that was accounted for as an equity method investment, as further discussed in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Rosie Class B LLC’s equity investment in Rosie Central BESS was comprised of contributions from the Company and the cash equity investor in Rosie TargetCo LLC during the year ended December 31,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As further described under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to the consolidated financial statements included in the Company’s 2023 Form 10-K, 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significant activity during the nine months ended September 30, 2024 related to the Company’s consolidated VIEs: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Cedar Creek TE Holdco LLC</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April 16, 2024, the Company, through its indirect subsidiary, Cedar Creek Wind Holdco LLC, acquired Cedar Creek Holdco LLC. Cedar Creek Holdco LLC consolidates as primary beneficiary, Cedar Creek TE Holdco LLC, a tax equity fund that owns the Cedar Creek wind facility. The Class A membership interests in Cedar Creek TE Holdco LLC are held by a tax equity investor and are reflected as noncontrolling interest on the Company’s consolidated balance sheet.</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Lighthouse Renewable Holdco 2 LLC</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March 15, 2024, TSN1 TE Holdco LLC, an indirect subsidiary of the Company, acquired Texas Solar Nova 2. The Company, through Lighthouse Renewable Holdco 2 LLC, a partnership, consolidates TSN1 TE Holdco LLC, a tax equity fund that owns Texas Solar Nova 1 and Texas Solar Nova 2. The Company recorded the noncontrolling interest of the cash equity investor in Lighthouse Renewable Holdco 2 LLC at historical carrying amount, with the offset to contributed capital. The Class A membership interests in TSN1 TE Holdco LLC are held by a tax equity investor and are reflected as noncontrolling interest on the Company’s consolidated balance sheet.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Daggett Renewable Holdco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Effective January 1, 2024, the Company and the cash equity investor in Daggett Renewable HoldCo LLC and Daggett 2 TargetCo LLC, the indirect owner of the Daggett 2 solar and BESS facility, agreed to transfer Daggett 2 TargetCo LLC to Daggett Renewable Holdco LLC. As the transfer was among entities under common control, the transaction was recognized at historical cost and no gain or loss was recognized.</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Summarized financial information for the Company’s consolidated VIEs consisted of the following as of September 30,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Cedar Creek TE Holdco</w:t>
            </w: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Daggett Renewable Holdco</w:t>
            </w:r>
          </w:p>
        </w:tc>
        <w:tc>
          <w:tcPr>
            <w:tcW w:w="18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 xml:space="preserve">DGPV Funds </w:t>
            </w:r>
            <w:r>
              <w:rPr>
                <w:rFonts w:ascii="Times New Roman" w:cs="Times New Roman" w:eastAsia="Times New Roman" w:hAnsi="Times New Roman"/>
                <w:sz w:val="16"/>
                <w:szCs w:val="16"/>
                <w:b w:val="1"/>
                <w:bCs w:val="1"/>
                <w:color w:val="auto"/>
                <w:vertAlign w:val="superscript"/>
              </w:rPr>
              <w:t>(b)</w:t>
            </w:r>
          </w:p>
        </w:tc>
        <w:tc>
          <w:tcPr>
            <w:tcW w:w="140" w:type="dxa"/>
            <w:vAlign w:val="bottom"/>
          </w:tcPr>
          <w:p>
            <w:pPr>
              <w:spacing w:after="0"/>
              <w:rPr>
                <w:sz w:val="10"/>
                <w:szCs w:val="1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Lighthouse Renewable</w:t>
            </w:r>
          </w:p>
        </w:tc>
        <w:tc>
          <w:tcPr>
            <w:tcW w:w="140" w:type="dxa"/>
            <w:vAlign w:val="bottom"/>
          </w:tcPr>
          <w:p>
            <w:pPr>
              <w:spacing w:after="0"/>
              <w:rPr>
                <w:sz w:val="10"/>
                <w:szCs w:val="10"/>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0"/>
                <w:szCs w:val="10"/>
                <w:b w:val="1"/>
                <w:bCs w:val="1"/>
                <w:color w:val="auto"/>
              </w:rPr>
              <w:t>Lighthouse Renewable</w:t>
            </w:r>
          </w:p>
        </w:tc>
        <w:tc>
          <w:tcPr>
            <w:tcW w:w="0" w:type="dxa"/>
            <w:vAlign w:val="bottom"/>
          </w:tcPr>
          <w:p>
            <w:pPr>
              <w:spacing w:after="0"/>
              <w:rPr>
                <w:sz w:val="1"/>
                <w:szCs w:val="1"/>
                <w:color w:val="auto"/>
              </w:rPr>
            </w:pPr>
          </w:p>
        </w:tc>
      </w:tr>
      <w:tr>
        <w:trPr>
          <w:trHeight w:val="149"/>
        </w:trPr>
        <w:tc>
          <w:tcPr>
            <w:tcW w:w="3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Buckthorn Holdings, LLC</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LLC</w:t>
            </w:r>
          </w:p>
        </w:tc>
        <w:tc>
          <w:tcPr>
            <w:tcW w:w="2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7"/>
                <w:szCs w:val="17"/>
                <w:b w:val="1"/>
                <w:bCs w:val="1"/>
                <w:color w:val="auto"/>
                <w:w w:val="92"/>
                <w:vertAlign w:val="subscript"/>
              </w:rPr>
              <w:t>LLC</w:t>
            </w:r>
            <w:r>
              <w:rPr>
                <w:rFonts w:ascii="Times New Roman" w:cs="Times New Roman" w:eastAsia="Times New Roman" w:hAnsi="Times New Roman"/>
                <w:sz w:val="8"/>
                <w:szCs w:val="8"/>
                <w:b w:val="1"/>
                <w:bCs w:val="1"/>
                <w:color w:val="auto"/>
                <w:w w:val="92"/>
              </w:rPr>
              <w:t xml:space="preserve"> (a)</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0"/>
                <w:szCs w:val="10"/>
                <w:b w:val="1"/>
                <w:bCs w:val="1"/>
                <w:color w:val="auto"/>
                <w:w w:val="94"/>
              </w:rPr>
              <w:t xml:space="preserve">Holdco LLC </w:t>
            </w:r>
            <w:r>
              <w:rPr>
                <w:rFonts w:ascii="Times New Roman" w:cs="Times New Roman" w:eastAsia="Times New Roman" w:hAnsi="Times New Roman"/>
                <w:sz w:val="16"/>
                <w:szCs w:val="16"/>
                <w:b w:val="1"/>
                <w:bCs w:val="1"/>
                <w:color w:val="auto"/>
                <w:w w:val="94"/>
                <w:vertAlign w:val="superscript"/>
              </w:rPr>
              <w:t>(c)</w:t>
            </w:r>
          </w:p>
        </w:tc>
        <w:tc>
          <w:tcPr>
            <w:tcW w:w="140" w:type="dxa"/>
            <w:vAlign w:val="bottom"/>
          </w:tcPr>
          <w:p>
            <w:pPr>
              <w:spacing w:after="0"/>
              <w:rPr>
                <w:sz w:val="12"/>
                <w:szCs w:val="12"/>
                <w:color w:val="auto"/>
              </w:rPr>
            </w:pPr>
          </w:p>
        </w:tc>
        <w:tc>
          <w:tcPr>
            <w:tcW w:w="1160" w:type="dxa"/>
            <w:vAlign w:val="bottom"/>
          </w:tcPr>
          <w:p>
            <w:pPr>
              <w:jc w:val="right"/>
              <w:ind w:right="214"/>
              <w:spacing w:after="0" w:line="148" w:lineRule="exact"/>
              <w:rPr>
                <w:sz w:val="20"/>
                <w:szCs w:val="20"/>
                <w:color w:val="auto"/>
              </w:rPr>
            </w:pPr>
            <w:r>
              <w:rPr>
                <w:rFonts w:ascii="Times New Roman" w:cs="Times New Roman" w:eastAsia="Times New Roman" w:hAnsi="Times New Roman"/>
                <w:sz w:val="10"/>
                <w:szCs w:val="10"/>
                <w:b w:val="1"/>
                <w:bCs w:val="1"/>
                <w:color w:val="auto"/>
              </w:rPr>
              <w:t xml:space="preserve">Holdco 2 LLC </w:t>
            </w:r>
            <w:r>
              <w:rPr>
                <w:rFonts w:ascii="Times New Roman" w:cs="Times New Roman" w:eastAsia="Times New Roman" w:hAnsi="Times New Roman"/>
                <w:sz w:val="16"/>
                <w:szCs w:val="16"/>
                <w:b w:val="1"/>
                <w:bCs w:val="1"/>
                <w:color w:val="auto"/>
                <w:vertAlign w:val="superscript"/>
              </w:rPr>
              <w:t>(d)</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71"/>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Daggett Renewable Holdco LLC consolidates Daggett TE Holdco LLC and Daggett 2 TE Holdco LLC, which are consolidated VIEs.</w:t>
      </w:r>
    </w:p>
    <w:p>
      <w:pPr>
        <w:spacing w:after="0" w:line="3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DGPV Funds is comprised of Clearway &amp; EFS Distributed Solar LLC, Golden Puma Fund LLC, Renew Solar CS4 Fund LLC and Chestnut Fund LLC, which are all tax equity funds.</w:t>
      </w:r>
    </w:p>
    <w:p>
      <w:pPr>
        <w:spacing w:after="0" w:line="24"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LLC consolidates Black Rock TE Holdco LLC and Mililani TE Holdco LLC, which are consolidated VIEs.</w:t>
      </w:r>
    </w:p>
    <w:p>
      <w:pPr>
        <w:spacing w:after="0" w:line="35"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2 LLC consolidates Mesquite Sky TE Holdco LLC, Mesquite Star Tax Equity Holdco LLC and TSN1 TE Holdco LLC, which are consolidated VIEs.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Oahu Solar LLC</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Rattlesnake TE Holdco LLC</w:t>
            </w: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Rosie TargetCo LLC</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 xml:space="preserve">VP-Arica TargetCo LLC </w:t>
            </w:r>
            <w:r>
              <w:rPr>
                <w:rFonts w:ascii="Times New Roman" w:cs="Times New Roman" w:eastAsia="Times New Roman" w:hAnsi="Times New Roman"/>
                <w:sz w:val="16"/>
                <w:szCs w:val="16"/>
                <w:b w:val="1"/>
                <w:bCs w:val="1"/>
                <w:color w:val="auto"/>
                <w:vertAlign w:val="superscript"/>
              </w:rPr>
              <w:t>(a)</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Wildorado TE Holdco LLC</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 xml:space="preserve">Other </w:t>
            </w:r>
            <w:r>
              <w:rPr>
                <w:rFonts w:ascii="Times New Roman" w:cs="Times New Roman" w:eastAsia="Times New Roman" w:hAnsi="Times New Roman"/>
                <w:sz w:val="16"/>
                <w:szCs w:val="16"/>
                <w:b w:val="1"/>
                <w:bCs w:val="1"/>
                <w:color w:val="auto"/>
                <w:vertAlign w:val="superscript"/>
              </w:rPr>
              <w:t>(b)</w:t>
            </w: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71"/>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7" w:lineRule="exact"/>
        <w:rPr>
          <w:sz w:val="20"/>
          <w:szCs w:val="20"/>
          <w:color w:val="auto"/>
        </w:rPr>
      </w:pPr>
    </w:p>
    <w:p>
      <w:pPr>
        <w:ind w:left="200" w:hanging="131"/>
        <w:spacing w:after="0"/>
        <w:tabs>
          <w:tab w:leader="none" w:pos="20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VP-Arica TargetCo LLC consolidates VP-Arica TE Holdco LLC, a consolidated VIE that owns the Victory Pass and Arica solar and BESS facilities.</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Other is comprised of Elbow Creek TE Holdco LLC, Langford TE Partnership LLC, Pinnacle Repowering TE Holdco LLC and the Spring Canyon facilities.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 xml:space="preserve">Note 5 — </w:t>
      </w:r>
      <w:r>
        <w:rPr>
          <w:rFonts w:ascii="Times New Roman" w:cs="Times New Roman" w:eastAsia="Times New Roman" w:hAnsi="Times New Roman"/>
          <w:sz w:val="14"/>
          <w:szCs w:val="14"/>
          <w:b w:val="1"/>
          <w:bCs w:val="1"/>
          <w:i w:val="1"/>
          <w:iCs w:val="1"/>
          <w:color w:val="auto"/>
        </w:rPr>
        <w:t>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13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amount and estimated fair value of the Company’s recorded financial instrument not carried at fair market value or that does not approximate fair value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As of September 30, 2024</w:t>
            </w:r>
          </w:p>
        </w:tc>
        <w:tc>
          <w:tcPr>
            <w:tcW w:w="2360" w:type="dxa"/>
            <w:vAlign w:val="bottom"/>
            <w:gridSpan w:val="3"/>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9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300" w:type="dxa"/>
            <w:vAlign w:val="bottom"/>
            <w:gridSpan w:val="4"/>
          </w:tcPr>
          <w:p>
            <w:pPr>
              <w:jc w:val="right"/>
              <w:ind w:right="9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including current portion — affiliate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Long-term debt, including current portion — external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21"/>
                <w:szCs w:val="21"/>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7,201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8,102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138811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64" w:lineRule="exact"/>
        <w:rPr>
          <w:sz w:val="20"/>
          <w:szCs w:val="20"/>
          <w:color w:val="auto"/>
        </w:rPr>
      </w:pPr>
    </w:p>
    <w:p>
      <w:pPr>
        <w:ind w:left="200" w:hanging="131"/>
        <w:spacing w:after="0"/>
        <w:tabs>
          <w:tab w:leader="none" w:pos="20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Excludes net debt issuance costs, which are recorded as a reduction to long-term debt on the Company’s consolidated balance sheets.</w:t>
      </w:r>
    </w:p>
    <w:p>
      <w:pPr>
        <w:spacing w:after="0" w:line="12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As of September 30, 2024</w:t>
            </w:r>
          </w:p>
        </w:tc>
        <w:tc>
          <w:tcPr>
            <w:tcW w:w="340" w:type="dxa"/>
            <w:vAlign w:val="bottom"/>
          </w:tcPr>
          <w:p>
            <w:pPr>
              <w:spacing w:after="0"/>
              <w:rPr>
                <w:sz w:val="13"/>
                <w:szCs w:val="13"/>
                <w:color w:val="auto"/>
              </w:rPr>
            </w:pPr>
          </w:p>
        </w:tc>
        <w:tc>
          <w:tcPr>
            <w:tcW w:w="21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2,002</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1,940</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As of September 30, 2024</w:t>
            </w:r>
          </w:p>
        </w:tc>
        <w:tc>
          <w:tcPr>
            <w:tcW w:w="32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9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3"/>
          </w:tcPr>
          <w:p>
            <w:pPr>
              <w:jc w:val="right"/>
              <w:ind w:right="4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10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960" w:type="dxa"/>
            <w:vAlign w:val="bottom"/>
            <w:tcBorders>
              <w:top w:val="single" w:sz="8" w:color="auto"/>
              <w:bottom w:val="single" w:sz="8" w:color="auto"/>
            </w:tcBorders>
            <w:gridSpan w:val="3"/>
          </w:tcPr>
          <w:p>
            <w:pPr>
              <w:jc w:val="right"/>
              <w:ind w:right="24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100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1240" w:type="dxa"/>
            <w:vAlign w:val="bottom"/>
            <w:gridSpan w:val="2"/>
          </w:tcPr>
          <w:p>
            <w:pPr>
              <w:ind w:left="20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400" w:type="dxa"/>
            <w:vAlign w:val="bottom"/>
          </w:tcPr>
          <w:p>
            <w:pPr>
              <w:spacing w:after="0"/>
              <w:rPr>
                <w:sz w:val="13"/>
                <w:szCs w:val="13"/>
                <w:color w:val="auto"/>
              </w:rPr>
            </w:pPr>
          </w:p>
        </w:tc>
        <w:tc>
          <w:tcPr>
            <w:tcW w:w="102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ind w:left="24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600" w:type="dxa"/>
            <w:vAlign w:val="bottom"/>
          </w:tcPr>
          <w:p>
            <w:pPr>
              <w:spacing w:after="0"/>
              <w:rPr>
                <w:sz w:val="13"/>
                <w:szCs w:val="13"/>
                <w:color w:val="auto"/>
              </w:rPr>
            </w:pPr>
          </w:p>
        </w:tc>
        <w:tc>
          <w:tcPr>
            <w:tcW w:w="100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(c)</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Other financial instruments </w:t>
            </w:r>
            <w:r>
              <w:rPr>
                <w:rFonts w:ascii="Times New Roman" w:cs="Times New Roman" w:eastAsia="Times New Roman" w:hAnsi="Times New Roman"/>
                <w:sz w:val="18"/>
                <w:szCs w:val="18"/>
                <w:b w:val="1"/>
                <w:bCs w:val="1"/>
                <w:color w:val="auto"/>
                <w:vertAlign w:val="superscript"/>
              </w:rPr>
              <w:t>(d)</w:t>
            </w:r>
          </w:p>
        </w:tc>
        <w:tc>
          <w:tcPr>
            <w:tcW w:w="2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80"/>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There were no derivative assets or liabilities classified as Level 1 as of September 30, 2024 and December 31, 2023.</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The Company’s interest rate swaps are measured at fair value using an income approach, which uses readily observable inputs, such as forward interest rates (e.g., SOFR) and contractual terms to estimate fair value.</w:t>
      </w:r>
    </w:p>
    <w:p>
      <w:pPr>
        <w:spacing w:after="0" w:line="39" w:lineRule="exact"/>
        <w:rPr>
          <w:rFonts w:ascii="Times New Roman" w:cs="Times New Roman" w:eastAsia="Times New Roman" w:hAnsi="Times New Roman"/>
          <w:sz w:val="16"/>
          <w:szCs w:val="16"/>
          <w:color w:val="auto"/>
          <w:vertAlign w:val="superscript"/>
        </w:rPr>
      </w:pPr>
    </w:p>
    <w:p>
      <w:pPr>
        <w:ind w:left="200" w:hanging="131"/>
        <w:spacing w:after="0" w:line="185" w:lineRule="auto"/>
        <w:tabs>
          <w:tab w:leader="none" w:pos="20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Includes long-term backbone transportation service contracts classified as Level 2 and short-term heat rate call option contracts classified as Level 3.</w:t>
      </w:r>
    </w:p>
    <w:p>
      <w:pPr>
        <w:spacing w:after="0" w:line="4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SREC contract.</w:t>
      </w:r>
    </w:p>
    <w:p>
      <w:pPr>
        <w:spacing w:after="0" w:line="50" w:lineRule="exact"/>
        <w:rPr>
          <w:rFonts w:ascii="Times New Roman" w:cs="Times New Roman" w:eastAsia="Times New Roman" w:hAnsi="Times New Roman"/>
          <w:sz w:val="16"/>
          <w:szCs w:val="16"/>
          <w:color w:val="auto"/>
          <w:vertAlign w:val="superscript"/>
        </w:rPr>
      </w:pPr>
    </w:p>
    <w:p>
      <w:pPr>
        <w:ind w:left="60" w:firstLine="9"/>
        <w:spacing w:after="0" w:line="231" w:lineRule="auto"/>
        <w:tabs>
          <w:tab w:leader="none" w:pos="194"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long-term backbone transportation contracts classified as Level 2 and long-term power commodity contracts and short-term heat rate call option contracts classified as Level 3. As of September 30, 2024 and December 31, 2023, Level 3 amounts include $326 million and $325 million related to long-term power commodity contracts and zero and $5 million related to short-term heat rate call option contracts, respectively.</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40" w:type="dxa"/>
            <w:vAlign w:val="bottom"/>
          </w:tcPr>
          <w:p>
            <w:pPr>
              <w:spacing w:after="0"/>
              <w:rPr>
                <w:sz w:val="13"/>
                <w:szCs w:val="13"/>
                <w:color w:val="auto"/>
              </w:rPr>
            </w:pPr>
          </w:p>
        </w:tc>
        <w:tc>
          <w:tcPr>
            <w:tcW w:w="2400" w:type="dxa"/>
            <w:vAlign w:val="bottom"/>
            <w:tcBorders>
              <w:bottom w:val="single" w:sz="8" w:color="auto"/>
            </w:tcBorders>
            <w:gridSpan w:val="4"/>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center"/>
              <w:ind w:right="272"/>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54"/>
        </w:trPr>
        <w:tc>
          <w:tcPr>
            <w:tcW w:w="5340" w:type="dxa"/>
            <w:vAlign w:val="bottom"/>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02"/>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40" w:type="dxa"/>
            <w:vAlign w:val="bottom"/>
            <w:gridSpan w:val="5"/>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Fair Value Measurement Using Significant Unobservable</w:t>
            </w:r>
          </w:p>
        </w:tc>
        <w:tc>
          <w:tcPr>
            <w:tcW w:w="100" w:type="dxa"/>
            <w:vAlign w:val="bottom"/>
          </w:tcPr>
          <w:p>
            <w:pPr>
              <w:spacing w:after="0"/>
              <w:rPr>
                <w:sz w:val="8"/>
                <w:szCs w:val="8"/>
                <w:color w:val="auto"/>
              </w:rPr>
            </w:pPr>
          </w:p>
        </w:tc>
        <w:tc>
          <w:tcPr>
            <w:tcW w:w="2880" w:type="dxa"/>
            <w:vAlign w:val="bottom"/>
            <w:gridSpan w:val="5"/>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Fair Value Measurement Using Significant Unobservable</w:t>
            </w:r>
          </w:p>
        </w:tc>
        <w:tc>
          <w:tcPr>
            <w:tcW w:w="0" w:type="dxa"/>
            <w:vAlign w:val="bottom"/>
          </w:tcPr>
          <w:p>
            <w:pPr>
              <w:spacing w:after="0"/>
              <w:rPr>
                <w:sz w:val="1"/>
                <w:szCs w:val="1"/>
                <w:color w:val="auto"/>
              </w:rPr>
            </w:pPr>
          </w:p>
        </w:tc>
      </w:tr>
      <w:tr>
        <w:trPr>
          <w:trHeight w:val="154"/>
        </w:trPr>
        <w:tc>
          <w:tcPr>
            <w:tcW w:w="5340" w:type="dxa"/>
            <w:vAlign w:val="bottom"/>
            <w:tcBorders>
              <w:bottom w:val="single" w:sz="8" w:color="CCEEFF"/>
            </w:tcBorders>
            <w:vMerge w:val="continue"/>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right="414"/>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gains (losses) for the period included in earnings</w:t>
            </w:r>
          </w:p>
        </w:tc>
        <w:tc>
          <w:tcPr>
            <w:tcW w:w="9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5340" w:type="dxa"/>
            <w:vAlign w:val="bottom"/>
            <w:shd w:val="clear" w:color="auto" w:fill="CCEEFF"/>
          </w:tcPr>
          <w:p>
            <w:pPr>
              <w:ind w:left="120"/>
              <w:spacing w:after="0" w:line="100" w:lineRule="exact"/>
              <w:rPr>
                <w:sz w:val="20"/>
                <w:szCs w:val="20"/>
                <w:color w:val="auto"/>
              </w:rPr>
            </w:pPr>
            <w:r>
              <w:rPr>
                <w:rFonts w:ascii="Times New Roman" w:cs="Times New Roman" w:eastAsia="Times New Roman" w:hAnsi="Times New Roman"/>
                <w:sz w:val="11"/>
                <w:szCs w:val="11"/>
                <w:color w:val="auto"/>
              </w:rPr>
              <w:t>Change in unrealized gains included in earnings for derivatives and other financial</w:t>
            </w:r>
          </w:p>
        </w:tc>
        <w:tc>
          <w:tcPr>
            <w:tcW w:w="9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instruments held as of September 30, 2024</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September 30, 2024, contracts valued with prices provided by models and other valuation techniques make up 7% of derivative assets and 99% of derivative liabilities and other financial instruments.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significant positions classified as Level 3 include physical and financial energy-related commodity contracts executed in illiquid markets. The significant unobservable inputs used in developing fair value include illiquid power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2" w:name="page23"/>
    <w:bookmarkEnd w:id="22"/>
    <w:p>
      <w:pPr>
        <w:jc w:val="both"/>
        <w:spacing w:after="0" w:line="287" w:lineRule="auto"/>
        <w:rPr>
          <w:sz w:val="20"/>
          <w:szCs w:val="20"/>
          <w:color w:val="auto"/>
        </w:rPr>
      </w:pPr>
      <w:r>
        <w:rPr>
          <w:rFonts w:ascii="Times New Roman" w:cs="Times New Roman" w:eastAsia="Times New Roman" w:hAnsi="Times New Roman"/>
          <w:sz w:val="14"/>
          <w:szCs w:val="14"/>
          <w:color w:val="auto"/>
        </w:rPr>
        <w:t>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quantifies the significant unobservable inputs used in developing the fair value of the Company’s Level 3 positions:</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Input/Range</w:t>
            </w:r>
          </w:p>
        </w:tc>
        <w:tc>
          <w:tcPr>
            <w:tcW w:w="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300" w:type="dxa"/>
            <w:vAlign w:val="bottom"/>
          </w:tcPr>
          <w:p>
            <w:pPr>
              <w:spacing w:after="0"/>
              <w:rPr>
                <w:sz w:val="11"/>
                <w:szCs w:val="11"/>
                <w:color w:val="auto"/>
              </w:rPr>
            </w:pPr>
          </w:p>
        </w:tc>
        <w:tc>
          <w:tcPr>
            <w:tcW w:w="102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Low</w:t>
            </w:r>
          </w:p>
        </w:tc>
        <w:tc>
          <w:tcPr>
            <w:tcW w:w="160" w:type="dxa"/>
            <w:vAlign w:val="bottom"/>
          </w:tcPr>
          <w:p>
            <w:pPr>
              <w:spacing w:after="0"/>
              <w:rPr>
                <w:sz w:val="11"/>
                <w:szCs w:val="11"/>
                <w:color w:val="auto"/>
              </w:rPr>
            </w:pPr>
          </w:p>
        </w:tc>
        <w:tc>
          <w:tcPr>
            <w:tcW w:w="11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1"/>
                <w:szCs w:val="11"/>
                <w:color w:val="auto"/>
              </w:rPr>
            </w:pPr>
          </w:p>
        </w:tc>
        <w:tc>
          <w:tcPr>
            <w:tcW w:w="12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Long-term Power Commodity Contracts </w:t>
            </w: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326</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19.67</w:t>
            </w: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41.94</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auto"/>
              </w:rPr>
              <w:t>7</w:t>
            </w:r>
          </w:p>
        </w:tc>
        <w:tc>
          <w:tcPr>
            <w:tcW w:w="9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Option Model</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(33.90)</w:t>
            </w:r>
          </w:p>
        </w:tc>
        <w:tc>
          <w:tcPr>
            <w:tcW w:w="1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1,083.78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56.23</w:t>
            </w:r>
          </w:p>
        </w:tc>
        <w:tc>
          <w:tcPr>
            <w:tcW w:w="0" w:type="dxa"/>
            <w:vAlign w:val="bottom"/>
          </w:tcPr>
          <w:p>
            <w:pPr>
              <w:spacing w:after="0"/>
              <w:rPr>
                <w:sz w:val="1"/>
                <w:szCs w:val="1"/>
                <w:color w:val="auto"/>
              </w:rPr>
            </w:pPr>
          </w:p>
        </w:tc>
      </w:tr>
      <w:tr>
        <w:trPr>
          <w:trHeight w:val="16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10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46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Option Model</w:t>
            </w:r>
          </w:p>
        </w:tc>
        <w:tc>
          <w:tcPr>
            <w:tcW w:w="1480" w:type="dxa"/>
            <w:vAlign w:val="bottom"/>
            <w:vMerge w:val="continue"/>
          </w:tcPr>
          <w:p>
            <w:pPr>
              <w:spacing w:after="0"/>
              <w:rPr>
                <w:sz w:val="6"/>
                <w:szCs w:val="6"/>
                <w:color w:val="auto"/>
              </w:rPr>
            </w:pPr>
          </w:p>
        </w:tc>
        <w:tc>
          <w:tcPr>
            <w:tcW w:w="30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MMBtu)</w:t>
            </w: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Forecast annual generation</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106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10</w:t>
            </w:r>
          </w:p>
        </w:tc>
        <w:tc>
          <w:tcPr>
            <w:tcW w:w="9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8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levels of certain DG solar</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59,425 MWh</w:t>
            </w:r>
          </w:p>
        </w:tc>
        <w:tc>
          <w:tcPr>
            <w:tcW w:w="1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118,850 MWh</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111,091 MWh</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the impact on the fair value measurements to increases/(decreases) in significant unobservable inputs as of September 30,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306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2200" w:type="dxa"/>
            <w:vAlign w:val="bottom"/>
            <w:vMerge w:val="restart"/>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Change In Input</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Impact on Fair Value</w:t>
            </w:r>
          </w:p>
        </w:tc>
        <w:tc>
          <w:tcPr>
            <w:tcW w:w="0" w:type="dxa"/>
            <w:vAlign w:val="bottom"/>
          </w:tcPr>
          <w:p>
            <w:pPr>
              <w:spacing w:after="0"/>
              <w:rPr>
                <w:sz w:val="1"/>
                <w:szCs w:val="1"/>
                <w:color w:val="auto"/>
              </w:rPr>
            </w:pPr>
          </w:p>
        </w:tc>
      </w:tr>
      <w:tr>
        <w:trPr>
          <w:trHeight w:val="191"/>
        </w:trPr>
        <w:tc>
          <w:tcPr>
            <w:tcW w:w="212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Energy-Related Commodity</w:t>
            </w:r>
          </w:p>
        </w:tc>
        <w:tc>
          <w:tcPr>
            <w:tcW w:w="30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306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Forward Market Price Power</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w:t>
            </w:r>
          </w:p>
        </w:tc>
        <w:tc>
          <w:tcPr>
            <w:tcW w:w="220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Increase/(Decrease)</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Lower/(Higher)</w:t>
            </w:r>
          </w:p>
        </w:tc>
        <w:tc>
          <w:tcPr>
            <w:tcW w:w="0" w:type="dxa"/>
            <w:vAlign w:val="bottom"/>
          </w:tcPr>
          <w:p>
            <w:pPr>
              <w:spacing w:after="0"/>
              <w:rPr>
                <w:sz w:val="1"/>
                <w:szCs w:val="1"/>
                <w:color w:val="auto"/>
              </w:rPr>
            </w:pPr>
          </w:p>
        </w:tc>
      </w:tr>
      <w:tr>
        <w:trPr>
          <w:trHeight w:val="138"/>
        </w:trPr>
        <w:tc>
          <w:tcPr>
            <w:tcW w:w="21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Energy-Related Commodity</w:t>
            </w:r>
          </w:p>
        </w:tc>
        <w:tc>
          <w:tcPr>
            <w:tcW w:w="30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306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Forward Market Price Gas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w:t>
            </w:r>
          </w:p>
        </w:tc>
        <w:tc>
          <w:tcPr>
            <w:tcW w:w="22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Increase/(Decrease)</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Higher/(Lower)</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Financial Instruments</w:t>
            </w:r>
          </w:p>
        </w:tc>
        <w:tc>
          <w:tcPr>
            <w:tcW w:w="306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Forecast Generation Levels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w:t>
            </w:r>
          </w:p>
        </w:tc>
        <w:tc>
          <w:tcPr>
            <w:tcW w:w="220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Increase/(Decrease)</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Higher/(Lower)</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2024, the non-performance reserve was a $17 million gain recorded primarily to total operating revenues in the consolidated statements of income. It is possible that future market prices could vary from those used in recording assets and liabilities and such variations could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under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w:t>
      </w:r>
      <w:r>
        <w:rPr>
          <w:rFonts w:ascii="Times New Roman" w:cs="Times New Roman" w:eastAsia="Times New Roman" w:hAnsi="Times New Roman"/>
          <w:sz w:val="14"/>
          <w:szCs w:val="14"/>
          <w:color w:val="auto"/>
        </w:rPr>
        <w:t xml:space="preserve"> consolidated financial statements included in the </w:t>
      </w:r>
      <w:r>
        <w:rPr>
          <w:rFonts w:ascii="Times New Roman" w:cs="Times New Roman" w:eastAsia="Times New Roman" w:hAnsi="Times New Roman"/>
          <w:sz w:val="14"/>
          <w:szCs w:val="14"/>
          <w:color w:val="231F20"/>
        </w:rPr>
        <w:t>Company’s</w:t>
      </w:r>
      <w:r>
        <w:rPr>
          <w:rFonts w:ascii="Times New Roman" w:cs="Times New Roman" w:eastAsia="Times New Roman" w:hAnsi="Times New Roman"/>
          <w:sz w:val="14"/>
          <w:szCs w:val="14"/>
          <w:color w:val="auto"/>
        </w:rPr>
        <w:t xml:space="preserve"> 2023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6 — </w:t>
      </w:r>
      <w:r>
        <w:rPr>
          <w:rFonts w:ascii="Times New Roman" w:cs="Times New Roman" w:eastAsia="Times New Roman" w:hAnsi="Times New Roman"/>
          <w:sz w:val="14"/>
          <w:szCs w:val="14"/>
          <w:b w:val="1"/>
          <w:bCs w:val="1"/>
          <w:i w:val="1"/>
          <w:iCs w:val="1"/>
          <w:color w:val="auto"/>
        </w:rPr>
        <w:t>Derivative Instruments and Hedging Activities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This footnote should be read in conjunction with the complete description under Item 15 — Note 7, </w:t>
      </w:r>
      <w:r>
        <w:rPr>
          <w:rFonts w:ascii="Times New Roman" w:cs="Times New Roman" w:eastAsia="Times New Roman" w:hAnsi="Times New Roman"/>
          <w:sz w:val="14"/>
          <w:szCs w:val="14"/>
          <w:i w:val="1"/>
          <w:iCs w:val="1"/>
          <w:color w:val="auto"/>
        </w:rPr>
        <w:t>Accounting for Derivative Instruments and Hedging Activities</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statements included in the Company’s </w:t>
      </w:r>
      <w:r>
        <w:rPr>
          <w:rFonts w:ascii="Times New Roman" w:cs="Times New Roman" w:eastAsia="Times New Roman" w:hAnsi="Times New Roman"/>
          <w:sz w:val="14"/>
          <w:szCs w:val="14"/>
          <w:color w:val="000000"/>
        </w:rPr>
        <w:t>2023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As of September 30, 2024,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Commodity Contracts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September 30, 2024, the Company had energy-related derivative instruments extending through 2033. At September 30, 2024, these contracts were not designated as cash flow or fair value hedges.</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Volumetric Underlying Derivative Transactions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8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17"/>
        </w:trPr>
        <w:tc>
          <w:tcPr>
            <w:tcW w:w="20" w:type="dxa"/>
            <w:vAlign w:val="bottom"/>
          </w:tcPr>
          <w:p>
            <w:pPr>
              <w:spacing w:after="0"/>
              <w:rPr>
                <w:sz w:val="10"/>
                <w:szCs w:val="10"/>
                <w:color w:val="auto"/>
              </w:rPr>
            </w:pPr>
          </w:p>
        </w:tc>
        <w:tc>
          <w:tcPr>
            <w:tcW w:w="28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2680" w:type="dxa"/>
            <w:vAlign w:val="bottom"/>
            <w:gridSpan w:val="3"/>
          </w:tcPr>
          <w:p>
            <w:pPr>
              <w:ind w:left="2220"/>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19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60" w:type="dxa"/>
            <w:vAlign w:val="bottom"/>
            <w:gridSpan w:val="2"/>
          </w:tcPr>
          <w:p>
            <w:pPr>
              <w:ind w:left="160"/>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w:t>
            </w:r>
          </w:p>
        </w:tc>
        <w:tc>
          <w:tcPr>
            <w:tcW w:w="2680" w:type="dxa"/>
            <w:vAlign w:val="bottom"/>
            <w:gridSpan w:val="3"/>
            <w:shd w:val="clear" w:color="auto" w:fill="CCEEFF"/>
          </w:tcPr>
          <w:p>
            <w:pPr>
              <w:ind w:left="2220"/>
              <w:spacing w:after="0"/>
              <w:rPr>
                <w:sz w:val="20"/>
                <w:szCs w:val="20"/>
                <w:color w:val="auto"/>
              </w:rPr>
            </w:pPr>
            <w:r>
              <w:rPr>
                <w:rFonts w:ascii="Times New Roman" w:cs="Times New Roman" w:eastAsia="Times New Roman" w:hAnsi="Times New Roman"/>
                <w:sz w:val="14"/>
                <w:szCs w:val="14"/>
                <w:color w:val="auto"/>
              </w:rPr>
              <w:t>MWh</w:t>
            </w:r>
          </w:p>
        </w:tc>
        <w:tc>
          <w:tcPr>
            <w:tcW w:w="19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(18)</w:t>
            </w: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Gas</w:t>
            </w:r>
          </w:p>
        </w:tc>
        <w:tc>
          <w:tcPr>
            <w:tcW w:w="26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w w:val="97"/>
              </w:rPr>
              <w:t>MMBtu</w:t>
            </w:r>
          </w:p>
        </w:tc>
        <w:tc>
          <w:tcPr>
            <w:tcW w:w="1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13</w:t>
            </w: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2680" w:type="dxa"/>
            <w:vAlign w:val="bottom"/>
            <w:gridSpan w:val="3"/>
            <w:shd w:val="clear" w:color="auto" w:fill="CCEEFF"/>
          </w:tcPr>
          <w:p>
            <w:pPr>
              <w:ind w:left="2220"/>
              <w:spacing w:after="0"/>
              <w:rPr>
                <w:sz w:val="20"/>
                <w:szCs w:val="20"/>
                <w:color w:val="auto"/>
              </w:rPr>
            </w:pPr>
            <w:r>
              <w:rPr>
                <w:rFonts w:ascii="Times New Roman" w:cs="Times New Roman" w:eastAsia="Times New Roman" w:hAnsi="Times New Roman"/>
                <w:sz w:val="14"/>
                <w:szCs w:val="14"/>
                <w:color w:val="auto"/>
              </w:rPr>
              <w:t>Dollars</w:t>
            </w:r>
          </w:p>
        </w:tc>
        <w:tc>
          <w:tcPr>
            <w:tcW w:w="3360" w:type="dxa"/>
            <w:vAlign w:val="bottom"/>
            <w:gridSpan w:val="2"/>
            <w:shd w:val="clear" w:color="auto" w:fill="CCEEFF"/>
          </w:tcPr>
          <w:p>
            <w:pPr>
              <w:jc w:val="right"/>
              <w:ind w:right="128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1,711</w:t>
            </w:r>
          </w:p>
        </w:tc>
        <w:tc>
          <w:tcPr>
            <w:tcW w:w="4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r>
      <w:tr>
        <w:trPr>
          <w:trHeight w:val="80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jc w:val="right"/>
              <w:ind w:right="1709"/>
              <w:spacing w:after="0"/>
              <w:rPr>
                <w:sz w:val="20"/>
                <w:szCs w:val="20"/>
                <w:color w:val="auto"/>
              </w:rPr>
            </w:pPr>
            <w:r>
              <w:rPr>
                <w:rFonts w:ascii="Times New Roman" w:cs="Times New Roman" w:eastAsia="Times New Roman" w:hAnsi="Times New Roman"/>
                <w:sz w:val="14"/>
                <w:szCs w:val="14"/>
                <w:color w:val="auto"/>
                <w:w w:val="85"/>
              </w:rPr>
              <w:t>24</w:t>
            </w: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Derivative Instruments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6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4"/>
        </w:trPr>
        <w:tc>
          <w:tcPr>
            <w:tcW w:w="4660" w:type="dxa"/>
            <w:vAlign w:val="bottom"/>
          </w:tcPr>
          <w:p>
            <w:pPr>
              <w:spacing w:after="0"/>
              <w:rPr>
                <w:sz w:val="13"/>
                <w:szCs w:val="13"/>
                <w:color w:val="auto"/>
              </w:rPr>
            </w:pPr>
          </w:p>
        </w:tc>
        <w:tc>
          <w:tcPr>
            <w:tcW w:w="294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1071"/>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r>
      <w:tr>
        <w:trPr>
          <w:trHeight w:val="150"/>
        </w:trPr>
        <w:tc>
          <w:tcPr>
            <w:tcW w:w="4660" w:type="dxa"/>
            <w:vAlign w:val="bottom"/>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0"/>
        </w:trPr>
        <w:tc>
          <w:tcPr>
            <w:tcW w:w="4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80"/>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300" w:type="dxa"/>
            <w:vAlign w:val="bottom"/>
          </w:tcPr>
          <w:p>
            <w:pPr>
              <w:jc w:val="right"/>
              <w:ind w:right="11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3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1300" w:type="dxa"/>
            <w:vAlign w:val="bottom"/>
            <w:tcBorders>
              <w:bottom w:val="single" w:sz="8" w:color="auto"/>
            </w:tcBorders>
          </w:tcPr>
          <w:p>
            <w:pPr>
              <w:jc w:val="right"/>
              <w:ind w:right="11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1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80"/>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300" w:type="dxa"/>
            <w:vAlign w:val="bottom"/>
          </w:tcPr>
          <w:p>
            <w:pPr>
              <w:jc w:val="right"/>
              <w:ind w:right="11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current</w:t>
            </w:r>
          </w:p>
        </w:tc>
        <w:tc>
          <w:tcPr>
            <w:tcW w:w="13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long-term</w:t>
            </w:r>
          </w:p>
        </w:tc>
        <w:tc>
          <w:tcPr>
            <w:tcW w:w="13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7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1300" w:type="dxa"/>
            <w:vAlign w:val="bottom"/>
            <w:tcBorders>
              <w:top w:val="single" w:sz="8" w:color="auto"/>
              <w:bottom w:val="single" w:sz="8" w:color="auto"/>
            </w:tcBorders>
          </w:tcPr>
          <w:p>
            <w:pPr>
              <w:jc w:val="right"/>
              <w:ind w:right="11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30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September 30, 2024 and December 31, 2023, the amount of outstanding collateral paid or received was immaterial.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gridSpan w:val="5"/>
          </w:tcPr>
          <w:p>
            <w:pPr>
              <w:jc w:val="center"/>
              <w:ind w:left="1151"/>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6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24"/>
        </w:trPr>
        <w:tc>
          <w:tcPr>
            <w:tcW w:w="4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5"/>
          </w:tcPr>
          <w:p>
            <w:pPr>
              <w:jc w:val="center"/>
              <w:ind w:left="1151"/>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6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jc w:val="right"/>
              <w:ind w:right="1131"/>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45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OCI balance attributable to interest rate swaps designated as cash flow hedge derivatives: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380" w:type="dxa"/>
            <w:vAlign w:val="bottom"/>
            <w:tcBorders>
              <w:bottom w:val="single" w:sz="8" w:color="auto"/>
            </w:tcBorders>
          </w:tcPr>
          <w:p>
            <w:pPr>
              <w:spacing w:after="0"/>
              <w:rPr>
                <w:sz w:val="13"/>
                <w:szCs w:val="13"/>
                <w:color w:val="auto"/>
              </w:rPr>
            </w:pPr>
          </w:p>
        </w:tc>
      </w:tr>
      <w:tr>
        <w:trPr>
          <w:trHeight w:val="154"/>
        </w:trPr>
        <w:tc>
          <w:tcPr>
            <w:tcW w:w="5400" w:type="dxa"/>
            <w:vAlign w:val="bottom"/>
          </w:tcPr>
          <w:p>
            <w:pPr>
              <w:spacing w:after="0"/>
              <w:rPr>
                <w:sz w:val="13"/>
                <w:szCs w:val="13"/>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bottom w:val="single" w:sz="8" w:color="auto"/>
            </w:tcBorders>
          </w:tcPr>
          <w:p>
            <w:pPr>
              <w:spacing w:after="0"/>
              <w:rPr>
                <w:sz w:val="13"/>
                <w:szCs w:val="13"/>
                <w:color w:val="auto"/>
              </w:rPr>
            </w:pPr>
          </w:p>
        </w:tc>
      </w:tr>
      <w:tr>
        <w:trPr>
          <w:trHeight w:val="150"/>
        </w:trPr>
        <w:tc>
          <w:tcPr>
            <w:tcW w:w="5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beginning balance</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27</w:t>
            </w:r>
          </w:p>
        </w:tc>
      </w:tr>
      <w:tr>
        <w:trPr>
          <w:trHeight w:val="138"/>
        </w:trPr>
        <w:tc>
          <w:tcPr>
            <w:tcW w:w="5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Reclassified from accumulated OCI to income due to realization of previously deferred</w:t>
            </w: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91"/>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amounts</w:t>
            </w: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(3)</w:t>
            </w:r>
          </w:p>
        </w:tc>
      </w:tr>
      <w:tr>
        <w:trPr>
          <w:trHeight w:val="181"/>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9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OCI ending balance</w:t>
            </w: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36</w:t>
            </w:r>
          </w:p>
        </w:tc>
      </w:tr>
      <w:tr>
        <w:trPr>
          <w:trHeight w:val="171"/>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OCI attributable to noncontrolling interests</w:t>
            </w:r>
          </w:p>
        </w:tc>
        <w:tc>
          <w:tcPr>
            <w:tcW w:w="9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w:t>
            </w:r>
          </w:p>
        </w:tc>
      </w:tr>
      <w:tr>
        <w:trPr>
          <w:trHeight w:val="171"/>
        </w:trPr>
        <w:tc>
          <w:tcPr>
            <w:tcW w:w="5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OCI attributable to Clearway Energy LLC</w:t>
            </w:r>
          </w:p>
        </w:tc>
        <w:tc>
          <w:tcPr>
            <w:tcW w:w="9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6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expected to be realized from OCI during the next 12 months</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Amounts reclassified from accumulated OCI into income are recorded to interest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Income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Mark-to-market gains/(losses) related to the Company’s derivatives are recorded in the consolidated statements of income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24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5400" w:type="dxa"/>
            <w:vAlign w:val="bottom"/>
          </w:tcPr>
          <w:p>
            <w:pPr>
              <w:spacing w:after="0"/>
              <w:rPr>
                <w:sz w:val="13"/>
                <w:szCs w:val="13"/>
                <w:color w:val="auto"/>
              </w:rPr>
            </w:pPr>
          </w:p>
        </w:tc>
        <w:tc>
          <w:tcPr>
            <w:tcW w:w="9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9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4"/>
                <w:szCs w:val="14"/>
                <w:color w:val="242424"/>
                <w:w w:val="85"/>
              </w:rPr>
              <w:t>$</w:t>
            </w:r>
          </w:p>
        </w:tc>
        <w:tc>
          <w:tcPr>
            <w:tcW w:w="46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242424"/>
              </w:rPr>
              <w:t>(57)</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242424"/>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242424"/>
              </w:rPr>
              <w:t>(33)</w:t>
            </w:r>
          </w:p>
        </w:tc>
        <w:tc>
          <w:tcPr>
            <w:tcW w:w="3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38"/>
        </w:trPr>
        <w:tc>
          <w:tcPr>
            <w:tcW w:w="5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Energy-Related Commodity Contracts (Mark-to-market for economic hedging activities</w:t>
            </w: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91"/>
        </w:trPr>
        <w:tc>
          <w:tcPr>
            <w:tcW w:w="5400" w:type="dxa"/>
            <w:vAlign w:val="bottom"/>
          </w:tcPr>
          <w:p>
            <w:pPr>
              <w:ind w:left="140"/>
              <w:spacing w:after="0" w:line="191" w:lineRule="exact"/>
              <w:rPr>
                <w:sz w:val="20"/>
                <w:szCs w:val="20"/>
                <w:color w:val="auto"/>
              </w:rPr>
            </w:pPr>
            <w:r>
              <w:rPr>
                <w:rFonts w:ascii="Times New Roman" w:cs="Times New Roman" w:eastAsia="Times New Roman" w:hAnsi="Times New Roman"/>
                <w:sz w:val="14"/>
                <w:szCs w:val="14"/>
                <w:color w:val="auto"/>
              </w:rPr>
              <w:t xml:space="preserve">included in Total operating revenues) </w:t>
            </w:r>
            <w:r>
              <w:rPr>
                <w:rFonts w:ascii="Times New Roman" w:cs="Times New Roman" w:eastAsia="Times New Roman" w:hAnsi="Times New Roman"/>
                <w:sz w:val="18"/>
                <w:szCs w:val="18"/>
                <w:color w:val="auto"/>
                <w:vertAlign w:val="superscript"/>
              </w:rPr>
              <w:t>(a)</w:t>
            </w:r>
          </w:p>
        </w:tc>
        <w:tc>
          <w:tcPr>
            <w:tcW w:w="980" w:type="dxa"/>
            <w:vAlign w:val="bottom"/>
          </w:tcPr>
          <w:p>
            <w:pPr>
              <w:spacing w:after="0"/>
              <w:rPr>
                <w:sz w:val="16"/>
                <w:szCs w:val="16"/>
                <w:color w:val="auto"/>
              </w:rPr>
            </w:pPr>
          </w:p>
        </w:tc>
        <w:tc>
          <w:tcPr>
            <w:tcW w:w="4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242424"/>
                <w:w w:val="99"/>
              </w:rPr>
              <w:t>72</w:t>
            </w: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242424"/>
              </w:rPr>
              <w:t>11</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38"/>
        </w:trPr>
        <w:tc>
          <w:tcPr>
            <w:tcW w:w="54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Energy-Related Commodity Contracts (Mark-to-market for economic hedging activities</w:t>
            </w: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91"/>
        </w:trPr>
        <w:tc>
          <w:tcPr>
            <w:tcW w:w="54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4"/>
                <w:szCs w:val="14"/>
                <w:color w:val="auto"/>
              </w:rPr>
              <w:t xml:space="preserve">included in Cost of operations) </w:t>
            </w:r>
            <w:r>
              <w:rPr>
                <w:rFonts w:ascii="Times New Roman" w:cs="Times New Roman" w:eastAsia="Times New Roman" w:hAnsi="Times New Roman"/>
                <w:sz w:val="18"/>
                <w:szCs w:val="18"/>
                <w:color w:val="auto"/>
                <w:vertAlign w:val="superscript"/>
              </w:rPr>
              <w:t>(b)</w:t>
            </w: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242424"/>
                <w:w w:val="99"/>
              </w:rPr>
              <w:t>—</w:t>
            </w:r>
          </w:p>
        </w:tc>
        <w:tc>
          <w:tcPr>
            <w:tcW w:w="10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242424"/>
              </w:rPr>
              <w:t>(3)</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firstLine="9"/>
        <w:spacing w:after="0"/>
        <w:tabs>
          <w:tab w:leader="none" w:pos="185"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Relates to long-term energy related commodity contracts at Elbow Creek, Mesquite Star, Mt. Storm, Langford and Mesquite Sky and short-term heat rate call option energy-related commodity contracts at El Segundo, Marsh Landing and Walnut Creek.</w:t>
      </w:r>
    </w:p>
    <w:p>
      <w:pPr>
        <w:spacing w:after="0" w:line="112" w:lineRule="exact"/>
        <w:rPr>
          <w:rFonts w:ascii="Times New Roman" w:cs="Times New Roman" w:eastAsia="Times New Roman" w:hAnsi="Times New Roman"/>
          <w:sz w:val="15"/>
          <w:szCs w:val="15"/>
          <w:color w:val="auto"/>
          <w:vertAlign w:val="superscript"/>
        </w:rPr>
      </w:pPr>
    </w:p>
    <w:p>
      <w:pPr>
        <w:ind w:left="200" w:hanging="131"/>
        <w:spacing w:after="0" w:line="235" w:lineRule="auto"/>
        <w:tabs>
          <w:tab w:leader="none" w:pos="20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Relates to long-term backbone transportation service energy-related commodity contracts at El Segundo and Walnut Creek.</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5,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 xml:space="preserve">Note 7 — </w:t>
      </w:r>
      <w:r>
        <w:rPr>
          <w:rFonts w:ascii="Times New Roman" w:cs="Times New Roman" w:eastAsia="Times New Roman" w:hAnsi="Times New Roman"/>
          <w:sz w:val="14"/>
          <w:szCs w:val="14"/>
          <w:b w:val="1"/>
          <w:bCs w:val="1"/>
          <w:i w:val="1"/>
          <w:iCs w:val="1"/>
          <w:color w:val="auto"/>
        </w:rPr>
        <w:t>Long-term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This note should be read in conjunction with the complete description under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 consolidated financial statements included in the Company’s</w:t>
      </w:r>
      <w:r>
        <w:rPr>
          <w:rFonts w:ascii="Times New Roman" w:cs="Times New Roman" w:eastAsia="Times New Roman" w:hAnsi="Times New Roman"/>
          <w:sz w:val="14"/>
          <w:szCs w:val="14"/>
          <w:color w:val="auto"/>
        </w:rPr>
        <w:t xml:space="preserve"> 2023 Form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10-K. The Company’s borrowings, including short-term and long-term portions, consisted of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0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100" w:type="dxa"/>
            <w:vAlign w:val="bottom"/>
          </w:tcPr>
          <w:p>
            <w:pPr>
              <w:spacing w:after="0"/>
              <w:rPr>
                <w:sz w:val="11"/>
                <w:szCs w:val="11"/>
                <w:color w:val="auto"/>
              </w:rPr>
            </w:pPr>
          </w:p>
        </w:tc>
        <w:tc>
          <w:tcPr>
            <w:tcW w:w="108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Pr>
          <w:p>
            <w:pPr>
              <w:spacing w:after="0"/>
              <w:rPr>
                <w:sz w:val="11"/>
                <w:szCs w:val="11"/>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September 30, 2024 interest rate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Letters of Credit Outstanding</w:t>
            </w:r>
          </w:p>
        </w:tc>
        <w:tc>
          <w:tcPr>
            <w:tcW w:w="0" w:type="dxa"/>
            <w:vAlign w:val="bottom"/>
          </w:tcPr>
          <w:p>
            <w:pPr>
              <w:spacing w:after="0"/>
              <w:rPr>
                <w:sz w:val="1"/>
                <w:szCs w:val="1"/>
                <w:color w:val="auto"/>
              </w:rPr>
            </w:pPr>
          </w:p>
        </w:tc>
      </w:tr>
      <w:tr>
        <w:trPr>
          <w:trHeight w:val="159"/>
        </w:trPr>
        <w:tc>
          <w:tcPr>
            <w:tcW w:w="5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160" w:type="dxa"/>
            <w:vAlign w:val="bottom"/>
          </w:tcPr>
          <w:p>
            <w:pPr>
              <w:spacing w:after="0"/>
              <w:rPr>
                <w:sz w:val="13"/>
                <w:szCs w:val="13"/>
                <w:color w:val="auto"/>
              </w:rPr>
            </w:pPr>
          </w:p>
        </w:tc>
        <w:tc>
          <w:tcPr>
            <w:tcW w:w="142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at September 30, 2024</w:t>
            </w:r>
          </w:p>
        </w:tc>
        <w:tc>
          <w:tcPr>
            <w:tcW w:w="0" w:type="dxa"/>
            <w:vAlign w:val="bottom"/>
          </w:tcPr>
          <w:p>
            <w:pPr>
              <w:spacing w:after="0"/>
              <w:rPr>
                <w:sz w:val="1"/>
                <w:szCs w:val="1"/>
                <w:color w:val="auto"/>
              </w:rPr>
            </w:pPr>
          </w:p>
        </w:tc>
      </w:tr>
      <w:tr>
        <w:trPr>
          <w:trHeight w:val="16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Intercompany Note with Clearway, Inc.</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 Senior Notes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4.750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2031 Senior Notes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740" w:type="dxa"/>
            <w:vAlign w:val="bottom"/>
            <w:gridSpan w:val="2"/>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 Senior Notes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Clearway Energy LLC and Clearway Energy Operating LLC Revolving Credit Facility, due 2028 </w:t>
            </w:r>
            <w:r>
              <w:rPr>
                <w:rFonts w:ascii="Times New Roman" w:cs="Times New Roman" w:eastAsia="Times New Roman" w:hAnsi="Times New Roman"/>
                <w:sz w:val="16"/>
                <w:szCs w:val="16"/>
                <w:color w:val="auto"/>
                <w:vertAlign w:val="superscript"/>
              </w:rPr>
              <w:t>(b)</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S+1.500</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242424"/>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108</w:t>
            </w:r>
          </w:p>
        </w:tc>
        <w:tc>
          <w:tcPr>
            <w:tcW w:w="0" w:type="dxa"/>
            <w:vAlign w:val="bottom"/>
          </w:tcPr>
          <w:p>
            <w:pPr>
              <w:spacing w:after="0"/>
              <w:rPr>
                <w:sz w:val="1"/>
                <w:szCs w:val="1"/>
                <w:color w:val="auto"/>
              </w:rPr>
            </w:pPr>
          </w:p>
        </w:tc>
      </w:tr>
      <w:tr>
        <w:trPr>
          <w:trHeight w:val="169"/>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Non-recourse facility-level debt:</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2.395-3.633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S+2.775</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5.696-7.015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7.000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Borrego, due 2024 and 2038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left="1078"/>
              <w:spacing w:after="0"/>
              <w:rPr>
                <w:sz w:val="20"/>
                <w:szCs w:val="20"/>
                <w:color w:val="auto"/>
              </w:rPr>
            </w:pPr>
            <w:r>
              <w:rPr>
                <w:rFonts w:ascii="Times New Roman" w:cs="Times New Roman" w:eastAsia="Times New Roman" w:hAnsi="Times New Roman"/>
                <w:sz w:val="13"/>
                <w:szCs w:val="13"/>
                <w:color w:val="auto"/>
                <w:w w:val="97"/>
              </w:rPr>
              <w:t>Various</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Broken Bow, due 2031</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S+2.350</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6</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Buckthorn Solar, due 2025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S+2.100</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S+1.900</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740" w:type="dxa"/>
            <w:vAlign w:val="bottom"/>
            <w:gridSpan w:val="2"/>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rPr>
              <w:t>4.120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Cedar Creek, due 2029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S+1.625</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19</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Cedro Hill, due 2024 and 2029</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S+1.250-1.375</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Crofton Bluffs, due 2031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S+2.350</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CVSR, due 2037</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2.339-3.775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740" w:type="dxa"/>
            <w:vAlign w:val="bottom"/>
            <w:gridSpan w:val="2"/>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Daggett 2, due 2028</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S+1.762</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32</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3, due 2028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S+1.762</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Mililani Class B Member Holdco LLC, due 2028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S+1.600</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18</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 Holdco LC Facility, due 2027</w:t>
            </w: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107</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NIMH Solar, due 2031 and 2033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S+2.000-2.125</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S+1.525</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Rosie Class B LLC, due 2029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70"/>
        </w:trPr>
        <w:tc>
          <w:tcPr>
            <w:tcW w:w="5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Texas Solar Nova 1, due 2028 </w:t>
            </w:r>
            <w:r>
              <w:rPr>
                <w:rFonts w:ascii="Times New Roman" w:cs="Times New Roman" w:eastAsia="Times New Roman" w:hAnsi="Times New Roman"/>
                <w:sz w:val="16"/>
                <w:szCs w:val="16"/>
                <w:color w:val="auto"/>
                <w:vertAlign w:val="superscript"/>
              </w:rPr>
              <w:t>(c)</w:t>
            </w: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0"/>
        </w:trPr>
        <w:tc>
          <w:tcPr>
            <w:tcW w:w="5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TSN1 Class B Member LLC, due 2029 </w:t>
            </w:r>
            <w:r>
              <w:rPr>
                <w:rFonts w:ascii="Times New Roman" w:cs="Times New Roman" w:eastAsia="Times New Roman" w:hAnsi="Times New Roman"/>
                <w:sz w:val="16"/>
                <w:szCs w:val="16"/>
                <w:color w:val="auto"/>
                <w:vertAlign w:val="superscript"/>
              </w:rPr>
              <w:t>(c)</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54</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3.590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S+1.475</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29</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Victory Pass and Arica, due 2024</w:t>
            </w: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left="1078"/>
              <w:spacing w:after="0"/>
              <w:rPr>
                <w:sz w:val="20"/>
                <w:szCs w:val="20"/>
                <w:color w:val="auto"/>
              </w:rPr>
            </w:pPr>
            <w:r>
              <w:rPr>
                <w:rFonts w:ascii="Times New Roman" w:cs="Times New Roman" w:eastAsia="Times New Roman" w:hAnsi="Times New Roman"/>
                <w:sz w:val="13"/>
                <w:szCs w:val="13"/>
                <w:color w:val="auto"/>
                <w:w w:val="97"/>
              </w:rPr>
              <w:t>Various</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58"/>
        </w:trPr>
        <w:tc>
          <w:tcPr>
            <w:tcW w:w="5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Subtotal non-recourse facility-level debt</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5,074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5,974</w:t>
            </w: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debt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(d)</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long-term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As of September 30, 2024, S+ equals SOFR plus x%.</w:t>
      </w:r>
    </w:p>
    <w:p>
      <w:pPr>
        <w:spacing w:after="0" w:line="13"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Applicable rate is determined by the borrower leverage ratio, as defined in the credit agreement, and only applies to outstanding borrowings.</w:t>
      </w:r>
    </w:p>
    <w:p>
      <w:pPr>
        <w:spacing w:after="0" w:line="35" w:lineRule="exact"/>
        <w:rPr>
          <w:rFonts w:ascii="Times New Roman" w:cs="Times New Roman" w:eastAsia="Times New Roman" w:hAnsi="Times New Roman"/>
          <w:sz w:val="14"/>
          <w:szCs w:val="14"/>
          <w:color w:val="auto"/>
          <w:vertAlign w:val="superscript"/>
        </w:rPr>
      </w:pPr>
    </w:p>
    <w:p>
      <w:pPr>
        <w:ind w:left="180" w:hanging="111"/>
        <w:spacing w:after="0" w:line="200" w:lineRule="auto"/>
        <w:tabs>
          <w:tab w:leader="none" w:pos="1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On March 15, 2024, Texas Solar Nova 1’s financing agreement was amended to merge the facility-level debt of Texas Solar Nova 1 and Texas Solar Nova 2 as a combined term loan under TSN1 Class B Member LLC.</w:t>
      </w:r>
    </w:p>
    <w:p>
      <w:pPr>
        <w:spacing w:after="0" w:line="24"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Premiums relate to the 2028 Senior Notes.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7" w:name="page28"/>
    <w:bookmarkEnd w:id="27"/>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the respective arrangement. As of September 30, 2024, the Company was in compliance with all of the required covenants.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discussion below describes material changes to or additions of long-term debt for the nine months ended September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Facility-level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Capistrano Portfolio Holdco LLC</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supported by the Company’s interests in the Broken Bow, Crofton Bluffs, Mountain Wind 1 and Mountain Wind 2 wind facilities. The term loan bears interest at a rate of SOFR plus 1.625% per annum and matures on September 28, 2033. The Company utilized the proceeds from the term loan to pay off the existing debt in the amount of $63 million related to Broken Bow and Crofton Bluffs and to pay related financing costs.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Natural Gas Holdco LC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25, 2024, the Company, through its indirect subsidiary, Natural Gas Holdco, entered into a financing agreement that provides for a $200 million letter of credit facility, which is being utilized to support the collateral needs of the Company’s merchant conventional facilities. The letter of credit facility has an initial term of three years and the option for two additional one-year extensions.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Central (Rosie Class B LLC)</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the Company paid $279 million to Clearway Renew as additional purchase price to complete its acquisition of the facility, which occurred on December 1, 2023. The Company’s entire additional purchase price was recorded as an adjustment to CEG’s noncontrolling interest balance. The additional purchase price consisted of $64 million that was funded by the Company from existing sources of liquidity and $215 million funded through contributions from the cash equity investor in Rosie TargetCo LLC and the tax equity investor in Rosie TE Holdco LLC. Clearway Renew utilized the proceeds to repay the balance of $184 million on the loan previously issued to its consolidated subsidiary by Rosie Class B LLC and to redeem Rosie Class B LLC’s entire equity investment in Rosie Central BESS of $28 million, as further discussed in Note 4, </w:t>
      </w:r>
      <w:r>
        <w:rPr>
          <w:rFonts w:ascii="Times New Roman" w:cs="Times New Roman" w:eastAsia="Times New Roman" w:hAnsi="Times New Roman"/>
          <w:sz w:val="14"/>
          <w:szCs w:val="14"/>
          <w:i w:val="1"/>
          <w:iCs w:val="1"/>
          <w:color w:val="auto"/>
        </w:rPr>
        <w:t>Investments Accounted for by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Equity Method and Variable Interest Entities</w:t>
      </w:r>
      <w:r>
        <w:rPr>
          <w:rFonts w:ascii="Times New Roman" w:cs="Times New Roman" w:eastAsia="Times New Roman" w:hAnsi="Times New Roman"/>
          <w:sz w:val="14"/>
          <w:szCs w:val="14"/>
          <w:color w:val="auto"/>
        </w:rPr>
        <w:t>. The Company utilized proceeds from Clearway Renew, along with $39 million held previously in escrow and $56 million of the Company’s additional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price that was contributed back by CEG, to repay the $186 million tax equity bridge loan, to distribute $44 million to the cash equity investor, to fund $21 million in construction completion reserves, which is included in restricted cash on the Company’s consolidated balance sheet, and to pay $11 million in associated fees.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Additionally, on June 13, 2024, the outstanding construction loans were converted to a term loan in the amount of $115 million.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NIMH Solar</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On June 11, 2024, the Company, through its indirect subsidiary, NIMH Solar LLC, </w:t>
      </w:r>
      <w:r>
        <w:rPr>
          <w:rFonts w:ascii="Times New Roman" w:cs="Times New Roman" w:eastAsia="Times New Roman" w:hAnsi="Times New Roman"/>
          <w:sz w:val="14"/>
          <w:szCs w:val="14"/>
          <w:color w:val="212529"/>
        </w:rPr>
        <w:t>refinanced its amended and restated credit agreement, which was scheduled to mature in September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 xml:space="preserve">resulting in the issuance of a $137 million term loan facility, as well as $17 million in letters of credit in support of debt service and facility obligations. </w:t>
      </w:r>
      <w:r>
        <w:rPr>
          <w:rFonts w:ascii="Times New Roman" w:cs="Times New Roman" w:eastAsia="Times New Roman" w:hAnsi="Times New Roman"/>
          <w:sz w:val="14"/>
          <w:szCs w:val="14"/>
          <w:color w:val="000000"/>
        </w:rPr>
        <w:t>The obligations under the new financing</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arrangement are supported by the Company’s interests in the Alpine, Blythe and Roadrunner solar facilities. The Company utilized the proceeds from the term loan and existing sources of liquidity to pay off the existing debt in the amount of $146 million.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4"/>
          <w:szCs w:val="14"/>
          <w:i w:val="1"/>
          <w:iCs w:val="1"/>
          <w:color w:val="auto"/>
        </w:rPr>
        <w:t>Victory Pass and Arica</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which was funded with existing sources of liquidity. The Company’s entire additional purchase price was recorded as an adjustment to CEG’s noncontrolling interest balance. Also on May 1, 2024, the cash equity investor contributed an additional $347 million, the tax equity investor contributed an additional $410 million and CEG contributed $52 million, which were utilized, along with $103 million held previously in escrow, to repay the $351 million cash equity bridge loan, to repay the $468 million tax equity bridge loan, to fund $75 million in construction completion reserves, which is included in restricted cash on the Company’s consolidated balance sheet, and to pay $18 million in associated fees. Prior to the repayment of the tax equity bridge loan, the Company borrowed an additional $62 million in 2024.</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Cedar Creek</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On April 16, 2024, as part of the acquisition of Cedar Creek,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 $112 million construction loan, a $91 million cash equity bridge loan and a $109 million tax equity bridge loan, offset by $3 million in unamortized debt issuance costs. At acquisition date, the tax equity investor contributed $108 million, which was utilized, along with the Company’s entire purchase price that was contributed back by CEG, to repay the tax equity bridge loan, to repay the cash equity bridge loan, to partially repay $2 million in construction loans, to fund $16 million in construction completion reserves, which is included in restricted cash on the Company’s consolidated balance sheet, and to pay $6 million in associated fees. Also at acquisition date, the outstanding construction loans were converted to a term loan in the amount of $110 million.</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Texas Solar Nova 1 and Texas Solar Nova 2</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March 15, 2024, as part of the acquisition of Texas Solar Nova 2,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by CEG, to repay the $115 million tax equity bridge loan, to fund $19 million in construction completion reserves, which is included in restricted cash on the Company’s consolidated balance sheet, and to pay $4 million in associated fees.</w:t>
      </w:r>
    </w:p>
    <w:p>
      <w:pPr>
        <w:spacing w:after="0" w:line="9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Additionally, on March 15, 2024, Texas Solar Nova 1’s financing agreement was amended to merge the Texas Solar Nova 1 and Texas Solar Nova 2 term loans as a combined term loan under TSN1 Class B Member LLC.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 xml:space="preserve">Note 8 — </w:t>
      </w:r>
      <w:r>
        <w:rPr>
          <w:rFonts w:ascii="Times New Roman" w:cs="Times New Roman" w:eastAsia="Times New Roman" w:hAnsi="Times New Roman"/>
          <w:sz w:val="14"/>
          <w:szCs w:val="14"/>
          <w:b w:val="1"/>
          <w:bCs w:val="1"/>
          <w:i w:val="1"/>
          <w:iCs w:val="1"/>
          <w:color w:val="auto"/>
        </w:rPr>
        <w:t>Segment Reporting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conventional power generation and renewable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2024</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50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5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0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40" w:type="dxa"/>
            <w:vAlign w:val="bottom"/>
            <w:gridSpan w:val="2"/>
            <w:vMerge w:val="continue"/>
          </w:tcPr>
          <w:p>
            <w:pPr>
              <w:spacing w:after="0"/>
              <w:rPr>
                <w:sz w:val="12"/>
                <w:szCs w:val="12"/>
                <w:color w:val="auto"/>
              </w:rPr>
            </w:pPr>
          </w:p>
        </w:tc>
        <w:tc>
          <w:tcPr>
            <w:tcW w:w="500" w:type="dxa"/>
            <w:vAlign w:val="bottom"/>
          </w:tcPr>
          <w:p>
            <w:pPr>
              <w:jc w:val="right"/>
              <w:ind w:right="353"/>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1,976</w:t>
            </w:r>
          </w:p>
        </w:tc>
        <w:tc>
          <w:tcPr>
            <w:tcW w:w="100" w:type="dxa"/>
            <w:vAlign w:val="bottom"/>
          </w:tcPr>
          <w:p>
            <w:pPr>
              <w:spacing w:after="0"/>
              <w:rPr>
                <w:sz w:val="12"/>
                <w:szCs w:val="12"/>
                <w:color w:val="auto"/>
              </w:rPr>
            </w:pPr>
          </w:p>
        </w:tc>
        <w:tc>
          <w:tcPr>
            <w:tcW w:w="24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12,164</w:t>
            </w:r>
          </w:p>
        </w:tc>
        <w:tc>
          <w:tcPr>
            <w:tcW w:w="100" w:type="dxa"/>
            <w:vAlign w:val="bottom"/>
          </w:tcPr>
          <w:p>
            <w:pPr>
              <w:spacing w:after="0"/>
              <w:rPr>
                <w:sz w:val="12"/>
                <w:szCs w:val="12"/>
                <w:color w:val="auto"/>
              </w:rPr>
            </w:pPr>
          </w:p>
        </w:tc>
        <w:tc>
          <w:tcPr>
            <w:tcW w:w="1000" w:type="dxa"/>
            <w:vAlign w:val="bottom"/>
          </w:tcPr>
          <w:p>
            <w:pPr>
              <w:jc w:val="right"/>
              <w:ind w:right="853"/>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2"/>
                <w:szCs w:val="12"/>
                <w:color w:val="auto"/>
              </w:rPr>
            </w:pPr>
          </w:p>
        </w:tc>
        <w:tc>
          <w:tcPr>
            <w:tcW w:w="320" w:type="dxa"/>
            <w:vAlign w:val="bottom"/>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14,241</w:t>
            </w:r>
          </w:p>
        </w:tc>
        <w:tc>
          <w:tcPr>
            <w:tcW w:w="0" w:type="dxa"/>
            <w:vAlign w:val="bottom"/>
          </w:tcPr>
          <w:p>
            <w:pPr>
              <w:spacing w:after="0"/>
              <w:rPr>
                <w:sz w:val="1"/>
                <w:szCs w:val="1"/>
                <w:color w:val="auto"/>
              </w:rPr>
            </w:pPr>
          </w:p>
        </w:tc>
      </w:tr>
      <w:tr>
        <w:trPr>
          <w:trHeight w:val="134"/>
        </w:trPr>
        <w:tc>
          <w:tcPr>
            <w:tcW w:w="220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5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2023</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50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5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5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7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58"/>
        </w:trPr>
        <w:tc>
          <w:tcPr>
            <w:tcW w:w="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Nine months ended September 30, 2024</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20" w:type="dxa"/>
            <w:vAlign w:val="bottom"/>
          </w:tcPr>
          <w:p>
            <w:pPr>
              <w:spacing w:after="0"/>
              <w:rPr>
                <w:sz w:val="15"/>
                <w:szCs w:val="15"/>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1"/>
        </w:trPr>
        <w:tc>
          <w:tcPr>
            <w:tcW w:w="60" w:type="dxa"/>
            <w:vAlign w:val="bottom"/>
          </w:tcPr>
          <w:p>
            <w:pPr>
              <w:spacing w:after="0"/>
              <w:rPr>
                <w:sz w:val="14"/>
                <w:szCs w:val="14"/>
                <w:color w:val="auto"/>
              </w:rPr>
            </w:pPr>
          </w:p>
        </w:tc>
        <w:tc>
          <w:tcPr>
            <w:tcW w:w="574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56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1,115</w:t>
            </w:r>
          </w:p>
        </w:tc>
      </w:tr>
      <w:tr>
        <w:trPr>
          <w:trHeight w:val="180"/>
        </w:trPr>
        <w:tc>
          <w:tcPr>
            <w:tcW w:w="60" w:type="dxa"/>
            <w:vAlign w:val="bottom"/>
          </w:tcPr>
          <w:p>
            <w:pPr>
              <w:spacing w:after="0"/>
              <w:rPr>
                <w:sz w:val="15"/>
                <w:szCs w:val="15"/>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378</w:t>
            </w: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471</w:t>
            </w:r>
          </w:p>
        </w:tc>
      </w:tr>
      <w:tr>
        <w:trPr>
          <w:trHeight w:val="180"/>
        </w:trPr>
        <w:tc>
          <w:tcPr>
            <w:tcW w:w="60" w:type="dxa"/>
            <w:vAlign w:val="bottom"/>
          </w:tcPr>
          <w:p>
            <w:pPr>
              <w:spacing w:after="0"/>
              <w:rPr>
                <w:sz w:val="15"/>
                <w:szCs w:val="15"/>
                <w:color w:val="auto"/>
              </w:rPr>
            </w:pPr>
          </w:p>
        </w:tc>
        <w:tc>
          <w:tcPr>
            <w:tcW w:w="57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6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56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60" w:type="dxa"/>
            <w:vAlign w:val="bottom"/>
          </w:tcPr>
          <w:p>
            <w:pPr>
              <w:spacing w:after="0"/>
              <w:rPr>
                <w:sz w:val="14"/>
                <w:szCs w:val="14"/>
                <w:color w:val="auto"/>
              </w:rPr>
            </w:pPr>
          </w:p>
        </w:tc>
        <w:tc>
          <w:tcPr>
            <w:tcW w:w="5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5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234</w:t>
            </w: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60" w:type="dxa"/>
            <w:vAlign w:val="bottom"/>
          </w:tcPr>
          <w:p>
            <w:pPr>
              <w:spacing w:after="0"/>
              <w:rPr>
                <w:sz w:val="15"/>
                <w:szCs w:val="15"/>
                <w:color w:val="auto"/>
              </w:rPr>
            </w:pPr>
          </w:p>
        </w:tc>
        <w:tc>
          <w:tcPr>
            <w:tcW w:w="57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56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60" w:type="dxa"/>
            <w:vAlign w:val="bottom"/>
          </w:tcPr>
          <w:p>
            <w:pPr>
              <w:spacing w:after="0"/>
              <w:rPr>
                <w:sz w:val="15"/>
                <w:szCs w:val="15"/>
                <w:color w:val="auto"/>
              </w:rPr>
            </w:pPr>
          </w:p>
        </w:tc>
        <w:tc>
          <w:tcPr>
            <w:tcW w:w="574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w:t>
            </w:r>
          </w:p>
        </w:tc>
      </w:tr>
      <w:tr>
        <w:trPr>
          <w:trHeight w:val="196"/>
        </w:trPr>
        <w:tc>
          <w:tcPr>
            <w:tcW w:w="60" w:type="dxa"/>
            <w:vAlign w:val="bottom"/>
          </w:tcPr>
          <w:p>
            <w:pPr>
              <w:spacing w:after="0"/>
              <w:rPr>
                <w:sz w:val="16"/>
                <w:szCs w:val="16"/>
                <w:color w:val="auto"/>
              </w:rPr>
            </w:pPr>
          </w:p>
        </w:tc>
        <w:tc>
          <w:tcPr>
            <w:tcW w:w="5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6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r>
      <w:tr>
        <w:trPr>
          <w:trHeight w:val="20"/>
        </w:trPr>
        <w:tc>
          <w:tcPr>
            <w:tcW w:w="6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79"/>
        </w:trPr>
        <w:tc>
          <w:tcPr>
            <w:tcW w:w="6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5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79"/>
        </w:trPr>
        <w:tc>
          <w:tcPr>
            <w:tcW w:w="6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6"/>
        </w:trPr>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Nine months ended September 30, 2023</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20" w:type="dxa"/>
            <w:vAlign w:val="bottom"/>
          </w:tcPr>
          <w:p>
            <w:pPr>
              <w:spacing w:after="0"/>
              <w:rPr>
                <w:sz w:val="15"/>
                <w:szCs w:val="15"/>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1"/>
        </w:trPr>
        <w:tc>
          <w:tcPr>
            <w:tcW w:w="60" w:type="dxa"/>
            <w:vAlign w:val="bottom"/>
          </w:tcPr>
          <w:p>
            <w:pPr>
              <w:spacing w:after="0"/>
              <w:rPr>
                <w:sz w:val="14"/>
                <w:szCs w:val="14"/>
                <w:color w:val="auto"/>
              </w:rPr>
            </w:pPr>
          </w:p>
        </w:tc>
        <w:tc>
          <w:tcPr>
            <w:tcW w:w="57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4"/>
                <w:szCs w:val="14"/>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6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56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r>
      <w:tr>
        <w:trPr>
          <w:trHeight w:val="171"/>
        </w:trPr>
        <w:tc>
          <w:tcPr>
            <w:tcW w:w="60" w:type="dxa"/>
            <w:vAlign w:val="bottom"/>
          </w:tcPr>
          <w:p>
            <w:pPr>
              <w:spacing w:after="0"/>
              <w:rPr>
                <w:sz w:val="14"/>
                <w:szCs w:val="14"/>
                <w:color w:val="auto"/>
              </w:rPr>
            </w:pPr>
          </w:p>
        </w:tc>
        <w:tc>
          <w:tcPr>
            <w:tcW w:w="5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4"/>
                <w:szCs w:val="14"/>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5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5"/>
                <w:szCs w:val="15"/>
                <w:color w:val="auto"/>
              </w:rPr>
            </w:pPr>
          </w:p>
        </w:tc>
      </w:tr>
      <w:tr>
        <w:trPr>
          <w:trHeight w:val="171"/>
        </w:trPr>
        <w:tc>
          <w:tcPr>
            <w:tcW w:w="60" w:type="dxa"/>
            <w:vAlign w:val="bottom"/>
          </w:tcPr>
          <w:p>
            <w:pPr>
              <w:spacing w:after="0"/>
              <w:rPr>
                <w:sz w:val="14"/>
                <w:szCs w:val="14"/>
                <w:color w:val="auto"/>
              </w:rPr>
            </w:pPr>
          </w:p>
        </w:tc>
        <w:tc>
          <w:tcPr>
            <w:tcW w:w="5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6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60" w:type="dxa"/>
            <w:vAlign w:val="bottom"/>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9 — </w:t>
      </w:r>
      <w:r>
        <w:rPr>
          <w:rFonts w:ascii="Times New Roman" w:cs="Times New Roman" w:eastAsia="Times New Roman" w:hAnsi="Times New Roman"/>
          <w:sz w:val="14"/>
          <w:szCs w:val="14"/>
          <w:b w:val="1"/>
          <w:bCs w:val="1"/>
          <w:i w:val="1"/>
          <w:iCs w:val="1"/>
          <w:color w:val="auto"/>
        </w:rPr>
        <w:t>Related Party Transactions</w:t>
      </w:r>
    </w:p>
    <w:p>
      <w:pPr>
        <w:spacing w:after="0" w:line="138" w:lineRule="exact"/>
        <w:rPr>
          <w:sz w:val="20"/>
          <w:szCs w:val="20"/>
          <w:color w:val="auto"/>
        </w:rPr>
      </w:pPr>
    </w:p>
    <w:p>
      <w:pPr>
        <w:jc w:val="both"/>
        <w:ind w:right="60" w:firstLine="318"/>
        <w:spacing w:after="0" w:line="264"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right="60" w:firstLine="318"/>
        <w:spacing w:after="0" w:line="264" w:lineRule="auto"/>
        <w:rPr>
          <w:sz w:val="20"/>
          <w:szCs w:val="20"/>
          <w:color w:val="auto"/>
        </w:rPr>
      </w:pPr>
      <w:r>
        <w:rPr>
          <w:rFonts w:ascii="Times New Roman" w:cs="Times New Roman" w:eastAsia="Times New Roman" w:hAnsi="Times New Roman"/>
          <w:sz w:val="14"/>
          <w:szCs w:val="14"/>
          <w:color w:val="auto"/>
        </w:rPr>
        <w:t>Various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$22 million and $18 million for the three months ended September 30, 2024 and 2023, respectively. The Company incurred total expenses for these services of $59 million and $54 million for the nine months ended September 30, 2024 and 2023, respectively. There was a balance of $10 million and $13 million due to RENOM as of September 30, 2024 and December 31, 2023, respectively.</w:t>
      </w:r>
    </w:p>
    <w:p>
      <w:pPr>
        <w:spacing w:after="0" w:line="200" w:lineRule="exact"/>
        <w:rPr>
          <w:sz w:val="20"/>
          <w:szCs w:val="20"/>
          <w:color w:val="auto"/>
        </w:rPr>
      </w:pPr>
    </w:p>
    <w:p>
      <w:pPr>
        <w:spacing w:after="0" w:line="3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300" w:top="757"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$5 million for each of the three months ended September 30, 2024 and 2023. The Company incurred expenses under these agreements of $17 million and $15 million for the nine months ended September 30, 2024 and 2023, respectively. There was a balance of $3 million and $2 million due to CEG as of September 30, 2024 and December 31, 2023,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w:t>
      </w:r>
    </w:p>
    <w:p>
      <w:pPr>
        <w:spacing w:after="0" w:line="13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4"/>
          <w:szCs w:val="14"/>
          <w:color w:val="auto"/>
        </w:rPr>
        <w:t>The Company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the Company provides certain services to CEG, including accounting, internal audit, tax and treasury services, in exchange for the payment of fees in respect of such services. The Company incurred net expenses under these agreements of $1 million for each of the three months ended September 30, 2024 and 2023. The Company incurred net expenses under these agreements of $4 million for each of the nine months ended September 30, 2024 and 2023.</w:t>
      </w:r>
    </w:p>
    <w:p>
      <w:pPr>
        <w:spacing w:after="0" w:line="9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April 30, 2024, the CEG Master Services Agreement was amended and restated as a result of a reorganization effected by the Company pursuant to which all of the employees and operations of the Company will transfer to CEG as of January 1, 2025. Under the amended and restated agreement, CEG and certain of its affiliates or third-party service providers will continue to provide the operational and administrative services outlined above, and, effective January 1, 2025, CEG will also provide accounting, internal audit, tax, legal and treasury services, in exchange for payment of fees in respect of such services. Certain independent functions will be directed by the Company’s Governance, Conflicts and Nominating Committee and paid for by the Company, while being administered by CEG.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2" w:name="page33"/>
    <w:bookmarkEnd w:id="32"/>
    <w:p>
      <w:pPr>
        <w:jc w:val="right"/>
        <w:ind w:right="4920"/>
        <w:spacing w:after="0" w:line="444" w:lineRule="auto"/>
        <w:rPr>
          <w:sz w:val="20"/>
          <w:szCs w:val="20"/>
          <w:color w:val="auto"/>
        </w:rPr>
      </w:pPr>
      <w:r>
        <w:rPr>
          <w:rFonts w:ascii="Times New Roman" w:cs="Times New Roman" w:eastAsia="Times New Roman" w:hAnsi="Times New Roman"/>
          <w:sz w:val="14"/>
          <w:szCs w:val="14"/>
          <w:b w:val="1"/>
          <w:bCs w:val="1"/>
          <w:color w:val="auto"/>
        </w:rPr>
        <w:t xml:space="preserve">ITEM 2 — Management’s Discussion and Analysis of Financial Condition and the Results of Operations </w:t>
      </w:r>
      <w:r>
        <w:rPr>
          <w:rFonts w:ascii="Times New Roman" w:cs="Times New Roman" w:eastAsia="Times New Roman" w:hAnsi="Times New Roman"/>
          <w:sz w:val="14"/>
          <w:szCs w:val="14"/>
          <w:color w:val="auto"/>
        </w:rPr>
        <w:t>The following discussion analyzes the Company’s historical financial condition and results of operations.</w:t>
      </w:r>
    </w:p>
    <w:p>
      <w:pPr>
        <w:spacing w:after="0" w:line="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you read this discussion and analysis, refer to the Company’s consolidated financial statements to this Form 10-Q, which present the results of operations for the three and nine months ended September 30, 2024 and 2023. Also refer to the Company’s 2023 Form 10-K, which includes detailed discussions of various items impacting the Company’s business, results of operations and financial condition.</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251"/>
        <w:spacing w:after="0"/>
        <w:tabs>
          <w:tab w:leader="none" w:pos="102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income;</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231F20"/>
        </w:rPr>
      </w:pPr>
    </w:p>
    <w:p>
      <w:pPr>
        <w:ind w:left="760" w:right="60" w:firstLine="9"/>
        <w:spacing w:after="0" w:line="287" w:lineRule="auto"/>
        <w:tabs>
          <w:tab w:leader="none" w:pos="101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October 1, 2024, BlackRock acquired 100% of the business and assets of GIM, which is the investment manager of the GIP funds that own an interest in CEG. BlackRock is a publicly-traded global investment management firm.</w:t>
      </w:r>
    </w:p>
    <w:p>
      <w:pPr>
        <w:spacing w:after="0" w:line="10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approximately 6,500 net MW of installed wind, solar and battery energy storage system, or BESS, facilities. The Company’s approximately 9,000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these offtake agreements was approximately 10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September 30, 2024 </w:t>
      </w:r>
      <w:r>
        <w:rPr>
          <w:rFonts w:ascii="Times New Roman" w:cs="Times New Roman" w:eastAsia="Times New Roman" w:hAnsi="Times New Roman"/>
          <w:sz w:val="14"/>
          <w:szCs w:val="14"/>
          <w:color w:val="231F20"/>
        </w:rPr>
        <w:t>based on CAFD.</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September 30, 2024, the Company’s operating assets are comprised of the following facilities:</w:t>
      </w:r>
    </w:p>
    <w:p>
      <w:pPr>
        <w:spacing w:after="0" w:line="67"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1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2040" w:type="dxa"/>
            <w:vAlign w:val="bottom"/>
            <w:vMerge w:val="restart"/>
          </w:tcPr>
          <w:p>
            <w:pPr>
              <w:ind w:left="86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960" w:type="dxa"/>
            <w:vAlign w:val="bottom"/>
          </w:tcPr>
          <w:p>
            <w:pPr>
              <w:jc w:val="center"/>
              <w:ind w:right="771"/>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2460" w:type="dxa"/>
            <w:vAlign w:val="bottom"/>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880" w:type="dxa"/>
            <w:vAlign w:val="bottom"/>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Contract Expiration</w:t>
            </w:r>
          </w:p>
        </w:tc>
        <w:tc>
          <w:tcPr>
            <w:tcW w:w="0" w:type="dxa"/>
            <w:vAlign w:val="bottom"/>
          </w:tcPr>
          <w:p>
            <w:pPr>
              <w:spacing w:after="0"/>
              <w:rPr>
                <w:sz w:val="1"/>
                <w:szCs w:val="1"/>
                <w:color w:val="auto"/>
              </w:rPr>
            </w:pPr>
          </w:p>
        </w:tc>
      </w:tr>
      <w:tr>
        <w:trPr>
          <w:trHeight w:val="108"/>
        </w:trPr>
        <w:tc>
          <w:tcPr>
            <w:tcW w:w="130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960" w:type="dxa"/>
            <w:vAlign w:val="bottom"/>
          </w:tcPr>
          <w:p>
            <w:pPr>
              <w:jc w:val="center"/>
              <w:ind w:right="771"/>
              <w:spacing w:after="0"/>
              <w:rPr>
                <w:sz w:val="20"/>
                <w:szCs w:val="20"/>
                <w:color w:val="auto"/>
              </w:rPr>
            </w:pPr>
            <w:r>
              <w:rPr>
                <w:rFonts w:ascii="Times New Roman" w:cs="Times New Roman" w:eastAsia="Times New Roman" w:hAnsi="Times New Roman"/>
                <w:sz w:val="8"/>
                <w:szCs w:val="8"/>
                <w:b w:val="1"/>
                <w:bCs w:val="1"/>
                <w:color w:val="auto"/>
              </w:rPr>
              <w:t>(a)</w:t>
            </w:r>
          </w:p>
        </w:tc>
        <w:tc>
          <w:tcPr>
            <w:tcW w:w="246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Conventional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Carlsbad</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San Diego Gas &amp; Electric</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8"/>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El Segundo</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rPr>
              <w:t>2026 - 2027</w:t>
            </w:r>
          </w:p>
        </w:tc>
      </w:tr>
      <w:tr>
        <w:trPr>
          <w:trHeight w:val="153"/>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GenConn Devon</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2040</w:t>
            </w:r>
          </w:p>
        </w:tc>
      </w:tr>
      <w:tr>
        <w:trPr>
          <w:trHeight w:val="165"/>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GenConn Middletown</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3"/>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Marsh Landing</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rPr>
              <w:t>2026 - 2030</w:t>
            </w:r>
          </w:p>
        </w:tc>
      </w:tr>
      <w:tr>
        <w:trPr>
          <w:trHeight w:val="159"/>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Walnut Creek</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rPr>
              <w:t>2026 - 2027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Conventional</w:t>
            </w:r>
          </w:p>
        </w:tc>
        <w:tc>
          <w:tcPr>
            <w:tcW w:w="2340" w:type="dxa"/>
            <w:vAlign w:val="bottom"/>
          </w:tcPr>
          <w:p>
            <w:pPr>
              <w:spacing w:after="0"/>
              <w:rPr>
                <w:sz w:val="13"/>
                <w:szCs w:val="13"/>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2,488</w:t>
            </w:r>
          </w:p>
        </w:tc>
        <w:tc>
          <w:tcPr>
            <w:tcW w:w="28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7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2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Agua Caliente</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51 %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148</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Alpine</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40 %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105</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Avenal</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23</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Avra Valley</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27</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Tucson Electric Power</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Blythe</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21</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Borrego</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26</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San Diego Gas and Electric</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87"/>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150</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City of Georgetown, TX</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CVSR</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250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75</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Desert Sunlight 250</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63</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2034</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Desert Sunlight 300</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75</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Kansas South</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2042</w:t>
            </w:r>
          </w:p>
        </w:tc>
      </w:tr>
      <w:tr>
        <w:trPr>
          <w:trHeight w:val="159"/>
        </w:trPr>
        <w:tc>
          <w:tcPr>
            <w:tcW w:w="296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Oahu Solar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61</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Roadrunner</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El Paso Electric</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87"/>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rPr>
              <w:t>2035 - 2047</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 High Desert</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Texas Solar Nova 1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126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Verizon</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2042</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26"/>
        </w:trPr>
        <w:tc>
          <w:tcPr>
            <w:tcW w:w="3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100" w:type="dxa"/>
            <w:vAlign w:val="bottom"/>
          </w:tcPr>
          <w:p>
            <w:pPr>
              <w:spacing w:after="0"/>
              <w:rPr>
                <w:sz w:val="11"/>
                <w:szCs w:val="11"/>
                <w:color w:val="auto"/>
              </w:rPr>
            </w:pPr>
          </w:p>
        </w:tc>
        <w:tc>
          <w:tcPr>
            <w:tcW w:w="408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Contract Expiration</w:t>
            </w:r>
          </w:p>
        </w:tc>
        <w:tc>
          <w:tcPr>
            <w:tcW w:w="0" w:type="dxa"/>
            <w:vAlign w:val="bottom"/>
          </w:tcPr>
          <w:p>
            <w:pPr>
              <w:spacing w:after="0"/>
              <w:rPr>
                <w:sz w:val="1"/>
                <w:szCs w:val="1"/>
                <w:color w:val="auto"/>
              </w:rPr>
            </w:pPr>
          </w:p>
        </w:tc>
      </w:tr>
      <w:tr>
        <w:trPr>
          <w:trHeight w:val="118"/>
        </w:trPr>
        <w:tc>
          <w:tcPr>
            <w:tcW w:w="37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8"/>
                <w:szCs w:val="8"/>
                <w:b w:val="1"/>
                <w:bCs w:val="1"/>
                <w:color w:val="auto"/>
              </w:rPr>
              <w:t>(a)</w:t>
            </w:r>
          </w:p>
        </w:tc>
        <w:tc>
          <w:tcPr>
            <w:tcW w:w="100" w:type="dxa"/>
            <w:vAlign w:val="bottom"/>
          </w:tcPr>
          <w:p>
            <w:pPr>
              <w:spacing w:after="0"/>
              <w:rPr>
                <w:sz w:val="10"/>
                <w:szCs w:val="10"/>
                <w:color w:val="auto"/>
              </w:rPr>
            </w:pPr>
          </w:p>
        </w:tc>
        <w:tc>
          <w:tcPr>
            <w:tcW w:w="408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20" w:type="dxa"/>
            <w:vAlign w:val="bottom"/>
            <w:tcBorders>
              <w:top w:val="single" w:sz="8" w:color="auto"/>
            </w:tcBorders>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2 </w:t>
            </w:r>
            <w:r>
              <w:rPr>
                <w:rFonts w:ascii="Times New Roman" w:cs="Times New Roman" w:eastAsia="Times New Roman" w:hAnsi="Times New Roman"/>
                <w:sz w:val="16"/>
                <w:szCs w:val="16"/>
                <w:color w:val="auto"/>
                <w:vertAlign w:val="superscript"/>
              </w:rPr>
              <w:t>(b)</w:t>
            </w:r>
          </w:p>
        </w:tc>
        <w:tc>
          <w:tcPr>
            <w:tcW w:w="10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3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2042</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Utah Solar Portfolio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100" w:type="dxa"/>
            <w:vAlign w:val="bottom"/>
            <w:shd w:val="clear" w:color="auto" w:fill="CCEEFF"/>
          </w:tcPr>
          <w:p>
            <w:pPr>
              <w:spacing w:after="0"/>
              <w:rPr>
                <w:sz w:val="13"/>
                <w:szCs w:val="13"/>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2036</w:t>
            </w:r>
          </w:p>
        </w:tc>
        <w:tc>
          <w:tcPr>
            <w:tcW w:w="0" w:type="dxa"/>
            <w:vAlign w:val="bottom"/>
          </w:tcPr>
          <w:p>
            <w:pPr>
              <w:spacing w:after="0"/>
              <w:rPr>
                <w:sz w:val="1"/>
                <w:szCs w:val="1"/>
                <w:color w:val="auto"/>
              </w:rPr>
            </w:pPr>
          </w:p>
        </w:tc>
      </w:tr>
      <w:tr>
        <w:trPr>
          <w:trHeight w:val="180"/>
        </w:trPr>
        <w:tc>
          <w:tcPr>
            <w:tcW w:w="372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6"/>
                <w:szCs w:val="16"/>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5"/>
                <w:szCs w:val="15"/>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3"/>
                <w:szCs w:val="13"/>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2043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Utility Scale Solar</w:t>
            </w:r>
          </w:p>
        </w:tc>
        <w:tc>
          <w:tcPr>
            <w:tcW w:w="19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2,166</w:t>
            </w:r>
          </w:p>
        </w:tc>
        <w:tc>
          <w:tcPr>
            <w:tcW w:w="40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BESS</w:t>
            </w: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2042</w:t>
            </w:r>
          </w:p>
        </w:tc>
      </w:tr>
      <w:tr>
        <w:trPr>
          <w:trHeight w:val="180"/>
        </w:trPr>
        <w:tc>
          <w:tcPr>
            <w:tcW w:w="3080" w:type="dxa"/>
            <w:vAlign w:val="bottom"/>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3080" w:type="dxa"/>
            <w:vAlign w:val="bottom"/>
            <w:tcBorders>
              <w:bottom w:val="single" w:sz="8" w:color="CCEEFF"/>
            </w:tcBorders>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6"/>
                <w:szCs w:val="16"/>
                <w:color w:val="auto"/>
                <w:vertAlign w:val="superscript"/>
              </w:rPr>
              <w:t>(b)</w:t>
            </w:r>
          </w:p>
        </w:tc>
        <w:tc>
          <w:tcPr>
            <w:tcW w:w="190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180" w:type="dxa"/>
            <w:vAlign w:val="bottom"/>
            <w:tcBorders>
              <w:bottom w:val="single" w:sz="8" w:color="CCEEFF"/>
            </w:tcBorders>
          </w:tcPr>
          <w:p>
            <w:pPr>
              <w:jc w:val="center"/>
              <w:ind w:left="63"/>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50"/>
        </w:trPr>
        <w:tc>
          <w:tcPr>
            <w:tcW w:w="3080" w:type="dxa"/>
            <w:vAlign w:val="bottom"/>
            <w:shd w:val="clear" w:color="auto" w:fill="CCEEFF"/>
          </w:tcPr>
          <w:p>
            <w:pPr>
              <w:ind w:left="34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BESS</w:t>
            </w:r>
          </w:p>
        </w:tc>
        <w:tc>
          <w:tcPr>
            <w:tcW w:w="1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40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2"/>
        </w:trPr>
        <w:tc>
          <w:tcPr>
            <w:tcW w:w="3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DGPV Funds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2030 - 2044</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Solar Power Partners (SPP)</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2026 - 2037</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DG Facilities</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2025 - 2039</w:t>
            </w:r>
          </w:p>
        </w:tc>
      </w:tr>
      <w:tr>
        <w:trPr>
          <w:trHeight w:val="149"/>
        </w:trPr>
        <w:tc>
          <w:tcPr>
            <w:tcW w:w="3080" w:type="dxa"/>
            <w:vAlign w:val="bottom"/>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Distributed Solar</w:t>
            </w:r>
          </w:p>
        </w:tc>
        <w:tc>
          <w:tcPr>
            <w:tcW w:w="19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4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II</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III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IV</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V</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X</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XI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87"/>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Toyota and AEP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2036</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Broken Bow</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Buffalo Bear</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Cedar Creek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2049</w:t>
            </w:r>
          </w:p>
        </w:tc>
      </w:tr>
      <w:tr>
        <w:trPr>
          <w:trHeight w:val="159"/>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Cedro Hill</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CPS Energy</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2030</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Crofton Bluffs</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87"/>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Elkhorn Ridge</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66.7 %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Forward</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Constellation NewEnergy, Inc.</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Goat Wind</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Dow Pipeline Company</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87"/>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Goldman Sachs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Laredo Ridge</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Lookout</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Southern Maryland Electric Cooperative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2030</w:t>
            </w: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2033 - 2036</w:t>
            </w:r>
          </w:p>
        </w:tc>
      </w:tr>
      <w:tr>
        <w:trPr>
          <w:trHeight w:val="180"/>
        </w:trPr>
        <w:tc>
          <w:tcPr>
            <w:tcW w:w="3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2032 - 2035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Mountain Wind 1</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Mountain Wind 2</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Mt. Storm</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Citigroup</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Ocotillo</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N/A</w:t>
            </w:r>
          </w:p>
        </w:tc>
        <w:tc>
          <w:tcPr>
            <w:tcW w:w="1180" w:type="dxa"/>
            <w:vAlign w:val="bottom"/>
            <w:shd w:val="clear" w:color="auto" w:fill="CCEEFF"/>
          </w:tcPr>
          <w:p>
            <w:pPr>
              <w:spacing w:after="0"/>
              <w:rPr>
                <w:sz w:val="14"/>
                <w:szCs w:val="14"/>
                <w:color w:val="auto"/>
              </w:rPr>
            </w:pPr>
          </w:p>
        </w:tc>
      </w:tr>
      <w:tr>
        <w:trPr>
          <w:trHeight w:val="219"/>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Maryland Department of General Services and University System of Maryland</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26"/>
        </w:trPr>
        <w:tc>
          <w:tcPr>
            <w:tcW w:w="3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80" w:type="dxa"/>
            <w:vAlign w:val="bottom"/>
          </w:tcPr>
          <w:p>
            <w:pPr>
              <w:spacing w:after="0"/>
              <w:rPr>
                <w:sz w:val="11"/>
                <w:szCs w:val="11"/>
                <w:color w:val="auto"/>
              </w:rPr>
            </w:pPr>
          </w:p>
        </w:tc>
        <w:tc>
          <w:tcPr>
            <w:tcW w:w="410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Contract Expiration</w:t>
            </w:r>
          </w:p>
        </w:tc>
        <w:tc>
          <w:tcPr>
            <w:tcW w:w="0" w:type="dxa"/>
            <w:vAlign w:val="bottom"/>
          </w:tcPr>
          <w:p>
            <w:pPr>
              <w:spacing w:after="0"/>
              <w:rPr>
                <w:sz w:val="1"/>
                <w:szCs w:val="1"/>
                <w:color w:val="auto"/>
              </w:rPr>
            </w:pPr>
          </w:p>
        </w:tc>
      </w:tr>
      <w:tr>
        <w:trPr>
          <w:trHeight w:val="118"/>
        </w:trPr>
        <w:tc>
          <w:tcPr>
            <w:tcW w:w="37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tcPr>
          <w:p>
            <w:pPr>
              <w:jc w:val="right"/>
              <w:ind w:right="445"/>
              <w:spacing w:after="0"/>
              <w:rPr>
                <w:sz w:val="20"/>
                <w:szCs w:val="20"/>
                <w:color w:val="auto"/>
              </w:rPr>
            </w:pPr>
            <w:r>
              <w:rPr>
                <w:rFonts w:ascii="Times New Roman" w:cs="Times New Roman" w:eastAsia="Times New Roman" w:hAnsi="Times New Roman"/>
                <w:sz w:val="8"/>
                <w:szCs w:val="8"/>
                <w:b w:val="1"/>
                <w:bCs w:val="1"/>
                <w:color w:val="auto"/>
              </w:rPr>
              <w:t>(a)</w:t>
            </w:r>
          </w:p>
        </w:tc>
        <w:tc>
          <w:tcPr>
            <w:tcW w:w="80" w:type="dxa"/>
            <w:vAlign w:val="bottom"/>
          </w:tcPr>
          <w:p>
            <w:pPr>
              <w:spacing w:after="0"/>
              <w:rPr>
                <w:sz w:val="10"/>
                <w:szCs w:val="10"/>
                <w:color w:val="auto"/>
              </w:rPr>
            </w:pPr>
          </w:p>
        </w:tc>
        <w:tc>
          <w:tcPr>
            <w:tcW w:w="4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20" w:type="dxa"/>
            <w:vAlign w:val="bottom"/>
            <w:tcBorders>
              <w:top w:val="single" w:sz="8" w:color="auto"/>
            </w:tcBorders>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6"/>
                <w:szCs w:val="16"/>
                <w:color w:val="auto"/>
                <w:vertAlign w:val="superscript"/>
              </w:rPr>
              <w:t>(b) (c)</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tcBorders>
              <w:top w:val="single" w:sz="8" w:color="CCEEFF"/>
            </w:tcBorders>
            <w:shd w:val="clear" w:color="auto" w:fill="CCEEFF"/>
          </w:tcPr>
          <w:p>
            <w:pPr>
              <w:spacing w:after="0"/>
              <w:rPr>
                <w:sz w:val="13"/>
                <w:szCs w:val="13"/>
                <w:color w:val="auto"/>
              </w:rPr>
            </w:pPr>
          </w:p>
        </w:tc>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Avista Corporation</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2040</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San Juan Mesa</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1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Sleeping Bear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Public Service Company of Oklahoma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2032</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South Trent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2029</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Spanish Fork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2028</w:t>
            </w:r>
          </w:p>
        </w:tc>
        <w:tc>
          <w:tcPr>
            <w:tcW w:w="0" w:type="dxa"/>
            <w:vAlign w:val="bottom"/>
          </w:tcPr>
          <w:p>
            <w:pPr>
              <w:spacing w:after="0"/>
              <w:rPr>
                <w:sz w:val="1"/>
                <w:szCs w:val="1"/>
                <w:color w:val="auto"/>
              </w:rPr>
            </w:pPr>
          </w:p>
        </w:tc>
      </w:tr>
      <w:tr>
        <w:trPr>
          <w:trHeight w:val="180"/>
        </w:trPr>
        <w:tc>
          <w:tcPr>
            <w:tcW w:w="372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Spring Canyon II </w:t>
            </w:r>
            <w:r>
              <w:rPr>
                <w:rFonts w:ascii="Times New Roman" w:cs="Times New Roman" w:eastAsia="Times New Roman" w:hAnsi="Times New Roman"/>
                <w:sz w:val="16"/>
                <w:szCs w:val="16"/>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100" w:type="dxa"/>
            <w:vAlign w:val="bottom"/>
          </w:tcPr>
          <w:p>
            <w:pPr>
              <w:spacing w:after="0"/>
              <w:rPr>
                <w:sz w:val="15"/>
                <w:szCs w:val="15"/>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5"/>
                <w:szCs w:val="15"/>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80"/>
        </w:trPr>
        <w:tc>
          <w:tcPr>
            <w:tcW w:w="372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Spring Canyon III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Taloga</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2031</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2027</w:t>
            </w:r>
          </w:p>
        </w:tc>
        <w:tc>
          <w:tcPr>
            <w:tcW w:w="0" w:type="dxa"/>
            <w:vAlign w:val="bottom"/>
          </w:tcPr>
          <w:p>
            <w:pPr>
              <w:spacing w:after="0"/>
              <w:rPr>
                <w:sz w:val="1"/>
                <w:szCs w:val="1"/>
                <w:color w:val="auto"/>
              </w:rPr>
            </w:pPr>
          </w:p>
        </w:tc>
      </w:tr>
      <w:tr>
        <w:trPr>
          <w:trHeight w:val="149"/>
        </w:trPr>
        <w:tc>
          <w:tcPr>
            <w:tcW w:w="3720" w:type="dxa"/>
            <w:vAlign w:val="bottom"/>
            <w:tcBorders>
              <w:bottom w:val="single" w:sz="8" w:color="CCEEFF"/>
            </w:tcBorders>
            <w:gridSpan w:val="2"/>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3,797</w:t>
            </w:r>
          </w:p>
        </w:tc>
        <w:tc>
          <w:tcPr>
            <w:tcW w:w="8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net generation capacity</w:t>
            </w: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9,037</w:t>
            </w:r>
          </w:p>
        </w:tc>
        <w:tc>
          <w:tcPr>
            <w:tcW w:w="8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05" w:lineRule="exact"/>
        <w:rPr>
          <w:sz w:val="20"/>
          <w:szCs w:val="20"/>
          <w:color w:val="auto"/>
        </w:rPr>
      </w:pPr>
    </w:p>
    <w:p>
      <w:pPr>
        <w:ind w:left="200" w:hanging="131"/>
        <w:spacing w:after="0"/>
        <w:tabs>
          <w:tab w:leader="none" w:pos="20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Net capacity represents the maximum, or rated, generating or storage capacity of the facility multiplied by the Company’s percentage ownership in the facility as of September 30, 2024.</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 xml:space="preserve">Facilities are part of tax equity arrangements, as further described in Note 4, </w:t>
      </w:r>
      <w:r>
        <w:rPr>
          <w:rFonts w:ascii="Times New Roman" w:cs="Times New Roman" w:eastAsia="Times New Roman" w:hAnsi="Times New Roman"/>
          <w:sz w:val="10"/>
          <w:szCs w:val="10"/>
          <w:i w:val="1"/>
          <w:iCs w:val="1"/>
          <w:color w:val="auto"/>
        </w:rPr>
        <w:t>Investments Accounted for by the Equity Method and Variable Interest Entities</w:t>
      </w:r>
      <w:r>
        <w:rPr>
          <w:rFonts w:ascii="Times New Roman" w:cs="Times New Roman" w:eastAsia="Times New Roman" w:hAnsi="Times New Roman"/>
          <w:sz w:val="10"/>
          <w:szCs w:val="10"/>
          <w:color w:val="auto"/>
        </w:rPr>
        <w:t>.</w:t>
      </w:r>
    </w:p>
    <w:p>
      <w:pPr>
        <w:spacing w:after="0" w:line="45"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Rattlesnake has a deliverable capacity of 144 MW.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6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through an indirect subsidiary, entered into an agreement with Clearway Renew to acquire 50% of the Class B membership interests in Pine Forest TE Holdco LLC, a tax equity fund that upon mechanical completion will own Pine Forest, a 300 MW solar facility that will be paired with a 200 MW BESS facility currently under construction in Hopkins County, Texas, for $90 million in cash consideration, subject to closing adjustments. The consummation of the transaction is subject to customary closing conditions and certain third-party approvals and is expected in the second half of 2025.</w:t>
      </w:r>
    </w:p>
    <w:p>
      <w:pPr>
        <w:spacing w:after="0" w:line="87"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27, 2024, the Company, through an indirect subsidiary, entered into an agreement with Clearway Renew to acquire the Class A membership interests in Luna Valley, a 200 MW solar facility currently under construction in Fresno County, California, and Daggett 1, a 114 MW BESS facility currently under construction in San Bernardino, California, for $143 million in cash consideration, subject to closing adjustments. The consummation of the transaction is subject to customary closing conditions and certain third-party approvals and is expected in the first half of 2025.</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7, 2024, the Company, through an indirect subsidiary, entered into an agreement with Clearway Renew to acquire the Class A membership interests in Rosamond South I, a 140 MW solar facility that will be paired with a 117 MW BESS facility currently under construction in Rosamond, California, for $21 million in cash consideration, subject to closing adjustments. The consummation of the transaction is subject to customary closing conditions and certain third-party approvals and is expected in the first half of 2025.</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 2024, the Company, through an indirect subsidiary, entered into an agreement with Clearway Renew to acquire the Class A membership interests in Dan’s Mountain, a 55 MW wind facility currently under construction in Allegany County, Maryland, for $44 million in cash consideration, subject to closing adjustments. The consummation of the transaction is subject to customary closing conditions and certain third-party approvals and is expected in the fourth quarter of 2024.</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 Agreements</w:t>
      </w:r>
    </w:p>
    <w:p>
      <w:pPr>
        <w:spacing w:after="0" w:line="138" w:lineRule="exact"/>
        <w:rPr>
          <w:sz w:val="20"/>
          <w:szCs w:val="20"/>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2024, the Company contracted with a load serving entity to sell approximately 97 MW of Walnut Creek’s RA commencing in January 2027 and ending in December 2027. Walnut Creek is contracted for 100% of its capacity through 2026 and is now contracted for approximately 20% of its capacity through 2027.</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28, 2024, the Company contracted with a load serving entity to sell approximately 90 MW of Marsh Landing’s RA commencing in September 2026 and ending in December 2030. On July 31, 2024, the Company contracted with an additional load serving entity to sell approximately 195 MW of Marsh Landing’s RA commencing in October 2026 and ending in December 2028. Marsh Landing is now contracted for approximately 99% of its capacity through 2027 and approximately 49% of its capacity through 2028.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Facility-level Financing Activities</w:t>
      </w:r>
    </w:p>
    <w:p>
      <w:pPr>
        <w:spacing w:after="0" w:line="136" w:lineRule="exact"/>
        <w:rPr>
          <w:sz w:val="20"/>
          <w:szCs w:val="20"/>
          <w:color w:val="auto"/>
        </w:rPr>
      </w:pPr>
    </w:p>
    <w:p>
      <w:pPr>
        <w:ind w:left="520" w:hanging="260"/>
        <w:spacing w:after="0" w:line="290" w:lineRule="auto"/>
        <w:tabs>
          <w:tab w:leader="none" w:pos="516" w:val="left"/>
        </w:tabs>
        <w:numPr>
          <w:ilvl w:val="0"/>
          <w:numId w:val="2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In connection with the 2024 Drop Downs of Texas Solar Nova 2 and Cedar Creek, the Company assumed non-recourse facility-level debt.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facility-level debt associated with each facility.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7" w:name="page38"/>
    <w:bookmarkEnd w:id="37"/>
    <w:p>
      <w:pPr>
        <w:jc w:val="both"/>
        <w:ind w:left="520" w:hanging="260"/>
        <w:spacing w:after="0" w:line="270" w:lineRule="auto"/>
        <w:tabs>
          <w:tab w:leader="none" w:pos="516" w:val="left"/>
        </w:tabs>
        <w:numPr>
          <w:ilvl w:val="0"/>
          <w:numId w:val="2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The Company utilized the proceeds from the term loan to pay off the existing debt related to Broken Bow and Crofton Bluffs and to pay related financing costs.</w:t>
      </w:r>
    </w:p>
    <w:p>
      <w:pPr>
        <w:spacing w:after="0" w:line="93"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7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July 25, 2024, the Company, through its indirect subsidiary, Natural Gas Holdco, entered into a financing agreement that provides for a $200 million letter of credit facility, which is being utilized to support the collateral needs of the Company’s merchant conventional facilities and freed up capacity on the Company’s corporate revolving credit facility.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letter of credit facility.</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516" w:val="left"/>
        </w:tabs>
        <w:numPr>
          <w:ilvl w:val="0"/>
          <w:numId w:val="2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the Company paid $279 million 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Clearway Renew utilized the proceeds to repay the loan that was previously issued to its consolidated subsidiary by Rosie Class B LLC and to redeem Rosie Class B LLC’s entire equity investment in Rosie Central BESS. The Company utilized proceeds from Clearway Renew, along with $39 million held previously in escrow and $56 million of the Company’s additional purchase price contributed back by CEG, to repay the tax equity bridge loan, to make a distribution to the cash equity investor, to fund construction completion reserves and to pay associated fees. See Note 4,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and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transactions.</w:t>
      </w:r>
    </w:p>
    <w:p>
      <w:pPr>
        <w:spacing w:after="0" w:line="104"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7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June 11, 2024, the Company, through its indirect subsidiary, NIMH Solar LLC, refinanced its amended and restated credit agreement, which was scheduled to mature in September 2024, resulting in the issuance of a $137 million term loan facility, as well as $17 million in letters of credit in support of debt service and facility obligations. The Company utilized the proceeds from the term loan and existing sources of liquidity to pay off the existing debt.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refinanced credit agreement.</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2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See Note 7, </w:t>
      </w:r>
      <w:r>
        <w:rPr>
          <w:rFonts w:ascii="Times New Roman" w:cs="Times New Roman" w:eastAsia="Times New Roman" w:hAnsi="Times New Roman"/>
          <w:sz w:val="14"/>
          <w:szCs w:val="14"/>
          <w:i w:val="1"/>
          <w:iCs w:val="1"/>
          <w:color w:val="auto"/>
        </w:rPr>
        <w:t>Long-term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discussion of the transactions.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Company’s environmental matters are further described in the Company’s 2023 Form 10-K in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Environmental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The following disclosures about the Company’s regulatory matters provide an update to, and should be read in conjunction with,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Regulatory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of the Company’s 2023 Form 10-K</w:t>
      </w:r>
      <w:r>
        <w:rPr>
          <w:rFonts w:ascii="Times New Roman" w:cs="Times New Roman" w:eastAsia="Times New Roman" w:hAnsi="Times New Roman"/>
          <w:sz w:val="14"/>
          <w:szCs w:val="14"/>
          <w:i w:val="1"/>
          <w:iCs w:val="1"/>
          <w:color w:val="auto"/>
        </w:rPr>
        <w:t>.</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00" w:type="dxa"/>
            <w:vAlign w:val="bottom"/>
            <w:gridSpan w:val="11"/>
          </w:tcPr>
          <w:p>
            <w:pPr>
              <w:ind w:left="4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80" w:type="dxa"/>
            <w:vAlign w:val="bottom"/>
            <w:gridSpan w:val="9"/>
          </w:tcPr>
          <w:p>
            <w:pPr>
              <w:jc w:val="center"/>
              <w:ind w:right="17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0" w:type="dxa"/>
            <w:vAlign w:val="bottom"/>
            <w:tcBorders>
              <w:bottom w:val="single" w:sz="8" w:color="auto"/>
            </w:tcBorders>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43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91"/>
              <w:spacing w:after="0" w:line="117"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30"/>
              <w:spacing w:after="0" w:line="117" w:lineRule="exact"/>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11"/>
              <w:spacing w:after="0" w:line="117" w:lineRule="exact"/>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top w:val="single" w:sz="8" w:color="auto"/>
            </w:tcBorders>
            <w:gridSpan w:val="4"/>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30"/>
              <w:spacing w:after="0" w:line="117" w:lineRule="exact"/>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 Revenues</w:t>
            </w: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9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Energy and capacity revenues</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56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1,099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revenues</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Contract amortization</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revenues</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1,065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fuels</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3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3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9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Derivative interest (expense) income</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expense</w:t>
            </w: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9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other expense, net</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color w:val="auto"/>
              </w:rPr>
              <w:t>Less: Net loss attributable to noncontrolling interests and redeemable noncontrolling</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interests</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LLC</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11"/>
          </w:tcPr>
          <w:p>
            <w:pPr>
              <w:ind w:left="5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9"/>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4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32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20" w:type="dxa"/>
            <w:vAlign w:val="bottom"/>
            <w:gridSpan w:val="2"/>
            <w:shd w:val="clear" w:color="auto" w:fill="CCEEFF"/>
          </w:tcPr>
          <w:p>
            <w:pPr>
              <w:ind w:left="80"/>
              <w:spacing w:after="0" w:line="171" w:lineRule="exact"/>
              <w:rPr>
                <w:sz w:val="20"/>
                <w:szCs w:val="20"/>
                <w:color w:val="auto"/>
              </w:rPr>
            </w:pPr>
            <w:r>
              <w:rPr>
                <w:rFonts w:ascii="Times New Roman" w:cs="Times New Roman" w:eastAsia="Times New Roman" w:hAnsi="Times New Roman"/>
                <w:sz w:val="14"/>
                <w:szCs w:val="14"/>
                <w:color w:val="auto"/>
              </w:rPr>
              <w:t xml:space="preserve">Solar MWh generated/sold (in thousands) </w:t>
            </w:r>
            <w:r>
              <w:rPr>
                <w:rFonts w:ascii="Times New Roman" w:cs="Times New Roman" w:eastAsia="Times New Roman" w:hAnsi="Times New Roman"/>
                <w:sz w:val="18"/>
                <w:szCs w:val="18"/>
                <w:color w:val="auto"/>
                <w:vertAlign w:val="superscript"/>
              </w:rPr>
              <w:t>(a)</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2,943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1,822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6,999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4,232</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20" w:type="dxa"/>
            <w:vAlign w:val="bottom"/>
            <w:tcBorders>
              <w:bottom w:val="single" w:sz="8" w:color="CCEEFF"/>
            </w:tcBorders>
            <w:gridSpan w:val="2"/>
          </w:tcPr>
          <w:p>
            <w:pPr>
              <w:ind w:left="60"/>
              <w:spacing w:after="0" w:line="181" w:lineRule="exact"/>
              <w:rPr>
                <w:sz w:val="20"/>
                <w:szCs w:val="20"/>
                <w:color w:val="auto"/>
              </w:rPr>
            </w:pPr>
            <w:r>
              <w:rPr>
                <w:rFonts w:ascii="Times New Roman" w:cs="Times New Roman" w:eastAsia="Times New Roman" w:hAnsi="Times New Roman"/>
                <w:sz w:val="14"/>
                <w:szCs w:val="14"/>
                <w:color w:val="auto"/>
              </w:rPr>
              <w:t xml:space="preserve">Wind MWh generated/sold (in thousands) </w:t>
            </w:r>
            <w:r>
              <w:rPr>
                <w:rFonts w:ascii="Times New Roman" w:cs="Times New Roman" w:eastAsia="Times New Roman" w:hAnsi="Times New Roman"/>
                <w:sz w:val="18"/>
                <w:szCs w:val="18"/>
                <w:color w:val="auto"/>
                <w:vertAlign w:val="superscript"/>
              </w:rPr>
              <w:t>(a)</w:t>
            </w:r>
          </w:p>
        </w:tc>
        <w:tc>
          <w:tcPr>
            <w:tcW w:w="3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2,085</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7,478</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7,262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Renewables MWh generated/sold (in thousands) </w:t>
            </w:r>
            <w:r>
              <w:rPr>
                <w:rFonts w:ascii="Times New Roman" w:cs="Times New Roman" w:eastAsia="Times New Roman" w:hAnsi="Times New Roman"/>
                <w:sz w:val="18"/>
                <w:szCs w:val="18"/>
                <w:color w:val="auto"/>
                <w:vertAlign w:val="superscript"/>
              </w:rPr>
              <w:t>(a)</w:t>
            </w:r>
          </w:p>
        </w:tc>
        <w:tc>
          <w:tcPr>
            <w:tcW w:w="3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4,955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3,907</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3"/>
              </w:rPr>
              <w:t>14,477</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11,494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gridSpan w:val="2"/>
            <w:vMerge w:val="restart"/>
          </w:tcPr>
          <w:p>
            <w:pPr>
              <w:spacing w:after="0" w:line="182" w:lineRule="exact"/>
              <w:rPr>
                <w:sz w:val="20"/>
                <w:szCs w:val="20"/>
                <w:color w:val="auto"/>
              </w:rPr>
            </w:pPr>
            <w:r>
              <w:rPr>
                <w:rFonts w:ascii="Times New Roman" w:cs="Times New Roman" w:eastAsia="Times New Roman" w:hAnsi="Times New Roman"/>
                <w:sz w:val="14"/>
                <w:szCs w:val="14"/>
                <w:color w:val="auto"/>
              </w:rPr>
              <w:t xml:space="preserve">Solar weighted-average capacity factor </w:t>
            </w:r>
            <w:r>
              <w:rPr>
                <w:rFonts w:ascii="Times New Roman" w:cs="Times New Roman" w:eastAsia="Times New Roman" w:hAnsi="Times New Roman"/>
                <w:sz w:val="18"/>
                <w:szCs w:val="18"/>
                <w:color w:val="auto"/>
                <w:vertAlign w:val="superscript"/>
              </w:rPr>
              <w:t>(b)</w:t>
            </w: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38.9 %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34.2 %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32.5 %</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31.7 %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Wind weighted-average capacity factor </w:t>
            </w:r>
            <w:r>
              <w:rPr>
                <w:rFonts w:ascii="Times New Roman" w:cs="Times New Roman" w:eastAsia="Times New Roman" w:hAnsi="Times New Roman"/>
                <w:sz w:val="18"/>
                <w:szCs w:val="18"/>
                <w:color w:val="auto"/>
                <w:vertAlign w:val="superscript"/>
              </w:rPr>
              <w:t>(c)</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24.0 %</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Conventional MWh generated (in thousands)</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Conventional equivalent availability factor</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97.9 %</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5445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3"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2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Typical average capacity factors for solar facilities is 25%. The weighted-average capacity factors can vary based on seasonality and weather.</w:t>
      </w:r>
    </w:p>
    <w:p>
      <w:pPr>
        <w:spacing w:after="0" w:line="14"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2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Typical average capacity factors for wind facilities is 25-45%. The weighted-average capacity factors can vary based on seasonality and weather.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40" w:name="page41"/>
    <w:bookmarkEnd w:id="40"/>
    <w:p>
      <w:pPr>
        <w:ind w:right="4440"/>
        <w:spacing w:after="0" w:line="444" w:lineRule="auto"/>
        <w:rPr>
          <w:sz w:val="20"/>
          <w:szCs w:val="20"/>
          <w:color w:val="auto"/>
        </w:rPr>
      </w:pPr>
      <w:r>
        <w:rPr>
          <w:rFonts w:ascii="Times New Roman" w:cs="Times New Roman" w:eastAsia="Times New Roman" w:hAnsi="Times New Roman"/>
          <w:sz w:val="14"/>
          <w:szCs w:val="14"/>
          <w:b w:val="1"/>
          <w:bCs w:val="1"/>
          <w:color w:val="auto"/>
        </w:rPr>
        <w:t xml:space="preserve">Management’s Discussion of the Results of Operations for the Three Months Ended September 30, 2024 and 2023 </w:t>
      </w:r>
      <w:r>
        <w:rPr>
          <w:rFonts w:ascii="Times New Roman" w:cs="Times New Roman" w:eastAsia="Times New Roman" w:hAnsi="Times New Roman"/>
          <w:sz w:val="14"/>
          <w:szCs w:val="14"/>
          <w:b w:val="1"/>
          <w:bCs w:val="1"/>
          <w:i w:val="1"/>
          <w:iCs w:val="1"/>
          <w:color w:val="auto"/>
        </w:rPr>
        <w:t>Operating Revenues</w:t>
      </w:r>
    </w:p>
    <w:p>
      <w:pPr>
        <w:spacing w:after="0" w:line="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Operating revenues increased by $115 million during the three months ended September 30, 2024, compared to the same period in 2023, due to a combination of the drivers summarized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Borders>
              <w:bottom w:val="single" w:sz="8" w:color="CCEEFF"/>
            </w:tcBorders>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20"/>
        </w:trPr>
        <w:tc>
          <w:tcPr>
            <w:tcW w:w="240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Conventional Segment</w:t>
            </w:r>
          </w:p>
        </w:tc>
        <w:tc>
          <w:tcPr>
            <w:tcW w:w="7520" w:type="dxa"/>
            <w:vAlign w:val="bottom"/>
            <w:shd w:val="clear" w:color="auto" w:fill="CCEEFF"/>
          </w:tcPr>
          <w:p>
            <w:pPr>
              <w:ind w:left="260"/>
              <w:spacing w:after="0" w:line="120" w:lineRule="exact"/>
              <w:rPr>
                <w:sz w:val="20"/>
                <w:szCs w:val="20"/>
                <w:color w:val="auto"/>
              </w:rPr>
            </w:pPr>
            <w:r>
              <w:rPr>
                <w:rFonts w:ascii="Times New Roman" w:cs="Times New Roman" w:eastAsia="Times New Roman" w:hAnsi="Times New Roman"/>
                <w:sz w:val="13"/>
                <w:szCs w:val="13"/>
                <w:color w:val="auto"/>
              </w:rPr>
              <w:t>Decrease in energy revenue primarily driven by lower prices from merchant operations at the Walnut Creek and Marsh Landing</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400" w:type="dxa"/>
            <w:vAlign w:val="bottom"/>
            <w:shd w:val="clear" w:color="auto" w:fill="CCEEFF"/>
          </w:tcPr>
          <w:p>
            <w:pPr>
              <w:spacing w:after="0"/>
              <w:rPr>
                <w:sz w:val="16"/>
                <w:szCs w:val="16"/>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facilities, offset in part by lower cost of fuels as noted below.</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1"/>
                <w:szCs w:val="11"/>
                <w:color w:val="auto"/>
              </w:rPr>
            </w:pP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Decrease primarily driven by lower prices for capacity revenue due to the PPA expiration and commencement of RA capacity</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revenue at the El Segundo facility during the third quarter of 2023.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38"/>
        </w:trPr>
        <w:tc>
          <w:tcPr>
            <w:tcW w:w="24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Renewables Segment</w:t>
            </w:r>
          </w:p>
        </w:tc>
        <w:tc>
          <w:tcPr>
            <w:tcW w:w="7520" w:type="dxa"/>
            <w:vAlign w:val="bottom"/>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driven by the Daggett 2, Daggett 3, Victory Pass and Arica solar and BESS acquisitions, which reached commercial</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spacing w:after="0"/>
              <w:rPr>
                <w:sz w:val="12"/>
                <w:szCs w:val="12"/>
                <w:color w:val="auto"/>
              </w:rPr>
            </w:pPr>
          </w:p>
        </w:tc>
        <w:tc>
          <w:tcPr>
            <w:tcW w:w="752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operations in December 2023, July 2023, March 2024 and April 2024, respectively, the acquisitions of Texas Solar Nova 1 and</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spacing w:after="0"/>
              <w:rPr>
                <w:sz w:val="12"/>
                <w:szCs w:val="12"/>
                <w:color w:val="auto"/>
              </w:rPr>
            </w:pPr>
          </w:p>
        </w:tc>
        <w:tc>
          <w:tcPr>
            <w:tcW w:w="752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Texas Solar Nova 2 in December 2023 and March 2024, respectively, and the Rosamond Central BESS acquisition, which</w:t>
            </w:r>
          </w:p>
        </w:tc>
        <w:tc>
          <w:tcPr>
            <w:tcW w:w="2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reached commercial operations in June 2024.</w:t>
            </w:r>
          </w:p>
        </w:tc>
        <w:tc>
          <w:tcPr>
            <w:tcW w:w="2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Increase driven by the acquisition of the Cedar Creek wind facility in April 2024.</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amortization</w:t>
            </w: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driven by PPA amortization for various facilities.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8"/>
        </w:trPr>
        <w:tc>
          <w:tcPr>
            <w:tcW w:w="2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Mark-to-market economic hedging</w:t>
            </w: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primarily driven by decreases in forward power prices in the ERCOT and PJM markets.</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shd w:val="clear" w:color="auto" w:fill="CCEEFF"/>
          </w:tcPr>
          <w:p>
            <w:pPr>
              <w:spacing w:after="0"/>
              <w:rPr>
                <w:sz w:val="16"/>
                <w:szCs w:val="16"/>
                <w:color w:val="auto"/>
              </w:rPr>
            </w:pPr>
          </w:p>
        </w:tc>
        <w:tc>
          <w:tcPr>
            <w:tcW w:w="7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Cost of fuels decreased by $13 million during the three months ended September 30, 2024, compared to the same period in 2023, primarily driven by lower prices on fuel purchases at the Walnut Creek and Marsh Landing facilities.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increased by $91 million during the three months ended September 30, 2024, compared to the same period in 2023, primarily due to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changes in interest rates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interest expense due to an increase in principal balances for the Renewables segment primarily due to solar and BESS acquisitions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100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0"/>
        </w:trPr>
        <w:tc>
          <w:tcPr>
            <w:tcW w:w="10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 and Redeemable Noncontrolling Interests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2024, the Company had a net loss of $58 million attributable to noncontrolling interests and redeemable noncontrolling interests comprised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27"/>
        </w:trPr>
        <w:tc>
          <w:tcPr>
            <w:tcW w:w="992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VP-Arica TE Holdco LLC and Rosie TE HoldCo LLC</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HLBV losses)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8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VP-Arica TE Holdco LLC and Rosie TE Holdco LLC HLBV losses)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6"/>
        </w:trPr>
        <w:tc>
          <w:tcPr>
            <w:tcW w:w="9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jc w:val="right"/>
              <w:ind w:right="4129"/>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9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1" w:name="page42"/>
    <w:bookmarkEnd w:id="41"/>
    <w:p>
      <w:pPr>
        <w:ind w:firstLine="318"/>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2023, the Company had a net loss of $32 million attributable to noncontrolling interests and redeemable noncontrolling interests comprised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Daggett TE Holdco LLC HLBV losses)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Daggett TE Holdco LLC HLBV losses)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96"/>
        </w:trPr>
        <w:tc>
          <w:tcPr>
            <w:tcW w:w="9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jc w:val="right"/>
              <w:ind w:right="4129"/>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9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Management’s Discussion of the Results of Operations for the Nine Months Ended September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Revenues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Operating revenues increased by $50 million during the nine months ended September 30, 2024, compared to the same period in 2023, due to a combination of the drivers summarized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Borders>
              <w:bottom w:val="single" w:sz="8" w:color="CCEEFF"/>
            </w:tcBorders>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20"/>
        </w:trPr>
        <w:tc>
          <w:tcPr>
            <w:tcW w:w="240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Conventional Segment</w:t>
            </w:r>
          </w:p>
        </w:tc>
        <w:tc>
          <w:tcPr>
            <w:tcW w:w="7520" w:type="dxa"/>
            <w:vAlign w:val="bottom"/>
            <w:shd w:val="clear" w:color="auto" w:fill="CCEEFF"/>
          </w:tcPr>
          <w:p>
            <w:pPr>
              <w:ind w:left="260"/>
              <w:spacing w:after="0" w:line="120" w:lineRule="exact"/>
              <w:rPr>
                <w:sz w:val="20"/>
                <w:szCs w:val="20"/>
                <w:color w:val="auto"/>
              </w:rPr>
            </w:pPr>
            <w:r>
              <w:rPr>
                <w:rFonts w:ascii="Times New Roman" w:cs="Times New Roman" w:eastAsia="Times New Roman" w:hAnsi="Times New Roman"/>
                <w:sz w:val="13"/>
                <w:szCs w:val="13"/>
                <w:color w:val="auto"/>
              </w:rPr>
              <w:t>Decrease primarily driven by lower prices for capacity revenue due to the expiration of PPAs and commencement of RA</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spacing w:after="0"/>
              <w:rPr>
                <w:sz w:val="12"/>
                <w:szCs w:val="12"/>
                <w:color w:val="auto"/>
              </w:rPr>
            </w:pPr>
          </w:p>
        </w:tc>
        <w:tc>
          <w:tcPr>
            <w:tcW w:w="752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capacity revenue at the Walnut Creek and Marsh Landing facilities during the second quarter of 2023 and the El Segundo</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16"/>
                <w:szCs w:val="16"/>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facility during the third quarter of 2023.</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1"/>
                <w:szCs w:val="11"/>
                <w:color w:val="auto"/>
              </w:rPr>
            </w:pP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Decrease driven by the sales-type lease revenue recognition of the Marsh Landing Black Start addition during the second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quarter of 2023.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38"/>
        </w:trPr>
        <w:tc>
          <w:tcPr>
            <w:tcW w:w="2400" w:type="dxa"/>
            <w:vAlign w:val="bottom"/>
            <w:shd w:val="clear" w:color="auto" w:fill="CCEEFF"/>
          </w:tcPr>
          <w:p>
            <w:pPr>
              <w:spacing w:after="0"/>
              <w:rPr>
                <w:sz w:val="12"/>
                <w:szCs w:val="12"/>
                <w:color w:val="auto"/>
              </w:rPr>
            </w:pPr>
          </w:p>
        </w:tc>
        <w:tc>
          <w:tcPr>
            <w:tcW w:w="7520" w:type="dxa"/>
            <w:vAlign w:val="bottom"/>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primarily driven by higher energy revenue due to the commencement of merchant operations following the expiration</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400" w:type="dxa"/>
            <w:vAlign w:val="bottom"/>
            <w:shd w:val="clear" w:color="auto" w:fill="CCEEFF"/>
          </w:tcPr>
          <w:p>
            <w:pPr>
              <w:spacing w:after="0"/>
              <w:rPr>
                <w:sz w:val="16"/>
                <w:szCs w:val="16"/>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of PPAs at the Walnut Creek, Marsh Landing and El Segundo facilities during 2023.</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38"/>
        </w:trPr>
        <w:tc>
          <w:tcPr>
            <w:tcW w:w="2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Renewables Segment</w:t>
            </w: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driven by the Daggett 2, Daggett 3, Victory Pass and Arica solar and BESS acquisitions, which reached commercial</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752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operations in December 2023, July 2023, March 2024 and April 2024, respectively, the acquisition of Texas Solar Nova 1 and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752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Texas Solar Nova 2 in December 2023 and March 2024, respectively, and the Rosamond Central BESS acquisition, which</w:t>
            </w:r>
          </w:p>
        </w:tc>
        <w:tc>
          <w:tcPr>
            <w:tcW w:w="2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reached commercial operations in June 2024.</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primarily driven by higher wind production at the Alta wind facilities.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Increase driven by the acquisition of the Cedar Creek wind facility in April 2024.</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amortization</w:t>
            </w: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primarily driven by the Walnut Creek PPA, which was fully amortized during the second quarter of 2023.</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8"/>
        </w:trPr>
        <w:tc>
          <w:tcPr>
            <w:tcW w:w="2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Mark-to-market economic hedging</w:t>
            </w: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Decrease primarily driven by an increase in forward power prices in the PJM market.</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38"/>
        </w:trPr>
        <w:tc>
          <w:tcPr>
            <w:tcW w:w="2400" w:type="dxa"/>
            <w:vAlign w:val="bottom"/>
            <w:shd w:val="clear" w:color="auto" w:fill="CCEEFF"/>
          </w:tcPr>
          <w:p>
            <w:pPr>
              <w:spacing w:after="0"/>
              <w:rPr>
                <w:sz w:val="12"/>
                <w:szCs w:val="12"/>
                <w:color w:val="auto"/>
              </w:rPr>
            </w:pPr>
          </w:p>
        </w:tc>
        <w:tc>
          <w:tcPr>
            <w:tcW w:w="7520" w:type="dxa"/>
            <w:vAlign w:val="bottom"/>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due to heat rate call option contracts entered into by El Segundo, Marsh Landing and Walnut Creek during the third</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400" w:type="dxa"/>
            <w:vAlign w:val="bottom"/>
            <w:shd w:val="clear" w:color="auto" w:fill="CCEEFF"/>
          </w:tcPr>
          <w:p>
            <w:pPr>
              <w:spacing w:after="0"/>
              <w:rPr>
                <w:sz w:val="16"/>
                <w:szCs w:val="16"/>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quarter of 2023.</w:t>
            </w: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Cost of fuels decreased by $13 million during the nine months ended September 30, 2024, compared to the same period in 2023, primarily due to the associated costs of the sales-type lease recognition of the Marsh Landing Black Start addition during the second quarter of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Operations and maintenance expense increased by $19 million during the nine months ended September 30, 2024, compared to the same period in 2023, primarily due to solar and BESS acquisitions.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and Accretion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Depreciation, amortization and accretion increased $82 million during the nine months ended September 30, 2024, compared to the same period in 2023, primarily due to the acquisitions of the Daggett 2, Daggett 3, Victory Pass and Arica solar and BESS facilities, Texas Solar Nova 1 and Texas Solar Nova 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 Earnings of Unconsolidated Affiliates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Equity in earnings of unconsolidated affiliates increased by $22 million during nine months ended September 30, 2024, compared to the same period in 2023, due to changes in the fair value of interest rate swaps, lower depreciation expense and higher wind production.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increased by $82 million during the nine months ended September 30, 2024, compared to the same period in 2023, primarily due to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changes in interest rates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interest expense due to an increase in principal balances for the Renewables segment primarily due to solar and BESS acquisitions</w:t>
            </w:r>
          </w:p>
        </w:tc>
        <w:tc>
          <w:tcPr>
            <w:tcW w:w="220" w:type="dxa"/>
            <w:vAlign w:val="bottom"/>
          </w:tcPr>
          <w:p>
            <w:pPr>
              <w:spacing w:after="0"/>
              <w:rPr>
                <w:sz w:val="15"/>
                <w:szCs w:val="15"/>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(3)</w:t>
            </w:r>
          </w:p>
        </w:tc>
      </w:tr>
      <w:tr>
        <w:trPr>
          <w:trHeight w:val="171"/>
        </w:trPr>
        <w:tc>
          <w:tcPr>
            <w:tcW w:w="99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82</w:t>
            </w:r>
          </w:p>
        </w:tc>
      </w:tr>
      <w:tr>
        <w:trPr>
          <w:trHeight w:val="20"/>
        </w:trPr>
        <w:tc>
          <w:tcPr>
            <w:tcW w:w="9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 and Redeemable Noncontrolling Interests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2024, the Company had a net loss of $183 million attributable to noncontrolling interests and redeemable noncontrolling interests comprised of the following:</w:t>
      </w:r>
    </w:p>
    <w:p>
      <w:pPr>
        <w:sectPr>
          <w:pgSz w:w="11900" w:h="16838" w:orient="portrait"/>
          <w:cols w:equalWidth="0" w:num="1">
            <w:col w:w="11280"/>
          </w:cols>
          <w:pgMar w:left="300" w:top="728" w:right="319" w:bottom="1440" w:gutter="0" w:footer="0" w:header="0"/>
        </w:sectPr>
      </w:pPr>
    </w:p>
    <w:p>
      <w:pPr>
        <w:spacing w:after="0" w:line="199" w:lineRule="exact"/>
        <w:rPr>
          <w:sz w:val="20"/>
          <w:szCs w:val="20"/>
          <w:color w:val="auto"/>
        </w:rPr>
      </w:pPr>
    </w:p>
    <w:p>
      <w:pPr>
        <w:ind w:left="20" w:right="300"/>
        <w:spacing w:after="0" w:line="239"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VP-Arica TE Holdco LLC, Rosie TE HoldCo LLC, Daggett TE Holdco LLC and Daggett 2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161530" cy="208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0"/>
        <w:spacing w:after="0" w:line="239" w:lineRule="auto"/>
        <w:rPr>
          <w:sz w:val="20"/>
          <w:szCs w:val="20"/>
          <w:color w:val="auto"/>
        </w:rPr>
      </w:pPr>
      <w:r>
        <w:rPr>
          <w:rFonts w:ascii="Times New Roman" w:cs="Times New Roman" w:eastAsia="Times New Roman" w:hAnsi="Times New Roman"/>
          <w:sz w:val="14"/>
          <w:szCs w:val="14"/>
          <w:color w:val="auto"/>
        </w:rPr>
        <w:t>Income attributable to third-party partnerships (primarily due to VP-Arica TE Holdco LLC, Rosie TE Holdco LLC, Daggett TE Holdco LLC and Daggett 2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61530"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31"/>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67" w:lineRule="exact"/>
        <w:rPr>
          <w:sz w:val="20"/>
          <w:szCs w:val="20"/>
          <w:color w:val="auto"/>
        </w:rPr>
      </w:pPr>
    </w:p>
    <w:p>
      <w:pPr>
        <w:ind w:left="1031" w:hanging="1031"/>
        <w:spacing w:after="0"/>
        <w:tabs>
          <w:tab w:leader="none" w:pos="103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(307)</w:t>
      </w:r>
    </w:p>
    <w:p>
      <w:pPr>
        <w:spacing w:after="0" w:line="179" w:lineRule="exact"/>
        <w:rPr>
          <w:sz w:val="20"/>
          <w:szCs w:val="20"/>
          <w:color w:val="auto"/>
        </w:rPr>
      </w:pPr>
    </w:p>
    <w:p>
      <w:pPr>
        <w:ind w:left="1091"/>
        <w:spacing w:after="0"/>
        <w:rPr>
          <w:sz w:val="20"/>
          <w:szCs w:val="20"/>
          <w:color w:val="auto"/>
        </w:rPr>
      </w:pPr>
      <w:r>
        <w:rPr>
          <w:rFonts w:ascii="Times New Roman" w:cs="Times New Roman" w:eastAsia="Times New Roman" w:hAnsi="Times New Roman"/>
          <w:sz w:val="14"/>
          <w:szCs w:val="14"/>
          <w:color w:val="auto"/>
        </w:rPr>
        <w:t>124</w:t>
      </w:r>
    </w:p>
    <w:p>
      <w:pPr>
        <w:spacing w:after="0" w:line="30" w:lineRule="exact"/>
        <w:rPr>
          <w:sz w:val="20"/>
          <w:szCs w:val="20"/>
          <w:color w:val="auto"/>
        </w:rPr>
      </w:pPr>
    </w:p>
    <w:p>
      <w:pPr>
        <w:ind w:left="1031" w:hanging="1031"/>
        <w:spacing w:after="0"/>
        <w:tabs>
          <w:tab w:leader="none" w:pos="103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86931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0" w:space="129"/>
            <w:col w:w="1351"/>
          </w:cols>
          <w:pgMar w:left="300" w:top="728" w:right="319" w:bottom="1440" w:gutter="0" w:footer="0" w:header="0"/>
          <w:type w:val="continuous"/>
        </w:sectPr>
      </w:pPr>
    </w:p>
    <w:p>
      <w:pPr>
        <w:spacing w:after="0" w:line="54"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2023, the Company had a net loss of $62 million attributable to noncontrolling interests and redeemable noncontrolling interests comprised of the following:</w:t>
      </w:r>
    </w:p>
    <w:p>
      <w:pPr>
        <w:sectPr>
          <w:pgSz w:w="11900" w:h="16838" w:orient="portrait"/>
          <w:cols w:equalWidth="0" w:num="1">
            <w:col w:w="11280"/>
          </w:cols>
          <w:pgMar w:left="300" w:top="728" w:right="319" w:bottom="1440" w:gutter="0" w:footer="0" w:header="0"/>
          <w:type w:val="continuous"/>
        </w:sectPr>
      </w:pPr>
    </w:p>
    <w:p>
      <w:pPr>
        <w:spacing w:after="0" w:line="199"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Daggett TE Holdco LLC HLBV losses during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161530" cy="2089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Daggett TE Holdco LLC HLBV losses during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31"/>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67" w:lineRule="exact"/>
        <w:rPr>
          <w:sz w:val="20"/>
          <w:szCs w:val="20"/>
          <w:color w:val="auto"/>
        </w:rPr>
      </w:pPr>
    </w:p>
    <w:p>
      <w:pPr>
        <w:ind w:left="1031" w:hanging="1031"/>
        <w:spacing w:after="0"/>
        <w:tabs>
          <w:tab w:leader="none" w:pos="103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(205)</w:t>
      </w:r>
    </w:p>
    <w:p>
      <w:pPr>
        <w:spacing w:after="0" w:line="34"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143</w:t>
      </w:r>
    </w:p>
    <w:p>
      <w:pPr>
        <w:spacing w:after="0" w:line="26" w:lineRule="exact"/>
        <w:rPr>
          <w:sz w:val="20"/>
          <w:szCs w:val="20"/>
          <w:color w:val="auto"/>
        </w:rPr>
      </w:pPr>
    </w:p>
    <w:p>
      <w:pPr>
        <w:ind w:left="1091" w:hanging="1091"/>
        <w:spacing w:after="0"/>
        <w:tabs>
          <w:tab w:leader="none" w:pos="109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86931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00" w:space="229"/>
            <w:col w:w="1351"/>
          </w:cols>
          <w:pgMar w:left="300" w:top="728" w:right="31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 w:cs="Times New Roman" w:eastAsia="Times New Roman" w:hAnsi="Times New Roman"/>
          <w:sz w:val="14"/>
          <w:szCs w:val="14"/>
          <w:color w:val="000000"/>
        </w:rPr>
        <w:t>As a normal part of the Company’s business, depending on market conditions, the Company will from time to time consider opportunities to repay, redeem, repurchase 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December 31, 2023</w:t>
      </w:r>
      <w:r>
        <w:rPr>
          <w:rFonts w:ascii="Times New Roman" w:cs="Times New Roman" w:eastAsia="Times New Roman" w:hAnsi="Times New Roman"/>
          <w:sz w:val="14"/>
          <w:szCs w:val="14"/>
          <w:color w:val="231F20"/>
        </w:rPr>
        <w:t>, the Company’s liquidity was approximately $1.27 billion and $1.51 billion, respectively, comprised of cash, restricted cash and availability under the Company’s revolving credit facility.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1"/>
                <w:szCs w:val="11"/>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260" w:type="dxa"/>
            <w:vAlign w:val="bottom"/>
          </w:tcPr>
          <w:p>
            <w:pPr>
              <w:spacing w:after="0"/>
              <w:rPr>
                <w:sz w:val="11"/>
                <w:szCs w:val="11"/>
                <w:color w:val="auto"/>
              </w:rPr>
            </w:pPr>
          </w:p>
        </w:tc>
        <w:tc>
          <w:tcPr>
            <w:tcW w:w="150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Clearway Energy LLC, excluding subsidiaries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180"/>
        </w:trPr>
        <w:tc>
          <w:tcPr>
            <w:tcW w:w="20" w:type="dxa"/>
            <w:vAlign w:val="bottom"/>
            <w:shd w:val="clear" w:color="auto" w:fill="CCEEFF"/>
          </w:tcPr>
          <w:p>
            <w:pPr>
              <w:spacing w:after="0"/>
              <w:rPr>
                <w:sz w:val="15"/>
                <w:szCs w:val="15"/>
                <w:color w:val="auto"/>
              </w:rPr>
            </w:pPr>
          </w:p>
        </w:tc>
        <w:tc>
          <w:tcPr>
            <w:tcW w:w="7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Subsidiaries</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20" w:type="dxa"/>
            <w:vAlign w:val="bottom"/>
          </w:tcPr>
          <w:p>
            <w:pPr>
              <w:spacing w:after="0"/>
              <w:rPr>
                <w:sz w:val="15"/>
                <w:szCs w:val="15"/>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Operating accounts</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20" w:type="dxa"/>
            <w:vAlign w:val="bottom"/>
            <w:tcBorders>
              <w:bottom w:val="single" w:sz="8" w:color="CCEEFF"/>
            </w:tcBorders>
          </w:tcPr>
          <w:p>
            <w:pPr>
              <w:spacing w:after="0"/>
              <w:rPr>
                <w:sz w:val="15"/>
                <w:szCs w:val="15"/>
                <w:color w:val="auto"/>
              </w:rPr>
            </w:pPr>
          </w:p>
        </w:tc>
        <w:tc>
          <w:tcPr>
            <w:tcW w:w="76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Reserves, including debt service, distributions, performance obligations and other reserves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71"/>
        </w:trPr>
        <w:tc>
          <w:tcPr>
            <w:tcW w:w="20" w:type="dxa"/>
            <w:vAlign w:val="bottom"/>
            <w:shd w:val="clear" w:color="auto" w:fill="CCEEFF"/>
          </w:tcPr>
          <w:p>
            <w:pPr>
              <w:spacing w:after="0"/>
              <w:rPr>
                <w:sz w:val="14"/>
                <w:szCs w:val="14"/>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180"/>
        </w:trPr>
        <w:tc>
          <w:tcPr>
            <w:tcW w:w="20" w:type="dxa"/>
            <w:vAlign w:val="bottom"/>
            <w:tcBorders>
              <w:bottom w:val="single" w:sz="8" w:color="CCEEFF"/>
            </w:tcBorders>
          </w:tcPr>
          <w:p>
            <w:pPr>
              <w:spacing w:after="0"/>
              <w:rPr>
                <w:sz w:val="15"/>
                <w:szCs w:val="15"/>
                <w:color w:val="auto"/>
              </w:rPr>
            </w:pPr>
          </w:p>
        </w:tc>
        <w:tc>
          <w:tcPr>
            <w:tcW w:w="76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Revolving credit facility availability</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liquidity</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Company’s liquidity includes $382 million and $516 million of restricted cash balances as of September 30, 2024 and December 31,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31F20"/>
        </w:rPr>
        <w:t xml:space="preserve">,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4"/>
          <w:szCs w:val="14"/>
          <w:color w:val="000000"/>
        </w:rPr>
        <w:t>September 30, 2024, these restricted funds were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comprised of $183 million designated to fund operating expenses, approximately $71 million designated for current debt service payments and $89 million restricted for reserves including debt service, performance obligations and other reserves, as well as capital expenditures. The remaining $39 million is held in distribution reserve accounts.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Clearway Energy LLC and Clearway Energy Operating LLC Revolving Credit Facility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September 30, 2024, the Company had no outstanding borrowings under the revolving credit facility and $108 million in letters of credit outstanding. </w:t>
      </w:r>
      <w:r>
        <w:rPr>
          <w:rFonts w:ascii="Times New Roman" w:cs="Times New Roman" w:eastAsia="Times New Roman" w:hAnsi="Times New Roman"/>
          <w:sz w:val="14"/>
          <w:szCs w:val="14"/>
          <w:color w:val="231F20"/>
        </w:rPr>
        <w:t>The facility will continue to be used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for general corporate purposes including financing of future acquisitions and posting letters of credit.</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September 30, 2024, the Company’s 2028 Senior Notes, 2031 Senior Notes and 2032 Senior Notes were rated BB by S&amp;P and Ba2 by Moody’s.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xml:space="preserve">, to this Form 10-Q and Item 15 — Note 10,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xml:space="preserve">, to the consolidated financial statements included in the Company’s </w:t>
      </w:r>
      <w:r>
        <w:rPr>
          <w:rFonts w:ascii="Times New Roman" w:cs="Times New Roman" w:eastAsia="Times New Roman" w:hAnsi="Times New Roman"/>
          <w:sz w:val="14"/>
          <w:szCs w:val="14"/>
          <w:color w:val="000000"/>
        </w:rPr>
        <w:t>2023 Form 10-K</w:t>
      </w:r>
      <w:r>
        <w:rPr>
          <w:rFonts w:ascii="Times New Roman" w:cs="Times New Roman" w:eastAsia="Times New Roman" w:hAnsi="Times New Roman"/>
          <w:sz w:val="14"/>
          <w:szCs w:val="14"/>
          <w:color w:val="231F20"/>
        </w:rPr>
        <w:t xml:space="preserve">, the Company’s financing arrangements consist of </w:t>
      </w:r>
      <w:r>
        <w:rPr>
          <w:rFonts w:ascii="Times New Roman" w:cs="Times New Roman" w:eastAsia="Times New Roman" w:hAnsi="Times New Roman"/>
          <w:sz w:val="14"/>
          <w:szCs w:val="14"/>
          <w:color w:val="000000"/>
        </w:rPr>
        <w:t>corporate level debt,</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which includes Senior Notes, intercompany borrowings with Clearway, Inc. and the revolving credit facility; the ATM Program; and facility-level financings for its various assets.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31F20"/>
        </w:rPr>
        <w:t>Capistrano Portfolio Holdco LLC Financing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The term loan bears interest at a rate of SOFR plus 1.625% per annum and matures on September 28, 2033. The Company utilized the proceeds from the term loan to pay off the existing debt in the amount of $63 million related to Broken Bow and Crofton Bluffs and to pay related financing costs.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Natural Gas Holdco LC Facility</w:t>
      </w:r>
    </w:p>
    <w:p>
      <w:pPr>
        <w:spacing w:after="0" w:line="12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25, 2024, the Company, through its indirect subsidiary, Natural Gas Holdco, entered into a financing agreement that provides for a $200 million letter of credit facility, which is being utilized to support the collateral needs of the Company’s merchant conventional facilities and freed up capacity on the Company’s corporate revolving credit facility. The letter of credit facility has an initial term of three years and the option for two additional one-year extensions. As of September 30, 2024, $107 million was outstanding under the letter of credit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(ii) capital expenditures; (iii) off-balance sheet arrangements; (iv) acquisitions and investments, as described more fully in</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Note 3,</w:t>
      </w:r>
      <w:r>
        <w:rPr>
          <w:rFonts w:ascii="Times New Roman" w:cs="Times New Roman" w:eastAsia="Times New Roman" w:hAnsi="Times New Roman"/>
          <w:sz w:val="14"/>
          <w:szCs w:val="14"/>
          <w:i w:val="1"/>
          <w:iCs w:val="1"/>
          <w:color w:val="000000"/>
        </w:rPr>
        <w:t xml:space="preserve"> Acquisitions </w:t>
      </w:r>
      <w:r>
        <w:rPr>
          <w:rFonts w:ascii="Times New Roman" w:cs="Times New Roman" w:eastAsia="Times New Roman" w:hAnsi="Times New Roman"/>
          <w:sz w:val="14"/>
          <w:szCs w:val="14"/>
          <w:color w:val="000000"/>
        </w:rPr>
        <w:t>and Note 4,</w:t>
      </w:r>
      <w:r>
        <w:rPr>
          <w:rFonts w:ascii="Times New Roman" w:cs="Times New Roman" w:eastAsia="Times New Roman" w:hAnsi="Times New Roman"/>
          <w:sz w:val="14"/>
          <w:szCs w:val="14"/>
          <w:i w:val="1"/>
          <w:iCs w:val="1"/>
          <w:color w:val="000000"/>
        </w:rPr>
        <w:t xml:space="preserve"> Investments Accounted for by the Equity Method and Variable Interest Entities</w:t>
      </w:r>
      <w:r>
        <w:rPr>
          <w:rFonts w:ascii="Times New Roman" w:cs="Times New Roman" w:eastAsia="Times New Roman" w:hAnsi="Times New Roman"/>
          <w:sz w:val="14"/>
          <w:szCs w:val="14"/>
          <w:color w:val="231F20"/>
        </w:rPr>
        <w:t>; and (v) distributions.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Capital Expenditures</w:t>
      </w:r>
    </w:p>
    <w:p>
      <w:pPr>
        <w:spacing w:after="0" w:line="138"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2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231F20"/>
        </w:rPr>
        <w:t xml:space="preserve">For the nine months ended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the Company used approximately $237 million to fund capital expenditures, including growth </w:t>
      </w:r>
      <w:r>
        <w:rPr>
          <w:rFonts w:ascii="Times New Roman" w:cs="Times New Roman" w:eastAsia="Times New Roman" w:hAnsi="Times New Roman"/>
          <w:sz w:val="14"/>
          <w:szCs w:val="14"/>
          <w:color w:val="000000"/>
        </w:rPr>
        <w:t>expenditures of $229 million, primarily in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Renewables segment, funded through construction-related financing. Growth capital expenditures included $106 million incurred in connection with the Victory Pass and Arica solar and BESS facilities, $41 million incurred in connection with the Rosamond Central BESS facility, $28 million incurred in connection with the repowering of the Cedro Hill wind facility, $18 million incurred in connection with the Texas Solar Nova 1 and Texas Solar Nova 2 facilities, $14 million incurred in connection with the Daggett 2 solar and BESS facility, $9 million incurred in connection with the Daggett 3 solar and BESS facility, $8 million incurred in connection with the Cedar Creek wind facility and $5 million incurred by other facilities. In addition, the Company incurred $8 million in maintenance capital expenditures.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Certain Guarantee Contracts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Retained or Contingent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Arising Out of a Variable Interest in an Unconsolidated Entity</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Variable interest in equity investments </w:t>
      </w:r>
      <w:r>
        <w:rPr>
          <w:rFonts w:ascii="Times New Roman" w:cs="Times New Roman" w:eastAsia="Times New Roman" w:hAnsi="Times New Roman"/>
          <w:sz w:val="14"/>
          <w:szCs w:val="14"/>
          <w:color w:val="auto"/>
        </w:rPr>
        <w:t>— As of September 30, 2024, the Company has several investments with an ownership interest percentage of 50% or less. GenConn is a VIE for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Company is not the primary beneficiary. The Company’s pro-rata share of non-recourse debt held by unconsolidated affiliates was approximately $290 million as of September 30, 2024. This indebtedness may restrict the ability of these subsidiaries to issue dividends or distributions to the Company.</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Commercial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 w:cs="Times New Roman" w:eastAsia="Times New Roman" w:hAnsi="Times New Roman"/>
          <w:sz w:val="14"/>
          <w:szCs w:val="14"/>
          <w:color w:val="231F20"/>
        </w:rPr>
        <w:t>2023</w:t>
      </w:r>
      <w:r>
        <w:rPr>
          <w:rFonts w:ascii="Times New Roman" w:cs="Times New Roman" w:eastAsia="Times New Roman" w:hAnsi="Times New Roman"/>
          <w:sz w:val="14"/>
          <w:szCs w:val="14"/>
          <w:color w:val="auto"/>
        </w:rPr>
        <w:t xml:space="preserve"> Form 10-K.</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Acquisitions and Investments</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6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4"/>
          <w:szCs w:val="14"/>
          <w:i w:val="1"/>
          <w:iCs w:val="1"/>
          <w:color w:val="auto"/>
        </w:rPr>
        <w:t xml:space="preserve">Rosamond Central BESS Drop Down and Financing Activities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June 13, 2024, when the Rosamond Central BESS facility reached substantial completion, the Company paid $279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Including the additional purchase price, the Company’s total purchase price was $349 million, $80 million of which was funded by the Company with the remaining $269 million funded through contributions from third-party investors. Clearway Renew utilized the additional proceeds to repay the balance of $184 million on the loan previously issued to its consolidated subsidiary by Rosie Class B LLC and to redeem Rosie Class B LLC’s entire equity investment in Rosie Central BESS of $28 million. The Company utilized proceeds from Clearway Renew, along with $39 million held previously in escrow and $56 million of the Company’s additional purchase price that was contributed back by CEG, to repay the tax equity bridge loan, to make a distribution to the cash equity investor, to fund construction completion reserves and to pay associated fees. Additionally, on June 13, 2024, the outstanding construction loans were converted to a term loan.</w:t>
      </w:r>
    </w:p>
    <w:p>
      <w:pPr>
        <w:spacing w:after="0" w:line="10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Victory Pass and Arica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May 1, 2024, when the Victory Pass and Arica solar and BESS facilities reached substantial completion, the Company paid $165 million to Clearway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Renew as additional purchase price, in connection with the Company’s acquisition of the Class A membership interests in VP-Arica TargetCo LLC on October 31, 2023, which was funded with existing sources of liquidity.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Prior to the repayment of the tax equity bridge loan, the Company borrowed an additional $62 million during 2024.</w:t>
      </w:r>
    </w:p>
    <w:p>
      <w:pPr>
        <w:spacing w:after="0" w:line="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Cedar Creek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Creek, a 160 MW wind facility that is located in Bingham County, Idaho, from Clearway Renew for cash consideration of $117 million. Cedar Creek Holdco LLC consolidates as primary beneficiary, Cedar Creek TE Holdco LLC, a tax equity fund that owns the Cedar Creek wind facility. Cedar Creek has a 25-year PPA with an investment-grade utility that commenced in March 2024. The acquisition was funded with existing sources of liquidity. Additionally, the Company assumed the facility’s financing agreement, which included a construction loan that converted to a term loan at acquisition date along with a cash equity bridge loan and tax equity bridge loan that were both repaid at acquisition date.</w:t>
      </w:r>
    </w:p>
    <w:p>
      <w:pPr>
        <w:spacing w:after="0" w:line="97"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Texas Solar Nova 2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Texas Solar Nova 2 has an 18-year PPA with an investment-grade counterparty that commenced in February 2024. The Company’s portion of the purchase price was funded with existing sources of liquidity. Additionally, the Company assumed the facility’s financing agreement, which included a tax equity bridge loan that was repaid at acquisition date and a term loan.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Cash Distributions to Clearway, Inc.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Company’s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distributions paid on the Company’s Class A, B, C and D units during the nine months ended September 30,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2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60" w:type="dxa"/>
            <w:vAlign w:val="bottom"/>
          </w:tcPr>
          <w:p>
            <w:pPr>
              <w:spacing w:after="0"/>
              <w:rPr>
                <w:sz w:val="13"/>
                <w:szCs w:val="13"/>
                <w:color w:val="auto"/>
              </w:rPr>
            </w:pPr>
          </w:p>
        </w:tc>
        <w:tc>
          <w:tcPr>
            <w:tcW w:w="1160" w:type="dxa"/>
            <w:vAlign w:val="bottom"/>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per Class A, B, C and D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October 29, 2024, the Company declared a distribution on its Class A, Class B, Class C and Class D units of $0.4240 per unit payable on December 16, 2024 to unit holders of record as of December 2, 2024.</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reflect the changes in cash flows for the comparative periods: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7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center"/>
              <w:ind w:left="555"/>
              <w:spacing w:after="0"/>
              <w:rPr>
                <w:sz w:val="20"/>
                <w:szCs w:val="20"/>
                <w:color w:val="auto"/>
              </w:rPr>
            </w:pPr>
            <w:r>
              <w:rPr>
                <w:rFonts w:ascii="Times New Roman" w:cs="Times New Roman" w:eastAsia="Times New Roman" w:hAnsi="Times New Roman"/>
                <w:sz w:val="14"/>
                <w:szCs w:val="14"/>
                <w:color w:val="auto"/>
                <w:w w:val="95"/>
              </w:rPr>
              <w:t>580</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5"/>
                <w:szCs w:val="15"/>
                <w:color w:val="auto"/>
              </w:rPr>
            </w:pPr>
          </w:p>
        </w:tc>
        <w:tc>
          <w:tcPr>
            <w:tcW w:w="1060" w:type="dxa"/>
            <w:vAlign w:val="bottom"/>
          </w:tcPr>
          <w:p>
            <w:pPr>
              <w:jc w:val="center"/>
              <w:ind w:left="535"/>
              <w:spacing w:after="0"/>
              <w:rPr>
                <w:sz w:val="20"/>
                <w:szCs w:val="20"/>
                <w:color w:val="auto"/>
              </w:rPr>
            </w:pPr>
            <w:r>
              <w:rPr>
                <w:rFonts w:ascii="Times New Roman" w:cs="Times New Roman" w:eastAsia="Times New Roman" w:hAnsi="Times New Roman"/>
                <w:sz w:val="14"/>
                <w:szCs w:val="14"/>
                <w:color w:val="auto"/>
                <w:w w:val="98"/>
              </w:rPr>
              <w:t>(674)</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4"/>
                <w:szCs w:val="14"/>
                <w:color w:val="auto"/>
                <w:w w:val="98"/>
              </w:rPr>
              <w:t>(283)</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371"/>
        </w:trPr>
        <w:tc>
          <w:tcPr>
            <w:tcW w:w="72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71"/>
        </w:trPr>
        <w:tc>
          <w:tcPr>
            <w:tcW w:w="72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operating income after adjusting for non-cash items</w:t>
            </w:r>
          </w:p>
        </w:tc>
        <w:tc>
          <w:tcPr>
            <w:tcW w:w="3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distributions from unconsolidated affiliates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from changes in working capital primarily driven by the timing of accounts receivable collections and payments of accounts payable</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71"/>
        </w:trPr>
        <w:tc>
          <w:tcPr>
            <w:tcW w:w="72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cash paid for Drop Down Assets, net of cash acquired</w:t>
            </w:r>
          </w:p>
        </w:tc>
        <w:tc>
          <w:tcPr>
            <w:tcW w:w="3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capital expenditures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note receivable – affiliate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investments in unconsolidated affiliates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the return of investment from unconsolidated affiliates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net cash used in financing activities were driven by: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71"/>
        </w:trPr>
        <w:tc>
          <w:tcPr>
            <w:tcW w:w="72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contributions from noncontrolling interests and CEG, net of distributions</w:t>
            </w:r>
          </w:p>
        </w:tc>
        <w:tc>
          <w:tcPr>
            <w:tcW w:w="3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tax-related distributions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payments of debt issuance costs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payments for long-term debt and a decrease in proceeds from issuance of long-term debt</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distributions paid to unit holders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5580"/>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8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w:t>
      </w:r>
      <w:r>
        <w:rPr>
          <w:rFonts w:ascii="Times New Roman" w:cs="Times New Roman" w:eastAsia="Times New Roman" w:hAnsi="Times New Roman"/>
          <w:sz w:val="14"/>
          <w:szCs w:val="14"/>
          <w:color w:val="000000"/>
        </w:rPr>
        <w:t xml:space="preserve"> Note 5</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 Activity (Losses) Gains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2023</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Contracts realized or otherwise settled during the period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Changes in fair value</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September 30, 2024</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6"/>
            <w:vMerge w:val="restart"/>
          </w:tcPr>
          <w:p>
            <w:pPr>
              <w:jc w:val="center"/>
              <w:ind w:left="17"/>
              <w:spacing w:after="0"/>
              <w:rPr>
                <w:sz w:val="20"/>
                <w:szCs w:val="20"/>
                <w:color w:val="auto"/>
              </w:rPr>
            </w:pPr>
            <w:r>
              <w:rPr>
                <w:rFonts w:ascii="Times New Roman" w:cs="Times New Roman" w:eastAsia="Times New Roman" w:hAnsi="Times New Roman"/>
                <w:sz w:val="11"/>
                <w:szCs w:val="11"/>
                <w:b w:val="1"/>
                <w:bCs w:val="1"/>
                <w:color w:val="auto"/>
              </w:rPr>
              <w:t>Fair value of contracts as of September 30, 2024</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Fair Value Hierarchy (Losses) Gains</w:t>
            </w:r>
          </w:p>
        </w:tc>
        <w:tc>
          <w:tcPr>
            <w:tcW w:w="180" w:type="dxa"/>
            <w:vAlign w:val="bottom"/>
          </w:tcPr>
          <w:p>
            <w:pPr>
              <w:spacing w:after="0"/>
              <w:rPr>
                <w:sz w:val="9"/>
                <w:szCs w:val="9"/>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1 Year or Less</w:t>
            </w:r>
          </w:p>
        </w:tc>
        <w:tc>
          <w:tcPr>
            <w:tcW w:w="100" w:type="dxa"/>
            <w:vAlign w:val="bottom"/>
          </w:tcPr>
          <w:p>
            <w:pPr>
              <w:spacing w:after="0"/>
              <w:rPr>
                <w:sz w:val="9"/>
                <w:szCs w:val="9"/>
                <w:color w:val="auto"/>
              </w:rPr>
            </w:pPr>
          </w:p>
        </w:tc>
        <w:tc>
          <w:tcPr>
            <w:tcW w:w="114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100" w:type="dxa"/>
            <w:vAlign w:val="bottom"/>
          </w:tcPr>
          <w:p>
            <w:pPr>
              <w:spacing w:after="0"/>
              <w:rPr>
                <w:sz w:val="9"/>
                <w:szCs w:val="9"/>
                <w:color w:val="auto"/>
              </w:rPr>
            </w:pPr>
          </w:p>
        </w:tc>
        <w:tc>
          <w:tcPr>
            <w:tcW w:w="11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9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right"/>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Total Fair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8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1 Year to 3 Years</w:t>
            </w:r>
          </w:p>
        </w:tc>
        <w:tc>
          <w:tcPr>
            <w:tcW w:w="100" w:type="dxa"/>
            <w:vAlign w:val="bottom"/>
          </w:tcPr>
          <w:p>
            <w:pPr>
              <w:spacing w:after="0"/>
              <w:rPr>
                <w:sz w:val="9"/>
                <w:szCs w:val="9"/>
                <w:color w:val="auto"/>
              </w:rPr>
            </w:pPr>
          </w:p>
        </w:tc>
        <w:tc>
          <w:tcPr>
            <w:tcW w:w="116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3 Years to 5 Years</w:t>
            </w:r>
          </w:p>
        </w:tc>
        <w:tc>
          <w:tcPr>
            <w:tcW w:w="980" w:type="dxa"/>
            <w:vAlign w:val="bottom"/>
          </w:tcPr>
          <w:p>
            <w:pPr>
              <w:jc w:val="right"/>
              <w:ind w:right="118"/>
              <w:spacing w:after="0" w:line="95" w:lineRule="exact"/>
              <w:rPr>
                <w:sz w:val="20"/>
                <w:szCs w:val="20"/>
                <w:color w:val="auto"/>
              </w:rPr>
            </w:pPr>
            <w:r>
              <w:rPr>
                <w:rFonts w:ascii="Times New Roman" w:cs="Times New Roman" w:eastAsia="Times New Roman" w:hAnsi="Times New Roman"/>
                <w:sz w:val="10"/>
                <w:szCs w:val="10"/>
                <w:b w:val="1"/>
                <w:bCs w:val="1"/>
                <w:color w:val="auto"/>
              </w:rPr>
              <w:t>5 Years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right"/>
              <w:ind w:right="440"/>
              <w:spacing w:after="0" w:line="95" w:lineRule="exact"/>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center"/>
              <w:ind w:left="713"/>
              <w:spacing w:after="0"/>
              <w:rPr>
                <w:sz w:val="20"/>
                <w:szCs w:val="20"/>
                <w:color w:val="auto"/>
              </w:rPr>
            </w:pPr>
            <w:r>
              <w:rPr>
                <w:rFonts w:ascii="Times New Roman" w:cs="Times New Roman" w:eastAsia="Times New Roman" w:hAnsi="Times New Roman"/>
                <w:sz w:val="14"/>
                <w:szCs w:val="14"/>
                <w:color w:val="auto"/>
                <w:w w:val="99"/>
              </w:rPr>
              <w:t>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center"/>
              <w:ind w:left="738"/>
              <w:spacing w:after="0"/>
              <w:rPr>
                <w:sz w:val="20"/>
                <w:szCs w:val="20"/>
                <w:color w:val="auto"/>
              </w:rPr>
            </w:pPr>
            <w:r>
              <w:rPr>
                <w:rFonts w:ascii="Times New Roman" w:cs="Times New Roman" w:eastAsia="Times New Roman" w:hAnsi="Times New Roman"/>
                <w:sz w:val="14"/>
                <w:szCs w:val="14"/>
                <w:color w:val="auto"/>
                <w:w w:val="99"/>
              </w:rPr>
              <w:t>51</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Level 3</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left="693"/>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698"/>
              <w:spacing w:after="0"/>
              <w:rPr>
                <w:sz w:val="20"/>
                <w:szCs w:val="20"/>
                <w:color w:val="auto"/>
              </w:rPr>
            </w:pPr>
            <w:r>
              <w:rPr>
                <w:rFonts w:ascii="Times New Roman" w:cs="Times New Roman" w:eastAsia="Times New Roman" w:hAnsi="Times New Roman"/>
                <w:sz w:val="14"/>
                <w:szCs w:val="14"/>
                <w:color w:val="auto"/>
                <w:w w:val="94"/>
              </w:rPr>
              <w:t>(89)</w:t>
            </w: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center"/>
              <w:ind w:left="693"/>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98"/>
              <w:spacing w:after="0"/>
              <w:rPr>
                <w:sz w:val="20"/>
                <w:szCs w:val="20"/>
                <w:color w:val="auto"/>
              </w:rPr>
            </w:pPr>
            <w:r>
              <w:rPr>
                <w:rFonts w:ascii="Times New Roman" w:cs="Times New Roman" w:eastAsia="Times New Roman" w:hAnsi="Times New Roman"/>
                <w:sz w:val="14"/>
                <w:szCs w:val="14"/>
                <w:color w:val="auto"/>
                <w:w w:val="94"/>
              </w:rPr>
              <w:t>(38)</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has elected to disclose derivative assets and liabilities on a trade-by-trade basis and does not offset amounts at the counterparty master agreement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acquisition accounting and determining the fair value of financial instruments.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200" w:lineRule="exact"/>
        <w:rPr>
          <w:sz w:val="20"/>
          <w:szCs w:val="20"/>
          <w:color w:val="auto"/>
        </w:rPr>
      </w:pPr>
    </w:p>
    <w:p>
      <w:pPr>
        <w:spacing w:after="0" w:line="37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39"/>
          </w:cols>
          <w:pgMar w:left="620" w:top="72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ITEM 3 — Quantitative and Qualitative Disclosures About Market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4"/>
          <w:szCs w:val="14"/>
          <w:color w:val="000000"/>
        </w:rPr>
        <w:t>The following disclosures about market risk provide an update to, and should be read in conjunction with, Item 7A —</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Quantitative and Qualitative Disclosures About Market Risk,</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of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Company’s 2023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September 30,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4"/>
          <w:szCs w:val="14"/>
          <w:color w:val="000000"/>
        </w:rPr>
        <w:t>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Derivative Instruments and Hedging Activities</w:t>
      </w:r>
      <w:r>
        <w:rPr>
          <w:rFonts w:ascii="Times New Roman" w:cs="Times New Roman" w:eastAsia="Times New Roman" w:hAnsi="Times New Roman"/>
          <w:sz w:val="14"/>
          <w:szCs w:val="14"/>
          <w:color w:val="231F20"/>
        </w:rPr>
        <w:t>, for more information.</w:t>
      </w:r>
    </w:p>
    <w:p>
      <w:pPr>
        <w:spacing w:after="0" w:line="9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231F20"/>
        </w:rPr>
        <w:t xml:space="preserve">Most of the Company’s subsidiaries enter into interest rate swaps intended to hedge the risks associated with interest rates on non-recourse facility-level debt.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to the Company’s</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audited consolidated financial statements for the year ended December 31, 2023 included in the 2023 Form 10-K</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for more information about interest rate swaps of the</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Company’s subsidiaries.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interest rate swaps had been discontinued on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the counterparties would have owed the Company </w:t>
      </w:r>
      <w:r>
        <w:rPr>
          <w:rFonts w:ascii="Times New Roman" w:cs="Times New Roman" w:eastAsia="Times New Roman" w:hAnsi="Times New Roman"/>
          <w:sz w:val="14"/>
          <w:szCs w:val="14"/>
          <w:color w:val="000000"/>
        </w:rPr>
        <w:t>$100 million.</w:t>
      </w:r>
      <w:r>
        <w:rPr>
          <w:rFonts w:ascii="Times New Roman" w:cs="Times New Roman" w:eastAsia="Times New Roman" w:hAnsi="Times New Roman"/>
          <w:sz w:val="14"/>
          <w:szCs w:val="14"/>
          <w:color w:val="231F20"/>
        </w:rPr>
        <w:t xml:space="preserve">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a change of 1%, or 100 basis points, in interest rates would result in an approximately $1 million change in market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the fair value of the Company’s debt was $6.90 billion and the carrying value was $7.20 billion. The Company estimates that a decrease of 1%, or 100 basis points, in market interest rates would have increased the fair value of its long-term debt by approximately $328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4"/>
          <w:szCs w:val="14"/>
          <w:color w:val="000000"/>
        </w:rPr>
        <w:t>Note 5</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to the consolidated financial statements for more information about concentration of credit risk.</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ITEM 4 —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Conclusion Regarding the Effectiveness of Disclosure Controls and Procedures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such term is defined in Rule 13a-15(f) under the Exchange Act) during the quarter ended September 30,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LEGAL PROCEEDINGS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Information regarding risk factors appears in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the Company’s 2023 Form 10-K. There have been no material changes in the Company’s risk factors since those reported in its 2023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 UNREGISTERED SALES OF EQUITY SECURITIES AND USE OF PROCEEDS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 DEFAULTS UPON SENIOR SECURITIES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OTHER INFORMATION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Disclosure Pursuant to Item 1.01 of Form 8-K – Entry Into a Material Definitive Agreement</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the Company entering into a definitive agreement to acquire 50% of the Class B membership interests in Pine Forest TE HoldCo LLC, as described in Part I, Item 2, </w:t>
      </w:r>
      <w:r>
        <w:rPr>
          <w:rFonts w:ascii="Times New Roman" w:cs="Times New Roman" w:eastAsia="Times New Roman" w:hAnsi="Times New Roman"/>
          <w:sz w:val="14"/>
          <w:szCs w:val="14"/>
          <w:i w:val="1"/>
          <w:iCs w:val="1"/>
          <w:color w:val="auto"/>
        </w:rPr>
        <w:t>Management’s Discussion and Analysis of Financial Condition and the Results of Operations – Significant Events – Drop Down Transactions</w:t>
      </w:r>
      <w:r>
        <w:rPr>
          <w:rFonts w:ascii="Times New Roman" w:cs="Times New Roman" w:eastAsia="Times New Roman" w:hAnsi="Times New Roman"/>
          <w:sz w:val="14"/>
          <w:szCs w:val="14"/>
          <w:color w:val="auto"/>
        </w:rPr>
        <w:t>, on October 28, 2024, the Company, Clearway, Inc.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CEG amended and restated the Amended and Restated Exchange Agreement, dated as of May 14, 2015, or the First Amended Exchange Agreement, by entering into a Second Amended and Restated Exchange Agreement, or the Second Amended Exchange Agreement, pursuant to which CEG (and certain permitted assignees and permitted transferees who acquire Class B units or Class D units of the Company, or collectively with CEG, the CEG Unitholders) may from time to time cause the Company to exchange their Class B units for shares of Clearway, Inc.’s Class A common stock, or exchange their Class D units for shares of Clearway, Inc.’s Class C common stock, on a one-for-one basis, subject to equitable adjustments for stock splits, stock dividends and reclassifications.</w:t>
      </w:r>
    </w:p>
    <w:p>
      <w:pPr>
        <w:spacing w:after="0" w:line="10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Second Amended Exchange Agreement amends and restates the First Amended Exchange Agreement to, among other things, provide for an equitable cash settlement, to be paid by the exchanging CEG Unitholder to Clearway, Inc. on the applicable exchange date, for the value of certain assets of Clearway, Inc. that are not held by the Company, including the membership interests of Pine Forest TE HoldCo LLC held by Clearway, Inc. The amount of any such payment will be calculated based on the net present value of the projected discounted cash flow of such assets, using a discount rate equal to the weighted average cost of capital for such assets, and the daily volume-weighted average closing price of Clearway, Inc.’s Class A common stock or Class C common stock, as applicable, for the trailing 30 trading days ending on the second trading day prior to the applicable exchange date. The intent of this amendment is to maintain parity in the value of the shares of Class A or Class C common stock received in return for the Class B or Class D units exchanged, to accommodate investments that may be held directly or indirectly by Clearway, Inc. but that are not held through the Company.</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Second Amended Exchange Agreement does not purport to be complete and is qualified in its entirety by reference to the complete text of the Second Amended Exchange Agreement, which is filed herewith as Exhibit 10.2 and is incorporated herein by reference.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Insider Trading Plans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ITEM 6 — EXHIBITS</w:t>
      </w:r>
    </w:p>
    <w:p>
      <w:pPr>
        <w:sectPr>
          <w:pgSz w:w="11900" w:h="16838" w:orient="portrait"/>
          <w:cols w:equalWidth="0" w:num="1">
            <w:col w:w="11120"/>
          </w:cols>
          <w:pgMar w:left="300" w:top="728" w:right="479" w:bottom="1440" w:gutter="0" w:footer="0" w:header="0"/>
        </w:sectPr>
      </w:pPr>
    </w:p>
    <w:p>
      <w:pPr>
        <w:spacing w:after="0" w:line="17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2" w:lineRule="exact"/>
        <w:rPr>
          <w:sz w:val="20"/>
          <w:szCs w:val="20"/>
          <w:color w:val="auto"/>
        </w:rPr>
      </w:pPr>
    </w:p>
    <w:p>
      <w:pPr>
        <w:ind w:left="20"/>
        <w:spacing w:after="0"/>
        <w:tabs>
          <w:tab w:leader="none" w:pos="100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10.1</w:t>
      </w:r>
      <w:r>
        <w:rPr>
          <w:sz w:val="20"/>
          <w:szCs w:val="20"/>
          <w:color w:val="auto"/>
        </w:rPr>
        <w:tab/>
      </w:r>
      <w:hyperlink r:id="rId93">
        <w:r>
          <w:rPr>
            <w:rFonts w:ascii="Times New Roman" w:cs="Times New Roman" w:eastAsia="Times New Roman" w:hAnsi="Times New Roman"/>
            <w:sz w:val="12"/>
            <w:szCs w:val="12"/>
            <w:u w:val="single" w:color="auto"/>
            <w:color w:val="0000FF"/>
          </w:rPr>
          <w:t>Consulting Agreement, dated as of June 20, 2024, by and between Clearway Energy, Inc. and Christopher Sotos.</w:t>
        </w:r>
      </w:hyperlink>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July 30, 2024.</w:t>
      </w:r>
    </w:p>
    <w:p>
      <w:pPr>
        <w:spacing w:after="0" w:line="1" w:lineRule="exact"/>
        <w:rPr>
          <w:sz w:val="20"/>
          <w:szCs w:val="20"/>
          <w:color w:val="auto"/>
        </w:rPr>
      </w:pPr>
    </w:p>
    <w:p>
      <w:pPr>
        <w:sectPr>
          <w:pgSz w:w="11900" w:h="16838" w:orient="portrait"/>
          <w:cols w:equalWidth="0" w:num="2">
            <w:col w:w="6760" w:space="160"/>
            <w:col w:w="4200"/>
          </w:cols>
          <w:pgMar w:left="300" w:top="728" w:right="479" w:bottom="1440" w:gutter="0" w:footer="0" w:header="0"/>
          <w:type w:val="continuous"/>
        </w:sectPr>
      </w:pPr>
    </w:p>
    <w:tbl>
      <w:tblPr>
        <w:tblLayout w:type="fixed"/>
        <w:tblInd w:w="20" w:type="dxa"/>
        <w:tblCellMar>
          <w:top w:w="0" w:type="dxa"/>
          <w:left w:w="0" w:type="dxa"/>
          <w:bottom w:w="0" w:type="dxa"/>
          <w:right w:w="0" w:type="dxa"/>
        </w:tblCellMar>
      </w:tblPr>
      <w:tr>
        <w:trPr>
          <w:trHeight w:val="142"/>
        </w:trPr>
        <w:tc>
          <w:tcPr>
            <w:tcW w:w="2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w w:val="87"/>
              </w:rPr>
              <w:t>10.2</w:t>
            </w:r>
          </w:p>
        </w:tc>
        <w:tc>
          <w:tcPr>
            <w:tcW w:w="780" w:type="dxa"/>
            <w:vAlign w:val="bottom"/>
          </w:tcPr>
          <w:p>
            <w:pPr>
              <w:spacing w:after="0"/>
              <w:rPr>
                <w:sz w:val="12"/>
                <w:szCs w:val="12"/>
                <w:color w:val="auto"/>
              </w:rPr>
            </w:pPr>
          </w:p>
        </w:tc>
        <w:tc>
          <w:tcPr>
            <w:tcW w:w="5800" w:type="dxa"/>
            <w:vAlign w:val="bottom"/>
            <w:gridSpan w:val="6"/>
          </w:tcPr>
          <w:p>
            <w:pPr>
              <w:spacing w:after="0" w:line="143" w:lineRule="exact"/>
              <w:rPr>
                <w:sz w:val="20"/>
                <w:szCs w:val="20"/>
                <w:color w:val="auto"/>
              </w:rPr>
            </w:pPr>
            <w:r>
              <w:rPr>
                <w:rFonts w:ascii="Times New Roman" w:cs="Times New Roman" w:eastAsia="Times New Roman" w:hAnsi="Times New Roman"/>
                <w:sz w:val="13"/>
                <w:szCs w:val="13"/>
                <w:color w:val="0000FF"/>
              </w:rPr>
              <w:t>Second Amended and Restated Exchange Agreement, dated as of October 28, 2024, by and among Clearway</w:t>
            </w:r>
          </w:p>
        </w:tc>
        <w:tc>
          <w:tcPr>
            <w:tcW w:w="11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4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Energy, Inc., Clearway Energy LLC and Clearway Energy Group LLC.</w:t>
            </w:r>
          </w:p>
        </w:tc>
        <w:tc>
          <w:tcPr>
            <w:tcW w:w="1920" w:type="dxa"/>
            <w:vAlign w:val="bottom"/>
            <w:tcBorders>
              <w:top w:val="single" w:sz="8" w:color="0000FF"/>
            </w:tcBorders>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31.1</w:t>
            </w:r>
          </w:p>
        </w:tc>
        <w:tc>
          <w:tcPr>
            <w:tcW w:w="780" w:type="dxa"/>
            <w:vAlign w:val="bottom"/>
          </w:tcPr>
          <w:p>
            <w:pPr>
              <w:spacing w:after="0"/>
              <w:rPr>
                <w:sz w:val="13"/>
                <w:szCs w:val="13"/>
                <w:color w:val="auto"/>
              </w:rPr>
            </w:pPr>
          </w:p>
        </w:tc>
        <w:tc>
          <w:tcPr>
            <w:tcW w:w="2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Craig Cornelius.</w:t>
            </w:r>
          </w:p>
        </w:tc>
        <w:tc>
          <w:tcPr>
            <w:tcW w:w="2820" w:type="dxa"/>
            <w:vAlign w:val="bottom"/>
            <w:gridSpan w:val="4"/>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31.2</w:t>
            </w:r>
          </w:p>
        </w:tc>
        <w:tc>
          <w:tcPr>
            <w:tcW w:w="780" w:type="dxa"/>
            <w:vAlign w:val="bottom"/>
          </w:tcPr>
          <w:p>
            <w:pPr>
              <w:spacing w:after="0"/>
              <w:rPr>
                <w:sz w:val="13"/>
                <w:szCs w:val="13"/>
                <w:color w:val="auto"/>
              </w:rPr>
            </w:pPr>
          </w:p>
        </w:tc>
        <w:tc>
          <w:tcPr>
            <w:tcW w:w="3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2740" w:type="dxa"/>
            <w:vAlign w:val="bottom"/>
            <w:gridSpan w:val="3"/>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780" w:type="dxa"/>
            <w:vAlign w:val="bottom"/>
          </w:tcPr>
          <w:p>
            <w:pPr>
              <w:spacing w:after="0"/>
              <w:rPr>
                <w:sz w:val="13"/>
                <w:szCs w:val="13"/>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Section 1350 Certification.</w:t>
            </w: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6"/>
              </w:rPr>
              <w:t>Furnished herewith.</w:t>
            </w: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7"/>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INS</w:t>
            </w:r>
          </w:p>
        </w:tc>
        <w:tc>
          <w:tcPr>
            <w:tcW w:w="58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SCH</w:t>
            </w:r>
          </w:p>
        </w:tc>
        <w:tc>
          <w:tcPr>
            <w:tcW w:w="58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CAL</w:t>
            </w:r>
          </w:p>
        </w:tc>
        <w:tc>
          <w:tcPr>
            <w:tcW w:w="58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DEF</w:t>
            </w:r>
          </w:p>
        </w:tc>
        <w:tc>
          <w:tcPr>
            <w:tcW w:w="58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LAB</w:t>
            </w:r>
          </w:p>
        </w:tc>
        <w:tc>
          <w:tcPr>
            <w:tcW w:w="58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PRE</w:t>
            </w:r>
          </w:p>
        </w:tc>
        <w:tc>
          <w:tcPr>
            <w:tcW w:w="58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32"/>
        </w:trPr>
        <w:tc>
          <w:tcPr>
            <w:tcW w:w="22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104</w:t>
            </w:r>
          </w:p>
        </w:tc>
        <w:tc>
          <w:tcPr>
            <w:tcW w:w="780" w:type="dxa"/>
            <w:vAlign w:val="bottom"/>
          </w:tcPr>
          <w:p>
            <w:pPr>
              <w:spacing w:after="0"/>
              <w:rPr>
                <w:sz w:val="11"/>
                <w:szCs w:val="11"/>
                <w:color w:val="auto"/>
              </w:rPr>
            </w:pPr>
          </w:p>
        </w:tc>
        <w:tc>
          <w:tcPr>
            <w:tcW w:w="5800" w:type="dxa"/>
            <w:vAlign w:val="bottom"/>
            <w:gridSpan w:val="6"/>
          </w:tcPr>
          <w:p>
            <w:pPr>
              <w:spacing w:after="0" w:line="132" w:lineRule="exact"/>
              <w:rPr>
                <w:sz w:val="20"/>
                <w:szCs w:val="20"/>
                <w:color w:val="auto"/>
              </w:rPr>
            </w:pPr>
            <w:r>
              <w:rPr>
                <w:rFonts w:ascii="Times New Roman" w:cs="Times New Roman" w:eastAsia="Times New Roman" w:hAnsi="Times New Roman"/>
                <w:sz w:val="13"/>
                <w:szCs w:val="13"/>
                <w:color w:val="auto"/>
                <w:w w:val="99"/>
              </w:rPr>
              <w:t>Cover Page Interactive Data File (the cover page interactive data file does not appear in Exhibit 104 because its</w:t>
            </w:r>
          </w:p>
        </w:tc>
        <w:tc>
          <w:tcPr>
            <w:tcW w:w="1120" w:type="dxa"/>
            <w:vAlign w:val="bottom"/>
          </w:tcPr>
          <w:p>
            <w:pPr>
              <w:ind w:left="100"/>
              <w:spacing w:after="0" w:line="132" w:lineRule="exact"/>
              <w:rPr>
                <w:sz w:val="20"/>
                <w:szCs w:val="20"/>
                <w:color w:val="auto"/>
              </w:rPr>
            </w:pPr>
            <w:r>
              <w:rPr>
                <w:rFonts w:ascii="Times New Roman" w:cs="Times New Roman" w:eastAsia="Times New Roman" w:hAnsi="Times New Roman"/>
                <w:sz w:val="13"/>
                <w:szCs w:val="13"/>
                <w:color w:val="auto"/>
              </w:rPr>
              <w:t>Filed herewith.</w:t>
            </w:r>
          </w:p>
        </w:tc>
      </w:tr>
      <w:tr>
        <w:trPr>
          <w:trHeight w:val="165"/>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tags are embedded within the Inline XBRL document).</w:t>
            </w:r>
          </w:p>
        </w:tc>
        <w:tc>
          <w:tcPr>
            <w:tcW w:w="11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728" w:right="479" w:bottom="1440" w:gutter="0" w:footer="0" w:header="0"/>
          <w:type w:val="continuous"/>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CLEARWAY ENERGY LLC</w:t>
      </w:r>
    </w:p>
    <w:p>
      <w:pPr>
        <w:ind w:left="6800"/>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79590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795905" cy="698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68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79590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795905" cy="698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6800"/>
        <w:spacing w:after="0" w:line="221" w:lineRule="auto"/>
        <w:rPr>
          <w:sz w:val="20"/>
          <w:szCs w:val="20"/>
          <w:color w:val="auto"/>
        </w:rPr>
      </w:pPr>
      <w:r>
        <w:rPr>
          <w:rFonts w:ascii="Times New Roman" w:cs="Times New Roman" w:eastAsia="Times New Roman" w:hAnsi="Times New Roman"/>
          <w:sz w:val="14"/>
          <w:szCs w:val="14"/>
          <w:i w:val="1"/>
          <w:iCs w:val="1"/>
          <w:color w:val="auto"/>
        </w:rPr>
        <w:t>(Principal Financial Officer and Principal Accounting</w:t>
      </w:r>
    </w:p>
    <w:p>
      <w:pPr>
        <w:ind w:left="100"/>
        <w:spacing w:after="0"/>
        <w:tabs>
          <w:tab w:leader="none" w:pos="6780" w:val="left"/>
        </w:tabs>
        <w:rPr>
          <w:sz w:val="20"/>
          <w:szCs w:val="20"/>
          <w:color w:val="auto"/>
        </w:rPr>
      </w:pPr>
      <w:r>
        <w:rPr>
          <w:rFonts w:ascii="Times New Roman" w:cs="Times New Roman" w:eastAsia="Times New Roman" w:hAnsi="Times New Roman"/>
          <w:sz w:val="14"/>
          <w:szCs w:val="14"/>
          <w:color w:val="auto"/>
        </w:rPr>
        <w:t>Date: October 30, 2024</w:t>
      </w:r>
      <w:r>
        <w:rPr>
          <w:sz w:val="20"/>
          <w:szCs w:val="20"/>
          <w:color w:val="auto"/>
        </w:rPr>
        <w:tab/>
      </w:r>
      <w:r>
        <w:rPr>
          <w:rFonts w:ascii="Times New Roman" w:cs="Times New Roman" w:eastAsia="Times New Roman" w:hAnsi="Times New Roman"/>
          <w:sz w:val="14"/>
          <w:szCs w:val="14"/>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280"/>
          </w:cols>
          <w:pgMar w:left="300" w:top="727" w:right="319" w:bottom="1440"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Craig Cornelius, certify that:</w:t>
      </w:r>
    </w:p>
    <w:p>
      <w:pPr>
        <w:spacing w:after="0" w:line="274" w:lineRule="exact"/>
        <w:rPr>
          <w:sz w:val="20"/>
          <w:szCs w:val="20"/>
          <w:color w:val="auto"/>
        </w:rPr>
      </w:pPr>
    </w:p>
    <w:p>
      <w:pPr>
        <w:ind w:left="520" w:hanging="515"/>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14605</wp:posOffset>
            </wp:positionV>
            <wp:extent cx="180530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805305" cy="698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Craig Cornelius</w:t>
      </w:r>
    </w:p>
    <w:p>
      <w:pPr>
        <w:ind w:left="722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72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30, 2024</w:t>
      </w:r>
    </w:p>
    <w:p>
      <w:pPr>
        <w:sectPr>
          <w:pgSz w:w="11900" w:h="16838" w:orient="portrait"/>
          <w:cols w:equalWidth="0" w:num="1">
            <w:col w:w="11280"/>
          </w:cols>
          <w:pgMar w:left="300" w:top="802" w:right="3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74" w:lineRule="exact"/>
        <w:rPr>
          <w:sz w:val="20"/>
          <w:szCs w:val="20"/>
          <w:color w:val="auto"/>
        </w:rPr>
      </w:pPr>
    </w:p>
    <w:p>
      <w:pPr>
        <w:ind w:left="520" w:hanging="515"/>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14605</wp:posOffset>
            </wp:positionV>
            <wp:extent cx="186626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866265" cy="6985"/>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color w:val="auto"/>
        </w:rPr>
        <w:t>Sarah Rubenstein</w:t>
      </w:r>
    </w:p>
    <w:p>
      <w:pPr>
        <w:ind w:left="7480"/>
        <w:spacing w:after="0" w:line="221" w:lineRule="auto"/>
        <w:rPr>
          <w:sz w:val="20"/>
          <w:szCs w:val="20"/>
          <w:color w:val="auto"/>
        </w:rPr>
      </w:pPr>
      <w:r>
        <w:rPr>
          <w:rFonts w:ascii="Times New Roman" w:cs="Times New Roman" w:eastAsia="Times New Roman" w:hAnsi="Times New Roman"/>
          <w:sz w:val="14"/>
          <w:szCs w:val="14"/>
          <w:i w:val="1"/>
          <w:iCs w:val="1"/>
          <w:color w:val="auto"/>
        </w:rPr>
        <w:t>Executive Vice President and Chief Financial</w:t>
      </w:r>
    </w:p>
    <w:p>
      <w:pPr>
        <w:ind w:left="7480"/>
        <w:spacing w:after="0" w:line="206" w:lineRule="auto"/>
        <w:rPr>
          <w:sz w:val="20"/>
          <w:szCs w:val="20"/>
          <w:color w:val="auto"/>
        </w:rPr>
      </w:pPr>
      <w:r>
        <w:rPr>
          <w:rFonts w:ascii="Times New Roman" w:cs="Times New Roman" w:eastAsia="Times New Roman" w:hAnsi="Times New Roman"/>
          <w:sz w:val="14"/>
          <w:szCs w:val="14"/>
          <w:i w:val="1"/>
          <w:iCs w:val="1"/>
          <w:color w:val="auto"/>
        </w:rPr>
        <w:t>Officer</w:t>
      </w:r>
    </w:p>
    <w:p>
      <w:pPr>
        <w:ind w:left="7480"/>
        <w:spacing w:after="0" w:line="205" w:lineRule="auto"/>
        <w:rPr>
          <w:sz w:val="20"/>
          <w:szCs w:val="20"/>
          <w:color w:val="auto"/>
        </w:rPr>
      </w:pPr>
      <w:r>
        <w:rPr>
          <w:rFonts w:ascii="Times New Roman" w:cs="Times New Roman" w:eastAsia="Times New Roman" w:hAnsi="Times New Roman"/>
          <w:sz w:val="14"/>
          <w:szCs w:val="14"/>
          <w:i w:val="1"/>
          <w:iCs w:val="1"/>
          <w:color w:val="auto"/>
        </w:rPr>
        <w:t>(Principal Financial Officer and Principal</w:t>
      </w:r>
    </w:p>
    <w:p>
      <w:pPr>
        <w:ind w:left="7480"/>
        <w:spacing w:after="0"/>
        <w:rPr>
          <w:sz w:val="20"/>
          <w:szCs w:val="20"/>
          <w:color w:val="auto"/>
        </w:rPr>
      </w:pPr>
      <w:r>
        <w:rPr>
          <w:rFonts w:ascii="Times New Roman" w:cs="Times New Roman" w:eastAsia="Times New Roman" w:hAnsi="Times New Roman"/>
          <w:sz w:val="14"/>
          <w:szCs w:val="14"/>
          <w:i w:val="1"/>
          <w:iCs w:val="1"/>
          <w:color w:val="auto"/>
        </w:rPr>
        <w:t>Accounting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30, 2024</w:t>
      </w:r>
    </w:p>
    <w:p>
      <w:pPr>
        <w:sectPr>
          <w:pgSz w:w="11900" w:h="16838" w:orient="portrait"/>
          <w:cols w:equalWidth="0" w:num="1">
            <w:col w:w="11280"/>
          </w:cols>
          <w:pgMar w:left="300" w:top="727"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Clearway Energy LLC on Form 10-Q for the quarter ended September 30, 2024,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10-Q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10-Q fairly presents, in all material respects, the financial condition and results of operations of the Company as of the dates and for the periods expressed in the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30, 2024</w:t>
      </w:r>
    </w:p>
    <w:p>
      <w:pPr>
        <w:spacing w:after="0" w:line="8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10-Q or as a separate disclosure document.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2"/>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93" Type="http://schemas.openxmlformats.org/officeDocument/2006/relationships/hyperlink" Target="https://www.sec.gov/Archives/edgar/data/1637757/000110465924083960/tm2420475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2024-10-30T16:19:13Z</dcterms:created>
  <dcterms:modified xsi:type="dcterms:W3CDTF">2024-10-30T16:19:13Z</dcterms:modified>
</cp:coreProperties>
</file>