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620" w:hanging="369"/>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6" w:lineRule="exact"/>
        <w:rPr>
          <w:sz w:val="24"/>
          <w:szCs w:val="24"/>
          <w:color w:val="auto"/>
        </w:rPr>
      </w:pPr>
    </w:p>
    <w:p>
      <w:pPr>
        <w:ind w:left="820" w:hanging="346"/>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333-203369</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Clearway Energy LLC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07" w:right="339" w:bottom="1440" w:gutter="0" w:footer="0" w:header="0"/>
        </w:sectPr>
      </w:pPr>
    </w:p>
    <w:p>
      <w:pPr>
        <w:spacing w:after="0" w:line="26"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2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4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64" w:lineRule="exact"/>
        <w:rPr>
          <w:sz w:val="24"/>
          <w:szCs w:val="24"/>
          <w:color w:val="auto"/>
        </w:rPr>
      </w:pPr>
    </w:p>
    <w:p>
      <w:pPr>
        <w:sectPr>
          <w:pgSz w:w="11900" w:h="16838" w:orient="portrait"/>
          <w:cols w:equalWidth="0" w:num="2">
            <w:col w:w="7760" w:space="720"/>
            <w:col w:w="2760"/>
          </w:cols>
          <w:pgMar w:left="320" w:top="1407"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Princeton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08540</w:t>
      </w:r>
    </w:p>
    <w:p>
      <w:pPr>
        <w:spacing w:after="0" w:line="43" w:lineRule="exact"/>
        <w:rPr>
          <w:sz w:val="24"/>
          <w:szCs w:val="24"/>
          <w:color w:val="auto"/>
        </w:rPr>
      </w:pPr>
    </w:p>
    <w:p>
      <w:pPr>
        <w:sectPr>
          <w:pgSz w:w="11900" w:h="16838" w:orient="portrait"/>
          <w:cols w:equalWidth="0" w:num="4">
            <w:col w:w="3460" w:space="720"/>
            <w:col w:w="940" w:space="720"/>
            <w:col w:w="2360" w:space="720"/>
            <w:col w:w="2320"/>
          </w:cols>
          <w:pgMar w:left="320" w:top="1407"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020" w:space="720"/>
            <w:col w:w="2500"/>
          </w:cols>
          <w:pgMar w:left="320" w:top="1407" w:right="339" w:bottom="1440" w:gutter="0" w:footer="0" w:header="0"/>
          <w:type w:val="continuous"/>
        </w:sectPr>
      </w:pP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108"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4" w:lineRule="exact"/>
        <w:rPr>
          <w:sz w:val="24"/>
          <w:szCs w:val="24"/>
          <w:color w:val="auto"/>
        </w:rPr>
      </w:pPr>
    </w:p>
    <w:p>
      <w:pPr>
        <w:jc w:val="center"/>
        <w:ind w:right="-299"/>
        <w:spacing w:after="0"/>
        <w:tabs>
          <w:tab w:leader="none" w:pos="18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b w:val="1"/>
          <w:bCs w:val="1"/>
          <w:color w:val="auto"/>
        </w:rPr>
        <w:tab/>
        <w:t xml:space="preserve">No </w:t>
      </w:r>
      <w:r>
        <w:rPr>
          <w:rFonts w:ascii="Wingdings" w:cs="Wingdings" w:eastAsia="Wingdings" w:hAnsi="Wingdings"/>
          <w:sz w:val="16"/>
          <w:szCs w:val="16"/>
          <w:b w:val="1"/>
          <w:bCs w:val="1"/>
          <w:color w:val="auto"/>
        </w:rPr>
        <w:t>o</w:t>
      </w:r>
    </w:p>
    <w:p>
      <w:pPr>
        <w:spacing w:after="0" w:line="88"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4" w:lineRule="exact"/>
        <w:rPr>
          <w:sz w:val="24"/>
          <w:szCs w:val="24"/>
          <w:color w:val="auto"/>
        </w:rPr>
      </w:pPr>
    </w:p>
    <w:p>
      <w:pPr>
        <w:jc w:val="center"/>
        <w:ind w:right="-279"/>
        <w:spacing w:after="0"/>
        <w:tabs>
          <w:tab w:leader="none" w:pos="2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b w:val="1"/>
          <w:bCs w:val="1"/>
          <w:color w:val="auto"/>
        </w:rPr>
        <w:tab/>
        <w:t xml:space="preserve">No </w:t>
      </w:r>
      <w:r>
        <w:rPr>
          <w:rFonts w:ascii="Wingdings" w:cs="Wingdings" w:eastAsia="Wingdings" w:hAnsi="Wingdings"/>
          <w:sz w:val="16"/>
          <w:szCs w:val="16"/>
          <w:b w:val="1"/>
          <w:bCs w:val="1"/>
          <w:color w:val="auto"/>
        </w:rPr>
        <w:t>o</w:t>
      </w:r>
    </w:p>
    <w:p>
      <w:pPr>
        <w:spacing w:after="0" w:line="88" w:lineRule="exact"/>
        <w:rPr>
          <w:sz w:val="24"/>
          <w:szCs w:val="24"/>
          <w:color w:val="auto"/>
        </w:rPr>
      </w:pPr>
    </w:p>
    <w:p>
      <w:pPr>
        <w:jc w:val="both"/>
        <w:ind w:firstLine="283"/>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134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4" w:lineRule="exact"/>
        <w:rPr>
          <w:sz w:val="24"/>
          <w:szCs w:val="24"/>
          <w:color w:val="auto"/>
        </w:rPr>
      </w:pPr>
    </w:p>
    <w:p>
      <w:pPr>
        <w:ind w:firstLine="324"/>
        <w:spacing w:after="0" w:line="24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4" w:lineRule="exact"/>
        <w:rPr>
          <w:sz w:val="24"/>
          <w:szCs w:val="24"/>
          <w:color w:val="auto"/>
        </w:rPr>
      </w:pPr>
    </w:p>
    <w:p>
      <w:pPr>
        <w:ind w:left="5060"/>
        <w:spacing w:after="0" w:line="196" w:lineRule="exact"/>
        <w:tabs>
          <w:tab w:leader="none" w:pos="57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Wingdings" w:cs="Wingdings" w:eastAsia="Wingdings" w:hAnsi="Wingdings"/>
          <w:sz w:val="15"/>
          <w:szCs w:val="15"/>
          <w:b w:val="1"/>
          <w:bCs w:val="1"/>
          <w:color w:val="auto"/>
        </w:rPr>
        <w:t>x</w:t>
      </w:r>
    </w:p>
    <w:p>
      <w:pPr>
        <w:spacing w:after="0" w:line="160" w:lineRule="exact"/>
        <w:rPr>
          <w:sz w:val="24"/>
          <w:szCs w:val="24"/>
          <w:color w:val="auto"/>
        </w:rPr>
      </w:pPr>
    </w:p>
    <w:p>
      <w:pPr>
        <w:ind w:firstLine="283"/>
        <w:spacing w:after="0" w:line="245" w:lineRule="auto"/>
        <w:rPr>
          <w:sz w:val="20"/>
          <w:szCs w:val="20"/>
          <w:color w:val="auto"/>
        </w:rPr>
      </w:pPr>
      <w:r>
        <w:rPr>
          <w:rFonts w:ascii="Times New Roman" w:cs="Times New Roman" w:eastAsia="Times New Roman" w:hAnsi="Times New Roman"/>
          <w:sz w:val="16"/>
          <w:szCs w:val="16"/>
          <w:color w:val="auto"/>
        </w:rPr>
        <w:t>As of July 31, 2025, there were 34,613,853 Class A units outstanding, 42,738,750 Class B units outstanding, 83,263,747 Class C units outstanding, and 41,576,142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CAUTIONARY STATEMENT REGARDING FORWARD LOOKING INFORMATION</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GLOSSARY OF TERMS</w:t>
            </w:r>
          </w:p>
        </w:tc>
        <w:tc>
          <w:tcPr>
            <w:tcW w:w="3100" w:type="dxa"/>
            <w:vAlign w:val="bottom"/>
            <w:gridSpan w:val="4"/>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0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ITEM 1 — FINANCIAL STATEMENTS AND NOTES</w:t>
            </w:r>
          </w:p>
        </w:tc>
        <w:tc>
          <w:tcPr>
            <w:tcW w:w="5640" w:type="dxa"/>
            <w:vAlign w:val="bottom"/>
            <w:gridSpan w:val="5"/>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560" w:type="dxa"/>
            <w:vAlign w:val="bottom"/>
            <w:tcBorders>
              <w:top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108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9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ITEM 4 — CONTROLS AND PROCEDURES</w:t>
            </w:r>
          </w:p>
        </w:tc>
        <w:tc>
          <w:tcPr>
            <w:tcW w:w="27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6940" w:type="dxa"/>
            <w:vAlign w:val="bottom"/>
            <w:gridSpan w:val="9"/>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7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1A — RISK FACTORS</w:t>
            </w:r>
          </w:p>
        </w:tc>
        <w:tc>
          <w:tcPr>
            <w:tcW w:w="6980" w:type="dxa"/>
            <w:vAlign w:val="bottom"/>
            <w:gridSpan w:val="11"/>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 UNREGISTERED SALES OF EQUITY SECURITIES AND USE OF PROCEEDS</w:t>
            </w:r>
          </w:p>
        </w:tc>
        <w:tc>
          <w:tcPr>
            <w:tcW w:w="2780" w:type="dxa"/>
            <w:vAlign w:val="bottom"/>
            <w:gridSpan w:val="3"/>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3</w:t>
            </w:r>
          </w:p>
        </w:tc>
        <w:tc>
          <w:tcPr>
            <w:tcW w:w="346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 DEFAULTS UPON SENIOR SECURITIES</w:t>
            </w:r>
          </w:p>
        </w:tc>
        <w:tc>
          <w:tcPr>
            <w:tcW w:w="5640" w:type="dxa"/>
            <w:vAlign w:val="bottom"/>
            <w:gridSpan w:val="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91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 MINE SAFETY DISCLOSURES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5</w:t>
            </w:r>
          </w:p>
        </w:tc>
        <w:tc>
          <w:tcPr>
            <w:tcW w:w="2140" w:type="dxa"/>
            <w:vAlign w:val="bottom"/>
            <w:tcBorders>
              <w:top w:val="single" w:sz="8" w:color="0000FF"/>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 OTHER INFORMATION</w:t>
            </w:r>
          </w:p>
        </w:tc>
        <w:tc>
          <w:tcPr>
            <w:tcW w:w="540" w:type="dxa"/>
            <w:vAlign w:val="bottom"/>
            <w:tcBorders>
              <w:top w:val="single" w:sz="8" w:color="0000FF"/>
            </w:tcBorders>
            <w:gridSpan w:val="3"/>
          </w:tcPr>
          <w:p>
            <w:pPr>
              <w:spacing w:after="0"/>
              <w:rPr>
                <w:sz w:val="18"/>
                <w:szCs w:val="18"/>
                <w:color w:val="auto"/>
              </w:rPr>
            </w:pPr>
          </w:p>
        </w:tc>
        <w:tc>
          <w:tcPr>
            <w:tcW w:w="6420" w:type="dxa"/>
            <w:vAlign w:val="bottom"/>
            <w:gridSpan w:val="7"/>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91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 EXHIBITS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500" w:type="dxa"/>
            <w:vAlign w:val="bottom"/>
            <w:tcBorders>
              <w:top w:val="single" w:sz="8" w:color="0000FF"/>
            </w:tcBorders>
          </w:tcPr>
          <w:p>
            <w:pPr>
              <w:spacing w:after="0"/>
              <w:rPr>
                <w:sz w:val="18"/>
                <w:szCs w:val="18"/>
                <w:color w:val="auto"/>
              </w:rPr>
            </w:pPr>
          </w:p>
        </w:tc>
        <w:tc>
          <w:tcPr>
            <w:tcW w:w="8040" w:type="dxa"/>
            <w:vAlign w:val="bottom"/>
            <w:gridSpan w:val="1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2024, as well as the following:</w:t>
      </w:r>
    </w:p>
    <w:p>
      <w:pPr>
        <w:spacing w:after="0" w:line="8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distributions;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CEG and its owners;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investment opportunities, as well as acquisitions from, and dispositions to, third parties;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CEG;</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854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GLOSSARY OF TERMS</w:t>
            </w:r>
          </w:p>
        </w:tc>
      </w:tr>
      <w:tr>
        <w:trPr>
          <w:trHeight w:val="378"/>
        </w:trPr>
        <w:tc>
          <w:tcPr>
            <w:tcW w:w="1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r>
      <w:tr>
        <w:trPr>
          <w:trHeight w:val="202"/>
        </w:trPr>
        <w:tc>
          <w:tcPr>
            <w:tcW w:w="2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2024 Form 10-K</w:t>
            </w:r>
          </w:p>
        </w:tc>
        <w:tc>
          <w:tcPr>
            <w:tcW w:w="854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The Company’s Annual Report on Form 10-K for the year ended December 31, 2024, as filed with the SEC on</w:t>
            </w:r>
          </w:p>
        </w:tc>
      </w:tr>
      <w:tr>
        <w:trPr>
          <w:trHeight w:val="234"/>
        </w:trPr>
        <w:tc>
          <w:tcPr>
            <w:tcW w:w="2700" w:type="dxa"/>
            <w:vAlign w:val="bottom"/>
          </w:tcPr>
          <w:p>
            <w:pPr>
              <w:spacing w:after="0"/>
              <w:rPr>
                <w:sz w:val="20"/>
                <w:szCs w:val="20"/>
                <w:color w:val="auto"/>
              </w:rPr>
            </w:pP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184"/>
        </w:trPr>
        <w:tc>
          <w:tcPr>
            <w:tcW w:w="2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2028 Senior Notes</w:t>
            </w:r>
          </w:p>
        </w:tc>
        <w:tc>
          <w:tcPr>
            <w:tcW w:w="854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$850 million aggregate principal amount of 4.75% unsecured senior notes due 2028, issued by Clearway Energy</w:t>
            </w:r>
          </w:p>
        </w:tc>
      </w:tr>
      <w:tr>
        <w:trPr>
          <w:trHeight w:val="234"/>
        </w:trPr>
        <w:tc>
          <w:tcPr>
            <w:tcW w:w="2700" w:type="dxa"/>
            <w:vAlign w:val="bottom"/>
          </w:tcPr>
          <w:p>
            <w:pPr>
              <w:spacing w:after="0"/>
              <w:rPr>
                <w:sz w:val="20"/>
                <w:szCs w:val="20"/>
                <w:color w:val="auto"/>
              </w:rPr>
            </w:pP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2031 Senior Notes</w:t>
            </w:r>
          </w:p>
        </w:tc>
        <w:tc>
          <w:tcPr>
            <w:tcW w:w="854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$925 million aggregate principal amount of 3.75% unsecured senior notes due 2031, issued by Clearway Energy</w:t>
            </w:r>
          </w:p>
        </w:tc>
      </w:tr>
      <w:tr>
        <w:trPr>
          <w:trHeight w:val="234"/>
        </w:trPr>
        <w:tc>
          <w:tcPr>
            <w:tcW w:w="2700" w:type="dxa"/>
            <w:vAlign w:val="bottom"/>
          </w:tcPr>
          <w:p>
            <w:pPr>
              <w:spacing w:after="0"/>
              <w:rPr>
                <w:sz w:val="20"/>
                <w:szCs w:val="20"/>
                <w:color w:val="auto"/>
              </w:rPr>
            </w:pP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2032 Senior Notes</w:t>
            </w:r>
          </w:p>
        </w:tc>
        <w:tc>
          <w:tcPr>
            <w:tcW w:w="854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$350 million aggregate principal amount of 3.75% unsecured senior notes due 2032, issued by Clearway Energy</w:t>
            </w:r>
          </w:p>
        </w:tc>
      </w:tr>
      <w:tr>
        <w:trPr>
          <w:trHeight w:val="234"/>
        </w:trPr>
        <w:tc>
          <w:tcPr>
            <w:tcW w:w="2700" w:type="dxa"/>
            <w:vAlign w:val="bottom"/>
          </w:tcPr>
          <w:p>
            <w:pPr>
              <w:spacing w:after="0"/>
              <w:rPr>
                <w:sz w:val="20"/>
                <w:szCs w:val="20"/>
                <w:color w:val="auto"/>
              </w:rPr>
            </w:pP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non-GAAP measure, represents earnings before interest (including loss on debt extinguishment), tax,</w:t>
            </w:r>
          </w:p>
        </w:tc>
      </w:tr>
      <w:tr>
        <w:trPr>
          <w:trHeight w:val="216"/>
        </w:trPr>
        <w:tc>
          <w:tcPr>
            <w:tcW w:w="2700" w:type="dxa"/>
            <w:vAlign w:val="bottom"/>
          </w:tcPr>
          <w:p>
            <w:pPr>
              <w:spacing w:after="0"/>
              <w:rPr>
                <w:sz w:val="18"/>
                <w:szCs w:val="18"/>
                <w:color w:val="auto"/>
              </w:rPr>
            </w:pP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adjusted for mark-to-market gains or losses, asset write offs and impairments; and</w:t>
            </w:r>
          </w:p>
        </w:tc>
      </w:tr>
      <w:tr>
        <w:trPr>
          <w:trHeight w:val="234"/>
        </w:trPr>
        <w:tc>
          <w:tcPr>
            <w:tcW w:w="2700" w:type="dxa"/>
            <w:vAlign w:val="bottom"/>
          </w:tcPr>
          <w:p>
            <w:pPr>
              <w:spacing w:after="0"/>
              <w:rPr>
                <w:sz w:val="20"/>
                <w:szCs w:val="20"/>
                <w:color w:val="auto"/>
              </w:rPr>
            </w:pP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factors which the Company does not consider indicative of future operating performance</w:t>
            </w:r>
          </w:p>
        </w:tc>
      </w:tr>
      <w:tr>
        <w:trPr>
          <w:trHeight w:val="23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 authoritative GAAP</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At-The-Market Equity Offering Program</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BESS</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Battery energy storage system</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BlackRock, Inc., a publicly-traded global investment management firm</w:t>
            </w:r>
          </w:p>
        </w:tc>
      </w:tr>
      <w:tr>
        <w:trPr>
          <w:trHeight w:val="180"/>
        </w:trPr>
        <w:tc>
          <w:tcPr>
            <w:tcW w:w="2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CAFD</w:t>
            </w:r>
          </w:p>
        </w:tc>
        <w:tc>
          <w:tcPr>
            <w:tcW w:w="854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A non-GAAP measure, Cash Available for Distribution is defined as of June 30, 2025 as Adjusted EBITDA plus</w:t>
            </w:r>
          </w:p>
        </w:tc>
      </w:tr>
      <w:tr>
        <w:trPr>
          <w:trHeight w:val="184"/>
        </w:trPr>
        <w:tc>
          <w:tcPr>
            <w:tcW w:w="2700" w:type="dxa"/>
            <w:vAlign w:val="bottom"/>
          </w:tcPr>
          <w:p>
            <w:pPr>
              <w:spacing w:after="0"/>
              <w:rPr>
                <w:sz w:val="16"/>
                <w:szCs w:val="16"/>
                <w:color w:val="auto"/>
              </w:rPr>
            </w:pPr>
          </w:p>
        </w:tc>
        <w:tc>
          <w:tcPr>
            <w:tcW w:w="854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cash distributions/return of investment from unconsolidated affiliates, cash receipts from notes receivable, cash</w:t>
            </w:r>
          </w:p>
        </w:tc>
      </w:tr>
      <w:tr>
        <w:trPr>
          <w:trHeight w:val="180"/>
        </w:trPr>
        <w:tc>
          <w:tcPr>
            <w:tcW w:w="2700" w:type="dxa"/>
            <w:vAlign w:val="bottom"/>
          </w:tcPr>
          <w:p>
            <w:pPr>
              <w:spacing w:after="0"/>
              <w:rPr>
                <w:sz w:val="15"/>
                <w:szCs w:val="15"/>
                <w:color w:val="auto"/>
              </w:rPr>
            </w:pPr>
          </w:p>
        </w:tc>
        <w:tc>
          <w:tcPr>
            <w:tcW w:w="854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distributions from noncontrolling interests, adjustments to reflect sales-type lease cash payments and payments</w:t>
            </w:r>
          </w:p>
        </w:tc>
      </w:tr>
      <w:tr>
        <w:trPr>
          <w:trHeight w:val="175"/>
        </w:trPr>
        <w:tc>
          <w:tcPr>
            <w:tcW w:w="2700" w:type="dxa"/>
            <w:vAlign w:val="bottom"/>
          </w:tcPr>
          <w:p>
            <w:pPr>
              <w:spacing w:after="0"/>
              <w:rPr>
                <w:sz w:val="15"/>
                <w:szCs w:val="15"/>
                <w:color w:val="auto"/>
              </w:rPr>
            </w:pPr>
          </w:p>
        </w:tc>
        <w:tc>
          <w:tcPr>
            <w:tcW w:w="854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for lease expenses, less cash distributions to noncontrolling interests, maintenance capital expenditures, pro-rata</w:t>
            </w:r>
          </w:p>
        </w:tc>
      </w:tr>
      <w:tr>
        <w:trPr>
          <w:trHeight w:val="184"/>
        </w:trPr>
        <w:tc>
          <w:tcPr>
            <w:tcW w:w="2700" w:type="dxa"/>
            <w:vAlign w:val="bottom"/>
          </w:tcPr>
          <w:p>
            <w:pPr>
              <w:spacing w:after="0"/>
              <w:rPr>
                <w:sz w:val="16"/>
                <w:szCs w:val="16"/>
                <w:color w:val="auto"/>
              </w:rPr>
            </w:pPr>
          </w:p>
        </w:tc>
        <w:tc>
          <w:tcPr>
            <w:tcW w:w="854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Adjusted EBITDA from unconsolidated affiliates, cash interest paid, income taxes paid, principal amortization of</w:t>
            </w:r>
          </w:p>
        </w:tc>
      </w:tr>
      <w:tr>
        <w:trPr>
          <w:trHeight w:val="230"/>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indebtedness, changes in prepaid and accrued capacity payments and adjusted for development expenses</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r>
      <w:tr>
        <w:trPr>
          <w:trHeight w:val="180"/>
        </w:trPr>
        <w:tc>
          <w:tcPr>
            <w:tcW w:w="2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CEG Master Services Agreement</w:t>
            </w:r>
          </w:p>
        </w:tc>
        <w:tc>
          <w:tcPr>
            <w:tcW w:w="854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Amended and Restated Master Services Agreement and Payroll Sharing Agreement, effective as of January 1,</w:t>
            </w:r>
          </w:p>
        </w:tc>
      </w:tr>
      <w:tr>
        <w:trPr>
          <w:trHeight w:val="184"/>
        </w:trPr>
        <w:tc>
          <w:tcPr>
            <w:tcW w:w="2700" w:type="dxa"/>
            <w:vAlign w:val="bottom"/>
          </w:tcPr>
          <w:p>
            <w:pPr>
              <w:spacing w:after="0"/>
              <w:rPr>
                <w:sz w:val="16"/>
                <w:szCs w:val="16"/>
                <w:color w:val="auto"/>
              </w:rPr>
            </w:pPr>
          </w:p>
        </w:tc>
        <w:tc>
          <w:tcPr>
            <w:tcW w:w="854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2025, among the Company, Clearway, Inc., Clearway Energy Finance Inc., Clearway Energy Operating LLC and</w:t>
            </w:r>
          </w:p>
        </w:tc>
      </w:tr>
      <w:tr>
        <w:trPr>
          <w:trHeight w:val="229"/>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CEG</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Inc.</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Inc., the holder of the Company’s Class A and Class C units</w:t>
            </w:r>
          </w:p>
        </w:tc>
      </w:tr>
      <w:tr>
        <w:trPr>
          <w:trHeight w:val="180"/>
        </w:trPr>
        <w:tc>
          <w:tcPr>
            <w:tcW w:w="2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Clearway Energy Group LLC</w:t>
            </w:r>
          </w:p>
        </w:tc>
        <w:tc>
          <w:tcPr>
            <w:tcW w:w="854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The holder of all shares of Clearway, Inc.’s Class B and Class D common stock and the Company’s Class B and</w:t>
            </w:r>
          </w:p>
        </w:tc>
      </w:tr>
      <w:tr>
        <w:trPr>
          <w:trHeight w:val="184"/>
        </w:trPr>
        <w:tc>
          <w:tcPr>
            <w:tcW w:w="2700" w:type="dxa"/>
            <w:vAlign w:val="bottom"/>
          </w:tcPr>
          <w:p>
            <w:pPr>
              <w:spacing w:after="0"/>
              <w:rPr>
                <w:sz w:val="16"/>
                <w:szCs w:val="16"/>
                <w:color w:val="auto"/>
              </w:rPr>
            </w:pPr>
          </w:p>
        </w:tc>
        <w:tc>
          <w:tcPr>
            <w:tcW w:w="854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Class D units and, from time to time, possibly shares of Clearway, Inc.’s Class A and/or Class C common stock.</w:t>
            </w:r>
          </w:p>
        </w:tc>
      </w:tr>
      <w:tr>
        <w:trPr>
          <w:trHeight w:val="180"/>
        </w:trPr>
        <w:tc>
          <w:tcPr>
            <w:tcW w:w="2700" w:type="dxa"/>
            <w:vAlign w:val="bottom"/>
          </w:tcPr>
          <w:p>
            <w:pPr>
              <w:spacing w:after="0"/>
              <w:rPr>
                <w:sz w:val="15"/>
                <w:szCs w:val="15"/>
                <w:color w:val="auto"/>
              </w:rPr>
            </w:pPr>
          </w:p>
        </w:tc>
        <w:tc>
          <w:tcPr>
            <w:tcW w:w="854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Clearway Energy Group LLC is a leading developer of renewable energy, energy storage and power infrastructure</w:t>
            </w:r>
          </w:p>
        </w:tc>
      </w:tr>
      <w:tr>
        <w:trPr>
          <w:trHeight w:val="225"/>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the U.S.</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holder of facilities that are owned by the Company</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Renew</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Renew LLC, a subsidiary of CEG, and its wholly-owned subsidiaries</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LLC, together with its consolidated subsidiaries</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California Valley Solar Ranch</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Daggett 1 Class B</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Daggett 1 Class B Member LLC, the indirect owner of Daggett 1</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Dan’s Mountain TargetCo</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Dan’s Mountain TargetCo LLC, a partnership and the indirect owner of Dan’s Mountain</w:t>
            </w:r>
          </w:p>
        </w:tc>
      </w:tr>
      <w:tr>
        <w:trPr>
          <w:trHeight w:val="180"/>
        </w:trPr>
        <w:tc>
          <w:tcPr>
            <w:tcW w:w="2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Distributed Solar</w:t>
            </w:r>
          </w:p>
        </w:tc>
        <w:tc>
          <w:tcPr>
            <w:tcW w:w="854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Solar power facilities, typically less than 20 MW in size (on an alternating current, or AC, basis), that primarily</w:t>
            </w:r>
          </w:p>
        </w:tc>
      </w:tr>
      <w:tr>
        <w:trPr>
          <w:trHeight w:val="184"/>
        </w:trPr>
        <w:tc>
          <w:tcPr>
            <w:tcW w:w="2700" w:type="dxa"/>
            <w:vAlign w:val="bottom"/>
          </w:tcPr>
          <w:p>
            <w:pPr>
              <w:spacing w:after="0"/>
              <w:rPr>
                <w:sz w:val="16"/>
                <w:szCs w:val="16"/>
                <w:color w:val="auto"/>
              </w:rPr>
            </w:pPr>
          </w:p>
        </w:tc>
        <w:tc>
          <w:tcPr>
            <w:tcW w:w="854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sell power produced to customers for usage on site, or are interconnected to sell power into the local distribution</w:t>
            </w:r>
          </w:p>
        </w:tc>
      </w:tr>
      <w:tr>
        <w:trPr>
          <w:trHeight w:val="229"/>
        </w:trPr>
        <w:tc>
          <w:tcPr>
            <w:tcW w:w="2700" w:type="dxa"/>
            <w:vAlign w:val="bottom"/>
          </w:tcPr>
          <w:p>
            <w:pPr>
              <w:spacing w:after="0"/>
              <w:rPr>
                <w:sz w:val="19"/>
                <w:szCs w:val="19"/>
                <w:color w:val="auto"/>
              </w:rPr>
            </w:pP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grid</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Drop Down Assets</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Assets under common control acquired by the Company from CEG</w:t>
            </w:r>
          </w:p>
        </w:tc>
      </w:tr>
      <w:tr>
        <w:trPr>
          <w:trHeight w:val="180"/>
        </w:trPr>
        <w:tc>
          <w:tcPr>
            <w:tcW w:w="2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ERCOT</w:t>
            </w:r>
          </w:p>
        </w:tc>
        <w:tc>
          <w:tcPr>
            <w:tcW w:w="854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Electric Reliability Council of Texas, the ISO and the regional reliability coordinator of the various electricity</w:t>
            </w:r>
          </w:p>
        </w:tc>
      </w:tr>
      <w:tr>
        <w:trPr>
          <w:trHeight w:val="234"/>
        </w:trPr>
        <w:tc>
          <w:tcPr>
            <w:tcW w:w="2700" w:type="dxa"/>
            <w:vAlign w:val="bottom"/>
          </w:tcPr>
          <w:p>
            <w:pPr>
              <w:spacing w:after="0"/>
              <w:rPr>
                <w:sz w:val="20"/>
                <w:szCs w:val="20"/>
                <w:color w:val="auto"/>
              </w:rPr>
            </w:pP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systems within Texas</w:t>
            </w:r>
          </w:p>
        </w:tc>
      </w:tr>
      <w:tr>
        <w:trPr>
          <w:trHeight w:val="23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Generation</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Formerly the Conventional Generation segment</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GenConn</w:t>
            </w:r>
          </w:p>
        </w:tc>
        <w:tc>
          <w:tcPr>
            <w:tcW w:w="8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GenConn Energy LLC</w:t>
            </w:r>
          </w:p>
        </w:tc>
      </w:tr>
      <w:tr>
        <w:trPr>
          <w:trHeight w:val="864"/>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700" w:type="dxa"/>
            <w:vAlign w:val="bottom"/>
            <w:tcBorders>
              <w:bottom w:val="single" w:sz="8" w:color="9A9A9A"/>
            </w:tcBorders>
          </w:tcPr>
          <w:p>
            <w:pPr>
              <w:spacing w:after="0"/>
              <w:rPr>
                <w:sz w:val="10"/>
                <w:szCs w:val="10"/>
                <w:color w:val="auto"/>
              </w:rPr>
            </w:pPr>
          </w:p>
        </w:tc>
        <w:tc>
          <w:tcPr>
            <w:tcW w:w="8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GIM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HLBV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Luna Valley Class 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MMBtu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Exposure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OCI/OCL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O&amp;M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PG&amp;E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 Forest TargetCo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 Forest TE Class 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PJM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PPA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Renewables &amp; Storage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Rosie South TargetCo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Notes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TotalEnergies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Scale Solar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Global Infrastructure Management, LLC, the manager of GIP and an indirect subsidiary of BlackRock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Infrastructure Partners, an infrastructure fund manager managed by GIM that makes equity and debt</w:t>
      </w:r>
    </w:p>
    <w:p>
      <w:pPr>
        <w:spacing w:after="0"/>
        <w:rPr>
          <w:sz w:val="20"/>
          <w:szCs w:val="20"/>
          <w:color w:val="auto"/>
        </w:rPr>
      </w:pPr>
      <w:r>
        <w:rPr>
          <w:rFonts w:ascii="Times New Roman" w:cs="Times New Roman" w:eastAsia="Times New Roman" w:hAnsi="Times New Roman"/>
          <w:sz w:val="18"/>
          <w:szCs w:val="18"/>
          <w:color w:val="auto"/>
        </w:rPr>
        <w:t>investments in infrastructure assets and businesses. GIM is an indirect subsidiary of BlackRock.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Gigawatt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Hypothetical Liquidation at Book Value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System Operator, also referred to as an RTO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Luna Valley Class B Member LLC, the indirect owner of Luna Valley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British Thermal Units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Megawatt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Counterparty credit exposure to Clearway Energy LLC, net of collateral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Maintenance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Gas and Electric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 Forest CE TargetCo LLC, a partnership and the indirect owner of Pine Forest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 Forest TE Class A Owner LLC, a consolidated subsidiary of Clearway Energy Finance Inc. and an indirect</w:t>
      </w:r>
    </w:p>
    <w:p>
      <w:pPr>
        <w:spacing w:after="0"/>
        <w:rPr>
          <w:sz w:val="20"/>
          <w:szCs w:val="20"/>
          <w:color w:val="auto"/>
        </w:rPr>
      </w:pPr>
      <w:r>
        <w:rPr>
          <w:rFonts w:ascii="Times New Roman" w:cs="Times New Roman" w:eastAsia="Times New Roman" w:hAnsi="Times New Roman"/>
          <w:sz w:val="18"/>
          <w:szCs w:val="18"/>
          <w:color w:val="auto"/>
        </w:rPr>
        <w:t>subsidiary of Clearway,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PJM Interconnection,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Purchase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 adequacy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Formerly the Renewables segment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Renewable Operation &amp; Maintenance LLC, a wholly-owned subsidiary of CEG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Rosie South TargetCo LLC, a partnership and the indirect owner of Rosamond South 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Regional Transmission Organization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California Edison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2028 Senior Notes, the 2031 Senior Notes and the 2032 Senior Notes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Overnight Financing 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 Power Partners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 Renewable Energy Credit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TotalEnergies SE, a global multi-energy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 power facilities, typically 20 MW or greater in size (on an alternating current, or AC, basis), that are</w:t>
      </w:r>
    </w:p>
    <w:p>
      <w:pPr>
        <w:spacing w:after="0"/>
        <w:rPr>
          <w:sz w:val="20"/>
          <w:szCs w:val="20"/>
          <w:color w:val="auto"/>
        </w:rPr>
      </w:pPr>
      <w:r>
        <w:rPr>
          <w:rFonts w:ascii="Times New Roman" w:cs="Times New Roman" w:eastAsia="Times New Roman" w:hAnsi="Times New Roman"/>
          <w:sz w:val="18"/>
          <w:szCs w:val="18"/>
          <w:color w:val="auto"/>
        </w:rPr>
        <w:t>interconnected into the transmission or distribution grid to sell power at a wholesale level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Interest Entity</w:t>
      </w:r>
    </w:p>
    <w:p>
      <w:pPr>
        <w:spacing w:after="0" w:line="200" w:lineRule="exact"/>
        <w:rPr>
          <w:sz w:val="20"/>
          <w:szCs w:val="20"/>
          <w:color w:val="auto"/>
        </w:rPr>
      </w:pPr>
    </w:p>
    <w:p>
      <w:pPr>
        <w:sectPr>
          <w:pgSz w:w="11900" w:h="16838" w:orient="portrait"/>
          <w:cols w:equalWidth="0" w:num="2">
            <w:col w:w="2240" w:space="720"/>
            <w:col w:w="8240"/>
          </w:cols>
          <w:pgMar w:left="34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type w:val="continuous"/>
        </w:sectPr>
      </w:pPr>
    </w:p>
    <w:bookmarkStart w:id="5" w:name="page6"/>
    <w:bookmarkEnd w:id="5"/>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474747"/>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74747"/>
              </w:rPr>
              <w:t>392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130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163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74747"/>
              </w:rPr>
              <w:t>305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74747"/>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74747"/>
              </w:rPr>
              <w:t>(83)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74747"/>
              </w:rPr>
              <w:t>(88)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75"/>
        </w:trPr>
        <w:tc>
          <w:tcPr>
            <w:tcW w:w="5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loss attributable to noncontrolling interests and redeemable</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(50)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LLC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derivatives and changes in accumulated OCI</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76"/>
        </w:trPr>
        <w:tc>
          <w:tcPr>
            <w:tcW w:w="54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interests and</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Clearway Energy LLC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900" w:type="dxa"/>
            <w:vAlign w:val="bottom"/>
            <w:vMerge w:val="restart"/>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affiliates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for power purchase agreements,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 external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 affiliate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affiliates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 external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Redeemable noncontrolling interest in subsidiaries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Contributed capital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Members’ Equity</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180"/>
          </w:cols>
          <w:pgMar w:left="320" w:top="887" w:right="39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type w:val="continuous"/>
        </w:sectPr>
      </w:pPr>
    </w:p>
    <w:bookmarkStart w:id="8" w:name="page9"/>
    <w:bookmarkEnd w:id="8"/>
    <w:p>
      <w:pPr>
        <w:ind w:left="48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 in carrying amount of right-of-use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derivative instruments and amortization of accumulated OCI</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provided by (used in) changes in other working capital:</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Drop Down Assets, net of cash acquired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 note receivable — affiliate</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 net of distributions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from Clearway, Inc.</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CEG, net of distributions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distributions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Pro-rata distributions to Clearway, Inc. and CEG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Tax-related distributions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long-term debt — external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long-term debt — affiliate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long-term debt — external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long-term debt — affiliate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98"/>
        </w:trPr>
        <w:tc>
          <w:tcPr>
            <w:tcW w:w="5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7"/>
                <w:szCs w:val="17"/>
                <w:color w:val="auto"/>
              </w:rPr>
            </w:pPr>
          </w:p>
        </w:tc>
        <w:tc>
          <w:tcPr>
            <w:tcW w:w="8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5,641</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loss on derivatives and changes in accumulated OCI</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 cash</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interests, non-cash</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loss on derivatives and changes in accumulated OCI</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Contributions from CEG, net of distributions, 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Contributions from Clearway, Inc., cash</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 cash</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Pro-rata distributions to Clearway, Inc. and CEG</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98"/>
        </w:trPr>
        <w:tc>
          <w:tcPr>
            <w:tcW w:w="5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7"/>
                <w:szCs w:val="17"/>
                <w:color w:val="auto"/>
              </w:rPr>
            </w:pPr>
          </w:p>
        </w:tc>
        <w:tc>
          <w:tcPr>
            <w:tcW w:w="8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(loss) gain on derivatives and changes in accumulated OCI</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 cash</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gain on derivatives and changes in accumulated OCI</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Contributions from CEG, net of distributions, cash</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Contributions to noncontrolling interests, net of distributions, cash</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interests, net of contributions, non-cash</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Tax-related distributions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one of the largest owners of clean energy generation assets in the U.S. The Company’s portfolio comprises approximately 12 GW of gross capacity in 27 states, including approximately 9.2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distributions.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2025, Clearway, Inc. owned 58.30% of the economic interests of the Company, with CEG owning 41.70% of the economic interests of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color w:val="auto"/>
        </w:rPr>
        <w:t>The following table represents a summarized structure of the Company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863590" cy="4320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2024 Form 10-K. Interim results are not necessarily indicative of results for a full year.</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for a fair statement of the Company’s consolidated financial position as of June 30, 2025, and results of operations, comprehensive income and cash flows for the three and six months ended June 30, 2025 and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subsidiary facilities was $214 million and $194 million as of June 30, 2025 and December 31, 2024, respectively.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231"/>
        </w:trPr>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7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consolidated statements of cash flows</w:t>
            </w:r>
          </w:p>
        </w:tc>
        <w:tc>
          <w:tcPr>
            <w:tcW w:w="1460" w:type="dxa"/>
            <w:vAlign w:val="bottom"/>
            <w:tcBorders>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facilities that are restricted in their use. As of June 30, 2025, these restricted funds were comprised of $112 million designated to fund operating expenses, $176 million designated for current debt service payments and $83 million restricted for reserves including debt service, performance obligations and other reserves as well as capital expenditures. The remaining $155 million is held in distributions reserve accounts.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and Accumulated Amortization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intangible assets, net: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gridSpan w:val="3"/>
          </w:tcPr>
          <w:p>
            <w:pPr>
              <w:jc w:val="right"/>
              <w:ind w:right="141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4,398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30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1,283</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distributions paid on the Company's Class A, B, C and D units during the six months ended June 30,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2025</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2025</w:t>
            </w:r>
          </w:p>
        </w:tc>
      </w:tr>
      <w:tr>
        <w:trPr>
          <w:trHeight w:val="23"/>
        </w:trPr>
        <w:tc>
          <w:tcPr>
            <w:tcW w:w="84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A, B, C and D unit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0.4312</w:t>
            </w: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quarterly distributions, on June 10, 2025, the Company distributed an additional $16 million, $9 million of which was distributed to Clearway, Inc. related their contribution through Pine Forest TE Class A Owner LLC, or Pine Forest TE Class A, an indirect subsidiary of Clearway, Inc., to acquire the Class A membership interests in Pine Forest TE HoldCo LLC,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and $7 million of which was distributed to CEG, which represents CEG’s pro-rata share of the additional distributions.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August 4, 2025, the Company declared a distribution on its Class A, Class B, Class C and Class D units of $0.4456 per unit payable on September 16, 2025 to unit holders of record as of September 2,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contributions from redeemable noncontrolling interests</w:t>
            </w:r>
          </w:p>
        </w:tc>
        <w:tc>
          <w:tcPr>
            <w:tcW w:w="4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distributions to redeemable noncontrolling interests</w:t>
            </w:r>
          </w:p>
        </w:tc>
        <w:tc>
          <w:tcPr>
            <w:tcW w:w="4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loss attributable to redeemable noncontrolling interests</w:t>
            </w:r>
          </w:p>
        </w:tc>
        <w:tc>
          <w:tcPr>
            <w:tcW w:w="4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6"/>
          </w:tcPr>
          <w:p>
            <w:pPr>
              <w:jc w:val="center"/>
              <w:ind w:left="933"/>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40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333</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3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hanging="151"/>
        <w:spacing w:after="0"/>
        <w:tabs>
          <w:tab w:leader="none" w:pos="2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6"/>
          </w:tcPr>
          <w:p>
            <w:pPr>
              <w:jc w:val="center"/>
              <w:ind w:left="933"/>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40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333333"/>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344</w:t>
            </w:r>
          </w:p>
        </w:tc>
        <w:tc>
          <w:tcPr>
            <w:tcW w:w="0" w:type="dxa"/>
            <w:vAlign w:val="bottom"/>
          </w:tcPr>
          <w:p>
            <w:pPr>
              <w:spacing w:after="0"/>
              <w:rPr>
                <w:sz w:val="1"/>
                <w:szCs w:val="1"/>
                <w:color w:val="auto"/>
              </w:rPr>
            </w:pPr>
          </w:p>
        </w:tc>
      </w:tr>
      <w:tr>
        <w:trPr>
          <w:trHeight w:val="311"/>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80</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(46)</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366</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46</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(295)</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50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333333"/>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159</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6"/>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333333"/>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586</w:t>
            </w:r>
          </w:p>
        </w:tc>
        <w:tc>
          <w:tcPr>
            <w:tcW w:w="0" w:type="dxa"/>
            <w:vAlign w:val="bottom"/>
          </w:tcPr>
          <w:p>
            <w:pPr>
              <w:spacing w:after="0"/>
              <w:rPr>
                <w:sz w:val="1"/>
                <w:szCs w:val="1"/>
                <w:color w:val="auto"/>
              </w:rPr>
            </w:pPr>
          </w:p>
        </w:tc>
      </w:tr>
      <w:tr>
        <w:trPr>
          <w:trHeight w:val="3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175</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(89)</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(24)</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690</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89</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24</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(483)</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87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233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333333"/>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320</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36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32</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555</w:t>
            </w: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311"/>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40" w:hanging="151"/>
        <w:spacing w:after="0"/>
        <w:tabs>
          <w:tab w:leader="none" w:pos="24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8"/>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contract assets included on the Company’s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60" w:type="dxa"/>
            <w:vAlign w:val="bottom"/>
            <w:tcBorders>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Acquisitions</w:t>
      </w:r>
    </w:p>
    <w:p>
      <w:pPr>
        <w:spacing w:after="0" w:line="17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Catalina Solar Acquisition — </w:t>
      </w:r>
      <w:r>
        <w:rPr>
          <w:rFonts w:ascii="Times New Roman" w:cs="Times New Roman" w:eastAsia="Times New Roman" w:hAnsi="Times New Roman"/>
          <w:sz w:val="18"/>
          <w:szCs w:val="18"/>
          <w:color w:val="auto"/>
        </w:rPr>
        <w:t>On July 16, 2025, the Company, through its indirect subsidiary, Catalina Solar Investment LLC, acquired Catalina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Solar Lessee Holdco LLC, which leases and operates Catalina, a 109 MW solar facility located in Kern County, California, from a third-party for approximately $127 million. Catalina reached commercial operations in 2013 and has a PPA with an investment-grade utility through 2038. The acquisition was funded with existing sources of liquidity. The Company estimates that its net capital investment in Catalina will be $125 million after factoring in cash acquired and estimated transaction expenses.</w:t>
      </w:r>
    </w:p>
    <w:p>
      <w:pPr>
        <w:spacing w:after="0" w:line="1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Pine Forest Drop Down </w:t>
      </w:r>
      <w:r>
        <w:rPr>
          <w:rFonts w:ascii="Times New Roman" w:cs="Times New Roman" w:eastAsia="Times New Roman" w:hAnsi="Times New Roman"/>
          <w:sz w:val="18"/>
          <w:szCs w:val="18"/>
          <w:color w:val="auto"/>
        </w:rPr>
        <w:t>— On June 10, 2025, the Company, through its indirect subsidiary, Pine Forest CE Class A Owner LLC, acquired the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 membership interests in Pine Forest CE TargetCo LLC, or Pine Forest TargetCo, a partnership and the indirect owner of Pine Forest, a 300 MW solar facility that is paired with a 200 MW BESS facility, which are both currently under construction in Hopkins County, Texas, from Clearway Renew for initial cash consideration of $18 million. Simultaneously, a third-party cash equity investor acquired the Class B membership interests in Pine Forest TargetCo from Clearway Renew for initial cash consideration of $36 million. Pine Forest TargetCo consolidates as primary beneficiary, Pine Forest TE HoldCo LLC, a tax equity fund that directly owns the Pine Forest solar and BESS facility, as further described in Note 4, </w:t>
      </w:r>
      <w:r>
        <w:rPr>
          <w:rFonts w:ascii="Times New Roman" w:cs="Times New Roman" w:eastAsia="Times New Roman" w:hAnsi="Times New Roman"/>
          <w:sz w:val="18"/>
          <w:szCs w:val="18"/>
          <w:i w:val="1"/>
          <w:iCs w:val="1"/>
          <w:color w:val="auto"/>
        </w:rPr>
        <w:t>Investments Accounted for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Method and Variable Interest Entities</w:t>
      </w:r>
      <w:r>
        <w:rPr>
          <w:rFonts w:ascii="Times New Roman" w:cs="Times New Roman" w:eastAsia="Times New Roman" w:hAnsi="Times New Roman"/>
          <w:sz w:val="18"/>
          <w:szCs w:val="18"/>
          <w:color w:val="auto"/>
        </w:rPr>
        <w:t>. Also on June 10, 2025, Clearway, Inc., through its indirect subsidiary, Pine Forest TE Class A, contributed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 million to acquire the Class A membership interests in Pine Forest TE HoldCo LLC. At substantial completion, which is expected to occur in the second half of 2025, the Company estimates it will pay an additional $72 million to Clearway Renew for its Class A membership interests in Pine Forest TargetCo and Clearway, Inc. will contribute an additional $37 million for its Class A membership interests in Pine Forest TE HoldCo LLC. In addition, the third-party cash equity investor in Pine Forest TargetCo is expected to contribute an additional $144 million.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7" w:name="page18"/>
    <w:bookmarkEnd w:id="17"/>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Pine Forest has PPAs for the solar facility with investment-grade counterparties and a 20-year weighted average contract duration that will commence when the underlying operating assets reach commercial operations, which is expected to occur in the second half of 2025. Pine Forest is reflected in the Company’s Renewables &amp; Storage segment and the acquisition was funded with existing sources of liquidity. The acquisition was determined to be an asset acquisition and the Company consolidates Pine Forest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8"/>
          <w:szCs w:val="18"/>
          <w:i w:val="1"/>
          <w:iCs w:val="1"/>
          <w:color w:val="auto"/>
        </w:rPr>
        <w:t>Business Combinations -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Issues</w:t>
      </w:r>
      <w:r>
        <w:rPr>
          <w:rFonts w:ascii="Times New Roman" w:cs="Times New Roman" w:eastAsia="Times New Roman" w:hAnsi="Times New Roman"/>
          <w:sz w:val="18"/>
          <w:szCs w:val="18"/>
          <w:color w:val="auto"/>
        </w:rPr>
        <w:t>. The sum of the initial cash consideration of $18 million and the historical cost of the Company’s net liabilities assumed of $9 million was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 adjustment to contributed capital. In addition, the Company reflected the entire $18 million of the Company’s initial purchase price, which was contributed back to the Company by CEG to pay down the acquired long-term debt, in the line item contributions from CEG, net of distributions in the consolidated statements of members’ equity. The Company estimates that its total capital investment in Pine Forest TargetCo will be $90 million, excluding the impact of any closing adjustments noted in the purchase agreement.</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June 10,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Pine Forest</w:t>
            </w:r>
          </w:p>
        </w:tc>
      </w:tr>
      <w:tr>
        <w:trPr>
          <w:trHeight w:val="226"/>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3"/>
                <w:szCs w:val="23"/>
                <w:color w:val="auto"/>
                <w:vertAlign w:val="superscript"/>
              </w:rPr>
              <w:t>(a)</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net</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70"/>
        </w:trPr>
        <w:tc>
          <w:tcPr>
            <w:tcW w:w="9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29"/>
        </w:trPr>
        <w:tc>
          <w:tcPr>
            <w:tcW w:w="9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(b)</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3"/>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9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liabilities assumed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Construction in progress of $550 million.</w:t>
      </w:r>
    </w:p>
    <w:p>
      <w:pPr>
        <w:spacing w:after="0" w:line="57" w:lineRule="exact"/>
        <w:rPr>
          <w:rFonts w:ascii="Times New Roman" w:cs="Times New Roman" w:eastAsia="Times New Roman" w:hAnsi="Times New Roman"/>
          <w:sz w:val="20"/>
          <w:szCs w:val="20"/>
          <w:color w:val="auto"/>
          <w:vertAlign w:val="superscript"/>
        </w:rPr>
      </w:pPr>
    </w:p>
    <w:p>
      <w:pPr>
        <w:ind w:left="80" w:firstLine="9"/>
        <w:spacing w:after="0" w:line="213" w:lineRule="auto"/>
        <w:tabs>
          <w:tab w:leader="none" w:pos="252"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 xml:space="preserve">Includes a $103 million construction loan, a $102 million cash equity bridge loan, a $41 million tax equity bridge loan and a $275 million tax credit transfer bridge loan, offset by $6 million in unamortized debt issuance costs.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long-term debt assumed in the acquisition.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Tuolumne Wind Acquisition — </w:t>
      </w:r>
      <w:r>
        <w:rPr>
          <w:rFonts w:ascii="Times New Roman" w:cs="Times New Roman" w:eastAsia="Times New Roman" w:hAnsi="Times New Roman"/>
          <w:sz w:val="18"/>
          <w:szCs w:val="18"/>
          <w:color w:val="auto"/>
        </w:rPr>
        <w:t>On April 29, 2025, the Company, through its indirect subsidiary, Washington Wind LLC, acquired Tuolumne, a 137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MW wind facility located in Klickitat County, Washington, from an investment-grade regulated entity for approximately $210 million, which excludes $1 million in transaction expenses incurred in connection with the acquisition during the six months ended June 30, 2025. Tuolumne reached commercial operations in 2009. In connection with the acquisition, the Company entered into a 15-year PPA with an investment-grade regulated entity that commenced in April 2025. Tuolumne is reflected in the Company’s Renewables &amp; Storage segment and the acquisition was funded with borrowings under the new financing agreement that was entered into in connection with the acquisition,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as well as existing sources of liquidity. After factoring in transaction expenses and the new financing, the Company’s net capital investment in Tuolumne was $59 million. The acquisition was determined to be an asset acquisition and the purchase price, including transaction expenses, was allocated to the fair value of the assets acquired and liabilities assumed on the acquisition date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Tuolumne</w:t>
            </w:r>
          </w:p>
        </w:tc>
      </w:tr>
      <w:tr>
        <w:trPr>
          <w:trHeight w:val="226"/>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for power purchase agreement</w:t>
            </w: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70"/>
        </w:trPr>
        <w:tc>
          <w:tcPr>
            <w:tcW w:w="9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property, plant and equipment for the Company’s third-party acquisition of Tuolumne was determined primarily based on an income method using discounted cash flows and validated using a cost approach based on the replacement cost of the assets less economic depreciation. This methodology was utilized as the forecasted cash flows incorporate specific attributes including age, useful life, equipment condition and technology. The fair value of intangible asset for power purchase agreement was determined utilizing a variation of the income approach determined by discounting incremental cash flows associated with the contract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spacing w:after="0" w:line="13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Luna Valley Drop Down </w:t>
      </w:r>
      <w:r>
        <w:rPr>
          <w:rFonts w:ascii="Times New Roman" w:cs="Times New Roman" w:eastAsia="Times New Roman" w:hAnsi="Times New Roman"/>
          <w:sz w:val="18"/>
          <w:szCs w:val="18"/>
          <w:color w:val="auto"/>
        </w:rPr>
        <w:t>— On April 29, 2025, the Company, through its indirect subsidiary, LV-Daggett Parent Holdco LLC, acquired Luna Valley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Class B Member LLC, or Luna Valley Class B, the indirect owner of Luna Valley, a 200 MW solar facility that is currently under construction in Fresno County, California, from Clearway Renew for initial cash consideration of $18 million. At substantial completion, which is expected to occur in the second half of 2025, the Company estimates it will pay an additional $72 million to Clearway Renew. Luna Valley Class B consolidates as primary beneficiary, Luna Valley TE Holdco LLC, a tax equity fund that owns the Luna Valley solar facility, as further described in Note 4, </w:t>
      </w:r>
      <w:r>
        <w:rPr>
          <w:rFonts w:ascii="Times New Roman" w:cs="Times New Roman" w:eastAsia="Times New Roman" w:hAnsi="Times New Roman"/>
          <w:sz w:val="18"/>
          <w:szCs w:val="18"/>
          <w:i w:val="1"/>
          <w:iCs w:val="1"/>
          <w:color w:val="auto"/>
        </w:rPr>
        <w:t>Investments Accounted for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Method and Variable Interest Entities</w:t>
      </w:r>
      <w:r>
        <w:rPr>
          <w:rFonts w:ascii="Times New Roman" w:cs="Times New Roman" w:eastAsia="Times New Roman" w:hAnsi="Times New Roman"/>
          <w:sz w:val="18"/>
          <w:szCs w:val="18"/>
          <w:color w:val="auto"/>
        </w:rPr>
        <w:t>. Luna Valley has PPAs with investment-grade counterparties that have a 17-year weighted average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duration that commence when the underlying operating assets reach commercial operations, which is expected to occur in the second half of 2025. Luna Valley is reflected in the Company’s Renewables &amp; Storage segment and the acquisition was funded with existing sources of liquidity. The acquisition was determined to be an asset acquisition and the Company consolidates Luna Valley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 Related Issues</w:t>
      </w:r>
      <w:r>
        <w:rPr>
          <w:rFonts w:ascii="Times New Roman" w:cs="Times New Roman" w:eastAsia="Times New Roman" w:hAnsi="Times New Roman"/>
          <w:sz w:val="18"/>
          <w:szCs w:val="18"/>
          <w:color w:val="auto"/>
        </w:rPr>
        <w:t>. The sum of the initial cash consideration of $18 million and the historical cost of the Company’s net liabilities assumed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 million was recorded as an adjustment to contributed capital. In addition, the Company reflected the entire $18 million of the Company’s initial purchase price, which was contributed back to the Company by CEG to pay down the acquired long-term debt, in the line item contributions from CEG, net of distributions in the consolidated statements of members’ equity. The Company estimates that its total capital investment in Luna Valley Class B will be $90 million, excluding the impact of any closing adjustments noted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April 29,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Luna Valley</w:t>
            </w:r>
          </w:p>
        </w:tc>
      </w:tr>
      <w:tr>
        <w:trPr>
          <w:trHeight w:val="226"/>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9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3"/>
                <w:szCs w:val="23"/>
                <w:color w:val="auto"/>
                <w:vertAlign w:val="superscript"/>
              </w:rPr>
              <w:t>(a)</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net</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70"/>
        </w:trPr>
        <w:tc>
          <w:tcPr>
            <w:tcW w:w="9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29"/>
        </w:trPr>
        <w:tc>
          <w:tcPr>
            <w:tcW w:w="9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(b)</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3"/>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9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liabilities assumed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Construction in progress of $338 million.</w:t>
      </w:r>
    </w:p>
    <w:p>
      <w:pPr>
        <w:spacing w:after="0" w:line="57" w:lineRule="exact"/>
        <w:rPr>
          <w:rFonts w:ascii="Times New Roman" w:cs="Times New Roman" w:eastAsia="Times New Roman" w:hAnsi="Times New Roman"/>
          <w:sz w:val="20"/>
          <w:szCs w:val="20"/>
          <w:color w:val="auto"/>
          <w:vertAlign w:val="superscript"/>
        </w:rPr>
      </w:pPr>
    </w:p>
    <w:p>
      <w:pPr>
        <w:ind w:left="80" w:firstLine="9"/>
        <w:spacing w:after="0" w:line="226" w:lineRule="auto"/>
        <w:tabs>
          <w:tab w:leader="none" w:pos="23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Includes a $144 million construction loan, a $64 million cash equity bridge loan and a $144 million tax equity bridge loan, offset by $4 million in unamortized debt issuance costs. See Note 7,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for further discussion of the long-term debt assumed in the acquisition.</w:t>
      </w:r>
    </w:p>
    <w:p>
      <w:pPr>
        <w:spacing w:after="0" w:line="1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Daggett 1 Drop Down </w:t>
      </w:r>
      <w:r>
        <w:rPr>
          <w:rFonts w:ascii="Times New Roman" w:cs="Times New Roman" w:eastAsia="Times New Roman" w:hAnsi="Times New Roman"/>
          <w:sz w:val="18"/>
          <w:szCs w:val="18"/>
          <w:color w:val="auto"/>
        </w:rPr>
        <w:t>— On April 29, 2025, the Company, through its indirect subsidiary, LV-Daggett Parent Holdco LLC, acquired Daggett 1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 Member LLC, or Daggett 1 Class B, the indirect owner of Daggett 1, a 114 MW BESS facility that is currently under construction in San Bernardino County, California, from Clearway Renew for initial cash consideration of $11 million. At substantial completion, which is expected to occur in the second half of 2025, the Company estimates it will pay an additional $42 million to Clearway Renew. Daggett 1 Class B consolidates as primary beneficiary, Daggett 1 TE Holdco LLC, a tax equity fund that owns the Daggett 1 BESS facility, as further described in Note 4, </w:t>
      </w:r>
      <w:r>
        <w:rPr>
          <w:rFonts w:ascii="Times New Roman" w:cs="Times New Roman" w:eastAsia="Times New Roman" w:hAnsi="Times New Roman"/>
          <w:sz w:val="18"/>
          <w:szCs w:val="18"/>
          <w:i w:val="1"/>
          <w:iCs w:val="1"/>
          <w:color w:val="auto"/>
        </w:rPr>
        <w:t>Investments Accounted for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Method and Variable Interest Entities</w:t>
      </w:r>
      <w:r>
        <w:rPr>
          <w:rFonts w:ascii="Times New Roman" w:cs="Times New Roman" w:eastAsia="Times New Roman" w:hAnsi="Times New Roman"/>
          <w:sz w:val="18"/>
          <w:szCs w:val="18"/>
          <w:color w:val="auto"/>
        </w:rPr>
        <w:t>. Daggett 1 has a PPA for capacity with an investment-grade counterparty for a contract duration of 15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commences when the facility reaches commercial operations, which is expected to occur in the second half of 2025. Daggett 1 is reflected in the Company’s Renewables &amp; Storage segment and the acquisition was funded with existing sources of liquidity. The acquisition was determined to be an asset acquisition and the Company consolidates Daggett 1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initial cash consideration of $11 million and the historical cost of the Company’s net assets acquired of $1 million was recorded as an adjustment to contributed capital. In addition, the Company reflected the entire $11 million of the Company’s initial purchase price, which was contributed back to the Company by CEG into escrow in the line item contributions from CEG, net of distributions in the consolidated statements of members’ equity. The Company estimates that its total capital investment in Daggett 1 Class B will be $53 million, excluding the impact of any closing adjustments noted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April 29,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Daggett 1</w:t>
            </w:r>
          </w:p>
        </w:tc>
      </w:tr>
      <w:tr>
        <w:trPr>
          <w:trHeight w:val="226"/>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3"/>
                <w:szCs w:val="23"/>
                <w:color w:val="auto"/>
                <w:vertAlign w:val="superscript"/>
              </w:rPr>
              <w:t>(a)</w:t>
            </w: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70"/>
        </w:trPr>
        <w:tc>
          <w:tcPr>
            <w:tcW w:w="9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30"/>
        </w:trPr>
        <w:tc>
          <w:tcPr>
            <w:tcW w:w="9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(b)</w:t>
            </w: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9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Construction in progress of $221 million.</w:t>
      </w:r>
    </w:p>
    <w:p>
      <w:pPr>
        <w:spacing w:after="0" w:line="57" w:lineRule="exact"/>
        <w:rPr>
          <w:rFonts w:ascii="Times New Roman" w:cs="Times New Roman" w:eastAsia="Times New Roman" w:hAnsi="Times New Roman"/>
          <w:sz w:val="20"/>
          <w:szCs w:val="20"/>
          <w:color w:val="auto"/>
          <w:vertAlign w:val="superscript"/>
        </w:rPr>
      </w:pPr>
    </w:p>
    <w:p>
      <w:pPr>
        <w:ind w:left="80" w:firstLine="9"/>
        <w:spacing w:after="0" w:line="226" w:lineRule="auto"/>
        <w:tabs>
          <w:tab w:leader="none" w:pos="23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Includes a $92 million construction loan and a $131 million tax equity bridge loan, offset by $3 million in unamortized debt issuance costs. See Note 7,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for further discussion of the long-term debt assumed in the acquisition.</w:t>
      </w:r>
    </w:p>
    <w:p>
      <w:pPr>
        <w:spacing w:after="0" w:line="151" w:lineRule="exact"/>
        <w:rPr>
          <w:sz w:val="20"/>
          <w:szCs w:val="20"/>
          <w:color w:val="auto"/>
        </w:rPr>
      </w:pPr>
    </w:p>
    <w:p>
      <w:pPr>
        <w:jc w:val="both"/>
        <w:ind w:firstLine="41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Rosamond South I Drop Down </w:t>
      </w:r>
      <w:r>
        <w:rPr>
          <w:rFonts w:ascii="Times New Roman" w:cs="Times New Roman" w:eastAsia="Times New Roman" w:hAnsi="Times New Roman"/>
          <w:sz w:val="18"/>
          <w:szCs w:val="18"/>
          <w:color w:val="auto"/>
        </w:rPr>
        <w:t>— On March 20, 2025, the Company, through its indirect subsidiary, Rosamond South Investment LLC, acquired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Class A membership interests in Rosie South TargetCo LLC, or Rosie South TargetCo, a partnership and the indirect owner of Rosamond South I, a 140 MW solar facility that is paired with a 117 MW BESS facility, which are both currently under construction in Rosamond, California, from Clearway Renew for initial cash consideration of $4 million. Simultaneously, a third-party cash equity investor acquired the Class B membership interests in Rosie South TargetCo from Clearway Renew for initial cash consideration of $10 million. At substantial completion, which is expected to occur in the second half of 2025, the Company estimates it will pay an additional $17 million to Clearway Renew and the third-party cash equity investor will contribute an additional $41 million. Rosie South TargetCo consolidates as primary beneficiary, Rosie South TE Holdco LLC, a tax equity fund that directly owns the Rosamond South I solar and BESS facility, as further described in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Rosamond South I has PPAs with investment-grade counterparties that have a 15-year weighted average contract duration that commence when the underlying operating assets reach commercial operations, which is expected to occur in the second half of 2025. Rosamond South I is reflected in the Company’s Renewables &amp; Storage segment and the acquisition was funded with existing sources of liquidity. The acquisition was determined to be an asset acquisition and the Company consolidates Rosamond South I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sum of the initial cash consideration of $4 million and the historical cost of the Company’s net liabilities assumed of $3 million was recorded as an adjustment to contributed capital. In addition, the Company reflected the entire $4 million of the Company’s initial purchase price, which was contributed back to the Company by CEG to pay down the acquired long-term debt, in the line item distributions to CEG, net of contributions in the consolidated statements of members’ equity. The Company estimates that its total capital investment in Rosie South TargetCo will be $21 million, excluding the impact of any closing adjustments noted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March 20,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Rosamond South I</w:t>
            </w:r>
          </w:p>
        </w:tc>
      </w:tr>
      <w:tr>
        <w:trPr>
          <w:trHeight w:val="226"/>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10"/>
                <w:szCs w:val="10"/>
                <w:color w:val="auto"/>
              </w:rPr>
              <w:t>(a)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Right-of-use assets, net </w:t>
            </w:r>
            <w:r>
              <w:rPr>
                <w:rFonts w:ascii="Times New Roman" w:cs="Times New Roman" w:eastAsia="Times New Roman" w:hAnsi="Times New Roman"/>
                <w:sz w:val="10"/>
                <w:szCs w:val="10"/>
                <w:color w:val="auto"/>
              </w:rPr>
              <w:t>(b)</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70"/>
        </w:trPr>
        <w:tc>
          <w:tcPr>
            <w:tcW w:w="9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29"/>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10"/>
                <w:szCs w:val="10"/>
                <w:color w:val="auto"/>
              </w:rPr>
              <w:t>(c)</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Long-term lease liabilities </w:t>
            </w:r>
            <w:r>
              <w:rPr>
                <w:rFonts w:ascii="Times New Roman" w:cs="Times New Roman" w:eastAsia="Times New Roman" w:hAnsi="Times New Roman"/>
                <w:sz w:val="10"/>
                <w:szCs w:val="10"/>
                <w:color w:val="auto"/>
              </w:rPr>
              <w:t>(b)</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9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3"/>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liabilities assumed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Construction in progress of $495 million.</w:t>
      </w:r>
    </w:p>
    <w:p>
      <w:pPr>
        <w:spacing w:after="0" w:line="57" w:lineRule="exact"/>
        <w:rPr>
          <w:rFonts w:ascii="Times New Roman" w:cs="Times New Roman" w:eastAsia="Times New Roman" w:hAnsi="Times New Roman"/>
          <w:sz w:val="20"/>
          <w:szCs w:val="20"/>
          <w:color w:val="auto"/>
          <w:vertAlign w:val="superscript"/>
        </w:rPr>
      </w:pPr>
    </w:p>
    <w:p>
      <w:pPr>
        <w:ind w:left="240" w:hanging="151"/>
        <w:spacing w:after="0" w:line="189" w:lineRule="auto"/>
        <w:tabs>
          <w:tab w:leader="none" w:pos="2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Balances primarily relate to a land lease agreement with a wholly-owned subsidiary of CEG, which expires on September 30, 2058.</w:t>
      </w:r>
    </w:p>
    <w:p>
      <w:pPr>
        <w:spacing w:after="0" w:line="57" w:lineRule="exact"/>
        <w:rPr>
          <w:rFonts w:ascii="Times New Roman" w:cs="Times New Roman" w:eastAsia="Times New Roman" w:hAnsi="Times New Roman"/>
          <w:sz w:val="19"/>
          <w:szCs w:val="19"/>
          <w:color w:val="auto"/>
          <w:vertAlign w:val="superscript"/>
        </w:rPr>
      </w:pPr>
    </w:p>
    <w:p>
      <w:pPr>
        <w:ind w:left="80" w:firstLine="9"/>
        <w:spacing w:after="0" w:line="226" w:lineRule="auto"/>
        <w:tabs>
          <w:tab w:leader="none" w:pos="233"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Includes a $179 million construction loan, a $6 million cash equity bridge loan and a $284 million tax equity bridge loan, offset by $1 million in unamortized debt issuance costs. See Note 7,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for further discussion of the long-term debt assumed in the acquisition.</w:t>
      </w:r>
    </w:p>
    <w:p>
      <w:pPr>
        <w:spacing w:after="0" w:line="151" w:lineRule="exact"/>
        <w:rPr>
          <w:sz w:val="20"/>
          <w:szCs w:val="20"/>
          <w:color w:val="auto"/>
        </w:rPr>
      </w:pPr>
    </w:p>
    <w:p>
      <w:pPr>
        <w:ind w:right="46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Entities that are not Consolidated</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included in the Company’s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Company’s equity investments in unconsolidated affiliates as of June 30, 2025: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Economic Interest</w:t>
            </w:r>
          </w:p>
        </w:tc>
        <w:tc>
          <w:tcPr>
            <w:tcW w:w="180" w:type="dxa"/>
            <w:vAlign w:val="bottom"/>
          </w:tcPr>
          <w:p>
            <w:pPr>
              <w:spacing w:after="0"/>
              <w:rPr>
                <w:sz w:val="23"/>
                <w:szCs w:val="23"/>
                <w:color w:val="auto"/>
              </w:rPr>
            </w:pPr>
          </w:p>
        </w:tc>
        <w:tc>
          <w:tcPr>
            <w:tcW w:w="18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 xml:space="preserve">Investment Balance </w:t>
            </w:r>
            <w:r>
              <w:rPr>
                <w:rFonts w:ascii="Times New Roman" w:cs="Times New Roman" w:eastAsia="Times New Roman" w:hAnsi="Times New Roman"/>
                <w:sz w:val="23"/>
                <w:szCs w:val="23"/>
                <w:b w:val="1"/>
                <w:bCs w:val="1"/>
                <w:color w:val="auto"/>
                <w:vertAlign w:val="superscript"/>
              </w:rPr>
              <w:t>(a)</w:t>
            </w:r>
          </w:p>
        </w:tc>
      </w:tr>
      <w:tr>
        <w:trPr>
          <w:trHeight w:val="208"/>
        </w:trPr>
        <w:tc>
          <w:tcPr>
            <w:tcW w:w="2180" w:type="dxa"/>
            <w:vAlign w:val="bottom"/>
            <w:tcBorders>
              <w:top w:val="single" w:sz="8" w:color="auto"/>
            </w:tcBorders>
          </w:tcPr>
          <w:p>
            <w:pPr>
              <w:spacing w:after="0"/>
              <w:rPr>
                <w:sz w:val="18"/>
                <w:szCs w:val="18"/>
                <w:color w:val="auto"/>
              </w:rPr>
            </w:pPr>
          </w:p>
        </w:tc>
        <w:tc>
          <w:tcPr>
            <w:tcW w:w="5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Avenal</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Desert Sunlight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Elkhorn Ridge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6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GenConn </w:t>
            </w:r>
            <w:r>
              <w:rPr>
                <w:rFonts w:ascii="Times New Roman" w:cs="Times New Roman" w:eastAsia="Times New Roman" w:hAnsi="Times New Roman"/>
                <w:sz w:val="23"/>
                <w:szCs w:val="23"/>
                <w:color w:val="auto"/>
                <w:vertAlign w:val="superscript"/>
              </w:rPr>
              <w:t>(b)</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Juan Mesa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1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2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r>
    </w:tbl>
    <w:p>
      <w:pPr>
        <w:spacing w:after="0" w:line="27" w:lineRule="exact"/>
        <w:rPr>
          <w:sz w:val="20"/>
          <w:szCs w:val="20"/>
          <w:color w:val="auto"/>
        </w:rPr>
      </w:pPr>
    </w:p>
    <w:p>
      <w:pPr>
        <w:ind w:left="260" w:hanging="171"/>
        <w:spacing w:after="0"/>
        <w:tabs>
          <w:tab w:leader="none" w:pos="2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Company’s maximum exposure to loss is limited to its investment balances.</w:t>
      </w:r>
    </w:p>
    <w:p>
      <w:pPr>
        <w:spacing w:after="0" w:line="50" w:lineRule="exact"/>
        <w:rPr>
          <w:rFonts w:ascii="Times New Roman" w:cs="Times New Roman" w:eastAsia="Times New Roman" w:hAnsi="Times New Roman"/>
          <w:sz w:val="23"/>
          <w:szCs w:val="23"/>
          <w:color w:val="auto"/>
          <w:vertAlign w:val="superscript"/>
        </w:rPr>
      </w:pPr>
    </w:p>
    <w:p>
      <w:pPr>
        <w:ind w:left="260" w:hanging="171"/>
        <w:spacing w:after="0" w:line="191" w:lineRule="auto"/>
        <w:tabs>
          <w:tab w:leader="none" w:pos="26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GenConn is a VIE.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Consolidated</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2024 Form 10-K, 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significant activity during the six months ended June 30, 2025 related to the Company’s consolidated VIEs:</w:t>
      </w:r>
    </w:p>
    <w:p>
      <w:pPr>
        <w:spacing w:after="0" w:line="16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Pine Forest TargetCo </w:t>
      </w:r>
      <w:r>
        <w:rPr>
          <w:rFonts w:ascii="Times New Roman" w:cs="Times New Roman" w:eastAsia="Times New Roman" w:hAnsi="Times New Roman"/>
          <w:sz w:val="18"/>
          <w:szCs w:val="18"/>
          <w:color w:val="auto"/>
        </w:rPr>
        <w:t>— 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on June 10, 2025, Pine Forest CE Class A Owner LLC, an indirect subsidiary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acquired the Class A membership interests in Pine Forest TargetCo, which is a partnership. The Company consolidates Pine Forest TargetCo as a VIE, as the Company is the primary beneficiary. Through its membership interests in Pine Forest TargetCo, the Company receives 50% of distributable cash. The Company recorded the third-party cash equity investor’s noncontrolling interest in Pine Forest TargetCo at the historical carrying amount, with the offset to contributed capital. Pine Forest TargetCo consolidates as primary beneficiary, and through its ownership of the Class B membership interests, Pine Forest TE HoldCo LLC, a tax equity fund that directly owns the Pine Forest solar and BESS facility. The Class A membership interests in Pine Forest TE HoldCo LLC are held by Pine Forest TE Class A, an indirect subsidiary of Clearway, Inc., and are reflected as noncontrolling interest on the Company’s consolidated balance sheet.</w:t>
      </w:r>
    </w:p>
    <w:p>
      <w:pPr>
        <w:spacing w:after="0" w:line="13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Luna Valley TE Holdco LLC </w:t>
      </w:r>
      <w:r>
        <w:rPr>
          <w:rFonts w:ascii="Times New Roman" w:cs="Times New Roman" w:eastAsia="Times New Roman" w:hAnsi="Times New Roman"/>
          <w:sz w:val="18"/>
          <w:szCs w:val="18"/>
          <w:color w:val="auto"/>
        </w:rPr>
        <w:t>— 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on April 29, 2025, LV-Daggett Parent Holdco LLC, an indirect subsidiary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acquired Luna Valley Class B. Luna Valley Class B consolidates as primary beneficiary, and through its ownership of the Class B membership interests, Luna Valley TE Holdco LLC, a tax equity fund that owns the Luna Valley solar facility. The Class A membership interests in Luna Valley TE Holdco LLC are held by a tax equity investor and are reflected as redeemable noncontrolling interest on the Company’s consolidated balance sheet.</w:t>
      </w:r>
    </w:p>
    <w:p>
      <w:pPr>
        <w:spacing w:after="0" w:line="125"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Daggett 1 TE Holdco LLC </w:t>
      </w:r>
      <w:r>
        <w:rPr>
          <w:rFonts w:ascii="Times New Roman" w:cs="Times New Roman" w:eastAsia="Times New Roman" w:hAnsi="Times New Roman"/>
          <w:sz w:val="18"/>
          <w:szCs w:val="18"/>
          <w:color w:val="auto"/>
        </w:rPr>
        <w:t>— 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on April 29, 2025, LV-Daggett Parent Holdco LLC acquired Daggett 1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Daggett 1 Class B consolidates as primary beneficiary, and through its ownership of the Class B membership interests, Daggett 1 TE Holdco LLC, a tax equity fund that owns the Daggett 1 BESS facility. The Class A membership interests in Daggett 1 TE Holdco LLC are held by a tax equity investor and are reflected as redeemable noncontrolling interest on the Company’s consolidated balance sheet.</w:t>
      </w:r>
    </w:p>
    <w:p>
      <w:pPr>
        <w:spacing w:after="0" w:line="122"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Rosie South TargetCo </w:t>
      </w:r>
      <w:r>
        <w:rPr>
          <w:rFonts w:ascii="Times New Roman" w:cs="Times New Roman" w:eastAsia="Times New Roman" w:hAnsi="Times New Roman"/>
          <w:sz w:val="17"/>
          <w:szCs w:val="17"/>
          <w:color w:val="auto"/>
        </w:rPr>
        <w:t>— As described in Note 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Acquisitions</w:t>
      </w:r>
      <w:r>
        <w:rPr>
          <w:rFonts w:ascii="Times New Roman" w:cs="Times New Roman" w:eastAsia="Times New Roman" w:hAnsi="Times New Roman"/>
          <w:sz w:val="17"/>
          <w:szCs w:val="17"/>
          <w:color w:val="auto"/>
        </w:rPr>
        <w:t>, on March 20, 2025, Rosamond South Investment LLC, an indirect subsidiary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acquired the Class A membership interests in Rosie South TargetCo, which is a partnership. The Company consolidates Rosie South TargetCo as a VIE, as the Company is the primary beneficiary. Through its membership interests in Rosie South TargetCo, the Company receives 50% of distributable cash. The Company recorded the third-party cash equity investor’s noncontrolling interest in Rosie South TargetCo at the historical carrying amount, with the offset to contributed capital. Rosie South TargetCo consolidates as primary beneficiary, and through its ownership of the Class B membership interests, Rosie South TE Holdco LLC, a tax equity fund that directly owns the Rosamond South I solar and BESS facility. The Class A membership interests in Rosie South TE Holdco LLC are held by a tax equity investor and are reflected as noncontrolling interest on the Company’s consolidated balance sheet.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updated the following disclosure of assets and liabilities for its consolidated VIEs to present combined totals, and has revised the amounts as of December 31, 2024 to reflect accurate comparative totals for the same relevant entities: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w:t>
            </w:r>
          </w:p>
        </w:tc>
      </w:tr>
      <w:tr>
        <w:trPr>
          <w:trHeight w:val="223"/>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r>
      <w:tr>
        <w:trPr>
          <w:trHeight w:val="234"/>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hanging="240"/>
        <w:spacing w:after="0" w:line="281" w:lineRule="auto"/>
        <w:tabs>
          <w:tab w:leader="none" w:pos="1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hanging="240"/>
        <w:spacing w:after="0" w:line="281" w:lineRule="auto"/>
        <w:tabs>
          <w:tab w:leader="none" w:pos="1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right="20" w:hanging="240"/>
        <w:spacing w:after="0" w:line="282" w:lineRule="auto"/>
        <w:tabs>
          <w:tab w:leader="none" w:pos="1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the Company’s recorded financial instruments not carried at fair market value or that does not approximate fair value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420" w:type="dxa"/>
            <w:vAlign w:val="bottom"/>
          </w:tcPr>
          <w:p>
            <w:pPr>
              <w:spacing w:after="0"/>
              <w:rPr>
                <w:sz w:val="16"/>
                <w:szCs w:val="16"/>
                <w:color w:val="auto"/>
              </w:rPr>
            </w:pPr>
          </w:p>
        </w:tc>
        <w:tc>
          <w:tcPr>
            <w:tcW w:w="210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6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including current portion — affiliate</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Long-term debt, including current portion — external </w:t>
            </w:r>
            <w:r>
              <w:rPr>
                <w:rFonts w:ascii="Times New Roman" w:cs="Times New Roman" w:eastAsia="Times New Roman" w:hAnsi="Times New Roman"/>
                <w:sz w:val="23"/>
                <w:szCs w:val="23"/>
                <w:color w:val="auto"/>
                <w:vertAlign w:val="superscript"/>
              </w:rPr>
              <w:t>(a)</w:t>
            </w:r>
          </w:p>
        </w:tc>
        <w:tc>
          <w:tcPr>
            <w:tcW w:w="400" w:type="dxa"/>
            <w:vAlign w:val="bottom"/>
          </w:tcPr>
          <w:p>
            <w:pPr>
              <w:spacing w:after="0"/>
              <w:rPr>
                <w:sz w:val="24"/>
                <w:szCs w:val="24"/>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8,782</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7,237</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3798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09" w:lineRule="exact"/>
        <w:rPr>
          <w:sz w:val="20"/>
          <w:szCs w:val="20"/>
          <w:color w:val="auto"/>
        </w:rPr>
      </w:pPr>
    </w:p>
    <w:p>
      <w:pPr>
        <w:ind w:left="240" w:hanging="151"/>
        <w:spacing w:after="0"/>
        <w:tabs>
          <w:tab w:leader="none" w:pos="24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Excludes net debt issuance costs, which are recorded as a reduction to long-term debt on the Company’s consolidated balance sheets.</w:t>
      </w:r>
    </w:p>
    <w:p>
      <w:pPr>
        <w:spacing w:after="0" w:line="1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2,007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1,922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80" w:type="dxa"/>
            <w:vAlign w:val="bottom"/>
          </w:tcPr>
          <w:p>
            <w:pPr>
              <w:spacing w:after="0"/>
              <w:rPr>
                <w:sz w:val="16"/>
                <w:szCs w:val="16"/>
                <w:color w:val="auto"/>
              </w:rPr>
            </w:pPr>
          </w:p>
        </w:tc>
        <w:tc>
          <w:tcPr>
            <w:tcW w:w="298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1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21"/>
                <w:szCs w:val="21"/>
                <w:b w:val="1"/>
                <w:bCs w:val="1"/>
                <w:color w:val="auto"/>
                <w:vertAlign w:val="superscript"/>
              </w:rPr>
              <w:t>(b)</w:t>
            </w:r>
          </w:p>
        </w:tc>
        <w:tc>
          <w:tcPr>
            <w:tcW w:w="44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21"/>
                <w:szCs w:val="21"/>
                <w:b w:val="1"/>
                <w:bCs w:val="1"/>
                <w:color w:val="auto"/>
                <w:vertAlign w:val="superscript"/>
              </w:rPr>
              <w:t>(b)</w:t>
            </w:r>
          </w:p>
        </w:tc>
        <w:tc>
          <w:tcPr>
            <w:tcW w:w="48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Energy-related commodity contracts </w:t>
            </w:r>
            <w:r>
              <w:rPr>
                <w:rFonts w:ascii="Times New Roman" w:cs="Times New Roman" w:eastAsia="Times New Roman" w:hAnsi="Times New Roman"/>
                <w:sz w:val="23"/>
                <w:szCs w:val="23"/>
                <w:color w:val="auto"/>
                <w:vertAlign w:val="superscript"/>
              </w:rPr>
              <w:t>(c)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financial instruments </w:t>
            </w:r>
            <w:r>
              <w:rPr>
                <w:rFonts w:ascii="Times New Roman" w:cs="Times New Roman" w:eastAsia="Times New Roman" w:hAnsi="Times New Roman"/>
                <w:sz w:val="23"/>
                <w:szCs w:val="23"/>
                <w:b w:val="1"/>
                <w:bCs w:val="1"/>
                <w:color w:val="auto"/>
                <w:vertAlign w:val="superscript"/>
              </w:rPr>
              <w:t>(d)</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Energy-related commodity contracts </w:t>
            </w:r>
            <w:r>
              <w:rPr>
                <w:rFonts w:ascii="Times New Roman" w:cs="Times New Roman" w:eastAsia="Times New Roman" w:hAnsi="Times New Roman"/>
                <w:sz w:val="23"/>
                <w:szCs w:val="23"/>
                <w:color w:val="auto"/>
                <w:vertAlign w:val="superscript"/>
              </w:rPr>
              <w:t>(e)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78" w:lineRule="exact"/>
        <w:rPr>
          <w:sz w:val="20"/>
          <w:szCs w:val="20"/>
          <w:color w:val="auto"/>
        </w:rPr>
      </w:pPr>
    </w:p>
    <w:p>
      <w:pPr>
        <w:ind w:left="260" w:hanging="171"/>
        <w:spacing w:after="0"/>
        <w:tabs>
          <w:tab w:leader="none" w:pos="26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There were no derivative assets or liabilities classified as Level 1 as of June 30, 2025 and December 31, 2024.</w:t>
      </w:r>
    </w:p>
    <w:p>
      <w:pPr>
        <w:spacing w:after="0" w:line="84" w:lineRule="exact"/>
        <w:rPr>
          <w:rFonts w:ascii="Times New Roman" w:cs="Times New Roman" w:eastAsia="Times New Roman" w:hAnsi="Times New Roman"/>
          <w:sz w:val="23"/>
          <w:szCs w:val="23"/>
          <w:color w:val="auto"/>
          <w:vertAlign w:val="superscript"/>
        </w:rPr>
      </w:pPr>
    </w:p>
    <w:p>
      <w:pPr>
        <w:ind w:left="80" w:right="20" w:firstLine="9"/>
        <w:spacing w:after="0" w:line="213" w:lineRule="auto"/>
        <w:tabs>
          <w:tab w:leader="none" w:pos="257"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The Company’s interest rate swaps are measured at fair value using an income approach, which uses readily observable inputs, such as forward interest rates (e.g., SOFR) and contractual terms to estimate fair value.</w:t>
      </w:r>
    </w:p>
    <w:p>
      <w:pPr>
        <w:ind w:left="260" w:hanging="171"/>
        <w:spacing w:after="0" w:line="232" w:lineRule="auto"/>
        <w:tabs>
          <w:tab w:leader="none" w:pos="26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heat rate call option contracts.</w:t>
      </w:r>
    </w:p>
    <w:p>
      <w:pPr>
        <w:spacing w:after="0" w:line="79" w:lineRule="exact"/>
        <w:rPr>
          <w:rFonts w:ascii="Times New Roman" w:cs="Times New Roman" w:eastAsia="Times New Roman" w:hAnsi="Times New Roman"/>
          <w:sz w:val="23"/>
          <w:szCs w:val="23"/>
          <w:color w:val="auto"/>
          <w:vertAlign w:val="superscript"/>
        </w:rPr>
      </w:pPr>
    </w:p>
    <w:p>
      <w:pPr>
        <w:ind w:left="260" w:hanging="171"/>
        <w:spacing w:after="0" w:line="185" w:lineRule="auto"/>
        <w:tabs>
          <w:tab w:leader="none" w:pos="26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SREC contract.</w:t>
      </w:r>
    </w:p>
    <w:p>
      <w:pPr>
        <w:spacing w:after="0" w:line="71" w:lineRule="exact"/>
        <w:rPr>
          <w:rFonts w:ascii="Times New Roman" w:cs="Times New Roman" w:eastAsia="Times New Roman" w:hAnsi="Times New Roman"/>
          <w:sz w:val="20"/>
          <w:szCs w:val="20"/>
          <w:color w:val="auto"/>
          <w:vertAlign w:val="superscript"/>
        </w:rPr>
      </w:pPr>
    </w:p>
    <w:p>
      <w:pPr>
        <w:ind w:left="80" w:firstLine="9"/>
        <w:spacing w:after="0" w:line="213" w:lineRule="auto"/>
        <w:tabs>
          <w:tab w:leader="none" w:pos="25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Includes $339 million and $366 million related to long-term power commodity contracts as of June 30, 2025 and December 31, 2024, respectively, and $17 million and $5 million related to heat rate call option contracts as of June 30, 2025 and December 31, 2024, respectively.</w:t>
      </w:r>
    </w:p>
    <w:p>
      <w:pPr>
        <w:spacing w:after="0" w:line="15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consolidated financial statements using significant unobservable inputs: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losses for the period included in earnings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p>
      <w:pPr>
        <w:spacing w:after="0" w:line="31" w:lineRule="exact"/>
        <w:rPr>
          <w:sz w:val="20"/>
          <w:szCs w:val="20"/>
          <w:color w:val="auto"/>
        </w:rPr>
      </w:pPr>
    </w:p>
    <w:p>
      <w:pPr>
        <w:ind w:left="300" w:hanging="161"/>
        <w:spacing w:after="0" w:line="234" w:lineRule="auto"/>
        <w:rPr>
          <w:sz w:val="20"/>
          <w:szCs w:val="20"/>
          <w:color w:val="auto"/>
        </w:rPr>
      </w:pPr>
      <w:r>
        <w:rPr>
          <w:rFonts w:ascii="Times New Roman" w:cs="Times New Roman" w:eastAsia="Times New Roman" w:hAnsi="Times New Roman"/>
          <w:sz w:val="18"/>
          <w:szCs w:val="18"/>
          <w:color w:val="auto"/>
        </w:rPr>
        <w:t>Change in unrealized losses included in earnings for derivatives and other financial instruments held as of June 30,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Financial Instruments Fair Value Measurements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28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720" w:type="dxa"/>
            <w:vAlign w:val="bottom"/>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7"/>
        </w:trPr>
        <w:tc>
          <w:tcPr>
            <w:tcW w:w="100" w:type="dxa"/>
            <w:vAlign w:val="bottom"/>
          </w:tcPr>
          <w:p>
            <w:pPr>
              <w:spacing w:after="0"/>
              <w:rPr>
                <w:sz w:val="11"/>
                <w:szCs w:val="11"/>
                <w:color w:val="auto"/>
              </w:rPr>
            </w:pPr>
          </w:p>
        </w:tc>
        <w:tc>
          <w:tcPr>
            <w:tcW w:w="2740" w:type="dxa"/>
            <w:vAlign w:val="bottom"/>
            <w:gridSpan w:val="4"/>
          </w:tcPr>
          <w:p>
            <w:pPr>
              <w:jc w:val="center"/>
              <w:ind w:right="14"/>
              <w:spacing w:after="0" w:line="137" w:lineRule="exact"/>
              <w:rPr>
                <w:sz w:val="20"/>
                <w:szCs w:val="20"/>
                <w:color w:val="auto"/>
              </w:rPr>
            </w:pPr>
            <w:r>
              <w:rPr>
                <w:rFonts w:ascii="Times New Roman" w:cs="Times New Roman" w:eastAsia="Times New Roman" w:hAnsi="Times New Roman"/>
                <w:sz w:val="14"/>
                <w:szCs w:val="14"/>
                <w:b w:val="1"/>
                <w:bCs w:val="1"/>
                <w:color w:val="auto"/>
              </w:rPr>
              <w:t>Fair Value Measurement Using Significant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gridSpan w:val="4"/>
          </w:tcPr>
          <w:p>
            <w:pPr>
              <w:jc w:val="center"/>
              <w:ind w:right="34"/>
              <w:spacing w:after="0" w:line="137" w:lineRule="exact"/>
              <w:rPr>
                <w:sz w:val="20"/>
                <w:szCs w:val="20"/>
                <w:color w:val="auto"/>
              </w:rPr>
            </w:pPr>
            <w:r>
              <w:rPr>
                <w:rFonts w:ascii="Times New Roman" w:cs="Times New Roman" w:eastAsia="Times New Roman" w:hAnsi="Times New Roman"/>
                <w:sz w:val="14"/>
                <w:szCs w:val="14"/>
                <w:b w:val="1"/>
                <w:bCs w:val="1"/>
                <w:color w:val="auto"/>
              </w:rPr>
              <w:t>Fair Value Measurement Using Significant</w:t>
            </w:r>
          </w:p>
        </w:tc>
      </w:tr>
      <w:tr>
        <w:trPr>
          <w:trHeight w:val="195"/>
        </w:trPr>
        <w:tc>
          <w:tcPr>
            <w:tcW w:w="100" w:type="dxa"/>
            <w:vAlign w:val="bottom"/>
          </w:tcPr>
          <w:p>
            <w:pPr>
              <w:spacing w:after="0"/>
              <w:rPr>
                <w:sz w:val="16"/>
                <w:szCs w:val="16"/>
                <w:color w:val="auto"/>
              </w:rPr>
            </w:pPr>
          </w:p>
        </w:tc>
        <w:tc>
          <w:tcPr>
            <w:tcW w:w="28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120" w:type="dxa"/>
            <w:vAlign w:val="bottom"/>
          </w:tcPr>
          <w:p>
            <w:pPr>
              <w:spacing w:after="0"/>
              <w:rPr>
                <w:sz w:val="16"/>
                <w:szCs w:val="16"/>
                <w:color w:val="auto"/>
              </w:rPr>
            </w:pPr>
          </w:p>
        </w:tc>
        <w:tc>
          <w:tcPr>
            <w:tcW w:w="2720" w:type="dxa"/>
            <w:vAlign w:val="bottom"/>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r>
      <w:tr>
        <w:trPr>
          <w:trHeight w:val="223"/>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9"/>
        </w:trPr>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85"/>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-882650</wp:posOffset>
            </wp:positionV>
            <wp:extent cx="702945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-582295</wp:posOffset>
            </wp:positionV>
            <wp:extent cx="702945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-265430</wp:posOffset>
            </wp:positionV>
            <wp:extent cx="702945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5040" w:space="260"/>
            <w:col w:w="5940"/>
          </w:cols>
          <w:pgMar w:left="320" w:top="887" w:right="339" w:bottom="1440" w:gutter="0" w:footer="0" w:header="0"/>
          <w:type w:val="continuous"/>
        </w:sect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June 30, 2025, contracts valued with prices provided by models and other valuation techniques make up 3% of derivative assets, 92% of derivative liabilities and 100% of other financial instruments.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significant positions classified as Level 3 relate to physical and financial energy-related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color w:val="auto"/>
        </w:rPr>
        <w:t>The following table quantifies the significant unobservable inputs used in developing the fair value of the Company’s Level 3 positions: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Input/Range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Valuation</w:t>
            </w: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240" w:type="dxa"/>
            <w:vAlign w:val="bottom"/>
          </w:tcPr>
          <w:p>
            <w:pPr>
              <w:spacing w:after="0"/>
              <w:rPr>
                <w:sz w:val="14"/>
                <w:szCs w:val="14"/>
                <w:color w:val="auto"/>
              </w:rPr>
            </w:pPr>
          </w:p>
        </w:tc>
        <w:tc>
          <w:tcPr>
            <w:tcW w:w="1040" w:type="dxa"/>
            <w:vAlign w:val="bottom"/>
            <w:vMerge w:val="restart"/>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Low</w:t>
            </w:r>
          </w:p>
        </w:tc>
        <w:tc>
          <w:tcPr>
            <w:tcW w:w="140" w:type="dxa"/>
            <w:vAlign w:val="bottom"/>
          </w:tcPr>
          <w:p>
            <w:pPr>
              <w:spacing w:after="0"/>
              <w:rPr>
                <w:sz w:val="14"/>
                <w:szCs w:val="14"/>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0" w:type="dxa"/>
            <w:vAlign w:val="bottom"/>
          </w:tcPr>
          <w:p>
            <w:pPr>
              <w:spacing w:after="0"/>
              <w:rPr>
                <w:sz w:val="14"/>
                <w:szCs w:val="14"/>
                <w:color w:val="auto"/>
              </w:rPr>
            </w:pPr>
          </w:p>
        </w:tc>
        <w:tc>
          <w:tcPr>
            <w:tcW w:w="1100" w:type="dxa"/>
            <w:vAlign w:val="bottom"/>
          </w:tcPr>
          <w:p>
            <w:pPr>
              <w:jc w:val="right"/>
              <w:ind w:right="196"/>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08"/>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Long-term Power Commodity</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4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Discounted Cash</w:t>
            </w:r>
          </w:p>
        </w:tc>
        <w:tc>
          <w:tcPr>
            <w:tcW w:w="16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2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center"/>
              <w:ind w:left="477"/>
              <w:spacing w:after="0"/>
              <w:rPr>
                <w:sz w:val="20"/>
                <w:szCs w:val="20"/>
                <w:color w:val="auto"/>
              </w:rPr>
            </w:pPr>
            <w:r>
              <w:rPr>
                <w:rFonts w:ascii="Times New Roman" w:cs="Times New Roman" w:eastAsia="Times New Roman" w:hAnsi="Times New Roman"/>
                <w:sz w:val="16"/>
                <w:szCs w:val="16"/>
                <w:color w:val="auto"/>
                <w:w w:val="99"/>
              </w:rPr>
              <w:t>4</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Option Model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858.30</w:t>
            </w: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0" w:type="dxa"/>
            <w:vAlign w:val="bottom"/>
          </w:tcPr>
          <w:p>
            <w:pPr>
              <w:spacing w:after="0"/>
              <w:rPr>
                <w:sz w:val="1"/>
                <w:szCs w:val="1"/>
                <w:color w:val="auto"/>
              </w:rPr>
            </w:pPr>
          </w:p>
        </w:tc>
      </w:tr>
      <w:tr>
        <w:trPr>
          <w:trHeight w:val="210"/>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Heat Rate Call Option</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2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Commodity Contracts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Option Model</w:t>
            </w:r>
          </w:p>
        </w:tc>
        <w:tc>
          <w:tcPr>
            <w:tcW w:w="16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20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 MMBtu)</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Forecast annual</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Discounted Cash</w:t>
            </w: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generation levels of</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 Instruments</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ind w:left="477"/>
              <w:spacing w:after="0"/>
              <w:rPr>
                <w:sz w:val="20"/>
                <w:szCs w:val="20"/>
                <w:color w:val="auto"/>
              </w:rPr>
            </w:pPr>
            <w:r>
              <w:rPr>
                <w:rFonts w:ascii="Times New Roman" w:cs="Times New Roman" w:eastAsia="Times New Roman" w:hAnsi="Times New Roman"/>
                <w:sz w:val="16"/>
                <w:szCs w:val="16"/>
                <w:color w:val="auto"/>
                <w:w w:val="99"/>
              </w:rPr>
              <w:t>7</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continue"/>
            <w:shd w:val="clear" w:color="auto" w:fill="CCEEFF"/>
          </w:tcPr>
          <w:p>
            <w:pPr>
              <w:spacing w:after="0"/>
              <w:rPr>
                <w:sz w:val="14"/>
                <w:szCs w:val="14"/>
                <w:color w:val="auto"/>
              </w:rPr>
            </w:pP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certain DG solar</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60,047 MWh</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120,094 MWh</w:t>
            </w: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108,791 MWh</w:t>
            </w:r>
          </w:p>
        </w:tc>
        <w:tc>
          <w:tcPr>
            <w:tcW w:w="0" w:type="dxa"/>
            <w:vAlign w:val="bottom"/>
          </w:tcPr>
          <w:p>
            <w:pPr>
              <w:spacing w:after="0"/>
              <w:rPr>
                <w:sz w:val="1"/>
                <w:szCs w:val="1"/>
                <w:color w:val="auto"/>
              </w:rPr>
            </w:pPr>
          </w:p>
        </w:tc>
      </w:tr>
      <w:tr>
        <w:trPr>
          <w:trHeight w:val="216"/>
        </w:trPr>
        <w:tc>
          <w:tcPr>
            <w:tcW w:w="2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facilities</w:t>
            </w: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impact on the fair value measurements to increases/(decreases) in significant unobservable inputs as of June 30, 2025:</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Significant Unobservable Input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9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Change In Input</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Impact on Fair Value</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vMerge w:val="continue"/>
          </w:tcPr>
          <w:p>
            <w:pPr>
              <w:spacing w:after="0"/>
              <w:rPr>
                <w:sz w:val="21"/>
                <w:szCs w:val="21"/>
                <w:color w:val="auto"/>
              </w:rPr>
            </w:pPr>
          </w:p>
        </w:tc>
        <w:tc>
          <w:tcPr>
            <w:tcW w:w="28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92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Energy-Related Commodity Contracts</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Lower/(Higher)</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Energy-Related Commodity Contracts</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Forward Market Price Gas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Forecast Generation Levels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2025, the non-performance reserve was a $19 million gain recorded primarily to total operating revenues in the consolidated statements of operations. It is possible that future market prices could vary from those used in recording assets and liabilities and such variations could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under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w:t>
      </w:r>
      <w:r>
        <w:rPr>
          <w:rFonts w:ascii="Times New Roman" w:cs="Times New Roman" w:eastAsia="Times New Roman" w:hAnsi="Times New Roman"/>
          <w:sz w:val="18"/>
          <w:szCs w:val="18"/>
          <w:color w:val="231F20"/>
        </w:rPr>
        <w:t>Company’s</w:t>
      </w:r>
      <w:r>
        <w:rPr>
          <w:rFonts w:ascii="Times New Roman" w:cs="Times New Roman" w:eastAsia="Times New Roman" w:hAnsi="Times New Roman"/>
          <w:sz w:val="18"/>
          <w:szCs w:val="18"/>
          <w:color w:val="auto"/>
        </w:rPr>
        <w:t xml:space="preserve"> 2024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Item 15 — Note 7, </w:t>
      </w:r>
      <w:r>
        <w:rPr>
          <w:rFonts w:ascii="Times New Roman" w:cs="Times New Roman" w:eastAsia="Times New Roman" w:hAnsi="Times New Roman"/>
          <w:sz w:val="18"/>
          <w:szCs w:val="18"/>
          <w:i w:val="1"/>
          <w:iCs w:val="1"/>
          <w:color w:val="auto"/>
        </w:rPr>
        <w:t>Accounting for Derivative Instruments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to the consolidated financial statements included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that may arise in connection with its non-recourse debt or a potential refinancing of its Senior Notes. As of June 30, 2025, the Company had interest rate derivative instruments extending through 2033, a portion of which were designated as cash flow hedges. Under the interest rate swap agreements, the Company pays a fixed rate and the counterparties to the agreements pay a variable interest 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Commodity Contracts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energy-related derivative instruments extending through 2033. At June 30, 2025, these contracts were not designated as cash flow or fair value hedges.</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40" w:type="dxa"/>
            <w:vAlign w:val="bottom"/>
            <w:gridSpan w:val="3"/>
          </w:tcPr>
          <w:p>
            <w:pPr>
              <w:jc w:val="right"/>
              <w:ind w:right="1395"/>
              <w:spacing w:after="0"/>
              <w:rPr>
                <w:sz w:val="20"/>
                <w:szCs w:val="20"/>
                <w:color w:val="auto"/>
              </w:rPr>
            </w:pPr>
            <w:r>
              <w:rPr>
                <w:rFonts w:ascii="Times New Roman" w:cs="Times New Roman" w:eastAsia="Times New Roman" w:hAnsi="Times New Roman"/>
                <w:sz w:val="14"/>
                <w:szCs w:val="14"/>
                <w:b w:val="1"/>
                <w:bCs w:val="1"/>
                <w:color w:val="auto"/>
              </w:rPr>
              <w:t>Total Volume</w:t>
            </w: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8"/>
        </w:trPr>
        <w:tc>
          <w:tcPr>
            <w:tcW w:w="20" w:type="dxa"/>
            <w:vAlign w:val="bottom"/>
          </w:tcPr>
          <w:p>
            <w:pPr>
              <w:spacing w:after="0"/>
              <w:rPr>
                <w:sz w:val="12"/>
                <w:szCs w:val="12"/>
                <w:color w:val="auto"/>
              </w:rPr>
            </w:pPr>
          </w:p>
        </w:tc>
        <w:tc>
          <w:tcPr>
            <w:tcW w:w="5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34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MWh</w:t>
            </w: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MMBtu</w:t>
            </w:r>
          </w:p>
        </w:tc>
        <w:tc>
          <w:tcPr>
            <w:tcW w:w="1340" w:type="dxa"/>
            <w:vAlign w:val="bottom"/>
          </w:tcPr>
          <w:p>
            <w:pPr>
              <w:spacing w:after="0"/>
              <w:rPr>
                <w:sz w:val="19"/>
                <w:szCs w:val="19"/>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98"/>
              </w:rPr>
              <w:t>3,995</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462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332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80" w:type="dxa"/>
            <w:vAlign w:val="bottom"/>
          </w:tcPr>
          <w:p>
            <w:pPr>
              <w:spacing w:after="0"/>
              <w:rPr>
                <w:sz w:val="16"/>
                <w:szCs w:val="16"/>
                <w:color w:val="auto"/>
              </w:rPr>
            </w:pPr>
          </w:p>
        </w:tc>
        <w:tc>
          <w:tcPr>
            <w:tcW w:w="292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6"/>
        </w:trPr>
        <w:tc>
          <w:tcPr>
            <w:tcW w:w="46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4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22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122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22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Energy-related commodity contracts current</w:t>
            </w: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Energy-related commodity contracts long-term</w:t>
            </w:r>
          </w:p>
        </w:tc>
        <w:tc>
          <w:tcPr>
            <w:tcW w:w="1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1220" w:type="dxa"/>
            <w:vAlign w:val="bottom"/>
            <w:tcBorders>
              <w:top w:val="single" w:sz="8" w:color="auto"/>
              <w:bottom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level. As of June 30, 2025 and December 31, 2024, the amount of outstanding collateral paid or received was immaterial. The following tables summarize the offsetting of derivatives by counterparty: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Energy-related 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energy-related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Energy-related 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energy-related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OCI (OCL) balance attributable to interest rate swaps designated as cash flow hedge derivatives: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46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r>
      <w:tr>
        <w:trPr>
          <w:trHeight w:val="23"/>
        </w:trPr>
        <w:tc>
          <w:tcPr>
            <w:tcW w:w="5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r>
      <w:tr>
        <w:trPr>
          <w:trHeight w:val="196"/>
        </w:trPr>
        <w:tc>
          <w:tcPr>
            <w:tcW w:w="5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gridSpan w:val="3"/>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beginning balance</w:t>
            </w:r>
          </w:p>
        </w:tc>
        <w:tc>
          <w:tcPr>
            <w:tcW w:w="96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Rosamond South I Drop Down </w:t>
            </w:r>
            <w:r>
              <w:rPr>
                <w:rFonts w:ascii="Times New Roman" w:cs="Times New Roman" w:eastAsia="Times New Roman" w:hAnsi="Times New Roman"/>
                <w:sz w:val="23"/>
                <w:szCs w:val="23"/>
                <w:color w:val="auto"/>
                <w:vertAlign w:val="superscript"/>
              </w:rPr>
              <w:t>(a)</w:t>
            </w:r>
          </w:p>
        </w:tc>
        <w:tc>
          <w:tcPr>
            <w:tcW w:w="9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Daggett 1 Drop Down</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Luna Valley Drop Down</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Pine Forest Drop Down</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3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Reclassified from accumulated OCI to income due to realization of</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previously deferred amounts</w:t>
            </w:r>
          </w:p>
        </w:tc>
        <w:tc>
          <w:tcPr>
            <w:tcW w:w="96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(OCL) OCI ending balance</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OCI attributable to 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(OCL) OCI attributable to Clearway Energy LLC</w:t>
            </w:r>
          </w:p>
        </w:tc>
        <w:tc>
          <w:tcPr>
            <w:tcW w:w="96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expected to be realized from OCL during the next 12 months</w:t>
            </w:r>
          </w:p>
        </w:tc>
        <w:tc>
          <w:tcPr>
            <w:tcW w:w="96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78" w:lineRule="exact"/>
        <w:rPr>
          <w:sz w:val="20"/>
          <w:szCs w:val="20"/>
          <w:color w:val="auto"/>
        </w:rPr>
      </w:pPr>
    </w:p>
    <w:p>
      <w:pPr>
        <w:ind w:left="260" w:hanging="171"/>
        <w:spacing w:after="0"/>
        <w:tabs>
          <w:tab w:leader="none" w:pos="26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$2 million attributable to the Company and $2 million attributable to noncontrolling interests.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reclassified from accumulated OCI into income are recorded to interest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Consolidated Statements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Mark-to-market gains/(losses) related to the Company’s derivatives are recorded in the consolidated statements of operations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4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6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242424"/>
                <w:w w:val="88"/>
              </w:rPr>
              <w:t>$</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42424"/>
              </w:rPr>
              <w:t>2</w:t>
            </w:r>
          </w:p>
        </w:tc>
        <w:tc>
          <w:tcPr>
            <w:tcW w:w="100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242424"/>
                <w:w w:val="88"/>
              </w:rPr>
              <w:t>$</w:t>
            </w:r>
          </w:p>
        </w:tc>
        <w:tc>
          <w:tcPr>
            <w:tcW w:w="1020" w:type="dxa"/>
            <w:vAlign w:val="bottom"/>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color w:val="242424"/>
                <w:w w:val="99"/>
              </w:rPr>
              <w:t>(32)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76"/>
        </w:trPr>
        <w:tc>
          <w:tcPr>
            <w:tcW w:w="5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Energy-Related Commodity Contracts (Mark-to-market for economic</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53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hedging activities included in Total operating revenues) </w:t>
            </w:r>
            <w:r>
              <w:rPr>
                <w:rFonts w:ascii="Times New Roman" w:cs="Times New Roman" w:eastAsia="Times New Roman" w:hAnsi="Times New Roman"/>
                <w:sz w:val="23"/>
                <w:szCs w:val="23"/>
                <w:color w:val="auto"/>
                <w:vertAlign w:val="superscript"/>
              </w:rPr>
              <w:t>(a)</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(10)</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center"/>
              <w:ind w:left="477"/>
              <w:spacing w:after="0"/>
              <w:rPr>
                <w:sz w:val="20"/>
                <w:szCs w:val="20"/>
                <w:color w:val="auto"/>
              </w:rPr>
            </w:pPr>
            <w:r>
              <w:rPr>
                <w:rFonts w:ascii="Times New Roman" w:cs="Times New Roman" w:eastAsia="Times New Roman" w:hAnsi="Times New Roman"/>
                <w:sz w:val="18"/>
                <w:szCs w:val="18"/>
                <w:color w:val="242424"/>
                <w:w w:val="99"/>
              </w:rPr>
              <w:t>(21)</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175"/>
        </w:trPr>
        <w:tc>
          <w:tcPr>
            <w:tcW w:w="5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Energy-Related Commodity Contracts (Mark-to-market for economic</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53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hedging activities included in Cost of operations) </w:t>
            </w:r>
            <w:r>
              <w:rPr>
                <w:rFonts w:ascii="Times New Roman" w:cs="Times New Roman" w:eastAsia="Times New Roman" w:hAnsi="Times New Roman"/>
                <w:sz w:val="23"/>
                <w:szCs w:val="23"/>
                <w:color w:val="auto"/>
                <w:vertAlign w:val="superscript"/>
              </w:rPr>
              <w:t>(b)</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42424"/>
              </w:rPr>
              <w:t>—</w:t>
            </w: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color w:val="242424"/>
                <w:w w:val="99"/>
              </w:rPr>
              <w:t>—</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27" w:lineRule="exact"/>
        <w:rPr>
          <w:sz w:val="20"/>
          <w:szCs w:val="20"/>
          <w:color w:val="auto"/>
        </w:rPr>
      </w:pPr>
    </w:p>
    <w:p>
      <w:pPr>
        <w:ind w:left="80" w:firstLine="9"/>
        <w:spacing w:after="0" w:line="230" w:lineRule="auto"/>
        <w:tabs>
          <w:tab w:leader="none" w:pos="239"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Relates to long-term energy related commodity contracts at Elbow Creek, Mesquite Star, Mt. Storm, Langford and Mesquite Sky and heat rate call option energy-related commodity contracts at El Segundo, Marsh Landing and Walnut Creek.</w:t>
      </w:r>
    </w:p>
    <w:p>
      <w:pPr>
        <w:ind w:left="260" w:hanging="171"/>
        <w:spacing w:after="0" w:line="228" w:lineRule="auto"/>
        <w:tabs>
          <w:tab w:leader="none" w:pos="26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Relates to long-term backbone transportation service energy-related commodity contracts at El Segundo and Walnut Creek.</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1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statements included in the Company’s </w:t>
      </w:r>
      <w:r>
        <w:rPr>
          <w:rFonts w:ascii="Times New Roman" w:cs="Times New Roman" w:eastAsia="Times New Roman" w:hAnsi="Times New Roman"/>
          <w:sz w:val="18"/>
          <w:szCs w:val="18"/>
          <w:color w:val="000000"/>
        </w:rPr>
        <w:t>2024 Form 10-K. The Company’s borrowings, including short-term and long-term portions, consisted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18"/>
                <w:szCs w:val="18"/>
                <w:color w:val="auto"/>
              </w:rPr>
            </w:pP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4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8"/>
                <w:szCs w:val="18"/>
                <w:color w:val="auto"/>
              </w:rPr>
            </w:pP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8"/>
                <w:szCs w:val="18"/>
                <w:color w:val="auto"/>
              </w:rPr>
            </w:pPr>
          </w:p>
        </w:tc>
        <w:tc>
          <w:tcPr>
            <w:tcW w:w="188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xml:space="preserve">Interest Rate </w:t>
            </w:r>
            <w:r>
              <w:rPr>
                <w:rFonts w:ascii="Times New Roman" w:cs="Times New Roman" w:eastAsia="Times New Roman" w:hAnsi="Times New Roman"/>
                <w:sz w:val="18"/>
                <w:szCs w:val="18"/>
                <w:b w:val="1"/>
                <w:bCs w:val="1"/>
                <w:color w:val="auto"/>
                <w:vertAlign w:val="superscript"/>
              </w:rPr>
              <w:t>(a)</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920" w:type="dxa"/>
            <w:vAlign w:val="bottom"/>
            <w:tcBorders>
              <w:top w:val="single" w:sz="8" w:color="auto"/>
            </w:tcBorders>
            <w:gridSpan w:val="4"/>
            <w:shd w:val="clear" w:color="auto" w:fill="CCEEFF"/>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Note with Clearway, Inc.</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2028-2032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- 4.750%</w:t>
            </w:r>
          </w:p>
        </w:tc>
        <w:tc>
          <w:tcPr>
            <w:tcW w:w="0" w:type="dxa"/>
            <w:vAlign w:val="bottom"/>
          </w:tcPr>
          <w:p>
            <w:pPr>
              <w:spacing w:after="0"/>
              <w:rPr>
                <w:sz w:val="1"/>
                <w:szCs w:val="1"/>
                <w:color w:val="auto"/>
              </w:rPr>
            </w:pP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Clearway Energy LLC and Clearway Energy Operating LLC</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S+1.500%</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Revolving Credit Facility </w:t>
            </w:r>
            <w:r>
              <w:rPr>
                <w:rFonts w:ascii="Times New Roman" w:cs="Times New Roman" w:eastAsia="Times New Roman" w:hAnsi="Times New Roman"/>
                <w:sz w:val="21"/>
                <w:szCs w:val="21"/>
                <w:color w:val="auto"/>
                <w:vertAlign w:val="superscript"/>
              </w:rPr>
              <w:t>(b) (c)</w:t>
            </w: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Non-recourse facility-level debt: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2031-2040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- 8.000%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2025-2033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S+1.250%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- 2.775%</w:t>
            </w:r>
          </w:p>
        </w:tc>
        <w:tc>
          <w:tcPr>
            <w:tcW w:w="0" w:type="dxa"/>
            <w:vAlign w:val="bottom"/>
          </w:tcPr>
          <w:p>
            <w:pPr>
              <w:spacing w:after="0"/>
              <w:rPr>
                <w:sz w:val="1"/>
                <w:szCs w:val="1"/>
                <w:color w:val="auto"/>
              </w:rPr>
            </w:pPr>
          </w:p>
        </w:tc>
      </w:tr>
      <w:tr>
        <w:trPr>
          <w:trHeight w:val="207"/>
        </w:trPr>
        <w:tc>
          <w:tcPr>
            <w:tcW w:w="4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maturities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debt issuance costs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Add premiums </w:t>
            </w:r>
            <w:r>
              <w:rPr>
                <w:rFonts w:ascii="Times New Roman" w:cs="Times New Roman" w:eastAsia="Times New Roman" w:hAnsi="Times New Roman"/>
                <w:sz w:val="21"/>
                <w:szCs w:val="21"/>
                <w:color w:val="auto"/>
                <w:vertAlign w:val="superscript"/>
              </w:rPr>
              <w:t>(d)</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8,251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0" w:lineRule="exact"/>
        <w:rPr>
          <w:sz w:val="20"/>
          <w:szCs w:val="20"/>
          <w:color w:val="auto"/>
        </w:rPr>
      </w:pPr>
    </w:p>
    <w:p>
      <w:pPr>
        <w:ind w:left="220" w:hanging="131"/>
        <w:spacing w:after="0"/>
        <w:tabs>
          <w:tab w:leader="none" w:pos="22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As of June 30, 2025, S+ equals SOFR plus x%.</w:t>
      </w:r>
    </w:p>
    <w:p>
      <w:pPr>
        <w:spacing w:after="0" w:line="57" w:lineRule="exact"/>
        <w:rPr>
          <w:rFonts w:ascii="Times New Roman" w:cs="Times New Roman" w:eastAsia="Times New Roman" w:hAnsi="Times New Roman"/>
          <w:sz w:val="17"/>
          <w:szCs w:val="17"/>
          <w:color w:val="auto"/>
          <w:vertAlign w:val="superscript"/>
        </w:rPr>
      </w:pPr>
    </w:p>
    <w:p>
      <w:pPr>
        <w:ind w:left="240" w:hanging="151"/>
        <w:spacing w:after="0" w:line="189" w:lineRule="auto"/>
        <w:tabs>
          <w:tab w:leader="none" w:pos="2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Applicable rate is determined by the borrower leverage ratio, as defined in the credit agreement.</w:t>
      </w:r>
    </w:p>
    <w:p>
      <w:pPr>
        <w:spacing w:after="0" w:line="57"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As of July 31, 2025, the Company had $200 million in outstanding borrowings under the revolving credit facility.</w:t>
      </w:r>
    </w:p>
    <w:p>
      <w:pPr>
        <w:spacing w:after="0" w:line="57"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Premiums relate to the 2028 Senior Notes.</w:t>
      </w:r>
    </w:p>
    <w:p>
      <w:pPr>
        <w:spacing w:after="0" w:line="1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$1,037 million in letters of credit outstanding, $76 million of which is related to the Company’s revolving credit facility.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June 30, 2025, the Company was in compliance with all of the required covenants.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discussion below describes material changes to or additions of long-term debt for the six months ended June 30,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Facility-level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Pine Forest</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June 10, 2025, as part of the acquisition of Pine Forest,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assumed the facility’s financing agreement, which included a $103 million construction loan that converts to a term loan when the facility reaches substantial completion, which is expected to occur in the second half of 2025, a $102 million cash equity bridge loan, a $41 million tax equity bridge loan and a $275 million tax credit transfer bridge loan, offset by $6 million in unamortized debt issuance costs. A partial payment of $54 million was made on the cash equity bridge loan at acquisition date utilizing all of the proceeds from the Company, which were contributed back to the Company by CEG, and the cash equity investor related to the Pine Forest TargetCo acquisition. The tax equity bridge loan, tax credit transfer bridge loan and remaining cash equity bridge loan will be repaid with the final proceeds contributed by Pine Forest TE Class A, an indirect subsidiary of Clearway, Inc., as well as the Company’s and the third-party cash equity investor’s additional purchase price upon Pine Forest reaching substantial completion, along with the $9 million that was contributed into escrow by Pine Forest TE Class A, which is included in restricted cash on the Company’s consolidated balance sheet. Subsequent to the acquisition, the Company borrowed an additional $14 million in cash equity bridge loans through June 30, 2025.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8"/>
          <w:szCs w:val="18"/>
          <w:i w:val="1"/>
          <w:iCs w:val="1"/>
          <w:color w:val="auto"/>
        </w:rPr>
        <w:t>Dan’s Mountain</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May 21, 2025, when the Dan’s Mountain facility reached substantial completion, the Company paid $36 million to Clearway Renew as additional purchase price in connection with the Company’s acquisition of the Class A membership interests in Dan’s Mountain TargetCo LLC, or Dan’s Mountain TargetCo, on November 18, 2024, which was funded with existing sources of liquidity. The Company’s additional purchase price was recorded as an adjustment to contributed capital.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cash equity and tax equity investors, along with the Company’s entire additional purchase price, which was contributed back to the Company by CEG, and the $18 million previously held in escrow, to repay the $91 million tax equity bridge loan, to repay the $70 million cash equity bridge loan and to pay $2 million in associated fees with the remaining $26 million distributed to CEG. Prior to substantial completion being reached, the Company borrowed an additional $18 million in tax equity bridge loans during 2025. The Company’s total capital investment in Dan’s Mountain was $43 million.</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Luna Valley</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April 29, 2025, as part of the acquisition of Luna Valley,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assumed the facility’s financing agreement, which included a $144 million construction loan that converts to a term loan when the facility reaches substantial completion, which is expected to occur in the second half of 2025, a $64 million cash equity bridge loan and a $144 million tax equity bridge loan, offset by $4 million in unamortized debt issuance costs. A partial payment of $18 million was made on the cash equity bridge loan at acquisition date utilizing all of the proceeds from the Company, which were contributed back to the Company by CEG. The tax equity bridge loan and remaining cash equity bridge loan will be repaid with the final proceeds received from the tax equity investor and the Company’s additional purchase price upon Luna Valley reaching substantial completion, along with the $29 million that was contributed into escrow by the tax equity investor at acquisition date, which is included in restricted cash on the Company’s consolidated balance sheet. Subsequent to the acquisition, the Company borrowed an additional $17 million in construction loans through June 30, 2025.</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Daggett 1</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April 29, 2025, as part of the acquisition of Daggett 1,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assumed the facility’s financing agreement, which included a $92 million construction loan that converts to a term loan when the facility reaches substantial completion, which is expected to occur in the second half of 2025, and a $131 million tax equity bridge loan, offset by $3 million in unamortized debt issuance costs. The tax equity bridge loan will be repaid upon Daggett 1 reaching substantial completion with the final proceeds received from the tax equity investor, as well as the Company’s additional purchase price, along with the $38 million that was contributed into escrow by the tax equity investor and the Company at acquisition date, which is included in restricted cash on the Company’s consolidated balance sheet. Subsequent to the acquisition, the Company borrowed an additional $7 million in construction loans through June 30, 2025.</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Tuolumne</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On April 29, 2025, in order to partially fund the third-party acquisition of the Tuolumne wind facility,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entered into a financing agreement, which included the issuance of a $163 million term loan, as well as $22 million in letters of credit in support of debt service and facility obligations, supported by the Company’s interests in the Tuolumne wind facility. The term loan bears interest at a rate of SOFR plus 1.625% per annum and matures on April 29, 2030.</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Buckthorn Solar</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April 9, 2025, the Company, through its indirect subsidiary, Buckthorn Solar Portfolio LLC, refinanced its existing credit agreement, which was scheduled to mature in May 2025, resulting in the issuance of a $104 million term loan facility, as well as $22 million in letters of credit in support of debt service and facility obligations, supported by the Company’s interests in the Buckthorn Solar facility. The term loan bears interest at a rate of SOFR plus 1.625% per annum and matures on April 9, 2031. The Company utilized the proceeds from the term loan and existing sources of liquidity to pay off the existing debt in the amount of $112 million.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8"/>
          <w:szCs w:val="18"/>
          <w:i w:val="1"/>
          <w:iCs w:val="1"/>
          <w:color w:val="auto"/>
        </w:rPr>
        <w:t>Rosamond South I</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March 20, 2025, as part of the acquisition of Rosamond South I,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assumed the facility’s financing agreement, which included a $179 million construction loan that converts to a term loan when the facility reaches substantial completion, which is expected to occur in the second half of 2025, a $6 million cash equity bridge loan and a $284 million tax equity bridge loan, offset by $1 million in unamortized debt issuance costs. The cash equity bridge loan was repaid at acquisition date, along with $3 million in associated fees, utilizing $2 million from the third-party cash equity investor, as well as all of the proceeds from the Company, which were contributed back to the Company by CEG, and an additional $3 million contributed by CEG. The tax equity bridge loan will be repaid upon Rosamond South I reaching substantial completion with the final proceeds received from the tax equity investor, as well as the Company’s and the third-party cash equity investor’s additional purchase price, along with the $58 million that was contributed into escrow by the tax equity investor at acquisition date, which is included in restricted cash on the Company’s consolidated balance sheet. Subsequent to the acquisition, the Company borrowed an additional $35 million in construction loans through June 30,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Flexible Generation and Renewables &amp; 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20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(a)</w:t>
            </w:r>
          </w:p>
        </w:tc>
        <w:tc>
          <w:tcPr>
            <w:tcW w:w="30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620" w:type="dxa"/>
            <w:vAlign w:val="bottom"/>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176"/>
        </w:trPr>
        <w:tc>
          <w:tcPr>
            <w:tcW w:w="5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loss attributable to noncontrolling interests and redeemable</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Clearway Energy LLC</w:t>
            </w: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Capital expenditures </w:t>
            </w:r>
            <w:r>
              <w:rPr>
                <w:rFonts w:ascii="Times New Roman" w:cs="Times New Roman" w:eastAsia="Times New Roman" w:hAnsi="Times New Roman"/>
                <w:sz w:val="21"/>
                <w:szCs w:val="21"/>
                <w:color w:val="auto"/>
                <w:vertAlign w:val="superscript"/>
              </w:rPr>
              <w:t>(b)</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6"/>
          <w:szCs w:val="16"/>
          <w:color w:val="auto"/>
        </w:rPr>
        <w:t xml:space="preserve"> Includes accruals.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w:t>
            </w:r>
          </w:p>
        </w:tc>
        <w:tc>
          <w:tcPr>
            <w:tcW w:w="30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4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92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175"/>
        </w:trPr>
        <w:tc>
          <w:tcPr>
            <w:tcW w:w="5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75"/>
        </w:trPr>
        <w:tc>
          <w:tcPr>
            <w:tcW w:w="5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loss attributable to noncontrolling interests and redeemable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LLC</w:t>
            </w:r>
          </w:p>
        </w:tc>
        <w:tc>
          <w:tcPr>
            <w:tcW w:w="54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94"/>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Capital expenditures </w:t>
            </w:r>
            <w:r>
              <w:rPr>
                <w:rFonts w:ascii="Times New Roman" w:cs="Times New Roman" w:eastAsia="Times New Roman" w:hAnsi="Times New Roman"/>
                <w:sz w:val="21"/>
                <w:szCs w:val="21"/>
                <w:color w:val="auto"/>
                <w:vertAlign w:val="superscript"/>
              </w:rPr>
              <w:t>(b)</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11"/>
        </w:trPr>
        <w:tc>
          <w:tcPr>
            <w:tcW w:w="2180" w:type="dxa"/>
            <w:vAlign w:val="bottom"/>
            <w:tcBorders>
              <w:bottom w:val="single" w:sz="8" w:color="auto"/>
            </w:tcBorders>
          </w:tcPr>
          <w:p>
            <w:pPr>
              <w:spacing w:after="0"/>
              <w:rPr>
                <w:sz w:val="9"/>
                <w:szCs w:val="9"/>
                <w:color w:val="auto"/>
              </w:rPr>
            </w:pPr>
          </w:p>
        </w:tc>
        <w:tc>
          <w:tcPr>
            <w:tcW w:w="3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6"/>
                <w:szCs w:val="16"/>
                <w:color w:val="auto"/>
              </w:rPr>
              <w:t xml:space="preserve"> Includes accruals.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w:t>
            </w:r>
          </w:p>
        </w:tc>
        <w:tc>
          <w:tcPr>
            <w:tcW w:w="30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640" w:type="dxa"/>
            <w:vAlign w:val="bottom"/>
            <w:gridSpan w:val="2"/>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920" w:type="dxa"/>
            <w:vAlign w:val="bottom"/>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176"/>
        </w:trPr>
        <w:tc>
          <w:tcPr>
            <w:tcW w:w="5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75"/>
        </w:trPr>
        <w:tc>
          <w:tcPr>
            <w:tcW w:w="56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loss attributable to noncontrolling interests and redeemable</w:t>
            </w: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Clearway Energy LLC</w:t>
            </w:r>
          </w:p>
        </w:tc>
        <w:tc>
          <w:tcPr>
            <w:tcW w:w="5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(b)</w:t>
            </w: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4"/>
                <w:szCs w:val="24"/>
                <w:color w:val="auto"/>
              </w:rPr>
            </w:pP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3798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 xml:space="preserve"> Includes accruals.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8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(a)</w:t>
            </w:r>
          </w:p>
        </w:tc>
        <w:tc>
          <w:tcPr>
            <w:tcW w:w="260" w:type="dxa"/>
            <w:vAlign w:val="bottom"/>
          </w:tcPr>
          <w:p>
            <w:pPr>
              <w:spacing w:after="0"/>
              <w:rPr>
                <w:sz w:val="11"/>
                <w:szCs w:val="11"/>
                <w:color w:val="auto"/>
              </w:rPr>
            </w:pPr>
          </w:p>
        </w:tc>
        <w:tc>
          <w:tcPr>
            <w:tcW w:w="9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640" w:type="dxa"/>
            <w:vAlign w:val="bottom"/>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175"/>
        </w:trPr>
        <w:tc>
          <w:tcPr>
            <w:tcW w:w="5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75"/>
        </w:trPr>
        <w:tc>
          <w:tcPr>
            <w:tcW w:w="5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loss attributable to noncontrolling interests and redeemable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LLC</w:t>
            </w:r>
          </w:p>
        </w:tc>
        <w:tc>
          <w:tcPr>
            <w:tcW w:w="54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(b)</w:t>
            </w: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p>
      <w:pPr>
        <w:ind w:left="80"/>
        <w:spacing w:after="0"/>
        <w:rPr>
          <w:sz w:val="20"/>
          <w:szCs w:val="20"/>
          <w:color w:val="auto"/>
        </w:rPr>
      </w:pP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6"/>
          <w:szCs w:val="16"/>
          <w:color w:val="auto"/>
        </w:rPr>
        <w:t xml:space="preserve"> Includes accruals.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 This footnote should be read in conjunction with the complete description under Item 15 — Note 13,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Company’s 2024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Clearway Renewable Operation &amp; Maintenance LLC</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Various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$20 million and $18 million for the three months ended June 30, 2025 and 2024, respectively. The Company incurred total expenses for these services of $41 million and $37 million for the six months ended June 30, 2025 and 2024, respectively. Expenses for these services are included in cost of operations in the consolidated statements of operations. There was a balance of $9 million and $12 million due to RENOM as of June 30, 2025 and December 31, 2024,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CEG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$6 million for each of the three months ended June 30, 2025 and 2024. The Company incurred expenses under these agreements of $11 million and $12 million for the six months ended June 30, 2025 and 2024, respectively. Expenses for these services are included in cost of operations in the consolidated statements of operations. There was a balance of $3 million due to CEG as of both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along with Clearway, Inc. and certain of its subsidiaries, is a party to the CEG Master Services Agreement, pursuant to which CEG and certain of its affiliates or third-party service providers provide certain services to the Company. These services include operational and administrative services, including human resources, information systems, cybersecurity, external affairs, accounting, procurement and risk management services, and, effective January 1, 2025, internal audit, tax, legal and treasury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 In addition, effective January 1, 2025, the Company directly bears all labor costs for certain employees of CEG who perform work on behalf of the Company.</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incurred net expenses under these agreements of $6 million and $2 million for the three months ended June 30, 2025 and 2024, respectively. The Company incurred net expenses under these agreements of $12 million and $3 million for the six months ended June 30, 2025 and 2024, respectively. Expenses for these services are included in cost of operations in the consolidated statements of operations. There was a balance of zero and $5 million due to CEG as of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jc w:val="right"/>
        <w:ind w:right="3160"/>
        <w:spacing w:after="0" w:line="466" w:lineRule="auto"/>
        <w:rPr>
          <w:sz w:val="20"/>
          <w:szCs w:val="20"/>
          <w:color w:val="auto"/>
        </w:rPr>
      </w:pPr>
      <w:r>
        <w:rPr>
          <w:rFonts w:ascii="Times New Roman" w:cs="Times New Roman" w:eastAsia="Times New Roman" w:hAnsi="Times New Roman"/>
          <w:sz w:val="17"/>
          <w:szCs w:val="17"/>
          <w:b w:val="1"/>
          <w:bCs w:val="1"/>
          <w:color w:val="auto"/>
        </w:rPr>
        <w:t xml:space="preserve">ITEM 2 — Management’s Discussion and Analysis of Financial Condition and the Results of Operations </w:t>
      </w:r>
      <w:r>
        <w:rPr>
          <w:rFonts w:ascii="Times New Roman" w:cs="Times New Roman" w:eastAsia="Times New Roman" w:hAnsi="Times New Roman"/>
          <w:sz w:val="17"/>
          <w:szCs w:val="17"/>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and six months ended June 30, 2025 and 2024. Also refer to the Company’s 2024 Form 10-K, which includes detailed discussions of various items impacting the Company’s business, results of operations and financial condition.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81" w:lineRule="auto"/>
        <w:tabs>
          <w:tab w:leader="none" w:pos="1299"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 w:lineRule="exact"/>
        <w:rPr>
          <w:rFonts w:ascii="Times New Roman" w:cs="Times New Roman" w:eastAsia="Times New Roman" w:hAnsi="Times New Roman"/>
          <w:sz w:val="18"/>
          <w:szCs w:val="18"/>
          <w:color w:val="231F20"/>
        </w:rPr>
      </w:pPr>
    </w:p>
    <w:p>
      <w:pPr>
        <w:ind w:left="980" w:right="80"/>
        <w:spacing w:after="0" w:line="281" w:lineRule="auto"/>
        <w:tabs>
          <w:tab w:leader="none" w:pos="12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operations;</w:t>
      </w:r>
    </w:p>
    <w:p>
      <w:pPr>
        <w:spacing w:after="0" w:line="1" w:lineRule="exact"/>
        <w:rPr>
          <w:rFonts w:ascii="Times New Roman" w:cs="Times New Roman" w:eastAsia="Times New Roman" w:hAnsi="Times New Roman"/>
          <w:sz w:val="18"/>
          <w:szCs w:val="18"/>
          <w:color w:val="auto"/>
        </w:rPr>
      </w:pPr>
    </w:p>
    <w:p>
      <w:pPr>
        <w:ind w:left="980" w:right="100"/>
        <w:spacing w:after="0" w:line="281" w:lineRule="auto"/>
        <w:tabs>
          <w:tab w:leader="none" w:pos="1299"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63" w:lineRule="exact"/>
        <w:rPr>
          <w:rFonts w:ascii="Times New Roman" w:cs="Times New Roman" w:eastAsia="Times New Roman" w:hAnsi="Times New Roman"/>
          <w:sz w:val="18"/>
          <w:szCs w:val="18"/>
          <w:color w:val="231F20"/>
        </w:rPr>
      </w:pPr>
    </w:p>
    <w:p>
      <w:pPr>
        <w:ind w:left="980" w:right="80"/>
        <w:spacing w:after="0" w:line="282" w:lineRule="auto"/>
        <w:tabs>
          <w:tab w:leader="none" w:pos="12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is one of the largest owners of clean energy generation assets in the U.S. The Company’s portfolio comprises approximately 12 GW of gross capacity in 27 states, including approximately 9.2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distributions.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 The weighted average remaining contract duration of the Company’s Renewables &amp; Storage segment offtake agreements was approximately 11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June 30, 2025 </w:t>
      </w:r>
      <w:r>
        <w:rPr>
          <w:rFonts w:ascii="Times New Roman" w:cs="Times New Roman" w:eastAsia="Times New Roman" w:hAnsi="Times New Roman"/>
          <w:sz w:val="18"/>
          <w:szCs w:val="18"/>
          <w:color w:val="231F20"/>
        </w:rPr>
        <w:t>based on CAFD.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2025, the Company’s operating assets are comprised of the following facilities:</w:t>
      </w:r>
    </w:p>
    <w:p>
      <w:pPr>
        <w:spacing w:after="0" w:line="97" w:lineRule="exact"/>
        <w:rPr>
          <w:sz w:val="20"/>
          <w:szCs w:val="20"/>
          <w:color w:val="auto"/>
        </w:rPr>
      </w:pPr>
    </w:p>
    <w:tbl>
      <w:tblPr>
        <w:tblLayout w:type="fixed"/>
        <w:tblInd w:w="150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96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7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760" w:type="dxa"/>
            <w:vAlign w:val="bottom"/>
            <w:tcBorders>
              <w:top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Rated</w:t>
            </w:r>
          </w:p>
        </w:tc>
        <w:tc>
          <w:tcPr>
            <w:tcW w:w="1440" w:type="dxa"/>
            <w:vAlign w:val="bottom"/>
            <w:tcBorders>
              <w:top w:val="single" w:sz="8" w:color="auto"/>
            </w:tcBorders>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9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7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MW</w:t>
            </w:r>
          </w:p>
        </w:tc>
        <w:tc>
          <w:tcPr>
            <w:tcW w:w="1540" w:type="dxa"/>
            <w:vAlign w:val="bottom"/>
            <w:gridSpan w:val="2"/>
          </w:tcPr>
          <w:p>
            <w:pPr>
              <w:jc w:val="center"/>
              <w:ind w:left="235"/>
              <w:spacing w:after="0" w:line="233" w:lineRule="exact"/>
              <w:rPr>
                <w:sz w:val="20"/>
                <w:szCs w:val="20"/>
                <w:color w:val="auto"/>
              </w:rPr>
            </w:pPr>
            <w:r>
              <w:rPr>
                <w:rFonts w:ascii="Times New Roman" w:cs="Times New Roman" w:eastAsia="Times New Roman" w:hAnsi="Times New Roman"/>
                <w:sz w:val="27"/>
                <w:szCs w:val="27"/>
                <w:b w:val="1"/>
                <w:bCs w:val="1"/>
                <w:color w:val="auto"/>
                <w:w w:val="89"/>
                <w:vertAlign w:val="subscript"/>
              </w:rPr>
              <w:t>MW</w:t>
            </w:r>
            <w:r>
              <w:rPr>
                <w:rFonts w:ascii="Times New Roman" w:cs="Times New Roman" w:eastAsia="Times New Roman" w:hAnsi="Times New Roman"/>
                <w:sz w:val="10"/>
                <w:szCs w:val="10"/>
                <w:b w:val="1"/>
                <w:bCs w:val="1"/>
                <w:color w:val="auto"/>
                <w:w w:val="89"/>
              </w:rPr>
              <w:t xml:space="preserve"> (a)</w:t>
            </w:r>
          </w:p>
        </w:tc>
        <w:tc>
          <w:tcPr>
            <w:tcW w:w="27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3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Flexible Generation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Carlsbad</w:t>
            </w:r>
          </w:p>
        </w:tc>
        <w:tc>
          <w:tcPr>
            <w:tcW w:w="2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SDG&amp;E</w:t>
            </w:r>
          </w:p>
        </w:tc>
        <w:tc>
          <w:tcPr>
            <w:tcW w:w="164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2038</w:t>
            </w:r>
          </w:p>
        </w:tc>
      </w:tr>
      <w:tr>
        <w:trPr>
          <w:trHeight w:val="20"/>
        </w:trPr>
        <w:tc>
          <w:tcPr>
            <w:tcW w:w="2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 Segundo</w:t>
            </w:r>
          </w:p>
        </w:tc>
        <w:tc>
          <w:tcPr>
            <w:tcW w:w="2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640" w:type="dxa"/>
            <w:vAlign w:val="bottom"/>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2027 - 2029</w:t>
            </w:r>
          </w:p>
        </w:tc>
      </w:tr>
      <w:tr>
        <w:trPr>
          <w:trHeight w:val="195"/>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GenConn Devon</w:t>
            </w:r>
          </w:p>
        </w:tc>
        <w:tc>
          <w:tcPr>
            <w:tcW w:w="2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64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2040</w:t>
            </w:r>
          </w:p>
        </w:tc>
      </w:tr>
      <w:tr>
        <w:trPr>
          <w:trHeight w:val="210"/>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GenConn Middletown</w:t>
            </w:r>
          </w:p>
        </w:tc>
        <w:tc>
          <w:tcPr>
            <w:tcW w:w="2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640" w:type="dxa"/>
            <w:vAlign w:val="bottom"/>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2041</w:t>
            </w:r>
          </w:p>
        </w:tc>
      </w:tr>
      <w:tr>
        <w:trPr>
          <w:trHeight w:val="195"/>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Marsh Landing</w:t>
            </w:r>
          </w:p>
        </w:tc>
        <w:tc>
          <w:tcPr>
            <w:tcW w:w="2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64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2026 - 2030</w:t>
            </w:r>
          </w:p>
        </w:tc>
      </w:tr>
      <w:tr>
        <w:trPr>
          <w:trHeight w:val="20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Walnut Creek</w:t>
            </w:r>
          </w:p>
        </w:tc>
        <w:tc>
          <w:tcPr>
            <w:tcW w:w="2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640" w:type="dxa"/>
            <w:vAlign w:val="bottom"/>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2026 - 2027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Flexible Generation</w:t>
            </w:r>
          </w:p>
        </w:tc>
        <w:tc>
          <w:tcPr>
            <w:tcW w:w="1900" w:type="dxa"/>
            <w:vAlign w:val="bottom"/>
          </w:tcPr>
          <w:p>
            <w:pPr>
              <w:spacing w:after="0"/>
              <w:rPr>
                <w:sz w:val="17"/>
                <w:szCs w:val="17"/>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2,774</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2,584</w:t>
            </w:r>
          </w:p>
        </w:tc>
        <w:tc>
          <w:tcPr>
            <w:tcW w:w="24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Agua Caliente</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51 %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290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Alpine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66</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2033</w:t>
            </w:r>
          </w:p>
        </w:tc>
      </w:tr>
      <w:tr>
        <w:trPr>
          <w:trHeight w:val="203"/>
        </w:trPr>
        <w:tc>
          <w:tcPr>
            <w:tcW w:w="33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Arica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263</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2026 - 2041</w:t>
            </w:r>
          </w:p>
        </w:tc>
      </w:tr>
      <w:tr>
        <w:trPr>
          <w:trHeight w:val="203"/>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45</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2031</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Avra Valley</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27</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Tucson Electric Power</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2032</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Blythe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21</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2029</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Borrego</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26</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SDG&amp;E</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2038</w:t>
            </w:r>
          </w:p>
        </w:tc>
      </w:tr>
      <w:tr>
        <w:trPr>
          <w:trHeight w:val="237"/>
        </w:trPr>
        <w:tc>
          <w:tcPr>
            <w:tcW w:w="3320" w:type="dxa"/>
            <w:vAlign w:val="bottom"/>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150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City of Georgetown, TX</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2043</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CVSR</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250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2038</w:t>
            </w:r>
          </w:p>
        </w:tc>
      </w:tr>
      <w:tr>
        <w:trPr>
          <w:trHeight w:val="210"/>
        </w:trPr>
        <w:tc>
          <w:tcPr>
            <w:tcW w:w="332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Daggett 2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182</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2038</w:t>
            </w:r>
          </w:p>
        </w:tc>
      </w:tr>
      <w:tr>
        <w:trPr>
          <w:trHeight w:val="203"/>
        </w:trPr>
        <w:tc>
          <w:tcPr>
            <w:tcW w:w="33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3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300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2033 - 2038</w:t>
            </w:r>
          </w:p>
        </w:tc>
      </w:tr>
      <w:tr>
        <w:trPr>
          <w:trHeight w:val="203"/>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Desert Sunlight 250</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250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2034</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Desert Sunlight 300</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300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Enterprise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Escalante I</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Escalante II</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Escalante III</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Granite Mountain East</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Granite Mountain West</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Iron Springs</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Kansas South</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2033</w:t>
            </w:r>
          </w:p>
        </w:tc>
      </w:tr>
      <w:tr>
        <w:trPr>
          <w:trHeight w:val="210"/>
        </w:trPr>
        <w:tc>
          <w:tcPr>
            <w:tcW w:w="332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39</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2042</w:t>
            </w:r>
          </w:p>
        </w:tc>
      </w:tr>
      <w:tr>
        <w:trPr>
          <w:trHeight w:val="203"/>
        </w:trPr>
        <w:tc>
          <w:tcPr>
            <w:tcW w:w="33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61</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2041</w:t>
            </w:r>
          </w:p>
        </w:tc>
      </w:tr>
      <w:tr>
        <w:trPr>
          <w:trHeight w:val="203"/>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Roadrunner</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20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 Paso Electric</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2031</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Rated</w:t>
            </w:r>
          </w:p>
        </w:tc>
        <w:tc>
          <w:tcPr>
            <w:tcW w:w="7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294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auto"/>
            </w:tcBorders>
          </w:tcPr>
          <w:p>
            <w:pPr>
              <w:jc w:val="right"/>
              <w:ind w:right="1427"/>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7"/>
                <w:szCs w:val="17"/>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MW</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9"/>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MW</w:t>
            </w:r>
            <w:r>
              <w:rPr>
                <w:rFonts w:ascii="Times New Roman" w:cs="Times New Roman" w:eastAsia="Times New Roman" w:hAnsi="Times New Roman"/>
                <w:sz w:val="10"/>
                <w:szCs w:val="10"/>
                <w:b w:val="1"/>
                <w:bCs w:val="1"/>
                <w:color w:val="auto"/>
              </w:rPr>
              <w:t xml:space="preserve"> (a)</w:t>
            </w:r>
          </w:p>
        </w:tc>
        <w:tc>
          <w:tcPr>
            <w:tcW w:w="100" w:type="dxa"/>
            <w:vAlign w:val="bottom"/>
          </w:tcPr>
          <w:p>
            <w:pPr>
              <w:spacing w:after="0"/>
              <w:rPr>
                <w:sz w:val="17"/>
                <w:szCs w:val="17"/>
                <w:color w:val="auto"/>
              </w:rPr>
            </w:pPr>
          </w:p>
        </w:tc>
        <w:tc>
          <w:tcPr>
            <w:tcW w:w="28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23"/>
        </w:trPr>
        <w:tc>
          <w:tcPr>
            <w:tcW w:w="366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2035 - 2047</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 High Desert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Texas Solar Nova 1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Verizon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Texas Solar Nova 2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Verizon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29"/>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Victory Pass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Waiawa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95"/>
        </w:trPr>
        <w:tc>
          <w:tcPr>
            <w:tcW w:w="36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Solar</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BESS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Arica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2039 - 2041</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2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3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2033 - 2038</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29"/>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Victory Pass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Waiawa </w:t>
            </w:r>
            <w:r>
              <w:rPr>
                <w:rFonts w:ascii="Times New Roman" w:cs="Times New Roman" w:eastAsia="Times New Roman" w:hAnsi="Times New Roman"/>
                <w:sz w:val="21"/>
                <w:szCs w:val="21"/>
                <w:color w:val="auto"/>
                <w:vertAlign w:val="superscript"/>
              </w:rPr>
              <w:t>(b)</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96"/>
        </w:trPr>
        <w:tc>
          <w:tcPr>
            <w:tcW w:w="3660" w:type="dxa"/>
            <w:vAlign w:val="bottom"/>
            <w:gridSpan w:val="2"/>
            <w:shd w:val="clear" w:color="auto" w:fill="CCEEFF"/>
          </w:tcPr>
          <w:p>
            <w:pPr>
              <w:jc w:val="right"/>
              <w:ind w:right="160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BESS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DGPV Funds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2030 - 2044</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Solar Power Partners (SPP)</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2026 - 2037</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DG Facilities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2025 - 2039</w:t>
            </w:r>
          </w:p>
        </w:tc>
        <w:tc>
          <w:tcPr>
            <w:tcW w:w="0" w:type="dxa"/>
            <w:vAlign w:val="bottom"/>
          </w:tcPr>
          <w:p>
            <w:pPr>
              <w:spacing w:after="0"/>
              <w:rPr>
                <w:sz w:val="1"/>
                <w:szCs w:val="1"/>
                <w:color w:val="auto"/>
              </w:rPr>
            </w:pPr>
          </w:p>
        </w:tc>
      </w:tr>
      <w:tr>
        <w:trPr>
          <w:trHeight w:val="195"/>
        </w:trPr>
        <w:tc>
          <w:tcPr>
            <w:tcW w:w="36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Distributed Solar</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Wind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II</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III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IV</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V</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XI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37"/>
        </w:trPr>
        <w:tc>
          <w:tcPr>
            <w:tcW w:w="3660" w:type="dxa"/>
            <w:vAlign w:val="bottom"/>
            <w:gridSpan w:val="2"/>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Black Rock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Toyota and Google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Broken Bow</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Cedar Creek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Cedro Hill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CPS Energy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Crofton Bluffs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Dan’s Mountain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Constellation Energy Generation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Forward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Goat Wind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Dow Pipeline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Langford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2"/>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Laredo Ridge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Lookout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Mesquite Sky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2033 - 2036</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Mesquite Star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2032 - 2035</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Mountain Wind 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88"/>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Mountain Wind 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Rated</w:t>
            </w:r>
          </w:p>
        </w:tc>
        <w:tc>
          <w:tcPr>
            <w:tcW w:w="7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294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MW</w:t>
            </w:r>
          </w:p>
        </w:tc>
        <w:tc>
          <w:tcPr>
            <w:tcW w:w="780" w:type="dxa"/>
            <w:vAlign w:val="bottom"/>
          </w:tcPr>
          <w:p>
            <w:pPr>
              <w:jc w:val="right"/>
              <w:ind w:right="229"/>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MW</w:t>
            </w:r>
            <w:r>
              <w:rPr>
                <w:rFonts w:ascii="Times New Roman" w:cs="Times New Roman" w:eastAsia="Times New Roman" w:hAnsi="Times New Roman"/>
                <w:sz w:val="10"/>
                <w:szCs w:val="10"/>
                <w:b w:val="1"/>
                <w:bCs w:val="1"/>
                <w:color w:val="auto"/>
              </w:rPr>
              <w:t xml:space="preserve"> (a)</w:t>
            </w:r>
          </w:p>
        </w:tc>
        <w:tc>
          <w:tcPr>
            <w:tcW w:w="100" w:type="dxa"/>
            <w:vAlign w:val="bottom"/>
          </w:tcPr>
          <w:p>
            <w:pPr>
              <w:spacing w:after="0"/>
              <w:rPr>
                <w:sz w:val="17"/>
                <w:szCs w:val="17"/>
                <w:color w:val="auto"/>
              </w:rPr>
            </w:pPr>
          </w:p>
        </w:tc>
        <w:tc>
          <w:tcPr>
            <w:tcW w:w="294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6"/>
        </w:trPr>
        <w:tc>
          <w:tcPr>
            <w:tcW w:w="35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Mt. Storm</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Citigroup</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Ocotillo</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Pinnacle </w:t>
            </w:r>
            <w:r>
              <w:rPr>
                <w:rFonts w:ascii="Times New Roman" w:cs="Times New Roman" w:eastAsia="Times New Roman" w:hAnsi="Times New Roman"/>
                <w:sz w:val="21"/>
                <w:szCs w:val="21"/>
                <w:color w:val="auto"/>
                <w:vertAlign w:val="superscript"/>
              </w:rPr>
              <w:t>(b)</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Maryland Department of General Services and</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8"/>
        </w:trPr>
        <w:tc>
          <w:tcPr>
            <w:tcW w:w="3660" w:type="dxa"/>
            <w:vAlign w:val="bottom"/>
            <w:gridSpan w:val="2"/>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University System of Maryland</w:t>
            </w: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Rattlesnake </w:t>
            </w:r>
            <w:r>
              <w:rPr>
                <w:rFonts w:ascii="Times New Roman" w:cs="Times New Roman" w:eastAsia="Times New Roman" w:hAnsi="Times New Roman"/>
                <w:sz w:val="21"/>
                <w:szCs w:val="21"/>
                <w:color w:val="auto"/>
                <w:vertAlign w:val="superscript"/>
              </w:rPr>
              <w:t>(b) (c)</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Avista Corporation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Sleeping Bear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 Trent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AEP Energy Partners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Spanish Fork</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Spring Canyon II</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Spring Canyon III</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Taloga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Tuolumne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Turlock Irrigation District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Wind</w:t>
            </w: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10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Clearway Energy LLC</w:t>
            </w: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9,308</w:t>
            </w:r>
          </w:p>
        </w:tc>
        <w:tc>
          <w:tcPr>
            <w:tcW w:w="10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798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59" w:lineRule="exact"/>
        <w:rPr>
          <w:sz w:val="20"/>
          <w:szCs w:val="20"/>
          <w:color w:val="auto"/>
        </w:rPr>
      </w:pPr>
    </w:p>
    <w:p>
      <w:pPr>
        <w:ind w:left="240" w:hanging="151"/>
        <w:spacing w:after="0"/>
        <w:tabs>
          <w:tab w:leader="none" w:pos="24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Net capacity represents the maximum, or rated, generating or storage capacity of the facility multiplied by the Company’s percentage ownership in the facility as of June 30, 2025.</w:t>
      </w:r>
    </w:p>
    <w:p>
      <w:pPr>
        <w:spacing w:after="0" w:line="57" w:lineRule="exact"/>
        <w:rPr>
          <w:rFonts w:ascii="Times New Roman" w:cs="Times New Roman" w:eastAsia="Times New Roman" w:hAnsi="Times New Roman"/>
          <w:sz w:val="20"/>
          <w:szCs w:val="20"/>
          <w:color w:val="auto"/>
          <w:vertAlign w:val="superscript"/>
        </w:rPr>
      </w:pPr>
    </w:p>
    <w:p>
      <w:pPr>
        <w:ind w:left="260" w:hanging="171"/>
        <w:spacing w:after="0" w:line="189" w:lineRule="auto"/>
        <w:tabs>
          <w:tab w:leader="none" w:pos="2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 xml:space="preserve">Facilities are part of tax equity arrangements, as further described in Note 4, </w:t>
      </w:r>
      <w:r>
        <w:rPr>
          <w:rFonts w:ascii="Times New Roman" w:cs="Times New Roman" w:eastAsia="Times New Roman" w:hAnsi="Times New Roman"/>
          <w:sz w:val="12"/>
          <w:szCs w:val="12"/>
          <w:i w:val="1"/>
          <w:iCs w:val="1"/>
          <w:color w:val="auto"/>
        </w:rPr>
        <w:t>Investments Accounted for by the Equity Method and Variable Interest Entities</w:t>
      </w:r>
      <w:r>
        <w:rPr>
          <w:rFonts w:ascii="Times New Roman" w:cs="Times New Roman" w:eastAsia="Times New Roman" w:hAnsi="Times New Roman"/>
          <w:sz w:val="12"/>
          <w:szCs w:val="12"/>
          <w:color w:val="auto"/>
        </w:rPr>
        <w:t>.</w:t>
      </w:r>
    </w:p>
    <w:p>
      <w:pPr>
        <w:spacing w:after="0" w:line="57"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Rattlesnake has a deliverable capacity of 144 MW.</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Acquisitions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On July 16, 2025, the Company, through its indirect subsidiary, Catalina Solar Investment LLC, acquired Catalina Solar Lessee Holdco LLC, which leases and operates the Catalina solar facility, from a third-party for approximately $127 million. The Company estimates that its net capital investment in Catalina will be $125 million after factoring in cash acquired and estimated transaction expenses.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5" w:lineRule="exact"/>
        <w:rPr>
          <w:rFonts w:ascii="Times New Roman" w:cs="Times New Roman" w:eastAsia="Times New Roman" w:hAnsi="Times New Roman"/>
          <w:sz w:val="18"/>
          <w:szCs w:val="18"/>
          <w:i w:val="1"/>
          <w:iCs w:val="1"/>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through its indirect subsidiary, Washington Wind LLC, acquired the Tuolumne wind facility from an investment-grade regulated entity for approximately $210 million, which excludes $1 million in transaction expenses incurred in connection with the acquisition during the six months ended June 30, 2025. The Company’s net capital investment in Tuolumne was $59 million, and the acquisition was also funded through the issuance of a $163 million term loan.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transactions.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Transactions</w:t>
      </w:r>
    </w:p>
    <w:p>
      <w:pPr>
        <w:spacing w:after="0" w:line="173" w:lineRule="exact"/>
        <w:rPr>
          <w:sz w:val="20"/>
          <w:szCs w:val="20"/>
          <w:color w:val="auto"/>
        </w:rPr>
      </w:pPr>
    </w:p>
    <w:p>
      <w:pPr>
        <w:jc w:val="both"/>
        <w:ind w:left="660" w:hanging="328"/>
        <w:spacing w:after="0" w:line="270" w:lineRule="auto"/>
        <w:tabs>
          <w:tab w:leader="none" w:pos="655"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xml:space="preserve">On June 10, 2025, the Company, through its indirect subsidiary, Pine Forest CE Class A Owner LLC, acquired the Class A membership interests in Pine Forest TargetCo, a partnership and the indirect owner of the Pine Forest solar and BESS facility, from Clearway Renew for initial cash consideration of $18 million. Simultaneously, a third-party cash equity investor acquired the Class B membership interests in Pine Forest TargetCo from Clearway Renew for initial cash consideration of $36 million. Also on June 10, 2025, Clearway, Inc., through its indirect subsidiary, Pine Forest TE Class A, contributed $9 million to acquire the Class A membership interests in Pine Forest TE HoldCo LLC. At substantial completion, which is expected to occur in the second half of 2025, the Company estimates it will pay an additional $72 million to Clearway Renew for its Class A membership interests in Pine Forest TargetCo and Clearway, Inc. will contribute an additional $37 million for its Class A membership interests in Pine Forest TE HoldCo LLC. In addition, the third-party cash equity investor in Pine Forest TargetCo is expected to contribute an additional $144 million. The Company estimates that its total capital investment in Pine Forest TargetCo will be $90 million, excluding the impact of any closing adjustments noted in the purchase agreement. See Note 3, </w:t>
      </w:r>
      <w:r>
        <w:rPr>
          <w:rFonts w:ascii="Times New Roman" w:cs="Times New Roman" w:eastAsia="Times New Roman" w:hAnsi="Times New Roman"/>
          <w:sz w:val="17"/>
          <w:szCs w:val="17"/>
          <w:i w:val="1"/>
          <w:iCs w:val="1"/>
          <w:color w:val="auto"/>
        </w:rPr>
        <w:t>Acquisitions</w:t>
      </w:r>
      <w:r>
        <w:rPr>
          <w:rFonts w:ascii="Times New Roman" w:cs="Times New Roman" w:eastAsia="Times New Roman" w:hAnsi="Times New Roman"/>
          <w:sz w:val="17"/>
          <w:szCs w:val="17"/>
          <w:color w:val="auto"/>
        </w:rPr>
        <w:t>, for further discussion of the transaction.</w:t>
      </w:r>
    </w:p>
    <w:p>
      <w:pPr>
        <w:spacing w:after="0" w:line="122" w:lineRule="exact"/>
        <w:rPr>
          <w:rFonts w:ascii="Times New Roman" w:cs="Times New Roman" w:eastAsia="Times New Roman" w:hAnsi="Times New Roman"/>
          <w:sz w:val="17"/>
          <w:szCs w:val="17"/>
          <w:i w:val="1"/>
          <w:iCs w:val="1"/>
          <w:color w:val="auto"/>
        </w:rPr>
      </w:pPr>
    </w:p>
    <w:p>
      <w:pPr>
        <w:jc w:val="both"/>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through its indirect subsidiary, LV-Daggett Parent Holdco LLC, acquired Luna Valley Class B, the indirect owner of the Luna Valley solar facility, from Clearway Renew for initial cash consideration of $18 million. At substantial completion, which is expected to occur in the second half of 2025, the Company estimates it will pay an additional $72 million to Clearway Renew. The Company estimates that its total capital investment in Luna Valley Class B will be $90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through its indirect subsidiary, LV-Daggett Parent Holdco LLC, acquired Daggett 1 Class B, the indirect owner of the Daggett 1 BESS facility, from Clearway Renew for initial cash consideration of $11 million. At substantial completion, which is expected to occur in the second half of 2025, the Company estimates it will pay an additional $42 million to Clearway Renew. The Company estimates that its total capital investment in Daggett 1 Class B will be $53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20, 2025, the Company, through its indirect subsidiary, Rosamond South Investment LLC, acquired the Class A membership interests in Rosie South TargetCo, a partnership and the indirect owner of the Rosamond South I solar and BESS facility, from Clearway Renew for initial cash consideration of $4 million. Simultaneously, a third-party cash equity investor acquired the Class B membership interests in Rosie South TargetCo from Clearway Renew for initial cash consideration of $10 million. At substantial completion, which is expected to occur in the second half of 2025, the Company estimates it will pay an additional $17 million to Clearway Renew and the third-party cash equity investor will contribute an additional $41 million. The Company estimates that its total capital investment in Rosie South TargetCo will be $21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jc w:val="both"/>
        <w:ind w:left="660" w:hanging="328"/>
        <w:spacing w:after="0" w:line="25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2025, the Company, through an indirect subsidiary, entered into an agreement with Clearway Renew to sell its membership interests in Mt. Storm, a 264 MW wind facility that is located in Grant County, West Virginia, for $121 million in cash consideration in order for Clearway Renew to repower the facility, which will occur in two phases. The consummation of the transaction is subject to customary conditions and third-party approvals and is expected in the second half of 2025. Additionally, the agreement contains an exclusive option for the Company to purchase the Class B membership interests in the tax equity fund that, upon mechanical completion of the first phase of the repowering of the facility, will own Mt. Storm. Mechanical completion of the first phase of the Mt. Storm repowering is expected to occur in the second half of 2026 with the second phase of the repowering expected to occur in the second half of 2027. The repowering of the facility is expected to increase the facility’s capacity to 335 MW. Upon achieving repowering commercial operations, which is expected to occur in 2027, the facility will sell power to Microsoft under a 20-year PPA. On May 1, 2025, the Company bought down a portion of Mt. Storm’s current contract to sell power to a counterparty through a hedge agreement and paid approximately $35 million to the hedge counterparty to reduce the contract by approximately 50%. On July 22, 2025, the Company paid approximately $39 million to the hedge counterparty to buy out the remaining contract.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 Agreements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in December 2029. El Segundo is now contracted for 100% of its capacity through 2027 and approximately 50% of its capacity through 2028.</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Facility-level Financing Activities</w:t>
      </w:r>
    </w:p>
    <w:p>
      <w:pPr>
        <w:spacing w:after="0" w:line="173"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2025 Drop Downs of Rosamond South I, Luna Valley, Daggett 1 and Pine Forest, the Company assumed non-recourse facility-level debt.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non-recourse facility-level debt associated with each facility.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21, 2025, when the Dan’s Mountain wind facility reached substantial completion, the Company paid $36 million to Clearway Renew as additional purchase price in connection with the Company’s acquisition of the Class A membership interests in Dan’s Mountain TargetCo on November 18, 2024. Also, on May 21, 2025, a third-party cash equity investor contributed $45 million to acquire the Class B membership interests in Dan’s Mountain TargetCo from Clearway Renew and the tax equity investor contributed an additional $90 million. The Company utilized the combined proceeds to repay the cash equity bridge loan, to repay the tax equity bridge loan and to pay associated fees with the remaining proceeds distributed to CEG. The Company’s total capital investment in Dan’s Mountain was $43 million.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further discussion of the transaction.</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in order to partially fund the third-party acquisition of the Tuolumne wind facility, the Company entered into a financing agreement, which included the issuance of a $163 million term loan, as well as $22 million in letters of credit in support of debt service and facility obligations.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further discussion of the financing agreement.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9, 2025, the Company, through its indirect subsidiary, Buckthorn Solar Portfolio LLC, refinanced its credit agreement, which was scheduled to mature in May 2025, resulting in the issuance of a $104 million term loan facility, as well as $22 million in letters of credit in support of debt service and facility obligations. The Company utilized the proceeds from the term loan and existing sources of liquidity to pay off the existing debt.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refinanced credit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could change in the future.</w:t>
      </w:r>
    </w:p>
    <w:p>
      <w:pPr>
        <w:spacing w:after="0" w:line="131"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environmental matters are further described in the Company’s 2024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following disclosures about the Company’s regulatory matters provide an update to, and should be read in conjunction with,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Regulatory Matters </w:t>
      </w:r>
      <w:r>
        <w:rPr>
          <w:rFonts w:ascii="Times New Roman" w:cs="Times New Roman" w:eastAsia="Times New Roman" w:hAnsi="Times New Roman"/>
          <w:sz w:val="18"/>
          <w:szCs w:val="18"/>
          <w:color w:val="auto"/>
        </w:rPr>
        <w:t>and Item 1A,</w:t>
      </w:r>
      <w:r>
        <w:rPr>
          <w:rFonts w:ascii="Times New Roman" w:cs="Times New Roman" w:eastAsia="Times New Roman" w:hAnsi="Times New Roman"/>
          <w:sz w:val="18"/>
          <w:szCs w:val="18"/>
          <w:i w:val="1"/>
          <w:iCs w:val="1"/>
          <w:color w:val="auto"/>
        </w:rPr>
        <w:t xml:space="preserve"> Risk Factors</w:t>
      </w:r>
      <w:r>
        <w:rPr>
          <w:rFonts w:ascii="Times New Roman" w:cs="Times New Roman" w:eastAsia="Times New Roman" w:hAnsi="Times New Roman"/>
          <w:sz w:val="18"/>
          <w:szCs w:val="18"/>
          <w:color w:val="auto"/>
        </w:rPr>
        <w:t>, of the Company’s 2024 Form 10-K</w:t>
      </w:r>
      <w:r>
        <w:rPr>
          <w:rFonts w:ascii="Times New Roman" w:cs="Times New Roman" w:eastAsia="Times New Roman" w:hAnsi="Times New Roman"/>
          <w:sz w:val="18"/>
          <w:szCs w:val="18"/>
          <w:i w:val="1"/>
          <w:iCs w:val="1"/>
          <w:color w:val="auto"/>
        </w:rPr>
        <w:t>.</w:t>
      </w:r>
    </w:p>
    <w:p>
      <w:pPr>
        <w:spacing w:after="0" w:line="10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March 6,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U.S. Court of Appeals considered the litigation. On March 27, 2025, the SEC voted to end the defense of the rules in the litigation.</w:t>
      </w:r>
    </w:p>
    <w:p>
      <w:pPr>
        <w:spacing w:after="0" w:line="1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July 4, 2025, federal tax legislation was enacted. Among other changes, the federal tax legislation phases out, repeals, and/or adds stricter eligibility requirements for business tax credits and incentives for the development of clean energy facilities and production of clean energy, including wind, solar and BESS facilities. Among other things, (i) wind and solar facilities that begin construction after July 4, 2026 must be placed in service by December 31, 2027 in order to qualify for production tax credits or investment tax credits, (ii) BESS facilities that begin construction by December 31, 2033 receive full investment tax credit value, stepping down to 75% for BESS facilities that begin construction in 2034, 50% for BESS facilities that begin construction in 2035 and 0% for BESS facilities that begin construction after 2035 and (iii) for facilities that begin construction after 2024, new foreign entity of concern requirements will restrict availability of the credits to wind, solar and BESS facilities if the entity that owns the facility has certain relationships with or makes certain payments to foreign entities of concern and, for facilities that begin construction after 2025, if the percentage of components in the facility manufactured by foreign entities of concern exceeds a specified percentage.</w:t>
      </w:r>
    </w:p>
    <w:p>
      <w:pPr>
        <w:spacing w:after="0" w:line="13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July 7, 2025, a federal executive order was issued directing the Secretary of the Treasury to issue, within 45 days, new and revised guidance that could potentially seek to limit the interpretation of “begin construction” requirements for wind, solar and BESS facilities that claim “technology neutral” tax credits under sections 45Y or 48E of the Internal Revenue Code. Facilities that began construction before 2025 qualify for tax credits under section 45 and 48 of the Internal Revenue Code and so are not within the scope of the executive order. Similarly, the executive order does not impact operating facilities, so the facilities owned and operated by the Company are not within the scope of the executive order. The Company will continue to assess the impact of any such guidance under the executive order when it is issued.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1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1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vMerge w:val="restart"/>
          </w:tcPr>
          <w:p>
            <w:pPr>
              <w:spacing w:after="0"/>
              <w:rPr>
                <w:sz w:val="2"/>
                <w:szCs w:val="2"/>
                <w:color w:val="auto"/>
              </w:rPr>
            </w:pPr>
          </w:p>
        </w:tc>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Energy and capacity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revenues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amortization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fuels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33333"/>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interest income (expense)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780" w:type="dxa"/>
            <w:vAlign w:val="bottom"/>
            <w:gridSpan w:val="2"/>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Less: Net loss attributable to noncontrolling interests and</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LLC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12"/>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24"/>
                <w:szCs w:val="24"/>
                <w:color w:val="auto"/>
              </w:rPr>
            </w:pPr>
          </w:p>
        </w:tc>
        <w:tc>
          <w:tcPr>
            <w:tcW w:w="21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18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Solar MWh generated/sold (in thousands)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2,650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Wind MWh generated/sold (in thousands) </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8"/>
              </w:rPr>
              <w:t>2,941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2,947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5,466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Solar &amp; Wind MWh generated/sold (in thousands) </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5,591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5,560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bottom w:val="single" w:sz="8" w:color="CCEEFF"/>
            </w:tcBorders>
            <w:gridSpan w:val="2"/>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Solar weighted-average capacity factor </w:t>
            </w:r>
            <w:r>
              <w:rPr>
                <w:rFonts w:ascii="Times New Roman" w:cs="Times New Roman" w:eastAsia="Times New Roman" w:hAnsi="Times New Roman"/>
                <w:sz w:val="23"/>
                <w:szCs w:val="23"/>
                <w:color w:val="auto"/>
                <w:vertAlign w:val="superscript"/>
              </w:rPr>
              <w:t>(b)</w:t>
            </w: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36.9 %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36.1 %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31.3 %</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Wind weighted-average capacity factor </w:t>
            </w:r>
            <w:r>
              <w:rPr>
                <w:rFonts w:ascii="Times New Roman" w:cs="Times New Roman" w:eastAsia="Times New Roman" w:hAnsi="Times New Roman"/>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33.6 %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Flexible Generation MWh generated (in thousands)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Flexible Generation equivalent availability factor</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92.2 %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92" w:lineRule="exact"/>
        <w:rPr>
          <w:sz w:val="20"/>
          <w:szCs w:val="20"/>
          <w:color w:val="auto"/>
        </w:rPr>
      </w:pPr>
    </w:p>
    <w:p>
      <w:pPr>
        <w:ind w:left="260" w:hanging="171"/>
        <w:spacing w:after="0"/>
        <w:tabs>
          <w:tab w:leader="none" w:pos="26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Volumes do not include the MWh generated/sold by the Company’s equity method investments.</w:t>
      </w:r>
    </w:p>
    <w:p>
      <w:pPr>
        <w:spacing w:after="0" w:line="3" w:lineRule="exact"/>
        <w:rPr>
          <w:rFonts w:ascii="Times New Roman" w:cs="Times New Roman" w:eastAsia="Times New Roman" w:hAnsi="Times New Roman"/>
          <w:sz w:val="23"/>
          <w:szCs w:val="23"/>
          <w:color w:val="auto"/>
          <w:vertAlign w:val="superscript"/>
        </w:rPr>
      </w:pPr>
    </w:p>
    <w:p>
      <w:pPr>
        <w:ind w:left="260" w:hanging="171"/>
        <w:spacing w:after="0" w:line="189" w:lineRule="auto"/>
        <w:tabs>
          <w:tab w:leader="none" w:pos="2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Typical average capacity factors for solar facilities is 25%. The weighted-average capacity factors can vary based on seasonality and weather.</w:t>
      </w:r>
    </w:p>
    <w:p>
      <w:pPr>
        <w:spacing w:after="0" w:line="16" w:lineRule="exact"/>
        <w:rPr>
          <w:rFonts w:ascii="Times New Roman" w:cs="Times New Roman" w:eastAsia="Times New Roman" w:hAnsi="Times New Roman"/>
          <w:sz w:val="19"/>
          <w:szCs w:val="19"/>
          <w:color w:val="auto"/>
          <w:vertAlign w:val="superscript"/>
        </w:rPr>
      </w:pPr>
    </w:p>
    <w:p>
      <w:pPr>
        <w:ind w:left="260" w:hanging="171"/>
        <w:spacing w:after="0" w:line="189" w:lineRule="auto"/>
        <w:tabs>
          <w:tab w:leader="none" w:pos="2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Typical average capacity factors for wind facilities is 25-45%. The weighted-average capacity factors can vary based on seasonality and weather.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ind w:right="29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Three Months Ended June 30, 2025 and 2024 </w:t>
      </w:r>
      <w:r>
        <w:rPr>
          <w:rFonts w:ascii="Times New Roman" w:cs="Times New Roman" w:eastAsia="Times New Roman" w:hAnsi="Times New Roman"/>
          <w:sz w:val="18"/>
          <w:szCs w:val="18"/>
          <w:b w:val="1"/>
          <w:bCs w:val="1"/>
          <w:i w:val="1"/>
          <w:iCs w:val="1"/>
          <w:color w:val="auto"/>
        </w:rPr>
        <w:t>Operating Revenues</w:t>
      </w:r>
    </w:p>
    <w:p>
      <w:pPr>
        <w:spacing w:after="0" w:line="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increased by $26 million during the three months ended June 30, 2025, compared to the same period in 2024, due to a combination of the drivers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Renewables &amp; Storage Segment</w:t>
            </w: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Increase driven by the Tuolumne wind acquisition in April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6"/>
        </w:trPr>
        <w:tc>
          <w:tcPr>
            <w:tcW w:w="2560" w:type="dxa"/>
            <w:vAlign w:val="bottom"/>
          </w:tcPr>
          <w:p>
            <w:pPr>
              <w:spacing w:after="0"/>
              <w:rPr>
                <w:sz w:val="15"/>
                <w:szCs w:val="15"/>
                <w:color w:val="auto"/>
              </w:rPr>
            </w:pPr>
          </w:p>
        </w:tc>
        <w:tc>
          <w:tcPr>
            <w:tcW w:w="7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primarily driven by the Arica solar and BESS and Rosamond Central BESS acquisitions,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560" w:type="dxa"/>
            <w:vAlign w:val="bottom"/>
          </w:tcPr>
          <w:p>
            <w:pPr>
              <w:spacing w:after="0"/>
              <w:rPr>
                <w:sz w:val="21"/>
                <w:szCs w:val="21"/>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which reached commercial operations in April 2024 and June 2024, respectively.</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560" w:type="dxa"/>
            <w:vAlign w:val="bottom"/>
            <w:shd w:val="clear" w:color="auto" w:fill="CCEEFF"/>
          </w:tcPr>
          <w:p>
            <w:pPr>
              <w:spacing w:after="0"/>
              <w:rPr>
                <w:sz w:val="19"/>
                <w:szCs w:val="19"/>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Decrease primarily driven by lower wind resource at certain facilities.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2560" w:type="dxa"/>
            <w:vAlign w:val="bottom"/>
          </w:tcPr>
          <w:p>
            <w:pPr>
              <w:spacing w:after="0"/>
              <w:rPr>
                <w:sz w:val="19"/>
                <w:szCs w:val="19"/>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incurred on the buy-down of a portion of the Mt. Storm commodity contract in April 2025.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Flexible Generation Segment</w:t>
            </w:r>
          </w:p>
        </w:tc>
        <w:tc>
          <w:tcPr>
            <w:tcW w:w="73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Decrease in energy revenue primarily driven by lower generation at the Walnut Creek, Marsh</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560" w:type="dxa"/>
            <w:vAlign w:val="bottom"/>
            <w:shd w:val="clear" w:color="auto" w:fill="CCEEFF"/>
          </w:tcPr>
          <w:p>
            <w:pPr>
              <w:spacing w:after="0"/>
              <w:rPr>
                <w:sz w:val="21"/>
                <w:szCs w:val="21"/>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Landing and El Segundo facilities.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primarily driven by Cedro Hill, which reached repowering commercial operations in</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560" w:type="dxa"/>
            <w:vAlign w:val="bottom"/>
          </w:tcPr>
          <w:p>
            <w:pPr>
              <w:spacing w:after="0"/>
              <w:rPr>
                <w:sz w:val="21"/>
                <w:szCs w:val="21"/>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2024, resulting in the extension of the amortization period.</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Mark-to-market economic</w:t>
            </w:r>
          </w:p>
        </w:tc>
        <w:tc>
          <w:tcPr>
            <w:tcW w:w="73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primarily driven by decreases in forward power prices in the ERCOT market.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hedging activities</w:t>
            </w:r>
          </w:p>
        </w:tc>
        <w:tc>
          <w:tcPr>
            <w:tcW w:w="7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2560" w:type="dxa"/>
            <w:vAlign w:val="bottom"/>
            <w:tcBorders>
              <w:bottom w:val="single" w:sz="8" w:color="CCEEFF"/>
            </w:tcBorders>
          </w:tcPr>
          <w:p>
            <w:pPr>
              <w:spacing w:after="0"/>
              <w:rPr>
                <w:sz w:val="19"/>
                <w:szCs w:val="19"/>
                <w:color w:val="auto"/>
              </w:rPr>
            </w:pPr>
          </w:p>
        </w:tc>
        <w:tc>
          <w:tcPr>
            <w:tcW w:w="7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Decrease in heat rate call option contracts primarily driven by changes in power market prices.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256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Operation and maintenance expense increased by $14 million during the three months ended June 30, 2025, compared to the same period in 2024, due to a combination of the drivers summarized in the table below:</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38" w:orient="portrait"/>
          <w:cols w:equalWidth="0" w:num="1">
            <w:col w:w="11240"/>
          </w:cols>
          <w:pgMar w:left="320" w:top="887" w:right="339" w:bottom="1440" w:gutter="0" w:footer="0" w:header="0"/>
        </w:sectPr>
      </w:pPr>
    </w:p>
    <w:p>
      <w:pPr>
        <w:spacing w:after="0" w:line="28" w:lineRule="exact"/>
        <w:rPr>
          <w:sz w:val="20"/>
          <w:szCs w:val="20"/>
          <w:color w:val="auto"/>
        </w:rPr>
      </w:pPr>
    </w:p>
    <w:p>
      <w:pPr>
        <w:jc w:val="both"/>
        <w:ind w:left="2640" w:hanging="2618"/>
        <w:spacing w:after="0" w:line="226" w:lineRule="auto"/>
        <w:tabs>
          <w:tab w:leader="none" w:pos="2620" w:val="left"/>
        </w:tabs>
        <w:rPr>
          <w:sz w:val="20"/>
          <w:szCs w:val="20"/>
          <w:color w:val="auto"/>
        </w:rPr>
      </w:pPr>
      <w:r>
        <w:rPr>
          <w:rFonts w:ascii="Times New Roman" w:cs="Times New Roman" w:eastAsia="Times New Roman" w:hAnsi="Times New Roman"/>
          <w:sz w:val="18"/>
          <w:szCs w:val="18"/>
          <w:b w:val="1"/>
          <w:bCs w:val="1"/>
          <w:color w:val="auto"/>
        </w:rPr>
        <w:t>Renewables &amp; Storage Segment</w:t>
      </w:r>
      <w:r>
        <w:rPr>
          <w:sz w:val="20"/>
          <w:szCs w:val="20"/>
          <w:color w:val="auto"/>
        </w:rPr>
        <w:tab/>
      </w:r>
      <w:r>
        <w:rPr>
          <w:rFonts w:ascii="Times New Roman" w:cs="Times New Roman" w:eastAsia="Times New Roman" w:hAnsi="Times New Roman"/>
          <w:sz w:val="18"/>
          <w:szCs w:val="18"/>
          <w:color w:val="auto"/>
        </w:rPr>
        <w:t>Increase primarily driven by the Victory Pass and Arica solar and BESS acquisition, which reached commercial operations in March 2024 and April 2024, respectively, and the Rosamond South I solar and BESS acquisition in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377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640"/>
        <w:spacing w:after="0"/>
        <w:rPr>
          <w:sz w:val="20"/>
          <w:szCs w:val="20"/>
          <w:color w:val="auto"/>
        </w:rPr>
      </w:pPr>
      <w:r>
        <w:rPr>
          <w:rFonts w:ascii="Times New Roman" w:cs="Times New Roman" w:eastAsia="Times New Roman" w:hAnsi="Times New Roman"/>
          <w:sz w:val="18"/>
          <w:szCs w:val="18"/>
          <w:color w:val="auto"/>
        </w:rPr>
        <w:t>Increase primarily driven by maintenance activities at various wind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6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Increase driven by the Dan’s Mountain wind acquisition, which reached commercial operations in</w:t>
      </w:r>
    </w:p>
    <w:p>
      <w:pPr>
        <w:ind w:left="2640"/>
        <w:spacing w:after="0"/>
        <w:rPr>
          <w:sz w:val="20"/>
          <w:szCs w:val="20"/>
          <w:color w:val="auto"/>
        </w:rPr>
      </w:pPr>
      <w:r>
        <w:rPr>
          <w:rFonts w:ascii="Times New Roman" w:cs="Times New Roman" w:eastAsia="Times New Roman" w:hAnsi="Times New Roman"/>
          <w:sz w:val="18"/>
          <w:szCs w:val="18"/>
          <w:color w:val="auto"/>
        </w:rPr>
        <w:t>May 2025, and the Tuolumne wind acquisition in April 2025.</w:t>
      </w:r>
    </w:p>
    <w:p>
      <w:pPr>
        <w:spacing w:after="0" w:line="12" w:lineRule="exact"/>
        <w:rPr>
          <w:sz w:val="20"/>
          <w:szCs w:val="20"/>
          <w:color w:val="auto"/>
        </w:rPr>
      </w:pPr>
    </w:p>
    <w:p>
      <w:pPr>
        <w:ind w:left="20"/>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Flexible Generation Segment</w:t>
      </w:r>
      <w:r>
        <w:rPr>
          <w:sz w:val="20"/>
          <w:szCs w:val="20"/>
          <w:color w:val="auto"/>
        </w:rPr>
        <w:tab/>
      </w:r>
      <w:r>
        <w:rPr>
          <w:rFonts w:ascii="Times New Roman" w:cs="Times New Roman" w:eastAsia="Times New Roman" w:hAnsi="Times New Roman"/>
          <w:sz w:val="18"/>
          <w:szCs w:val="18"/>
          <w:color w:val="auto"/>
        </w:rPr>
        <w:t>Increase primarily driven by maintenance activities at various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1186" w:hanging="1186"/>
        <w:spacing w:after="0"/>
        <w:tabs>
          <w:tab w:leader="none" w:pos="118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w:t>
      </w:r>
    </w:p>
    <w:p>
      <w:pPr>
        <w:spacing w:after="0" w:line="50" w:lineRule="exact"/>
        <w:rPr>
          <w:rFonts w:ascii="Times New Roman" w:cs="Times New Roman" w:eastAsia="Times New Roman" w:hAnsi="Times New Roman"/>
          <w:sz w:val="16"/>
          <w:szCs w:val="16"/>
          <w:color w:val="auto"/>
        </w:rPr>
      </w:pPr>
    </w:p>
    <w:p>
      <w:pPr>
        <w:ind w:left="11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w:t>
      </w:r>
    </w:p>
    <w:p>
      <w:pPr>
        <w:spacing w:after="0" w:line="229" w:lineRule="exact"/>
        <w:rPr>
          <w:rFonts w:ascii="Times New Roman" w:cs="Times New Roman" w:eastAsia="Times New Roman" w:hAnsi="Times New Roman"/>
          <w:sz w:val="16"/>
          <w:szCs w:val="16"/>
          <w:color w:val="auto"/>
        </w:rPr>
      </w:pPr>
    </w:p>
    <w:p>
      <w:pPr>
        <w:ind w:left="11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w:t>
      </w:r>
    </w:p>
    <w:p>
      <w:pPr>
        <w:spacing w:after="0" w:line="50" w:lineRule="exact"/>
        <w:rPr>
          <w:rFonts w:ascii="Times New Roman" w:cs="Times New Roman" w:eastAsia="Times New Roman" w:hAnsi="Times New Roman"/>
          <w:sz w:val="16"/>
          <w:szCs w:val="16"/>
          <w:color w:val="auto"/>
        </w:rPr>
      </w:pPr>
    </w:p>
    <w:p>
      <w:pPr>
        <w:ind w:left="11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w:t>
      </w:r>
    </w:p>
    <w:p>
      <w:pPr>
        <w:spacing w:after="0" w:line="54" w:lineRule="exact"/>
        <w:rPr>
          <w:sz w:val="20"/>
          <w:szCs w:val="20"/>
          <w:color w:val="auto"/>
        </w:rPr>
      </w:pPr>
    </w:p>
    <w:p>
      <w:pPr>
        <w:ind w:left="1086" w:hanging="1086"/>
        <w:spacing w:after="0"/>
        <w:tabs>
          <w:tab w:leader="none" w:pos="10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655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87"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 and Redeemable Noncontrolling Interests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the Company had a net loss of $50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4" w:name="page45"/>
    <w:bookmarkEnd w:id="44"/>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the Company had a net loss of $92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8"/>
        </w:trPr>
        <w:tc>
          <w:tcPr>
            <w:tcW w:w="98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 (primarily due to VP-Arica TE</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4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Holdco LLC HLBV losses)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 (primarily due to VP-Arica TE Holdco LLC HLBV losses)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ind w:right="32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Six Months Ended June 30, 2025 and 2024 </w:t>
      </w:r>
      <w:r>
        <w:rPr>
          <w:rFonts w:ascii="Times New Roman" w:cs="Times New Roman" w:eastAsia="Times New Roman" w:hAnsi="Times New Roman"/>
          <w:sz w:val="18"/>
          <w:szCs w:val="18"/>
          <w:b w:val="1"/>
          <w:bCs w:val="1"/>
          <w:i w:val="1"/>
          <w:iCs w:val="1"/>
          <w:color w:val="auto"/>
        </w:rPr>
        <w:t>Operating Revenues</w:t>
      </w:r>
    </w:p>
    <w:p>
      <w:pPr>
        <w:spacing w:after="0" w:line="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increased by $61 million during the six months ended June 30, 2025, compared to the same period in 2024, due to a combination of the drivers summarized in the table below:</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Renewables &amp; Storage Segment</w:t>
            </w:r>
          </w:p>
        </w:tc>
        <w:tc>
          <w:tcPr>
            <w:tcW w:w="7320" w:type="dxa"/>
            <w:vAlign w:val="bottom"/>
            <w:tcBorders>
              <w:top w:val="single" w:sz="8" w:color="CCEEFF"/>
            </w:tcBorders>
            <w:shd w:val="clear" w:color="auto" w:fill="CCEEFF"/>
          </w:tcPr>
          <w:p>
            <w:pPr>
              <w:ind w:left="80"/>
              <w:spacing w:after="0" w:line="162" w:lineRule="exact"/>
              <w:rPr>
                <w:sz w:val="20"/>
                <w:szCs w:val="20"/>
                <w:color w:val="auto"/>
              </w:rPr>
            </w:pPr>
            <w:r>
              <w:rPr>
                <w:rFonts w:ascii="Times New Roman" w:cs="Times New Roman" w:eastAsia="Times New Roman" w:hAnsi="Times New Roman"/>
                <w:sz w:val="18"/>
                <w:szCs w:val="18"/>
                <w:color w:val="auto"/>
              </w:rPr>
              <w:t>Increase driven by the Victory Pass and Arica solar and BESS and Rosamond Central BESS</w:t>
            </w:r>
          </w:p>
        </w:tc>
        <w:tc>
          <w:tcPr>
            <w:tcW w:w="5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84"/>
        </w:trPr>
        <w:tc>
          <w:tcPr>
            <w:tcW w:w="2560" w:type="dxa"/>
            <w:vAlign w:val="bottom"/>
            <w:shd w:val="clear" w:color="auto" w:fill="CCEEFF"/>
          </w:tcPr>
          <w:p>
            <w:pPr>
              <w:spacing w:after="0"/>
              <w:rPr>
                <w:sz w:val="16"/>
                <w:szCs w:val="16"/>
                <w:color w:val="auto"/>
              </w:rPr>
            </w:pPr>
          </w:p>
        </w:tc>
        <w:tc>
          <w:tcPr>
            <w:tcW w:w="73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acquisitions, which reached commercial operations in March 2024, April 2024 and June 2024,</w:t>
            </w: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4"/>
        </w:trPr>
        <w:tc>
          <w:tcPr>
            <w:tcW w:w="2560" w:type="dxa"/>
            <w:vAlign w:val="bottom"/>
            <w:shd w:val="clear" w:color="auto" w:fill="CCEEFF"/>
          </w:tcPr>
          <w:p>
            <w:pPr>
              <w:spacing w:after="0"/>
              <w:rPr>
                <w:sz w:val="20"/>
                <w:szCs w:val="20"/>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76"/>
        </w:trPr>
        <w:tc>
          <w:tcPr>
            <w:tcW w:w="2560" w:type="dxa"/>
            <w:vAlign w:val="bottom"/>
          </w:tcPr>
          <w:p>
            <w:pPr>
              <w:spacing w:after="0"/>
              <w:rPr>
                <w:sz w:val="15"/>
                <w:szCs w:val="15"/>
                <w:color w:val="auto"/>
              </w:rPr>
            </w:pPr>
          </w:p>
        </w:tc>
        <w:tc>
          <w:tcPr>
            <w:tcW w:w="7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driven by the Cedar Creek and Tuolumne wind acquisitions in April 2024 and April 2025,</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2560" w:type="dxa"/>
            <w:vAlign w:val="bottom"/>
          </w:tcPr>
          <w:p>
            <w:pPr>
              <w:spacing w:after="0"/>
              <w:rPr>
                <w:sz w:val="21"/>
                <w:szCs w:val="21"/>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2560" w:type="dxa"/>
            <w:vAlign w:val="bottom"/>
            <w:shd w:val="clear" w:color="auto" w:fill="CCEEFF"/>
          </w:tcPr>
          <w:p>
            <w:pPr>
              <w:spacing w:after="0"/>
              <w:rPr>
                <w:sz w:val="19"/>
                <w:szCs w:val="19"/>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Increase primarily driven by higher solar generation.</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560" w:type="dxa"/>
            <w:vAlign w:val="bottom"/>
          </w:tcPr>
          <w:p>
            <w:pPr>
              <w:spacing w:after="0"/>
              <w:rPr>
                <w:sz w:val="19"/>
                <w:szCs w:val="19"/>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Decrease primarily driven by lower wind resource at certain facilities.</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560" w:type="dxa"/>
            <w:vAlign w:val="bottom"/>
            <w:shd w:val="clear" w:color="auto" w:fill="CCEEFF"/>
          </w:tcPr>
          <w:p>
            <w:pPr>
              <w:spacing w:after="0"/>
              <w:rPr>
                <w:sz w:val="19"/>
                <w:szCs w:val="19"/>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incurred on the buy-down of a portion of the Mt. Storm commodity contract in April 2025.</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Flexible Generation Segment</w:t>
            </w:r>
          </w:p>
        </w:tc>
        <w:tc>
          <w:tcPr>
            <w:tcW w:w="7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Decrease in energy revenue primarily driven by lower generation at the Walnut Creek, Marsh</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2560" w:type="dxa"/>
            <w:vAlign w:val="bottom"/>
          </w:tcPr>
          <w:p>
            <w:pPr>
              <w:spacing w:after="0"/>
              <w:rPr>
                <w:sz w:val="16"/>
                <w:szCs w:val="16"/>
                <w:color w:val="auto"/>
              </w:rPr>
            </w:pPr>
          </w:p>
        </w:tc>
        <w:tc>
          <w:tcPr>
            <w:tcW w:w="73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Landing and El Segundo facilities due to milder weather, which also decreased cost of fuels as</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2560" w:type="dxa"/>
            <w:vAlign w:val="bottom"/>
          </w:tcPr>
          <w:p>
            <w:pPr>
              <w:spacing w:after="0"/>
              <w:rPr>
                <w:sz w:val="20"/>
                <w:szCs w:val="20"/>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noted below.</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3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primarily driven by Cedro Hill, which reached repowering commercial operations in</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2560" w:type="dxa"/>
            <w:vAlign w:val="bottom"/>
            <w:shd w:val="clear" w:color="auto" w:fill="CCEEFF"/>
          </w:tcPr>
          <w:p>
            <w:pPr>
              <w:spacing w:after="0"/>
              <w:rPr>
                <w:sz w:val="21"/>
                <w:szCs w:val="21"/>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2024, resulting in the extension of the amortization period.</w:t>
            </w: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Mark-to-market economic</w:t>
            </w:r>
          </w:p>
        </w:tc>
        <w:tc>
          <w:tcPr>
            <w:tcW w:w="7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primarily driven by decreases in forward power prices in the ERCOT and PJM markets.</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hedging activities</w:t>
            </w:r>
          </w:p>
        </w:tc>
        <w:tc>
          <w:tcPr>
            <w:tcW w:w="7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2560" w:type="dxa"/>
            <w:vAlign w:val="bottom"/>
            <w:shd w:val="clear" w:color="auto" w:fill="CCEEFF"/>
          </w:tcPr>
          <w:p>
            <w:pPr>
              <w:spacing w:after="0"/>
              <w:rPr>
                <w:sz w:val="19"/>
                <w:szCs w:val="19"/>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Decrease in heat rate call option contracts primarily driven by changes in power market prices.</w:t>
            </w: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25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5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Cost of fuels decreased by $16 million during the six months ended June 30, 2025, compared to the same period in 2024, primarily due to lower generation at the Walnut Creek, Marsh Landing and El Segundo facilities due to milder weather, which resulted in less fuel purchases.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Operation and maintenance expense increased by $24 million during the six months ended June 30, 2025, compared to the same period in 2024, due to a combination of the drivers summarized in the table below:</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38" w:orient="portrait"/>
          <w:cols w:equalWidth="0" w:num="1">
            <w:col w:w="11240"/>
          </w:cols>
          <w:pgMar w:left="320" w:top="887" w:right="339" w:bottom="1440" w:gutter="0" w:footer="0" w:header="0"/>
        </w:sectPr>
      </w:pPr>
    </w:p>
    <w:p>
      <w:pPr>
        <w:spacing w:after="0" w:line="28" w:lineRule="exact"/>
        <w:rPr>
          <w:sz w:val="20"/>
          <w:szCs w:val="20"/>
          <w:color w:val="auto"/>
        </w:rPr>
      </w:pPr>
    </w:p>
    <w:p>
      <w:pPr>
        <w:jc w:val="both"/>
        <w:ind w:left="2560" w:hanging="2537"/>
        <w:spacing w:after="0" w:line="226" w:lineRule="auto"/>
        <w:rPr>
          <w:sz w:val="20"/>
          <w:szCs w:val="20"/>
          <w:color w:val="auto"/>
        </w:rPr>
      </w:pPr>
      <w:r>
        <w:rPr>
          <w:rFonts w:ascii="Times New Roman" w:cs="Times New Roman" w:eastAsia="Times New Roman" w:hAnsi="Times New Roman"/>
          <w:sz w:val="18"/>
          <w:szCs w:val="18"/>
          <w:b w:val="1"/>
          <w:bCs w:val="1"/>
          <w:color w:val="auto"/>
        </w:rPr>
        <w:t xml:space="preserve">Renewables &amp; Storage Segment </w:t>
      </w:r>
      <w:r>
        <w:rPr>
          <w:rFonts w:ascii="Times New Roman" w:cs="Times New Roman" w:eastAsia="Times New Roman" w:hAnsi="Times New Roman"/>
          <w:sz w:val="18"/>
          <w:szCs w:val="18"/>
          <w:color w:val="auto"/>
        </w:rPr>
        <w:t>Increase primarily driven by the Victory Pass and Arica solar and BESS acquisition, which reached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operations in March 2024 and April 2024, respectively, and the Rosamond South I solar and BESS and Texas Solar Nova 2 acquisitions in March 2025 and March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18"/>
          <w:szCs w:val="18"/>
          <w:color w:val="auto"/>
        </w:rPr>
        <w:t>Increase primarily driven by maintenance activities at various wind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77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7" w:lineRule="exact"/>
        <w:rPr>
          <w:sz w:val="20"/>
          <w:szCs w:val="20"/>
          <w:color w:val="auto"/>
        </w:rPr>
      </w:pPr>
    </w:p>
    <w:p>
      <w:pPr>
        <w:jc w:val="both"/>
        <w:ind w:left="2560" w:right="20"/>
        <w:spacing w:after="0" w:line="224" w:lineRule="auto"/>
        <w:rPr>
          <w:sz w:val="20"/>
          <w:szCs w:val="20"/>
          <w:color w:val="auto"/>
        </w:rPr>
      </w:pPr>
      <w:r>
        <w:rPr>
          <w:rFonts w:ascii="Times New Roman" w:cs="Times New Roman" w:eastAsia="Times New Roman" w:hAnsi="Times New Roman"/>
          <w:sz w:val="18"/>
          <w:szCs w:val="18"/>
          <w:color w:val="auto"/>
        </w:rPr>
        <w:t>Increase driven by the Cedar Creek and Dan’s Mountain wind acquisitions, which reached commercial operations in April 2024 and May 2025, respectively, and the Tuolumne wind acquisition in April 2025.</w:t>
      </w:r>
    </w:p>
    <w:p>
      <w:pPr>
        <w:spacing w:after="0" w:line="6" w:lineRule="exact"/>
        <w:rPr>
          <w:sz w:val="20"/>
          <w:szCs w:val="20"/>
          <w:color w:val="auto"/>
        </w:rPr>
      </w:pPr>
    </w:p>
    <w:p>
      <w:pPr>
        <w:ind w:left="20"/>
        <w:spacing w:after="0"/>
        <w:tabs>
          <w:tab w:leader="none" w:pos="2540" w:val="left"/>
        </w:tabs>
        <w:rPr>
          <w:sz w:val="20"/>
          <w:szCs w:val="20"/>
          <w:color w:val="auto"/>
        </w:rPr>
      </w:pPr>
      <w:r>
        <w:rPr>
          <w:rFonts w:ascii="Times New Roman" w:cs="Times New Roman" w:eastAsia="Times New Roman" w:hAnsi="Times New Roman"/>
          <w:sz w:val="18"/>
          <w:szCs w:val="18"/>
          <w:b w:val="1"/>
          <w:bCs w:val="1"/>
          <w:color w:val="auto"/>
        </w:rPr>
        <w:t>Flexible Generation Segment</w:t>
      </w:r>
      <w:r>
        <w:rPr>
          <w:sz w:val="20"/>
          <w:szCs w:val="20"/>
          <w:color w:val="auto"/>
        </w:rPr>
        <w:tab/>
      </w:r>
      <w:r>
        <w:rPr>
          <w:rFonts w:ascii="Times New Roman" w:cs="Times New Roman" w:eastAsia="Times New Roman" w:hAnsi="Times New Roman"/>
          <w:sz w:val="18"/>
          <w:szCs w:val="18"/>
          <w:color w:val="auto"/>
        </w:rPr>
        <w:t>Increase primarily driven by maintenance activities at various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1086" w:hanging="1086"/>
        <w:spacing w:after="0"/>
        <w:tabs>
          <w:tab w:leader="none" w:pos="10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7" w:lineRule="exact"/>
        <w:rPr>
          <w:rFonts w:ascii="Times New Roman" w:cs="Times New Roman" w:eastAsia="Times New Roman" w:hAnsi="Times New Roman"/>
          <w:sz w:val="18"/>
          <w:szCs w:val="18"/>
          <w:color w:val="auto"/>
        </w:rPr>
      </w:pPr>
    </w:p>
    <w:p>
      <w:pPr>
        <w:ind w:left="11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6</w:t>
      </w:r>
    </w:p>
    <w:p>
      <w:pPr>
        <w:spacing w:after="0" w:line="200" w:lineRule="exact"/>
        <w:rPr>
          <w:sz w:val="20"/>
          <w:szCs w:val="20"/>
          <w:color w:val="auto"/>
        </w:rPr>
      </w:pPr>
    </w:p>
    <w:p>
      <w:pPr>
        <w:spacing w:after="0" w:line="20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w:t>
      </w:r>
    </w:p>
    <w:p>
      <w:pPr>
        <w:spacing w:after="0" w:line="31" w:lineRule="exact"/>
        <w:rPr>
          <w:sz w:val="20"/>
          <w:szCs w:val="20"/>
          <w:color w:val="auto"/>
        </w:rPr>
      </w:pPr>
    </w:p>
    <w:p>
      <w:pPr>
        <w:ind w:left="1086" w:hanging="1086"/>
        <w:spacing w:after="0"/>
        <w:tabs>
          <w:tab w:leader="none" w:pos="10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655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87"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by $54 million during the six months ended June 30, 2025, compared to the same period in 2024, primarily due to the change in fair value of interest rate swaps due 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 and Redeemable Noncontrolling Interests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Company had a net loss of $161 million attributable to noncontrolling interests and redeemable noncontrolling interests comprised of the following:</w:t>
      </w:r>
    </w:p>
    <w:p>
      <w:pPr>
        <w:spacing w:after="0" w:line="43"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0" w:lineRule="exact"/>
        <w:rPr>
          <w:sz w:val="20"/>
          <w:szCs w:val="20"/>
          <w:color w:val="auto"/>
        </w:rPr>
      </w:pPr>
    </w:p>
    <w:p>
      <w:pPr>
        <w:ind w:left="20" w:right="1300"/>
        <w:spacing w:after="0" w:line="222" w:lineRule="auto"/>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 (primarily due to Cedro Hill TE Holdco, Daggett TE Holdco LLC, Daggett 2 TE Holdco LLC, Rosie TE HoldCo LLC, TSN1 TE Holdco LLC and VP-Arica 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771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HLBV losses)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4"/>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9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 and Redeemable Noncontrolling Interests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the Company had a net loss of $125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159"/>
        </w:trPr>
        <w:tc>
          <w:tcPr>
            <w:tcW w:w="99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 (primarily due to VP-Arica TE Holdco</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LLC, Daggett TE Holdco LLC and Daggett 2 TE Holdco LLC HLBV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76"/>
        </w:trPr>
        <w:tc>
          <w:tcPr>
            <w:tcW w:w="9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attributable to third-party partnerships (primarily due to VP-Arica TE Holdco LLC, Daggett TE Holdco LLC and Daggett 2 TE</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Holdco LLC HLBV losses)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9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99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9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principal liquidity requirements are to meet its financial commitments, finance current operations, fund capital expenditures, including investments and acquisitions from time to time, service debt and pay distributions. </w:t>
      </w:r>
      <w:r>
        <w:rPr>
          <w:rFonts w:ascii="Times New Roman" w:cs="Times New Roman" w:eastAsia="Times New Roman" w:hAnsi="Times New Roman"/>
          <w:sz w:val="18"/>
          <w:szCs w:val="18"/>
          <w:color w:val="000000"/>
        </w:rPr>
        <w:t>As a normal part of the Company’s business, depending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market conditions, the Company will from time to time consider opportunities to repay, redeem, 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the Company’s liquidity was approximately </w:t>
      </w:r>
      <w:r>
        <w:rPr>
          <w:rFonts w:ascii="Times New Roman" w:cs="Times New Roman" w:eastAsia="Times New Roman" w:hAnsi="Times New Roman"/>
          <w:sz w:val="18"/>
          <w:szCs w:val="18"/>
          <w:color w:val="000000"/>
        </w:rPr>
        <w:t>$1,298 million</w:t>
      </w:r>
      <w:r>
        <w:rPr>
          <w:rFonts w:ascii="Times New Roman" w:cs="Times New Roman" w:eastAsia="Times New Roman" w:hAnsi="Times New Roman"/>
          <w:sz w:val="18"/>
          <w:szCs w:val="18"/>
          <w:color w:val="231F20"/>
        </w:rPr>
        <w:t xml:space="preserve"> and $1,330 million, respectively, comprised of cash, restricted cash and availability under the Company’s revolving credit facility.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3"/>
                <w:szCs w:val="13"/>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Clearway Energy LLC, excluding subsidiaries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accounts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Company’s liquidity includes $526 million and $401 million of restricted cash balances as of June 30, 2025 and December 31,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8"/>
          <w:szCs w:val="18"/>
          <w:color w:val="000000"/>
        </w:rPr>
        <w:t>June 30, 2025, these restricted funds were comprised of $112 million designated to fund operating expenses, approximately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$176 million designated for current debt service payments and $83 million restricted for reserves including debt service, performance obligations and other reserves, as well as capital expenditures. The remaining $155 million is held in distribution reserve accounts.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and Clearway Energy Operating LLC Revolving Credit Facility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2025, the Company had $112 million in outstanding borrowings under the revolving credit facility and $76 million in letters of credit outstanding. On July 10, 2025, the Company borrowed an additional $123 million under the revolving credit facility, primarily to support the acquisition of Catalina on July 16, 2025, as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facility will continue to be used for general corporate purposes including financing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future investments or acquisitions and posting letters of credit.</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June 30, 2025, the Company’s 2028 Senior Notes, 2031 Senior Notes and 2032 Senior Notes were rated BB by S&amp;P and Ba2 by Moody’s.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to this Form 10-Q and Item 15 — Note 10,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to the consolidated financial statements included in the Company’s </w:t>
      </w:r>
      <w:r>
        <w:rPr>
          <w:rFonts w:ascii="Times New Roman" w:cs="Times New Roman" w:eastAsia="Times New Roman" w:hAnsi="Times New Roman"/>
          <w:sz w:val="18"/>
          <w:szCs w:val="18"/>
          <w:color w:val="000000"/>
        </w:rPr>
        <w:t>2024 Form 10-K</w:t>
      </w:r>
      <w:r>
        <w:rPr>
          <w:rFonts w:ascii="Times New Roman" w:cs="Times New Roman" w:eastAsia="Times New Roman" w:hAnsi="Times New Roman"/>
          <w:sz w:val="18"/>
          <w:szCs w:val="18"/>
          <w:color w:val="231F20"/>
        </w:rPr>
        <w:t xml:space="preserve">, the Company’s financing arrangements consist of </w:t>
      </w:r>
      <w:r>
        <w:rPr>
          <w:rFonts w:ascii="Times New Roman" w:cs="Times New Roman" w:eastAsia="Times New Roman" w:hAnsi="Times New Roman"/>
          <w:sz w:val="18"/>
          <w:szCs w:val="18"/>
          <w:color w:val="000000"/>
        </w:rPr>
        <w:t>corporate level debt, which includes Senior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Notes, intercompany borrowings with Clearway, Inc. and the revolving credit facility; the ATM Program; and facility-level financings for its various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(ii) capital expenditures; (iii) off-balance sheet arrangements; (iv) acquisitions and investments, as described more fully in </w:t>
      </w:r>
      <w:r>
        <w:rPr>
          <w:rFonts w:ascii="Times New Roman" w:cs="Times New Roman" w:eastAsia="Times New Roman" w:hAnsi="Times New Roman"/>
          <w:sz w:val="18"/>
          <w:szCs w:val="18"/>
          <w:color w:val="000000"/>
        </w:rPr>
        <w:t>Note 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Acquisitions</w:t>
      </w:r>
      <w:r>
        <w:rPr>
          <w:rFonts w:ascii="Times New Roman" w:cs="Times New Roman" w:eastAsia="Times New Roman" w:hAnsi="Times New Roman"/>
          <w:sz w:val="18"/>
          <w:szCs w:val="18"/>
          <w:color w:val="231F20"/>
        </w:rPr>
        <w:t>; and (v) distributions.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 xml:space="preserve">For the six months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the Company used approximately $132 million to fund capital expenditures, including growth </w:t>
      </w:r>
      <w:r>
        <w:rPr>
          <w:rFonts w:ascii="Times New Roman" w:cs="Times New Roman" w:eastAsia="Times New Roman" w:hAnsi="Times New Roman"/>
          <w:sz w:val="18"/>
          <w:szCs w:val="18"/>
          <w:color w:val="000000"/>
        </w:rPr>
        <w:t>expenditures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of $123 million, primarily in the Renewables &amp; Storage segment, funded through construction-related financing. Growth capital expenditures included $32 million incurred in connection with the Rosamond South I solar and BESS facility, $29 million incurred in connection with the Dan’s Mountain wind facility, $17 million incurred in connection with the repowering of the Cedro Hill wind facility, $14 million incurred in connection with the Luna Valley solar facility, $10 million incurred in connection with the Victory Pass and Arica solar and BESS facilities, $9 million incurred in connection with the Pine Forest solar and BESS facility, $7 million incurred in connection with the Daggett 1 BESS facility and $5 million incurred by other facilities. </w:t>
      </w:r>
      <w:r>
        <w:rPr>
          <w:rFonts w:ascii="Times New Roman" w:cs="Times New Roman" w:eastAsia="Times New Roman" w:hAnsi="Times New Roman"/>
          <w:sz w:val="18"/>
          <w:szCs w:val="18"/>
          <w:color w:val="231F20"/>
        </w:rPr>
        <w:t>In addition,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the Company incurred </w:t>
      </w:r>
      <w:r>
        <w:rPr>
          <w:rFonts w:ascii="Times New Roman" w:cs="Times New Roman" w:eastAsia="Times New Roman" w:hAnsi="Times New Roman"/>
          <w:sz w:val="18"/>
          <w:szCs w:val="18"/>
          <w:color w:val="000000"/>
        </w:rPr>
        <w:t>$9 million of maintenance capital expenditures, which is net of credits received from equipment manufacturers.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June 30, 2025, the Company has several investments with an ownership interest percentage of 50%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GenConn is a VIE for which the Company is not the primary beneficiary. The Company’s pro-rata share of non-recourse debt held by unconsolidated affiliates was approximately $273 million as of June 30, 2025. This indebtedness may restrict the ability of these subsidiaries to issue dividends or distributions to the Company.</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 w:cs="Times New Roman" w:eastAsia="Times New Roman" w:hAnsi="Times New Roman"/>
          <w:sz w:val="18"/>
          <w:szCs w:val="18"/>
          <w:color w:val="231F20"/>
        </w:rPr>
        <w:t>2024</w:t>
      </w:r>
      <w:r>
        <w:rPr>
          <w:rFonts w:ascii="Times New Roman" w:cs="Times New Roman" w:eastAsia="Times New Roman" w:hAnsi="Times New Roman"/>
          <w:sz w:val="18"/>
          <w:szCs w:val="18"/>
          <w:color w:val="auto"/>
        </w:rPr>
        <w:t xml:space="preserve"> Form 10-K.</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Investments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212529"/>
        </w:rPr>
        <w:t xml:space="preserve">Catalina Solar Acquisition </w:t>
      </w:r>
      <w:r>
        <w:rPr>
          <w:rFonts w:ascii="Times New Roman" w:cs="Times New Roman" w:eastAsia="Times New Roman" w:hAnsi="Times New Roman"/>
          <w:sz w:val="18"/>
          <w:szCs w:val="18"/>
          <w:color w:val="000000"/>
        </w:rPr>
        <w:t>— On July 16, 2025, the Company, through its indirect subsidiary, Catalina Solar Investment LLC, acquired Catalina</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000000"/>
        </w:rPr>
        <w:t>Solar Lessee Holdco LLC, which leases and operates the Catalina solar facility, from a third-party for approximately $127 million. Catalina reached commercial operations in 2013 and has a PPA with an investment-grade utility through 2038. The acquisition was funded with existing sources of liquidity. The Company estimates that its net capital investment in Catalina will be $125 million after factoring in cash acquired and estimated transaction expenses.</w:t>
      </w:r>
    </w:p>
    <w:p>
      <w:pPr>
        <w:spacing w:after="0" w:line="1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Pine Forest Drop Down </w:t>
      </w:r>
      <w:r>
        <w:rPr>
          <w:rFonts w:ascii="Times New Roman" w:cs="Times New Roman" w:eastAsia="Times New Roman" w:hAnsi="Times New Roman"/>
          <w:sz w:val="18"/>
          <w:szCs w:val="18"/>
          <w:color w:val="auto"/>
        </w:rPr>
        <w:t>— On June 10, 2025, the Company, through its indirect subsidiary, Pine Forest CE Class A Owner LLC, acquired the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membership interests in Pine Forest TargetCo, a partnership and the indirect owner of the Pine Forest solar and BESS facility, from Clearway Renew for initial cash consideration of $18 million. At substantial completion, which is expected to occur in the second half of 2025, the Company estimates it will pay an additional $72 million to Clearway Renew for its Class A membership interests in Pine Forest TargetCo. The Company estimates that its total capital investment in Pine Forest TargetCo will be $90 million, excluding the impact of any closing adjustments noted in the purchase agreement. Pine Forest has PPAs for the solar facility with investment-grade counterparties and a 20-year weighted average contract duration that will commence when the underlying operating assets reach commercial operations, which is expected to occur in the second half of 2025. The acquisition was funded with existing sources of liquidity. As part of the acquisition of Pine Forest, the Company assumed the facility’s financing agreement, which included a construction loan that converts to a term loan when the facility reaches substantial completion, a cash equity bridge loan, a tax equity bridge loan and a tax credit transfer bridge loan, all of which will be completely paid off when the facility reaches substantial completion. Subsequent to the acquisition, the Company borrowed an additional $14 million in cash equity bridge loans through June 30, 2025.</w:t>
      </w:r>
    </w:p>
    <w:p>
      <w:pPr>
        <w:spacing w:after="0" w:line="13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Dan’s Mountain Drop Down </w:t>
      </w:r>
      <w:r>
        <w:rPr>
          <w:rFonts w:ascii="Times New Roman" w:cs="Times New Roman" w:eastAsia="Times New Roman" w:hAnsi="Times New Roman"/>
          <w:sz w:val="18"/>
          <w:szCs w:val="18"/>
          <w:color w:val="auto"/>
        </w:rPr>
        <w:t>— On May 21, 2025, when the Dan’s Mountain wind facility reached substantial completion, the Company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million to Clearway Renew as additional purchase price in connection with the Company’s acquisition of the Class A membership interests in Dan’s Mountain TargetCo on November 18, 2024, which was funded with existing sources of liquidity.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cash equity and tax equity investors, along with the Company’s entire additional purchase price, which was contributed back to the Company by CEG, and the $18 million previously held in escrow, to repay the tax equity bridge loan, to repay the cash equity bridge loan and to pay associated fees with the remaining proceeds distributed to CEG. Prior to substantial completion being reached, the Company borrowed an additional $18 million in construction loans during 2025. The Company’s total capital investment in Dan’s Mountain was $43 million.</w:t>
      </w:r>
    </w:p>
    <w:p>
      <w:pPr>
        <w:spacing w:after="0" w:line="13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Tuolumne Wind Acquisition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29, 2025, the Company, through its indirect subsidiary, Washington Wind LLC, acquired the Tuolumne 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from an investment-grade regulated entity for approximately $210 million, which excludes $1 million in transaction expenses incurred in connection with the acquisition during the six months ended June 30, 2025. Tuolumne reached commercial operations in 2009. In connection with the acquisition, the Company entered into a 15-year PPA with an investment-grade regulated entity that commenced in April 2025.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acquisition was funded with the borrowings under the new financing agreement, as well as existing sources of liquidity. The Company’s net capital investment in Tuolumne was $59 million.</w:t>
      </w:r>
    </w:p>
    <w:p>
      <w:pPr>
        <w:spacing w:after="0" w:line="13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Luna Valley Drop Down </w:t>
      </w:r>
      <w:r>
        <w:rPr>
          <w:rFonts w:ascii="Times New Roman" w:cs="Times New Roman" w:eastAsia="Times New Roman" w:hAnsi="Times New Roman"/>
          <w:sz w:val="18"/>
          <w:szCs w:val="18"/>
          <w:color w:val="auto"/>
        </w:rPr>
        <w:t>— On April 29, 2025, the Company, through its indirect subsidiary, LV-Daggett Parent Holdco LLC, acquired Luna Valley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the indirect owner of the Luna Valley solar facility, from Clearway Renew for initial cash consideration of $18 million. At substantial completion, which is expected to occur in the second half of 2025, the Company estimates it will pay an additional $72 million to Clearway Renew. The Company estimates that its total capital investment in Luna Valley Class B will be $90 million, excluding the impact of any closing adjustments noted in the purchase agreement. Luna Valley has PPAs with investment-grade counterparties that have a 17-year weighted average contract duration that commence when the underlying operating assets reach commercial operations, which is expected to occur in the second half of 2025. The acquisition was funded with existing sources of liquidity. As part of the acquisition of Luna Valley, the Company assumed the facility’s financing agreement, which included a construction loan that converts to a term loan when the facility reaches substantial completion, a cash equity bridge loan that was partially paid off at acquisition date and a tax equity bridge loan, both of which will be repaid when the facility reaches substantial completion. Subsequent to the acquisition, the Company borrowed an additional $17 million in construction loans through June 30, 2025.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0" w:name="page51"/>
    <w:bookmarkEnd w:id="50"/>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Daggett 1 Drop Down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29, 2025, the Company, through its indirect subsidiary, LV-Daggett Parent Holdco LLC, acquired Daggett 1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indirect owner of the Daggett 1 BESS facility, from Clearway Renew for initial cash consideration of $11 million. At substantial completion, which is expected to occur in the second half of 2025, the Company estimates it will pay an additional $42 million to Clearway Renew. The Company estimates that its total capital investment in Daggett 1 Class B will be $53 million, excluding the impact of any closing adjustments noted in the purchase agreement. Daggett 1 has a PPA for capacity with an investment-grade counterparty for a contract duration of 15 years that commences when the facility reaches commercial operations, which is expected to occur in the second half of 2025. The acquisition was funded with existing sources of liquidity. As part of the acquisition of Daggett 1, the Company assumed the facility’s financing agreement, which included a construction loan that converts to a term loan when the facility reaches substantial completion and a tax equity bridge loan that will be repaid when the facility reaches substantial completion. Subsequent to the acquisition, the Company borrowed an additional $7 million in construction loans through June 30, 2025.</w:t>
      </w:r>
    </w:p>
    <w:p>
      <w:pPr>
        <w:spacing w:after="0" w:line="13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Rosamond South I Drop Down </w:t>
      </w:r>
      <w:r>
        <w:rPr>
          <w:rFonts w:ascii="Times New Roman" w:cs="Times New Roman" w:eastAsia="Times New Roman" w:hAnsi="Times New Roman"/>
          <w:sz w:val="18"/>
          <w:szCs w:val="18"/>
          <w:color w:val="auto"/>
        </w:rPr>
        <w:t>— On March 20, 2025, the Company, through its indirect subsidiary, Rosamond South Investment LLC, acquired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membership interests in Rosie South TargetCo, a partnership and the indirect owner of the Rosamond South I solar and BESS facility, from Clearway Renew for initial cash consideration of $4 million. At substantial completion, which is expected to occur in the second half of 2025, the Company estimates it will pay an additional $17 million to Clearway Renew. The Company estimates that its total capital investment in Rosie South TargetCo will be $21 million, excluding the impact of any closing adjustments noted in the purchase agreement. Rosamond South I has PPAs with investment-grade counterparties that have a 15-year weighted average contract duration that commence when the underlying operating assets reach commercial operations, which is expected to occur in the second half of 2025. The acquisition was funded with existing sources of liquidity. As part of the acquisition of Rosamond South I, the Company assumed the facility’s financing agreement, which included a construction loan that converts to a term loan when the facility reaches substantial completion, a cash equity bridge loan that was paid off at acquisition date and a tax equity bridge loan that will be repaid when the facility reaches substantial completion. Subsequent to the acquisition, the Company borrowed an additional $35 million in construction loans through June 30, 2025.</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 to Clearway, Inc. and CEG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Company’s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distributions paid on the Company’s Class A, B, C and D units during the six months ended June 30, 2025:</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 2025</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A, B, C and D unit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August 4, 2025, the Company declared a distribution on its Class A, Class B, Class C and Class D units of $0.4456 per unit payable on September 16, 2025 to unit holders of record as of September 2,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reflect the changes in cash flows for the comparative periods: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9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(398)</w:t>
            </w:r>
          </w:p>
        </w:tc>
        <w:tc>
          <w:tcPr>
            <w:tcW w:w="220" w:type="dxa"/>
            <w:vAlign w:val="bottom"/>
          </w:tcPr>
          <w:p>
            <w:pPr>
              <w:spacing w:after="0"/>
              <w:rPr>
                <w:sz w:val="19"/>
                <w:szCs w:val="19"/>
                <w:color w:val="auto"/>
              </w:rPr>
            </w:pPr>
          </w:p>
        </w:tc>
        <w:tc>
          <w:tcPr>
            <w:tcW w:w="1180" w:type="dxa"/>
            <w:vAlign w:val="bottom"/>
          </w:tcPr>
          <w:p>
            <w:pPr>
              <w:jc w:val="center"/>
              <w:ind w:left="637"/>
              <w:spacing w:after="0"/>
              <w:rPr>
                <w:sz w:val="20"/>
                <w:szCs w:val="20"/>
                <w:color w:val="auto"/>
              </w:rPr>
            </w:pPr>
            <w:r>
              <w:rPr>
                <w:rFonts w:ascii="Times New Roman" w:cs="Times New Roman" w:eastAsia="Times New Roman" w:hAnsi="Times New Roman"/>
                <w:sz w:val="18"/>
                <w:szCs w:val="18"/>
                <w:color w:val="auto"/>
                <w:w w:val="97"/>
              </w:rPr>
              <w:t>(647)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7"/>
              </w:rPr>
              <w:t>(113)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ectPr>
          <w:pgSz w:w="11900" w:h="16838" w:orient="portrait"/>
          <w:cols w:equalWidth="0" w:num="1">
            <w:col w:w="11240"/>
          </w:cols>
          <w:pgMar w:left="320" w:top="887"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265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7" w:lineRule="exact"/>
        <w:rPr>
          <w:sz w:val="20"/>
          <w:szCs w:val="20"/>
          <w:color w:val="auto"/>
        </w:rPr>
      </w:pPr>
    </w:p>
    <w:p>
      <w:pPr>
        <w:ind w:left="140"/>
        <w:spacing w:after="0" w:line="234" w:lineRule="auto"/>
        <w:rPr>
          <w:sz w:val="20"/>
          <w:szCs w:val="20"/>
          <w:color w:val="auto"/>
        </w:rPr>
      </w:pPr>
      <w:r>
        <w:rPr>
          <w:rFonts w:ascii="Times New Roman" w:cs="Times New Roman" w:eastAsia="Times New Roman" w:hAnsi="Times New Roman"/>
          <w:sz w:val="18"/>
          <w:szCs w:val="18"/>
          <w:color w:val="auto"/>
        </w:rPr>
        <w:t>Increase from changes in working capital primarily driven by the timing of accounts receivable collections and payments of accounts payable</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Partial buy-down of the Mt. Storm commodity contract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operating income after adjusting for non-cash items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cash paid for Drop Down Assets, net of cash acquired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paid for acquisitions related to the Tuolumne wind acquisition in 2025</w:t>
      </w:r>
    </w:p>
    <w:p>
      <w:pPr>
        <w:spacing w:after="0" w:line="23" w:lineRule="exact"/>
        <w:rPr>
          <w:sz w:val="20"/>
          <w:szCs w:val="20"/>
          <w:color w:val="auto"/>
        </w:rPr>
      </w:pPr>
    </w:p>
    <w:p>
      <w:pPr>
        <w:ind w:left="140" w:right="1360"/>
        <w:spacing w:after="0" w:line="292" w:lineRule="auto"/>
        <w:rPr>
          <w:sz w:val="20"/>
          <w:szCs w:val="20"/>
          <w:color w:val="auto"/>
        </w:rPr>
      </w:pPr>
      <w:r>
        <w:rPr>
          <w:rFonts w:ascii="Times New Roman" w:cs="Times New Roman" w:eastAsia="Times New Roman" w:hAnsi="Times New Roman"/>
          <w:sz w:val="18"/>
          <w:szCs w:val="18"/>
          <w:color w:val="auto"/>
        </w:rPr>
        <w:t>Repayment of note receivable – affiliate in 2024 related to the Rosie Class B LLC loan issued to Clearway Renew Decrease in the return of investment from unconsolidated affiliates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0628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0628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net cash provided by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right="2480"/>
        <w:spacing w:after="0" w:line="268" w:lineRule="auto"/>
        <w:rPr>
          <w:sz w:val="20"/>
          <w:szCs w:val="20"/>
          <w:color w:val="auto"/>
        </w:rPr>
      </w:pPr>
      <w:r>
        <w:rPr>
          <w:rFonts w:ascii="Times New Roman" w:cs="Times New Roman" w:eastAsia="Times New Roman" w:hAnsi="Times New Roman"/>
          <w:sz w:val="18"/>
          <w:szCs w:val="18"/>
          <w:color w:val="auto"/>
        </w:rPr>
        <w:t>Decrease in payments for long-term debt and increase in proceeds from issuance of long-term debt Proceeds from the revolving credit facility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6285"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Decrease in contributions from noncontrolling interests, Clearway, Inc. and CEG, net of distributions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Pro-rata distributions to Clearway, Inc. and CEG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distributions paid to unit holders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9" w:lineRule="exact"/>
        <w:rPr>
          <w:sz w:val="20"/>
          <w:szCs w:val="20"/>
          <w:color w:val="auto"/>
        </w:rPr>
      </w:pPr>
    </w:p>
    <w:p>
      <w:pPr>
        <w:ind w:left="1000" w:hanging="99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2"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31" w:lineRule="exact"/>
        <w:rPr>
          <w:sz w:val="20"/>
          <w:szCs w:val="20"/>
          <w:color w:val="auto"/>
        </w:rPr>
      </w:pPr>
    </w:p>
    <w:p>
      <w:pPr>
        <w:ind w:left="1100" w:hanging="1092"/>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8058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920" w:hanging="912"/>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(184)</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w:t>
      </w:r>
    </w:p>
    <w:p>
      <w:pPr>
        <w:spacing w:after="0" w:line="31" w:lineRule="exact"/>
        <w:rPr>
          <w:sz w:val="20"/>
          <w:szCs w:val="20"/>
          <w:color w:val="auto"/>
        </w:rPr>
      </w:pPr>
    </w:p>
    <w:p>
      <w:pPr>
        <w:ind w:left="920" w:hanging="912"/>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8058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780" w:hanging="772"/>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1,210</w:t>
      </w:r>
    </w:p>
    <w:p>
      <w:pPr>
        <w:spacing w:after="0" w:line="2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(1,011)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058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1" w:lineRule="exact"/>
        <w:rPr>
          <w:sz w:val="20"/>
          <w:szCs w:val="20"/>
          <w:color w:val="auto"/>
        </w:rPr>
      </w:pPr>
    </w:p>
    <w:p>
      <w:pPr>
        <w:ind w:left="920" w:hanging="912"/>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8058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8058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20" w:space="220"/>
            <w:col w:w="1300"/>
          </w:cols>
          <w:pgMar w:left="320" w:top="887"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Activity (Losses) Gains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December 31, 2024</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w w:val="97"/>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June 30, 2025</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June 30, 2025</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Hierarchy (Losses) Gains</w:t>
            </w:r>
          </w:p>
        </w:tc>
        <w:tc>
          <w:tcPr>
            <w:tcW w:w="14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20" w:type="dxa"/>
            <w:vAlign w:val="bottom"/>
          </w:tcPr>
          <w:p>
            <w:pPr>
              <w:spacing w:after="0"/>
              <w:rPr>
                <w:sz w:val="13"/>
                <w:szCs w:val="13"/>
                <w:color w:val="auto"/>
              </w:rPr>
            </w:pPr>
          </w:p>
        </w:tc>
        <w:tc>
          <w:tcPr>
            <w:tcW w:w="112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40" w:type="dxa"/>
            <w:vAlign w:val="bottom"/>
          </w:tcPr>
          <w:p>
            <w:pPr>
              <w:spacing w:after="0"/>
              <w:rPr>
                <w:sz w:val="13"/>
                <w:szCs w:val="13"/>
                <w:color w:val="auto"/>
              </w:rPr>
            </w:pPr>
          </w:p>
        </w:tc>
        <w:tc>
          <w:tcPr>
            <w:tcW w:w="11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3"/>
                <w:szCs w:val="13"/>
                <w:color w:val="auto"/>
              </w:rPr>
            </w:pPr>
          </w:p>
        </w:tc>
        <w:tc>
          <w:tcPr>
            <w:tcW w:w="1240" w:type="dxa"/>
            <w:vAlign w:val="bottom"/>
            <w:gridSpan w:val="3"/>
          </w:tcPr>
          <w:p>
            <w:pPr>
              <w:jc w:val="right"/>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80" w:type="dxa"/>
            <w:vAlign w:val="bottom"/>
          </w:tcPr>
          <w:p>
            <w:pPr>
              <w:spacing w:after="0"/>
              <w:rPr>
                <w:sz w:val="13"/>
                <w:szCs w:val="13"/>
                <w:color w:val="auto"/>
              </w:rPr>
            </w:pPr>
          </w:p>
        </w:tc>
        <w:tc>
          <w:tcPr>
            <w:tcW w:w="98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1 Year to 3 Years</w:t>
            </w:r>
          </w:p>
        </w:tc>
        <w:tc>
          <w:tcPr>
            <w:tcW w:w="12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3 Years to 5 Years</w:t>
            </w:r>
          </w:p>
        </w:tc>
        <w:tc>
          <w:tcPr>
            <w:tcW w:w="160" w:type="dxa"/>
            <w:vAlign w:val="bottom"/>
          </w:tcPr>
          <w:p>
            <w:pPr>
              <w:spacing w:after="0"/>
              <w:rPr>
                <w:sz w:val="12"/>
                <w:szCs w:val="12"/>
                <w:color w:val="auto"/>
              </w:rPr>
            </w:pPr>
          </w:p>
        </w:tc>
        <w:tc>
          <w:tcPr>
            <w:tcW w:w="1240" w:type="dxa"/>
            <w:vAlign w:val="bottom"/>
            <w:gridSpan w:val="3"/>
          </w:tcPr>
          <w:p>
            <w:pPr>
              <w:jc w:val="right"/>
              <w:ind w:right="540"/>
              <w:spacing w:after="0" w:line="127" w:lineRule="exact"/>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2"/>
                <w:szCs w:val="12"/>
                <w:color w:val="auto"/>
              </w:rPr>
            </w:pPr>
          </w:p>
        </w:tc>
        <w:tc>
          <w:tcPr>
            <w:tcW w:w="98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9"/>
              </w:rPr>
              <w:t>19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9"/>
              </w:rPr>
              <w:t>64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6"/>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w w:val="99"/>
              </w:rPr>
              <w:t>(56)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8"/>
                <w:szCs w:val="18"/>
                <w:color w:val="auto"/>
                <w:w w:val="99"/>
              </w:rPr>
              <w:t>(93)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(37)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9"/>
              </w:rPr>
              <w:t>(29)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Company has elected to disclose derivative assets and liabilities on a trade-by-trade basis and does not offset amounts at the counterparty master agreement level.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accounting utilizing HLBV and determining the fair value of financial instruments.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8"/>
          <w:szCs w:val="18"/>
          <w:color w:val="000000"/>
        </w:rPr>
        <w:t>The following disclosures about market risk provide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update to, and should be read in conjunction with, Item 7A — </w:t>
      </w:r>
      <w:r>
        <w:rPr>
          <w:rFonts w:ascii="Times New Roman" w:cs="Times New Roman" w:eastAsia="Times New Roman" w:hAnsi="Times New Roman"/>
          <w:sz w:val="18"/>
          <w:szCs w:val="18"/>
          <w:i w:val="1"/>
          <w:iCs w:val="1"/>
          <w:color w:val="000000"/>
        </w:rPr>
        <w:t>Quantitative and Qualitative Disclosures About Market Risk,</w:t>
      </w:r>
      <w:r>
        <w:rPr>
          <w:rFonts w:ascii="Times New Roman" w:cs="Times New Roman" w:eastAsia="Times New Roman" w:hAnsi="Times New Roman"/>
          <w:sz w:val="18"/>
          <w:szCs w:val="18"/>
          <w:color w:val="000000"/>
        </w:rPr>
        <w:t xml:space="preserve"> of the Company’s 2024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Based on a sensitivity analysis using simplified assumptions, the impact of a $0.50 per MWh increase or decrease in power prices across the term of the long-term power commodity contracts would cause a change of approximately $4 million to the net value of the related derivatives as of June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 Instruments and Hedging Activities</w:t>
      </w:r>
      <w:r>
        <w:rPr>
          <w:rFonts w:ascii="Times New Roman" w:cs="Times New Roman" w:eastAsia="Times New Roman" w:hAnsi="Times New Roman"/>
          <w:sz w:val="18"/>
          <w:szCs w:val="18"/>
          <w:color w:val="231F20"/>
        </w:rPr>
        <w:t>, for more information.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and most of its subsidiaries, enter into interest rate swaps intended to hedge the risks associated with interest rates on non-recourse facility-level debt or any potential refinancing of the Senior Notes.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financial statements for the year ended December 31, 2024 included in the 2024 Form 10-K </w:t>
      </w:r>
      <w:r>
        <w:rPr>
          <w:rFonts w:ascii="Times New Roman" w:cs="Times New Roman" w:eastAsia="Times New Roman" w:hAnsi="Times New Roman"/>
          <w:sz w:val="18"/>
          <w:szCs w:val="18"/>
          <w:color w:val="231F20"/>
        </w:rPr>
        <w:t>for more information about interest rate swaps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Company’s subsidiaries.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the counterparties would have owed the Company </w:t>
      </w:r>
      <w:r>
        <w:rPr>
          <w:rFonts w:ascii="Times New Roman" w:cs="Times New Roman" w:eastAsia="Times New Roman" w:hAnsi="Times New Roman"/>
          <w:sz w:val="18"/>
          <w:szCs w:val="18"/>
          <w:color w:val="000000"/>
        </w:rPr>
        <w:t>$101 million.</w:t>
      </w:r>
      <w:r>
        <w:rPr>
          <w:rFonts w:ascii="Times New Roman" w:cs="Times New Roman" w:eastAsia="Times New Roman" w:hAnsi="Times New Roman"/>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June 30,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a change of 1%, or 100 basis points, in interest rates would result in an approximately $5 million change in market interest expense on a rolling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twelve-month basis.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the fair value of the Company’s debt was </w:t>
      </w:r>
      <w:r>
        <w:rPr>
          <w:rFonts w:ascii="Times New Roman" w:cs="Times New Roman" w:eastAsia="Times New Roman" w:hAnsi="Times New Roman"/>
          <w:sz w:val="18"/>
          <w:szCs w:val="18"/>
          <w:color w:val="000000"/>
        </w:rPr>
        <w:t>$8,425 million</w:t>
      </w:r>
      <w:r>
        <w:rPr>
          <w:rFonts w:ascii="Times New Roman" w:cs="Times New Roman" w:eastAsia="Times New Roman" w:hAnsi="Times New Roman"/>
          <w:sz w:val="18"/>
          <w:szCs w:val="18"/>
          <w:color w:val="231F20"/>
        </w:rPr>
        <w:t xml:space="preserve"> and the carrying value was </w:t>
      </w:r>
      <w:r>
        <w:rPr>
          <w:rFonts w:ascii="Times New Roman" w:cs="Times New Roman" w:eastAsia="Times New Roman" w:hAnsi="Times New Roman"/>
          <w:sz w:val="18"/>
          <w:szCs w:val="18"/>
          <w:color w:val="000000"/>
        </w:rPr>
        <w:t>$8,786 million</w:t>
      </w:r>
      <w:r>
        <w:rPr>
          <w:rFonts w:ascii="Times New Roman" w:cs="Times New Roman" w:eastAsia="Times New Roman" w:hAnsi="Times New Roman"/>
          <w:sz w:val="18"/>
          <w:szCs w:val="18"/>
          <w:color w:val="231F20"/>
        </w:rPr>
        <w:t>. The Company estimates that a decrease of 1%, or 100 basis points, in market interest rates would have increased the fair value of its long-term debt by approximately $304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 13a-15(f) under the Exchange Act) during the quarter ended June 30, 2025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2024 Form 10-K. There have been no material changes in the Company’s risk factors since those reported in its 2024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Plans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(as defined in Rule 16a-1(f) of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Method of Filing</w:t>
            </w:r>
          </w:p>
        </w:tc>
      </w:tr>
      <w:tr>
        <w:trPr>
          <w:trHeight w:val="182"/>
        </w:trPr>
        <w:tc>
          <w:tcPr>
            <w:tcW w:w="2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w w:val="92"/>
              </w:rPr>
              <w:t>31.1</w:t>
            </w:r>
          </w:p>
        </w:tc>
        <w:tc>
          <w:tcPr>
            <w:tcW w:w="740" w:type="dxa"/>
            <w:vAlign w:val="bottom"/>
          </w:tcPr>
          <w:p>
            <w:pPr>
              <w:spacing w:after="0"/>
              <w:rPr>
                <w:sz w:val="15"/>
                <w:szCs w:val="15"/>
                <w:color w:val="auto"/>
              </w:rPr>
            </w:pPr>
          </w:p>
        </w:tc>
        <w:tc>
          <w:tcPr>
            <w:tcW w:w="578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FF"/>
              </w:rPr>
              <w:t>Rule 13a-14(a)/15d-14(a) certification of Craig Cornelius.</w:t>
            </w:r>
          </w:p>
        </w:tc>
        <w:tc>
          <w:tcPr>
            <w:tcW w:w="1380" w:type="dxa"/>
            <w:vAlign w:val="bottom"/>
          </w:tcPr>
          <w:p>
            <w:pPr>
              <w:ind w:left="100"/>
              <w:spacing w:after="0" w:line="181" w:lineRule="exact"/>
              <w:rPr>
                <w:sz w:val="20"/>
                <w:szCs w:val="20"/>
                <w:color w:val="auto"/>
              </w:rPr>
            </w:pPr>
            <w:r>
              <w:rPr>
                <w:rFonts w:ascii="Times New Roman" w:cs="Times New Roman" w:eastAsia="Times New Roman" w:hAnsi="Times New Roman"/>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31.2</w:t>
            </w:r>
          </w:p>
        </w:tc>
        <w:tc>
          <w:tcPr>
            <w:tcW w:w="740" w:type="dxa"/>
            <w:vAlign w:val="bottom"/>
          </w:tcPr>
          <w:p>
            <w:pPr>
              <w:spacing w:after="0"/>
              <w:rPr>
                <w:sz w:val="17"/>
                <w:szCs w:val="17"/>
                <w:color w:val="auto"/>
              </w:rPr>
            </w:pPr>
          </w:p>
        </w:tc>
        <w:tc>
          <w:tcPr>
            <w:tcW w:w="3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Rule 13a-14(a)/15d-14(a) certification of Sarah Rubenstein.</w:t>
            </w:r>
          </w:p>
        </w:tc>
        <w:tc>
          <w:tcPr>
            <w:tcW w:w="1900" w:type="dxa"/>
            <w:vAlign w:val="bottom"/>
          </w:tcPr>
          <w:p>
            <w:pPr>
              <w:spacing w:after="0"/>
              <w:rPr>
                <w:sz w:val="17"/>
                <w:szCs w:val="17"/>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9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740" w:type="dxa"/>
            <w:vAlign w:val="bottom"/>
          </w:tcPr>
          <w:p>
            <w:pPr>
              <w:spacing w:after="0"/>
              <w:rPr>
                <w:sz w:val="17"/>
                <w:szCs w:val="17"/>
                <w:color w:val="auto"/>
              </w:rPr>
            </w:pPr>
          </w:p>
        </w:tc>
        <w:tc>
          <w:tcPr>
            <w:tcW w:w="57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Section 1350 Certification.</w:t>
            </w: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8"/>
              </w:rPr>
              <w:t>Furnished herewith.</w:t>
            </w: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INS</w:t>
            </w:r>
          </w:p>
        </w:tc>
        <w:tc>
          <w:tcPr>
            <w:tcW w:w="5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SCH</w:t>
            </w:r>
          </w:p>
        </w:tc>
        <w:tc>
          <w:tcPr>
            <w:tcW w:w="5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CAL</w:t>
            </w:r>
          </w:p>
        </w:tc>
        <w:tc>
          <w:tcPr>
            <w:tcW w:w="5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DEF</w:t>
            </w:r>
          </w:p>
        </w:tc>
        <w:tc>
          <w:tcPr>
            <w:tcW w:w="5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LAB</w:t>
            </w:r>
          </w:p>
        </w:tc>
        <w:tc>
          <w:tcPr>
            <w:tcW w:w="5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PRE</w:t>
            </w:r>
          </w:p>
        </w:tc>
        <w:tc>
          <w:tcPr>
            <w:tcW w:w="5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68"/>
        </w:trPr>
        <w:tc>
          <w:tcPr>
            <w:tcW w:w="2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740" w:type="dxa"/>
            <w:vAlign w:val="bottom"/>
          </w:tcPr>
          <w:p>
            <w:pPr>
              <w:spacing w:after="0"/>
              <w:rPr>
                <w:sz w:val="14"/>
                <w:szCs w:val="14"/>
                <w:color w:val="auto"/>
              </w:rPr>
            </w:pPr>
          </w:p>
        </w:tc>
        <w:tc>
          <w:tcPr>
            <w:tcW w:w="578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(the cover page interactive data file does not appear in</w:t>
            </w:r>
          </w:p>
        </w:tc>
        <w:tc>
          <w:tcPr>
            <w:tcW w:w="1380" w:type="dxa"/>
            <w:vAlign w:val="bottom"/>
          </w:tcPr>
          <w:p>
            <w:pPr>
              <w:ind w:left="100"/>
              <w:spacing w:after="0" w:line="168" w:lineRule="exact"/>
              <w:rPr>
                <w:sz w:val="20"/>
                <w:szCs w:val="20"/>
                <w:color w:val="auto"/>
              </w:rPr>
            </w:pPr>
            <w:r>
              <w:rPr>
                <w:rFonts w:ascii="Times New Roman" w:cs="Times New Roman" w:eastAsia="Times New Roman" w:hAnsi="Times New Roman"/>
                <w:sz w:val="16"/>
                <w:szCs w:val="16"/>
                <w:color w:val="auto"/>
              </w:rPr>
              <w:t>Filed herewith.</w:t>
            </w:r>
          </w:p>
        </w:tc>
      </w:tr>
      <w:tr>
        <w:trPr>
          <w:trHeight w:val="162"/>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78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Exhibit 104 because its Inline XBRL tags are embedded within the Inline XBRL</w:t>
            </w:r>
          </w:p>
        </w:tc>
        <w:tc>
          <w:tcPr>
            <w:tcW w:w="138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document).</w:t>
            </w:r>
          </w:p>
        </w:tc>
        <w:tc>
          <w:tcPr>
            <w:tcW w:w="13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CLEARWAY ENERGY LLC</w:t>
      </w: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02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Craig Cornelius</w:t>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RUBENSTEIN</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Rubenstein</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w:t>
            </w:r>
          </w:p>
        </w:tc>
        <w:tc>
          <w:tcPr>
            <w:tcW w:w="0" w:type="dxa"/>
            <w:vAlign w:val="bottom"/>
          </w:tcPr>
          <w:p>
            <w:pPr>
              <w:spacing w:after="0"/>
              <w:rPr>
                <w:sz w:val="1"/>
                <w:szCs w:val="1"/>
                <w:color w:val="auto"/>
              </w:rPr>
            </w:pPr>
          </w:p>
        </w:tc>
      </w:tr>
      <w:tr>
        <w:trPr>
          <w:trHeight w:val="182"/>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6"/>
        </w:trPr>
        <w:tc>
          <w:tcPr>
            <w:tcW w:w="6620" w:type="dxa"/>
            <w:vAlign w:val="bottom"/>
            <w:vMerge w:val="continue"/>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887" w:right="3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Cornelius, certify that:</w:t>
      </w:r>
    </w:p>
    <w:p>
      <w:pPr>
        <w:spacing w:after="0" w:line="347"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17748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Craig Cornelius</w:t>
      </w:r>
    </w:p>
    <w:p>
      <w:pPr>
        <w:ind w:left="7240"/>
        <w:spacing w:after="0" w:line="203"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7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ectPr>
          <w:pgSz w:w="11900" w:h="16838" w:orient="portrait"/>
          <w:cols w:equalWidth="0" w:num="1">
            <w:col w:w="11240"/>
          </w:cols>
          <w:pgMar w:left="320" w:top="98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17145</wp:posOffset>
            </wp:positionV>
            <wp:extent cx="18345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Sarah Rubenstein</w:t>
      </w:r>
    </w:p>
    <w:p>
      <w:pPr>
        <w:ind w:left="7520"/>
        <w:spacing w:after="0" w:line="219" w:lineRule="auto"/>
        <w:rPr>
          <w:sz w:val="20"/>
          <w:szCs w:val="20"/>
          <w:color w:val="auto"/>
        </w:rPr>
      </w:pPr>
      <w:r>
        <w:rPr>
          <w:rFonts w:ascii="Times New Roman" w:cs="Times New Roman" w:eastAsia="Times New Roman" w:hAnsi="Times New Roman"/>
          <w:sz w:val="18"/>
          <w:szCs w:val="18"/>
          <w:i w:val="1"/>
          <w:iCs w:val="1"/>
          <w:color w:val="auto"/>
        </w:rPr>
        <w:t>Executive Vice President and Chief</w:t>
      </w:r>
    </w:p>
    <w:p>
      <w:pPr>
        <w:ind w:left="7520"/>
        <w:spacing w:after="0" w:line="203" w:lineRule="auto"/>
        <w:rPr>
          <w:sz w:val="20"/>
          <w:szCs w:val="20"/>
          <w:color w:val="auto"/>
        </w:rPr>
      </w:pPr>
      <w:r>
        <w:rPr>
          <w:rFonts w:ascii="Times New Roman" w:cs="Times New Roman" w:eastAsia="Times New Roman" w:hAnsi="Times New Roman"/>
          <w:sz w:val="18"/>
          <w:szCs w:val="18"/>
          <w:i w:val="1"/>
          <w:iCs w:val="1"/>
          <w:color w:val="auto"/>
        </w:rPr>
        <w:t>Financial Officer</w:t>
      </w:r>
    </w:p>
    <w:p>
      <w:pPr>
        <w:ind w:left="7520"/>
        <w:spacing w:after="0" w:line="204" w:lineRule="auto"/>
        <w:rPr>
          <w:sz w:val="20"/>
          <w:szCs w:val="20"/>
          <w:color w:val="auto"/>
        </w:rPr>
      </w:pPr>
      <w:r>
        <w:rPr>
          <w:rFonts w:ascii="Times New Roman" w:cs="Times New Roman" w:eastAsia="Times New Roman" w:hAnsi="Times New Roman"/>
          <w:sz w:val="18"/>
          <w:szCs w:val="18"/>
          <w:i w:val="1"/>
          <w:iCs w:val="1"/>
          <w:color w:val="auto"/>
        </w:rPr>
        <w:t>(Principal Financial Officer and</w:t>
      </w: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LLC on Form 10-Q for the quarter ended June 30, 2025,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10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Craig Cornelius</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2025-08-06T05:12:06Z</dcterms:created>
  <dcterms:modified xsi:type="dcterms:W3CDTF">2025-08-06T05:12:06Z</dcterms:modified>
</cp:coreProperties>
</file>