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550545</wp:posOffset>
            </wp:positionH>
            <wp:positionV relativeFrom="page">
              <wp:posOffset>445770</wp:posOffset>
            </wp:positionV>
            <wp:extent cx="64477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412115</wp:posOffset>
            </wp:positionV>
            <wp:extent cx="644779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33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47" w:lineRule="exact"/>
        <w:rPr>
          <w:sz w:val="24"/>
          <w:szCs w:val="24"/>
          <w:color w:val="auto"/>
        </w:rPr>
      </w:pPr>
    </w:p>
    <w:p>
      <w:pPr>
        <w:ind w:left="500" w:hanging="267"/>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9" w:lineRule="exact"/>
        <w:rPr>
          <w:sz w:val="24"/>
          <w:szCs w:val="24"/>
          <w:color w:val="auto"/>
        </w:rPr>
      </w:pPr>
    </w:p>
    <w:p>
      <w:pPr>
        <w:ind w:left="500"/>
        <w:spacing w:after="0"/>
        <w:tabs>
          <w:tab w:leader="none" w:pos="2860" w:val="left"/>
        </w:tabs>
        <w:rPr>
          <w:sz w:val="20"/>
          <w:szCs w:val="20"/>
          <w:color w:val="auto"/>
        </w:rPr>
      </w:pPr>
      <w:r>
        <w:rPr>
          <w:rFonts w:ascii="Times New Roman" w:cs="Times New Roman" w:eastAsia="Times New Roman" w:hAnsi="Times New Roman"/>
          <w:sz w:val="12"/>
          <w:szCs w:val="12"/>
          <w:b w:val="1"/>
          <w:bCs w:val="1"/>
          <w:color w:val="auto"/>
        </w:rPr>
        <w:t>For the Fiscal Year ended</w:t>
      </w:r>
      <w:r>
        <w:rPr>
          <w:sz w:val="20"/>
          <w:szCs w:val="20"/>
          <w:color w:val="auto"/>
        </w:rPr>
        <w:tab/>
      </w:r>
      <w:r>
        <w:rPr>
          <w:rFonts w:ascii="Times New Roman" w:cs="Times New Roman" w:eastAsia="Times New Roman" w:hAnsi="Times New Roman"/>
          <w:sz w:val="12"/>
          <w:szCs w:val="12"/>
          <w:b w:val="1"/>
          <w:bCs w:val="1"/>
          <w:color w:val="auto"/>
        </w:rPr>
        <w:t>December 31, 2024</w:t>
      </w:r>
    </w:p>
    <w:p>
      <w:pPr>
        <w:spacing w:after="0" w:line="5" w:lineRule="exact"/>
        <w:rPr>
          <w:sz w:val="24"/>
          <w:szCs w:val="24"/>
          <w:color w:val="auto"/>
        </w:rPr>
      </w:pPr>
    </w:p>
    <w:p>
      <w:pPr>
        <w:ind w:left="500" w:hanging="267"/>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ectPr>
          <w:pgSz w:w="11900" w:h="16838" w:orient="portrait"/>
          <w:cols w:equalWidth="0" w:num="1">
            <w:col w:w="11280"/>
          </w:cols>
          <w:pgMar w:left="300" w:top="857" w:right="319" w:bottom="1440" w:gutter="0" w:footer="0" w:header="0"/>
        </w:sectPr>
      </w:pPr>
    </w:p>
    <w:p>
      <w:pPr>
        <w:ind w:left="500"/>
        <w:spacing w:after="0" w:line="233" w:lineRule="auto"/>
        <w:tabs>
          <w:tab w:leader="none" w:pos="2740" w:val="left"/>
          <w:tab w:leader="none" w:pos="358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r>
        <w:rPr>
          <w:sz w:val="20"/>
          <w:szCs w:val="20"/>
          <w:color w:val="auto"/>
        </w:rPr>
        <w:tab/>
      </w:r>
      <w:r>
        <w:rPr>
          <w:rFonts w:ascii="Times New Roman" w:cs="Times New Roman" w:eastAsia="Times New Roman" w:hAnsi="Times New Roman"/>
          <w:sz w:val="14"/>
          <w:szCs w:val="14"/>
          <w:b w:val="1"/>
          <w:bCs w:val="1"/>
          <w:color w:val="auto"/>
        </w:rPr>
        <w:t>.</w:t>
      </w:r>
    </w:p>
    <w:p>
      <w:pPr>
        <w:sectPr>
          <w:pgSz w:w="11900" w:h="16838" w:orient="portrait"/>
          <w:cols w:equalWidth="0" w:num="1">
            <w:col w:w="11280"/>
          </w:cols>
          <w:pgMar w:left="300" w:top="857" w:right="319" w:bottom="1440" w:gutter="0" w:footer="0" w:header="0"/>
          <w:type w:val="continuous"/>
        </w:sectPr>
      </w:pPr>
    </w:p>
    <w:p>
      <w:pPr>
        <w:spacing w:after="0" w:line="8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3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1"/>
          <w:szCs w:val="31"/>
          <w:b w:val="1"/>
          <w:bCs w:val="1"/>
          <w:color w:val="auto"/>
        </w:rPr>
        <w:t>Clearway Energy LLC</w:t>
      </w:r>
    </w:p>
    <w:p>
      <w:pPr>
        <w:spacing w:after="0" w:line="7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1280"/>
          </w:cols>
          <w:pgMar w:left="300" w:top="857" w:right="319" w:bottom="1440" w:gutter="0" w:footer="0" w:header="0"/>
          <w:type w:val="continuous"/>
        </w:sectPr>
      </w:pPr>
    </w:p>
    <w:p>
      <w:pPr>
        <w:spacing w:after="0" w:line="3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4"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3"/>
          <w:szCs w:val="13"/>
          <w:i w:val="1"/>
          <w:iCs w:val="1"/>
          <w:color w:val="auto"/>
        </w:rPr>
        <w:t>(State or other jurisdiction of incorporation or</w:t>
      </w:r>
    </w:p>
    <w:p>
      <w:pPr>
        <w:ind w:left="1940"/>
        <w:spacing w:after="0"/>
        <w:rPr>
          <w:sz w:val="20"/>
          <w:szCs w:val="20"/>
          <w:color w:val="auto"/>
        </w:rPr>
      </w:pPr>
      <w:r>
        <w:rPr>
          <w:rFonts w:ascii="Times New Roman" w:cs="Times New Roman" w:eastAsia="Times New Roman" w:hAnsi="Times New Roman"/>
          <w:sz w:val="13"/>
          <w:szCs w:val="13"/>
          <w:i w:val="1"/>
          <w:iCs w:val="1"/>
          <w:color w:val="auto"/>
        </w:rPr>
        <w:t>organization)</w:t>
      </w:r>
    </w:p>
    <w:p>
      <w:pPr>
        <w:spacing w:after="0" w:line="4" w:lineRule="exact"/>
        <w:rPr>
          <w:sz w:val="24"/>
          <w:szCs w:val="24"/>
          <w:color w:val="auto"/>
        </w:rPr>
      </w:pPr>
    </w:p>
    <w:p>
      <w:pPr>
        <w:ind w:left="1460"/>
        <w:spacing w:after="0"/>
        <w:tabs>
          <w:tab w:leader="none" w:pos="4500" w:val="left"/>
        </w:tabs>
        <w:rPr>
          <w:sz w:val="20"/>
          <w:szCs w:val="20"/>
          <w:color w:val="auto"/>
        </w:rPr>
      </w:pPr>
      <w:r>
        <w:rPr>
          <w:rFonts w:ascii="Times New Roman" w:cs="Times New Roman" w:eastAsia="Times New Roman" w:hAnsi="Times New Roman"/>
          <w:sz w:val="13"/>
          <w:szCs w:val="13"/>
          <w:b w:val="1"/>
          <w:bCs w:val="1"/>
          <w:color w:val="auto"/>
        </w:rPr>
        <w:t>300 Carnegie Center, Suite 300</w:t>
      </w:r>
      <w:r>
        <w:rPr>
          <w:sz w:val="20"/>
          <w:szCs w:val="20"/>
          <w:color w:val="auto"/>
        </w:rPr>
        <w:tab/>
      </w:r>
      <w:r>
        <w:rPr>
          <w:rFonts w:ascii="Times New Roman" w:cs="Times New Roman" w:eastAsia="Times New Roman" w:hAnsi="Times New Roman"/>
          <w:sz w:val="12"/>
          <w:szCs w:val="12"/>
          <w:b w:val="1"/>
          <w:bCs w:val="1"/>
          <w:color w:val="auto"/>
        </w:rPr>
        <w:t>Princeton</w:t>
      </w:r>
    </w:p>
    <w:p>
      <w:pPr>
        <w:spacing w:after="0" w:line="2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Jersey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32-0407370</w:t>
      </w:r>
    </w:p>
    <w:p>
      <w:pPr>
        <w:spacing w:after="0" w:line="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i w:val="1"/>
          <w:iCs w:val="1"/>
          <w:color w:val="auto"/>
        </w:rPr>
        <w:t>(I.R.S. Employer</w:t>
      </w:r>
    </w:p>
    <w:p>
      <w:pPr>
        <w:jc w:val="center"/>
        <w:ind w:right="1680"/>
        <w:spacing w:after="0"/>
        <w:rPr>
          <w:sz w:val="20"/>
          <w:szCs w:val="20"/>
          <w:color w:val="auto"/>
        </w:rPr>
      </w:pPr>
      <w:r>
        <w:rPr>
          <w:rFonts w:ascii="Times New Roman" w:cs="Times New Roman" w:eastAsia="Times New Roman" w:hAnsi="Times New Roman"/>
          <w:sz w:val="12"/>
          <w:szCs w:val="12"/>
          <w:i w:val="1"/>
          <w:iCs w:val="1"/>
          <w:color w:val="auto"/>
        </w:rPr>
        <w:t>Identification No.)</w:t>
      </w:r>
    </w:p>
    <w:p>
      <w:pPr>
        <w:spacing w:after="0" w:line="16"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08540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3"/>
          <w:szCs w:val="13"/>
          <w:i w:val="1"/>
          <w:iCs w:val="1"/>
          <w:color w:val="auto"/>
        </w:rPr>
        <w:t>(Zip Code)</w:t>
      </w:r>
    </w:p>
    <w:p>
      <w:pPr>
        <w:spacing w:after="0" w:line="84" w:lineRule="exact"/>
        <w:rPr>
          <w:sz w:val="24"/>
          <w:szCs w:val="24"/>
          <w:color w:val="auto"/>
        </w:rPr>
      </w:pPr>
    </w:p>
    <w:p>
      <w:pPr>
        <w:sectPr>
          <w:pgSz w:w="11900" w:h="16838" w:orient="portrait"/>
          <w:cols w:equalWidth="0" w:num="3">
            <w:col w:w="5760" w:space="720"/>
            <w:col w:w="1460" w:space="720"/>
            <w:col w:w="2620"/>
          </w:cols>
          <w:pgMar w:left="300" w:top="857" w:right="3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(609) 608-1525</w:t>
      </w:r>
    </w:p>
    <w:p>
      <w:pPr>
        <w:spacing w:after="0" w:line="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ectPr>
          <w:pgSz w:w="11900" w:h="16838" w:orient="portrait"/>
          <w:cols w:equalWidth="0" w:num="1">
            <w:col w:w="11280"/>
          </w:cols>
          <w:pgMar w:left="300" w:top="857" w:right="319" w:bottom="1440" w:gutter="0" w:footer="0" w:header="0"/>
          <w:type w:val="continuous"/>
        </w:sectPr>
      </w:pPr>
    </w:p>
    <w:p>
      <w:pPr>
        <w:spacing w:after="0" w:line="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94" w:lineRule="exact"/>
        <w:rPr>
          <w:sz w:val="24"/>
          <w:szCs w:val="24"/>
          <w:color w:val="auto"/>
        </w:rPr>
      </w:pPr>
    </w:p>
    <w:p>
      <w:pPr>
        <w:sectPr>
          <w:pgSz w:w="11900" w:h="16838" w:orient="portrait"/>
          <w:cols w:equalWidth="0" w:num="3">
            <w:col w:w="5500" w:space="460"/>
            <w:col w:w="280" w:space="120"/>
            <w:col w:w="4920"/>
          </w:cols>
          <w:pgMar w:left="300" w:top="857" w:right="3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107" w:lineRule="exact"/>
        <w:rPr>
          <w:sz w:val="24"/>
          <w:szCs w:val="24"/>
          <w:color w:val="auto"/>
        </w:rPr>
      </w:pPr>
    </w:p>
    <w:p>
      <w:pPr>
        <w:sectPr>
          <w:pgSz w:w="11900" w:h="16838" w:orient="portrait"/>
          <w:cols w:equalWidth="0" w:num="3">
            <w:col w:w="6080" w:space="320"/>
            <w:col w:w="300" w:space="120"/>
            <w:col w:w="4460"/>
          </w:cols>
          <w:pgMar w:left="300" w:top="857" w:right="3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w:t>
      </w:r>
    </w:p>
    <w:p>
      <w:pPr>
        <w:spacing w:after="0" w:line="22" w:lineRule="exact"/>
        <w:rPr>
          <w:sz w:val="24"/>
          <w:szCs w:val="24"/>
          <w:color w:val="auto"/>
        </w:rPr>
      </w:pPr>
    </w:p>
    <w:p>
      <w:pPr>
        <w:spacing w:after="0"/>
        <w:tabs>
          <w:tab w:leader="none" w:pos="5760" w:val="left"/>
          <w:tab w:leader="none" w:pos="6180" w:val="left"/>
        </w:tabs>
        <w:rPr>
          <w:sz w:val="20"/>
          <w:szCs w:val="20"/>
          <w:color w:val="auto"/>
        </w:rPr>
      </w:pPr>
      <w:r>
        <w:rPr>
          <w:rFonts w:ascii="Times New Roman" w:cs="Times New Roman" w:eastAsia="Times New Roman" w:hAnsi="Times New Roman"/>
          <w:sz w:val="11"/>
          <w:szCs w:val="11"/>
          <w:color w:val="auto"/>
        </w:rPr>
        <w:t>to file such reports), and (2) has been subject to such filing requirements for the past 90 days.</w:t>
      </w:r>
      <w:r>
        <w:rPr>
          <w:sz w:val="20"/>
          <w:szCs w:val="20"/>
          <w:color w:val="auto"/>
        </w:rPr>
        <w:tab/>
      </w:r>
      <w:r>
        <w:rPr>
          <w:rFonts w:ascii="Times New Roman" w:cs="Times New Roman" w:eastAsia="Times New Roman" w:hAnsi="Times New Roman"/>
          <w:sz w:val="11"/>
          <w:szCs w:val="11"/>
          <w:color w:val="auto"/>
        </w:rPr>
        <w:t xml:space="preserve">Yes </w:t>
      </w:r>
      <w:r>
        <w:rPr>
          <w:rFonts w:ascii="Wingdings" w:cs="Wingdings" w:eastAsia="Wingdings" w:hAnsi="Wingdings"/>
          <w:sz w:val="11"/>
          <w:szCs w:val="11"/>
          <w:b w:val="1"/>
          <w:bCs w:val="1"/>
          <w:color w:val="auto"/>
        </w:rPr>
        <w:t>x</w:t>
      </w:r>
      <w:r>
        <w:rPr>
          <w:sz w:val="20"/>
          <w:szCs w:val="20"/>
          <w:color w:val="auto"/>
        </w:rPr>
        <w:tab/>
      </w: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o</w:t>
      </w:r>
    </w:p>
    <w:p>
      <w:pPr>
        <w:spacing w:after="0" w:line="202" w:lineRule="exact"/>
        <w:rPr>
          <w:sz w:val="24"/>
          <w:szCs w:val="24"/>
          <w:color w:val="auto"/>
        </w:rPr>
      </w:pPr>
    </w:p>
    <w:p>
      <w:pPr>
        <w:ind w:firstLine="191"/>
        <w:spacing w:after="0" w:line="30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51" w:lineRule="exact"/>
        <w:rPr>
          <w:sz w:val="24"/>
          <w:szCs w:val="24"/>
          <w:color w:val="auto"/>
        </w:rPr>
      </w:pPr>
    </w:p>
    <w:p>
      <w:pPr>
        <w:ind w:firstLine="191"/>
        <w:spacing w:after="0" w:line="26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cs="Times New Roman" w:eastAsia="Times New Roman" w:hAnsi="Times New Roman"/>
          <w:sz w:val="12"/>
          <w:szCs w:val="12"/>
          <w:color w:val="auto"/>
        </w:rPr>
        <w:t>.</w:t>
      </w:r>
    </w:p>
    <w:p>
      <w:pPr>
        <w:spacing w:after="0" w:line="1" w:lineRule="exact"/>
        <w:rPr>
          <w:sz w:val="24"/>
          <w:szCs w:val="24"/>
          <w:color w:val="auto"/>
        </w:rPr>
      </w:pPr>
    </w:p>
    <w:tbl>
      <w:tblPr>
        <w:tblLayout w:type="fixed"/>
        <w:tblInd w:w="1520" w:type="dxa"/>
        <w:tblCellMar>
          <w:top w:w="0" w:type="dxa"/>
          <w:left w:w="0" w:type="dxa"/>
          <w:bottom w:w="0" w:type="dxa"/>
          <w:right w:w="0" w:type="dxa"/>
        </w:tblCellMar>
      </w:tblPr>
      <w:tr>
        <w:trPr>
          <w:trHeight w:val="179"/>
        </w:trPr>
        <w:tc>
          <w:tcPr>
            <w:tcW w:w="1960" w:type="dxa"/>
            <w:vAlign w:val="bottom"/>
          </w:tcPr>
          <w:p>
            <w:pPr>
              <w:jc w:val="center"/>
              <w:ind w:right="75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5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Accelerated filer</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1960" w:type="dxa"/>
            <w:vAlign w:val="bottom"/>
          </w:tcPr>
          <w:p>
            <w:pPr>
              <w:jc w:val="center"/>
              <w:ind w:right="736"/>
              <w:spacing w:after="0"/>
              <w:rPr>
                <w:sz w:val="20"/>
                <w:szCs w:val="20"/>
                <w:color w:val="auto"/>
              </w:rPr>
            </w:pPr>
            <w:r>
              <w:rPr>
                <w:rFonts w:ascii="Times New Roman" w:cs="Times New Roman" w:eastAsia="Times New Roman" w:hAnsi="Times New Roman"/>
                <w:sz w:val="13"/>
                <w:szCs w:val="13"/>
                <w:color w:val="auto"/>
                <w:w w:val="98"/>
              </w:rPr>
              <w:t>Non-accelerated filer</w:t>
            </w:r>
          </w:p>
        </w:tc>
        <w:tc>
          <w:tcPr>
            <w:tcW w:w="15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1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40" w:type="dxa"/>
            <w:vAlign w:val="bottom"/>
          </w:tcPr>
          <w:p>
            <w:pPr>
              <w:ind w:left="9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1" w:lineRule="exact"/>
        <w:rPr>
          <w:sz w:val="24"/>
          <w:szCs w:val="24"/>
          <w:color w:val="auto"/>
        </w:rPr>
      </w:pPr>
    </w:p>
    <w:p>
      <w:pPr>
        <w:ind w:firstLine="191"/>
        <w:spacing w:after="0" w:line="28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ind w:left="200"/>
        <w:spacing w:after="0" w:line="127" w:lineRule="exact"/>
        <w:tabs>
          <w:tab w:leader="none" w:pos="4940" w:val="left"/>
          <w:tab w:leader="none" w:pos="536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Wingdings" w:cs="Wingdings" w:eastAsia="Wingdings" w:hAnsi="Wingdings"/>
          <w:sz w:val="11"/>
          <w:szCs w:val="11"/>
          <w:b w:val="1"/>
          <w:bCs w:val="1"/>
          <w:color w:val="auto"/>
        </w:rPr>
        <w:t>x</w:t>
      </w:r>
    </w:p>
    <w:p>
      <w:pPr>
        <w:spacing w:after="0" w:line="56" w:lineRule="exact"/>
        <w:rPr>
          <w:sz w:val="24"/>
          <w:szCs w:val="24"/>
          <w:color w:val="auto"/>
        </w:rPr>
      </w:pPr>
    </w:p>
    <w:p>
      <w:pPr>
        <w:ind w:firstLine="191"/>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9" w:lineRule="exact"/>
        <w:rPr>
          <w:sz w:val="24"/>
          <w:szCs w:val="24"/>
          <w:color w:val="auto"/>
        </w:rPr>
      </w:pPr>
    </w:p>
    <w:p>
      <w:pPr>
        <w:spacing w:after="0" w:line="127" w:lineRule="exact"/>
        <w:tabs>
          <w:tab w:leader="none" w:pos="1620" w:val="left"/>
        </w:tabs>
        <w:rPr>
          <w:sz w:val="20"/>
          <w:szCs w:val="20"/>
          <w:color w:val="auto"/>
        </w:rPr>
      </w:pPr>
      <w:r>
        <w:rPr>
          <w:rFonts w:ascii="Times New Roman" w:cs="Times New Roman" w:eastAsia="Times New Roman" w:hAnsi="Times New Roman"/>
          <w:sz w:val="11"/>
          <w:szCs w:val="11"/>
          <w:color w:val="auto"/>
        </w:rPr>
        <w:t>statements.</w:t>
      </w:r>
      <w:r>
        <w:rPr>
          <w:sz w:val="20"/>
          <w:szCs w:val="20"/>
          <w:color w:val="auto"/>
        </w:rPr>
        <w:tab/>
      </w:r>
      <w:r>
        <w:rPr>
          <w:rFonts w:ascii="MS PGothic" w:cs="MS PGothic" w:eastAsia="MS PGothic" w:hAnsi="MS PGothic"/>
          <w:sz w:val="11"/>
          <w:szCs w:val="11"/>
          <w:color w:val="auto"/>
        </w:rPr>
        <w:t>☐</w:t>
      </w:r>
    </w:p>
    <w:p>
      <w:pPr>
        <w:spacing w:after="0" w:line="4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19" w:lineRule="exact"/>
        <w:rPr>
          <w:sz w:val="24"/>
          <w:szCs w:val="24"/>
          <w:color w:val="auto"/>
        </w:rPr>
      </w:pPr>
    </w:p>
    <w:p>
      <w:pPr>
        <w:spacing w:after="0" w:line="127" w:lineRule="exact"/>
        <w:tabs>
          <w:tab w:leader="none" w:pos="1600" w:val="left"/>
        </w:tabs>
        <w:rPr>
          <w:sz w:val="20"/>
          <w:szCs w:val="20"/>
          <w:color w:val="auto"/>
        </w:rPr>
      </w:pPr>
      <w:r>
        <w:rPr>
          <w:rFonts w:ascii="Times New Roman" w:cs="Times New Roman" w:eastAsia="Times New Roman" w:hAnsi="Times New Roman"/>
          <w:sz w:val="11"/>
          <w:szCs w:val="11"/>
          <w:color w:val="auto"/>
        </w:rPr>
        <w:t>to §240.10D-1(b).</w:t>
      </w:r>
      <w:r>
        <w:rPr>
          <w:sz w:val="20"/>
          <w:szCs w:val="20"/>
          <w:color w:val="auto"/>
        </w:rPr>
        <w:tab/>
      </w:r>
      <w:r>
        <w:rPr>
          <w:rFonts w:ascii="MS PGothic" w:cs="MS PGothic" w:eastAsia="MS PGothic" w:hAnsi="MS PGothic"/>
          <w:sz w:val="10"/>
          <w:szCs w:val="10"/>
          <w:color w:val="auto"/>
        </w:rPr>
        <w:t>☐</w:t>
      </w:r>
    </w:p>
    <w:p>
      <w:pPr>
        <w:spacing w:after="0" w:line="4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Clearway Energy LLC’s outstanding equity interests are held by Clearway Energy, Inc. and Clearway Energy Group LLC and there are no equity interests held by non-affiliates.</w:t>
      </w:r>
    </w:p>
    <w:p>
      <w:pPr>
        <w:spacing w:after="0" w:line="4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 There is no public market for the registrant’s outstanding units.</w:t>
      </w:r>
    </w:p>
    <w:p>
      <w:pPr>
        <w:spacing w:after="0" w:line="39" w:lineRule="exact"/>
        <w:rPr>
          <w:sz w:val="24"/>
          <w:szCs w:val="24"/>
          <w:color w:val="auto"/>
        </w:rPr>
      </w:pPr>
    </w:p>
    <w:tbl>
      <w:tblPr>
        <w:tblLayout w:type="fixed"/>
        <w:tblInd w:w="352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Class</w:t>
            </w: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at January 31, 2025</w:t>
            </w:r>
          </w:p>
        </w:tc>
      </w:tr>
      <w:tr>
        <w:trPr>
          <w:trHeight w:val="165"/>
        </w:trPr>
        <w:tc>
          <w:tcPr>
            <w:tcW w:w="1980" w:type="dxa"/>
            <w:vAlign w:val="bottom"/>
            <w:gridSpan w:val="3"/>
          </w:tcPr>
          <w:p>
            <w:pPr>
              <w:jc w:val="center"/>
              <w:ind w:right="1300"/>
              <w:spacing w:after="0"/>
              <w:rPr>
                <w:sz w:val="20"/>
                <w:szCs w:val="20"/>
                <w:color w:val="auto"/>
              </w:rPr>
            </w:pPr>
            <w:r>
              <w:rPr>
                <w:rFonts w:ascii="Times New Roman" w:cs="Times New Roman" w:eastAsia="Times New Roman" w:hAnsi="Times New Roman"/>
                <w:sz w:val="12"/>
                <w:szCs w:val="12"/>
                <w:color w:val="auto"/>
              </w:rPr>
              <w:t>Class A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34,613,853</w:t>
            </w:r>
          </w:p>
        </w:tc>
      </w:tr>
      <w:tr>
        <w:trPr>
          <w:trHeight w:val="159"/>
        </w:trPr>
        <w:tc>
          <w:tcPr>
            <w:tcW w:w="1980" w:type="dxa"/>
            <w:vAlign w:val="bottom"/>
            <w:gridSpan w:val="3"/>
          </w:tcPr>
          <w:p>
            <w:pPr>
              <w:jc w:val="center"/>
              <w:ind w:right="1280"/>
              <w:spacing w:after="0"/>
              <w:rPr>
                <w:sz w:val="20"/>
                <w:szCs w:val="20"/>
                <w:color w:val="auto"/>
              </w:rPr>
            </w:pPr>
            <w:r>
              <w:rPr>
                <w:rFonts w:ascii="Times New Roman" w:cs="Times New Roman" w:eastAsia="Times New Roman" w:hAnsi="Times New Roman"/>
                <w:sz w:val="12"/>
                <w:szCs w:val="12"/>
                <w:color w:val="auto"/>
                <w:w w:val="99"/>
              </w:rPr>
              <w:t>Class B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42,738,750</w:t>
            </w:r>
          </w:p>
        </w:tc>
      </w:tr>
      <w:tr>
        <w:trPr>
          <w:trHeight w:val="159"/>
        </w:trPr>
        <w:tc>
          <w:tcPr>
            <w:tcW w:w="1980" w:type="dxa"/>
            <w:vAlign w:val="bottom"/>
            <w:gridSpan w:val="3"/>
          </w:tcPr>
          <w:p>
            <w:pPr>
              <w:jc w:val="center"/>
              <w:ind w:right="1280"/>
              <w:spacing w:after="0"/>
              <w:rPr>
                <w:sz w:val="20"/>
                <w:szCs w:val="20"/>
                <w:color w:val="auto"/>
              </w:rPr>
            </w:pPr>
            <w:r>
              <w:rPr>
                <w:rFonts w:ascii="Times New Roman" w:cs="Times New Roman" w:eastAsia="Times New Roman" w:hAnsi="Times New Roman"/>
                <w:sz w:val="12"/>
                <w:szCs w:val="12"/>
                <w:color w:val="auto"/>
                <w:w w:val="99"/>
              </w:rPr>
              <w:t>Class C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82,833,226</w:t>
            </w:r>
          </w:p>
        </w:tc>
      </w:tr>
      <w:tr>
        <w:trPr>
          <w:trHeight w:val="159"/>
        </w:trPr>
        <w:tc>
          <w:tcPr>
            <w:tcW w:w="1980" w:type="dxa"/>
            <w:vAlign w:val="bottom"/>
            <w:gridSpan w:val="3"/>
          </w:tcPr>
          <w:p>
            <w:pPr>
              <w:jc w:val="center"/>
              <w:ind w:right="1300"/>
              <w:spacing w:after="0"/>
              <w:rPr>
                <w:sz w:val="20"/>
                <w:szCs w:val="20"/>
                <w:color w:val="auto"/>
              </w:rPr>
            </w:pPr>
            <w:r>
              <w:rPr>
                <w:rFonts w:ascii="Times New Roman" w:cs="Times New Roman" w:eastAsia="Times New Roman" w:hAnsi="Times New Roman"/>
                <w:sz w:val="12"/>
                <w:szCs w:val="12"/>
                <w:color w:val="auto"/>
              </w:rPr>
              <w:t>Class D Units</w:t>
            </w:r>
          </w:p>
        </w:tc>
        <w:tc>
          <w:tcPr>
            <w:tcW w:w="2980" w:type="dxa"/>
            <w:vAlign w:val="bottom"/>
            <w:gridSpan w:val="2"/>
          </w:tcPr>
          <w:p>
            <w:pPr>
              <w:jc w:val="center"/>
              <w:ind w:left="1260"/>
              <w:spacing w:after="0"/>
              <w:rPr>
                <w:sz w:val="20"/>
                <w:szCs w:val="20"/>
                <w:color w:val="auto"/>
              </w:rPr>
            </w:pPr>
            <w:r>
              <w:rPr>
                <w:rFonts w:ascii="Times New Roman" w:cs="Times New Roman" w:eastAsia="Times New Roman" w:hAnsi="Times New Roman"/>
                <w:sz w:val="12"/>
                <w:szCs w:val="12"/>
                <w:color w:val="auto"/>
                <w:w w:val="99"/>
              </w:rPr>
              <w:t>41,961,750</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304800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41275</wp:posOffset>
            </wp:positionV>
            <wp:extent cx="644779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1333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20955</wp:posOffset>
            </wp:positionV>
            <wp:extent cx="6447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1A — 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1C — Cybersecurity</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2 — Properties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6 — Reserved</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1"/>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8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performance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 Retirement Obligation</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BESS</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Battery energy storage system</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BlackRock, Inc., a publicly-traded global investment management firm</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Black Start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capability of a generating asset to restore the grid in the event of a blackout without relying on the external electric power transmission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network</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December 31, 2024 as Adjusted EBITDA plus cash distributions/return of</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contributions from noncontrolling interests, adjustments to</w:t>
            </w:r>
          </w:p>
        </w:tc>
      </w:tr>
      <w:tr>
        <w:trPr>
          <w:trHeight w:val="142"/>
        </w:trPr>
        <w:tc>
          <w:tcPr>
            <w:tcW w:w="2420" w:type="dxa"/>
            <w:vAlign w:val="bottom"/>
          </w:tcPr>
          <w:p>
            <w:pPr>
              <w:spacing w:after="0"/>
              <w:rPr>
                <w:sz w:val="12"/>
                <w:szCs w:val="12"/>
                <w:color w:val="auto"/>
              </w:rPr>
            </w:pP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20" w:type="dxa"/>
            <w:vAlign w:val="bottom"/>
          </w:tcPr>
          <w:p>
            <w:pPr>
              <w:spacing w:after="0"/>
              <w:rPr>
                <w:sz w:val="11"/>
                <w:szCs w:val="11"/>
                <w:color w:val="auto"/>
              </w:rPr>
            </w:pPr>
          </w:p>
        </w:tc>
        <w:tc>
          <w:tcPr>
            <w:tcW w:w="8860" w:type="dxa"/>
            <w:vAlign w:val="bottom"/>
          </w:tcPr>
          <w:p>
            <w:pPr>
              <w:ind w:left="48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CAISO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Independent System Operator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Capistrano Portfolio Holdco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holding company that owns four wind facilities representing 263 MW of capacity, which includes Broken Bow,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45"/>
        </w:trPr>
        <w:tc>
          <w:tcPr>
            <w:tcW w:w="24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Wind Portfolio</w:t>
            </w: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Portfolio of wind facilities acquired from Clearway Renew on August 22, 2022, which includes Broken Bow, Cedro Hill, Crofton Bluffs, Mountain</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Wind 1 and Mountain Wind 2</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Amended and Restated Master Services Agreement and Payroll Sharing Agreement, effective as of January 1, 2025, among the Company,</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Inc., Clearway Energy Finance Inc., Clearway Energy Operating LLC and CEG</w:t>
            </w:r>
          </w:p>
        </w:tc>
      </w:tr>
      <w:tr>
        <w:trPr>
          <w:trHeight w:val="18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Inc.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Inc., the holder of the Company’s Class A and Class C units</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Clearway Energy Group LLC</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The holder of all shares of Clearway, Inc.’s Class B and Class D common stock and the Company’s Class B and Class D units and, from time to</w:t>
            </w:r>
          </w:p>
        </w:tc>
      </w:tr>
      <w:tr>
        <w:trPr>
          <w:trHeight w:val="144"/>
        </w:trPr>
        <w:tc>
          <w:tcPr>
            <w:tcW w:w="2420" w:type="dxa"/>
            <w:vAlign w:val="bottom"/>
          </w:tcPr>
          <w:p>
            <w:pPr>
              <w:spacing w:after="0"/>
              <w:rPr>
                <w:sz w:val="12"/>
                <w:szCs w:val="12"/>
                <w:color w:val="auto"/>
              </w:rPr>
            </w:pPr>
          </w:p>
        </w:tc>
        <w:tc>
          <w:tcPr>
            <w:tcW w:w="88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time, possibly shares of Clearway, Inc.’s Class A and/or Class C common stock. Clearway Energy Group LLC is a leading developer of renewable,</w:t>
            </w:r>
          </w:p>
        </w:tc>
      </w:tr>
      <w:tr>
        <w:trPr>
          <w:trHeight w:val="180"/>
        </w:trPr>
        <w:tc>
          <w:tcPr>
            <w:tcW w:w="2420" w:type="dxa"/>
            <w:vAlign w:val="bottom"/>
          </w:tcPr>
          <w:p>
            <w:pPr>
              <w:spacing w:after="0"/>
              <w:rPr>
                <w:sz w:val="15"/>
                <w:szCs w:val="15"/>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energy storage and power infrastructure in the U.S.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The holder of the facility assets that are owned by the Company</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Renew</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Renew LLC, a subsidiary of CEG, and its wholly-owned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Commercial Operation Date</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Clearway Energy LLC, together with its consolidated subsidiaries</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color w:val="auto"/>
              </w:rPr>
              <w:t>Solar power facilities, typically less than 20 MW in size (on an alternating current, or AC, basis), that primarily sell power produced to customers</w:t>
            </w:r>
          </w:p>
        </w:tc>
      </w:tr>
      <w:tr>
        <w:trPr>
          <w:trHeight w:val="184"/>
        </w:trPr>
        <w:tc>
          <w:tcPr>
            <w:tcW w:w="2420" w:type="dxa"/>
            <w:vAlign w:val="bottom"/>
          </w:tcPr>
          <w:p>
            <w:pPr>
              <w:spacing w:after="0"/>
              <w:rPr>
                <w:sz w:val="16"/>
                <w:szCs w:val="16"/>
                <w:color w:val="auto"/>
              </w:rPr>
            </w:pPr>
          </w:p>
        </w:tc>
        <w:tc>
          <w:tcPr>
            <w:tcW w:w="8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686"/>
        </w:trPr>
        <w:tc>
          <w:tcPr>
            <w:tcW w:w="2420" w:type="dxa"/>
            <w:vAlign w:val="bottom"/>
          </w:tcPr>
          <w:p>
            <w:pPr>
              <w:spacing w:after="0"/>
              <w:rPr>
                <w:sz w:val="24"/>
                <w:szCs w:val="24"/>
                <w:color w:val="auto"/>
              </w:rPr>
            </w:pPr>
          </w:p>
        </w:tc>
        <w:tc>
          <w:tcPr>
            <w:tcW w:w="886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420" w:type="dxa"/>
            <w:vAlign w:val="bottom"/>
            <w:tcBorders>
              <w:bottom w:val="single" w:sz="8" w:color="9A9A9A"/>
            </w:tcBorders>
          </w:tcPr>
          <w:p>
            <w:pPr>
              <w:spacing w:after="0"/>
              <w:rPr>
                <w:sz w:val="7"/>
                <w:szCs w:val="7"/>
                <w:color w:val="auto"/>
              </w:rPr>
            </w:pPr>
          </w:p>
        </w:tc>
        <w:tc>
          <w:tcPr>
            <w:tcW w:w="8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EPA</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United States Environmental Protection Agency</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EWG</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Exempt Wholesale Generator</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FERC</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Flexible Generation</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Formerly the Conventional Generation segment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FPA</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Federal Power Act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FWS</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U.S. Fish &amp; Wildlife Service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Global Infrastructure Management, LLC, the manager of GIP and an indirect subsidiary of BlackRock</w:t>
            </w: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GIP</w:t>
            </w:r>
          </w:p>
        </w:tc>
        <w:tc>
          <w:tcPr>
            <w:tcW w:w="920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color w:val="auto"/>
              </w:rPr>
              <w:t>Global Infrastructure Partners, an infrastructure fund manager managed by GIM that makes equity and debt investments in infrastructure assets and</w:t>
            </w:r>
          </w:p>
        </w:tc>
      </w:tr>
      <w:tr>
        <w:trPr>
          <w:trHeight w:val="184"/>
        </w:trPr>
        <w:tc>
          <w:tcPr>
            <w:tcW w:w="2080" w:type="dxa"/>
            <w:vAlign w:val="bottom"/>
          </w:tcPr>
          <w:p>
            <w:pPr>
              <w:spacing w:after="0"/>
              <w:rPr>
                <w:sz w:val="16"/>
                <w:szCs w:val="16"/>
                <w:color w:val="auto"/>
              </w:rPr>
            </w:pP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businesses. GIM is an indirect subsidiary of BlackRock.</w:t>
            </w: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Gigawatt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Honeycomb Portfolio</w:t>
            </w:r>
          </w:p>
        </w:tc>
        <w:tc>
          <w:tcPr>
            <w:tcW w:w="920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color w:val="auto"/>
              </w:rPr>
              <w:t>Four BESS facilities under construction in Utah, representing 320 MW of capacity, which includes Enterprise, Escalante I, Granite Mountain East</w:t>
            </w:r>
          </w:p>
        </w:tc>
      </w:tr>
      <w:tr>
        <w:trPr>
          <w:trHeight w:val="184"/>
        </w:trPr>
        <w:tc>
          <w:tcPr>
            <w:tcW w:w="2080" w:type="dxa"/>
            <w:vAlign w:val="bottom"/>
          </w:tcPr>
          <w:p>
            <w:pPr>
              <w:spacing w:after="0"/>
              <w:rPr>
                <w:sz w:val="16"/>
                <w:szCs w:val="16"/>
                <w:color w:val="auto"/>
              </w:rPr>
            </w:pP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and Iron Springs that are co-located with the respective solar facilities</w:t>
            </w: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KKR</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KKR Thor Bidco, LLC, an affiliate of Kohlberg Kravis Roberts &amp; Co. L.P.</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MBTA</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Migratory Bird Treaty Act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MWt</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Megawatts Thermal Equivalent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Holdco</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Natural Gas CA Holdco LLC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NEPA</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NERC</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Counterparty credit exposure to Clearway Energy LLC, net of collateral</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0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18"/>
                <w:szCs w:val="18"/>
                <w:color w:val="auto"/>
                <w:vertAlign w:val="subscript"/>
              </w:rPr>
              <w:t>x</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Nitrogen Oxides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NRG</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NRG Energy, Inc.</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OCI/OCL</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Other comprehensive income/loss</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4"/>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679"/>
        </w:trPr>
        <w:tc>
          <w:tcPr>
            <w:tcW w:w="2080" w:type="dxa"/>
            <w:vAlign w:val="bottom"/>
          </w:tcPr>
          <w:p>
            <w:pPr>
              <w:spacing w:after="0"/>
              <w:rPr>
                <w:sz w:val="24"/>
                <w:szCs w:val="24"/>
                <w:color w:val="auto"/>
              </w:rPr>
            </w:pPr>
          </w:p>
        </w:tc>
        <w:tc>
          <w:tcPr>
            <w:tcW w:w="920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080" w:type="dxa"/>
            <w:vAlign w:val="bottom"/>
            <w:tcBorders>
              <w:bottom w:val="single" w:sz="8" w:color="9A9A9A"/>
            </w:tcBorders>
          </w:tcPr>
          <w:p>
            <w:pPr>
              <w:spacing w:after="0"/>
              <w:rPr>
                <w:sz w:val="7"/>
                <w:szCs w:val="7"/>
                <w:color w:val="auto"/>
              </w:rPr>
            </w:pPr>
          </w:p>
        </w:tc>
        <w:tc>
          <w:tcPr>
            <w:tcW w:w="9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PTC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PUCT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Commission of Texas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PUHCA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Holding Company Act of 2005</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QF</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Qualifying Facility under PURPA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Resource adequacy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 a wholly-owned subsidiary of CEG</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Rosie Central BESS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Rosie BESS Devco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RPS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Renewable Portfolio Standards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SDG&amp;E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San Diego Gas &amp; Electric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18"/>
                <w:szCs w:val="18"/>
                <w:color w:val="auto"/>
                <w:vertAlign w:val="subscript"/>
              </w:rPr>
              <w:t>2</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Sulfur Dioxide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Thermal Business</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The Company’s thermal business, which consisted of thermal infrastructure assets that provided steam, hot water and/or chilled water, and in some</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instances electricity, to commercial businesses, universities, hospitals and governmental units</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Thermal Disposition</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The Company’s sale of 100% of its interests in the Thermal Business to KKR, which was completed on May 1, 2022</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TotalEnergies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TotalEnergies SE, a global multi-energy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 which includes Enterprise, Escalante I, Escalante II, Escalante</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III, Granite Mountain East, Granite Mountain West and Iron Springs</w:t>
            </w:r>
          </w:p>
        </w:tc>
      </w:tr>
      <w:tr>
        <w:trPr>
          <w:trHeight w:val="145"/>
        </w:trPr>
        <w:tc>
          <w:tcPr>
            <w:tcW w:w="20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5" w:lineRule="exact"/>
              <w:rPr>
                <w:sz w:val="20"/>
                <w:szCs w:val="20"/>
                <w:color w:val="auto"/>
              </w:rPr>
            </w:pPr>
            <w:r>
              <w:rPr>
                <w:rFonts w:ascii="Times New Roman" w:cs="Times New Roman" w:eastAsia="Times New Roman" w:hAnsi="Times New Roman"/>
                <w:sz w:val="14"/>
                <w:szCs w:val="14"/>
                <w:color w:val="auto"/>
              </w:rPr>
              <w:t>Solar power facilities,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70"/>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040" w:type="dxa"/>
            <w:vAlign w:val="bottom"/>
            <w:tcBorders>
              <w:bottom w:val="single" w:sz="8" w:color="9A9A9A"/>
            </w:tcBorders>
          </w:tcPr>
          <w:p>
            <w:pPr>
              <w:spacing w:after="0"/>
              <w:rPr>
                <w:sz w:val="7"/>
                <w:szCs w:val="7"/>
                <w:color w:val="auto"/>
              </w:rPr>
            </w:pPr>
          </w:p>
        </w:tc>
        <w:tc>
          <w:tcPr>
            <w:tcW w:w="9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was formed as a Delaware limited liability company on March 5, 2013.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In 2024, 96% of the Company’s total generation was attributable to renewable energy and storage assets.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231F20"/>
        </w:rPr>
        <w:t>based on CAFD.</w:t>
      </w:r>
      <w:r>
        <w:rPr>
          <w:rFonts w:ascii="Times New Roman" w:cs="Times New Roman" w:eastAsia="Times New Roman" w:hAnsi="Times New Roman"/>
          <w:sz w:val="14"/>
          <w:szCs w:val="14"/>
          <w:color w:val="auto"/>
        </w:rPr>
        <w:t xml:space="preserve"> A complete listing of the Company’s interests in operating facilities as of December 31, 2024 can be found in Item 2 — </w:t>
      </w:r>
      <w:r>
        <w:rPr>
          <w:rFonts w:ascii="Times New Roman" w:cs="Times New Roman" w:eastAsia="Times New Roman" w:hAnsi="Times New Roman"/>
          <w:sz w:val="14"/>
          <w:szCs w:val="14"/>
          <w:i w:val="1"/>
          <w:iCs w:val="1"/>
          <w:color w:val="auto"/>
        </w:rPr>
        <w:t>Properties.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is a holding company for the companies that directly and indirectly own and operate Clearway Energy, Inc.’s, or Clearway, Inc., assets. CEG controls Clearway, Inc., and Clearway, Inc. in turn, as the sole managing member of the Company, controls the Company and its subsidiaries.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2024, CEG owned 42,738,750 of the Company’s Class B units and 41,961,750 of the Company’s Class D units, while Clearway, Inc. owned 34,613,853 of the Company’s Class A units and 82,833,226 of the Company’s Class C units. Clearway, Inc., through its holdings of Class A units and Class C units, owned a 58.10% economic interest in the Company as of December 31, 2024. Additionally, CEG, through its holdings of Class B units and Class D units, owned a 41.90% economic interest in the Company as of December 31,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35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primary business strategy is to focus on the ownership of assets and growth through investments in or acquisitions of assets with predictable, long-term cash flows in order that it may be able to continue to grow and expand the business as well as to increase the distributions to Clearway, Inc. over time without compromising the ongoing stability of the business.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plan for executing its business strategy includes the following key components:</w:t>
      </w:r>
    </w:p>
    <w:p>
      <w:pPr>
        <w:spacing w:after="0" w:line="13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dispatchable combustion-based generation. </w:t>
      </w:r>
      <w:r>
        <w:rPr>
          <w:rFonts w:ascii="Times New Roman" w:cs="Times New Roman" w:eastAsia="Times New Roman" w:hAnsi="Times New Roman"/>
          <w:sz w:val="14"/>
          <w:szCs w:val="14"/>
          <w:color w:val="auto"/>
        </w:rPr>
        <w:t>The Company owns and operates utility scale and distributed renewable energy assets,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BESS,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investments in operating power generation assets. </w:t>
      </w:r>
      <w:r>
        <w:rPr>
          <w:rFonts w:ascii="Times New Roman" w:cs="Times New Roman" w:eastAsia="Times New Roman" w:hAnsi="Times New Roman"/>
          <w:sz w:val="14"/>
          <w:szCs w:val="14"/>
          <w:color w:val="auto"/>
        </w:rPr>
        <w:t>The Company believes that its base of operations provides a platform for strategic growth through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accretive and tax advantaged investments and acquisitions complementary to its existing portfolio and investment in organic cash flow expansion of its own fleet. In addition, the Company may invest in or acquire generation facilities from third parties where the Company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to support the Company’s growth. The Company and CEG work collaboratively in considering new assets to be invested in or acquired by the Company. The assets listed below represent the Company’s currently committed investments in facilities: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Technology</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Gross Capacity (MW)</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COD</w:t>
            </w:r>
          </w:p>
        </w:tc>
      </w:tr>
      <w:tr>
        <w:trPr>
          <w:trHeight w:val="173"/>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Daggett 1</w:t>
            </w: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BESS</w:t>
            </w:r>
          </w:p>
        </w:tc>
        <w:tc>
          <w:tcPr>
            <w:tcW w:w="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114</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1H25</w:t>
            </w: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Honeycomb Portfolio</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UT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1H26</w:t>
            </w: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Luna Valley</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Solar</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200</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Pine Forest </w:t>
            </w:r>
            <w:r>
              <w:rPr>
                <w:rFonts w:ascii="Times New Roman" w:cs="Times New Roman" w:eastAsia="Times New Roman" w:hAnsi="Times New Roman"/>
                <w:sz w:val="18"/>
                <w:szCs w:val="18"/>
                <w:color w:val="auto"/>
                <w:vertAlign w:val="superscript"/>
              </w:rPr>
              <w:t>(a)</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TX</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Rosamond South I </w:t>
            </w:r>
            <w:r>
              <w:rPr>
                <w:rFonts w:ascii="Times New Roman" w:cs="Times New Roman" w:eastAsia="Times New Roman" w:hAnsi="Times New Roman"/>
                <w:sz w:val="18"/>
                <w:szCs w:val="18"/>
                <w:color w:val="auto"/>
                <w:vertAlign w:val="superscript"/>
              </w:rPr>
              <w:t>(a)</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257</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24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Tuolumne </w:t>
            </w:r>
            <w:r>
              <w:rPr>
                <w:rFonts w:ascii="Times New Roman" w:cs="Times New Roman" w:eastAsia="Times New Roman" w:hAnsi="Times New Roman"/>
                <w:sz w:val="18"/>
                <w:szCs w:val="18"/>
                <w:color w:val="auto"/>
                <w:vertAlign w:val="superscript"/>
              </w:rPr>
              <w:t>(b)</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Wind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137</w:t>
            </w:r>
          </w:p>
        </w:tc>
        <w:tc>
          <w:tcPr>
            <w:tcW w:w="8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WA</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89" w:lineRule="exact"/>
        <w:rPr>
          <w:sz w:val="20"/>
          <w:szCs w:val="20"/>
          <w:color w:val="auto"/>
        </w:rPr>
      </w:pPr>
    </w:p>
    <w:p>
      <w:pPr>
        <w:ind w:left="200" w:hanging="131"/>
        <w:spacing w:after="0"/>
        <w:tabs>
          <w:tab w:leader="none" w:pos="20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Included in a co-investment partnership.</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Third-party acquisition of an operating facility.</w:t>
      </w:r>
    </w:p>
    <w:p>
      <w:pPr>
        <w:spacing w:after="0" w:line="10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focus its investments in North America. The Company believes that industry fundamentals in North America present it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sound financial practices to grow the distributions. </w:t>
      </w:r>
      <w:r>
        <w:rPr>
          <w:rFonts w:ascii="Times New Roman" w:cs="Times New Roman" w:eastAsia="Times New Roman" w:hAnsi="Times New Roman"/>
          <w:sz w:val="14"/>
          <w:szCs w:val="14"/>
          <w:color w:val="auto"/>
        </w:rPr>
        <w:t>The Company intends to maintain a commitment to disciplined financial analysis and a balanced capital structure to enable it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its distributions over time and serve the long-term interests of its unit 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on the basis of the location of its plants and on the basis of contract price and terms of individual facilities. Within the power industry, there is a wide variation in terms of the capabilities, resources, nature and identity of the companies with whom the Company competes depending on the market. Competitors for energy supply are utilities and independent power producers. The Company also competes to acquire new facilities with renewable developers who retain renewable power plant ownership, independent power producers, financial investors and other downstream power infrastructure owners.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facilities, and it could be difficult for the Company to adapt to and operate under such laws and regulations.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facilities have no fuel costs, however, the Company’s merchant assets included in the Flexible Generation segment need to procure their own fuel. The offtake agreements within the Company’s Renewables segment have a weighted-average remaining duration, based on CAFD, of approximately 12 years as of December 31, 2024, providing long-term cash flow stability. The Company’s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includes approximately 9 gross GW of installed wind, solar and BESS assets that are predominantly non-emitting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sources of power generation. Additionally, the Company’s assets within the Flexible Generation segment that are located in California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9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newer assets. The Company’s assets are largely comprised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proven and reliable technologies, provided by leading original wind, solar and BESS equipment manufacturers. Given the nature of the portfolio, which includes a substantial number of relatively low operating and maintenance cost wind, solar and BESS facilities, the Company expects to achieve high fleet availability and expend modest maintenance-related capital expenditures.</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Company’s portfolio comprises approximately 11.8 GW of gross capacity in 26 states, including approximately 9 GW of wind, solar and BESS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2.8 GW of dispatchable combustion-based power generation providing critical grid reliability services. The Company’s contracted assets included in the Renewables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CEG as sponsor. </w:t>
      </w:r>
      <w:r>
        <w:rPr>
          <w:rFonts w:ascii="Times New Roman" w:cs="Times New Roman" w:eastAsia="Times New Roman" w:hAnsi="Times New Roman"/>
          <w:sz w:val="14"/>
          <w:szCs w:val="14"/>
          <w:color w:val="auto"/>
        </w:rPr>
        <w:t>The Company believes that its relationship with CEG provides significant benefits given CEG’s highly capable renewable development and operations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platform that is aligned to support the Company’s growth. CEG has strong capabilities in capital formation, power origination, procurement, construction, business development, asset management, operations and maintenance and related commercial functions, which contribute to safeguarding and optimizing the value of the Company’s business and operating fleet. Additionally, GIP and TotalEnergies as owners of CEG each exhibit strong track records of stable financial support for investments in the renewable energy sector.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tables summarize the Company’s operating revenues, net income (loss) and assets by segment, as discussed in Item 15 — Note 12,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440" w:type="dxa"/>
            <w:vAlign w:val="bottom"/>
            <w:tcBorders>
              <w:bottom w:val="single" w:sz="8" w:color="auto"/>
            </w:tcBorders>
          </w:tcPr>
          <w:p>
            <w:pPr>
              <w:spacing w:after="0"/>
              <w:rPr>
                <w:sz w:val="13"/>
                <w:szCs w:val="13"/>
                <w:color w:val="auto"/>
              </w:rPr>
            </w:pPr>
          </w:p>
        </w:tc>
      </w:tr>
      <w:tr>
        <w:trPr>
          <w:trHeight w:val="149"/>
        </w:trPr>
        <w:tc>
          <w:tcPr>
            <w:tcW w:w="5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44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580" w:type="dxa"/>
            <w:vAlign w:val="bottom"/>
          </w:tcPr>
          <w:p>
            <w:pPr>
              <w:ind w:left="50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4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0" w:type="dxa"/>
            <w:vAlign w:val="bottom"/>
            <w:tcBorders>
              <w:top w:val="single" w:sz="8" w:color="auto"/>
              <w:left w:val="single" w:sz="8" w:color="CCEEFF"/>
            </w:tcBorders>
            <w:shd w:val="clear" w:color="auto" w:fill="CCEEFF"/>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40" w:type="dxa"/>
            <w:vAlign w:val="bottom"/>
            <w:tcBorders>
              <w:left w:val="single" w:sz="8" w:color="CCEEFF"/>
            </w:tcBorders>
            <w:shd w:val="clear" w:color="auto" w:fill="CCEEFF"/>
          </w:tcPr>
          <w:p>
            <w:pPr>
              <w:spacing w:after="0"/>
              <w:rPr>
                <w:sz w:val="14"/>
                <w:szCs w:val="14"/>
                <w:color w:val="auto"/>
              </w:rPr>
            </w:pPr>
          </w:p>
        </w:tc>
      </w:tr>
      <w:tr>
        <w:trPr>
          <w:trHeight w:val="373"/>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4"/>
        </w:trPr>
        <w:tc>
          <w:tcPr>
            <w:tcW w:w="5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0" w:type="dxa"/>
            <w:vAlign w:val="bottom"/>
          </w:tcPr>
          <w:p>
            <w:pPr>
              <w:spacing w:after="0"/>
              <w:rPr>
                <w:sz w:val="13"/>
                <w:szCs w:val="13"/>
                <w:color w:val="auto"/>
              </w:rPr>
            </w:pPr>
          </w:p>
        </w:tc>
        <w:tc>
          <w:tcPr>
            <w:tcW w:w="1540" w:type="dxa"/>
            <w:vAlign w:val="bottom"/>
            <w:gridSpan w:val="6"/>
          </w:tcPr>
          <w:p>
            <w:pPr>
              <w:ind w:left="42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r>
      <w:tr>
        <w:trPr>
          <w:trHeight w:val="16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40" w:type="dxa"/>
            <w:vAlign w:val="bottom"/>
            <w:tcBorders>
              <w:left w:val="single" w:sz="8" w:color="CCEEFF"/>
            </w:tcBorders>
          </w:tcPr>
          <w:p>
            <w:pPr>
              <w:spacing w:after="0"/>
              <w:rPr>
                <w:sz w:val="14"/>
                <w:szCs w:val="14"/>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4"/>
                <w:szCs w:val="14"/>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2,058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40" w:type="dxa"/>
            <w:vAlign w:val="bottom"/>
            <w:tcBorders>
              <w:left w:val="single" w:sz="8" w:color="CCEEFF"/>
            </w:tcBorders>
          </w:tcPr>
          <w:p>
            <w:pPr>
              <w:spacing w:after="0"/>
              <w:rPr>
                <w:sz w:val="14"/>
                <w:szCs w:val="14"/>
                <w:color w:val="auto"/>
              </w:rPr>
            </w:pPr>
          </w:p>
        </w:tc>
      </w:tr>
      <w:tr>
        <w:trPr>
          <w:trHeight w:val="235"/>
        </w:trPr>
        <w:tc>
          <w:tcPr>
            <w:tcW w:w="5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1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54"/>
        </w:trPr>
        <w:tc>
          <w:tcPr>
            <w:tcW w:w="5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60" w:type="dxa"/>
            <w:vAlign w:val="bottom"/>
            <w:gridSpan w:val="5"/>
          </w:tcPr>
          <w:p>
            <w:pPr>
              <w:jc w:val="center"/>
              <w:ind w:left="177"/>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3"/>
                <w:szCs w:val="13"/>
                <w:color w:val="auto"/>
              </w:rPr>
            </w:pPr>
          </w:p>
        </w:tc>
      </w:tr>
      <w:tr>
        <w:trPr>
          <w:trHeight w:val="16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40" w:type="dxa"/>
            <w:vAlign w:val="bottom"/>
          </w:tcPr>
          <w:p>
            <w:pPr>
              <w:spacing w:after="0"/>
              <w:rPr>
                <w:sz w:val="14"/>
                <w:szCs w:val="14"/>
                <w:color w:val="auto"/>
              </w:rPr>
            </w:pP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6"/>
                <w:szCs w:val="16"/>
                <w:color w:val="auto"/>
                <w:vertAlign w:val="superscript"/>
              </w:rPr>
              <w:t>(a)</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60" w:type="dxa"/>
            <w:vAlign w:val="bottom"/>
            <w:gridSpan w:val="7"/>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13881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2" w:lineRule="exact"/>
        <w:rPr>
          <w:sz w:val="20"/>
          <w:szCs w:val="20"/>
          <w:color w:val="auto"/>
        </w:rPr>
      </w:pPr>
    </w:p>
    <w:p>
      <w:pPr>
        <w:ind w:left="200" w:hanging="131"/>
        <w:spacing w:after="0"/>
        <w:tabs>
          <w:tab w:leader="none" w:pos="20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Corporate net income includes the $1,290 million gain on the sale of the Thermal Business to KKR, which was completed on May 1, 2022.</w:t>
      </w:r>
    </w:p>
    <w:p>
      <w:pPr>
        <w:spacing w:after="0" w:line="200" w:lineRule="exact"/>
        <w:rPr>
          <w:rFonts w:ascii="Times New Roman" w:cs="Times New Roman" w:eastAsia="Times New Roman" w:hAnsi="Times New Roman"/>
          <w:sz w:val="17"/>
          <w:szCs w:val="17"/>
          <w:color w:val="auto"/>
          <w:vertAlign w:val="superscript"/>
        </w:rPr>
      </w:pPr>
    </w:p>
    <w:p>
      <w:pPr>
        <w:spacing w:after="0" w:line="200" w:lineRule="exact"/>
        <w:rPr>
          <w:rFonts w:ascii="Times New Roman" w:cs="Times New Roman" w:eastAsia="Times New Roman" w:hAnsi="Times New Roman"/>
          <w:sz w:val="17"/>
          <w:szCs w:val="17"/>
          <w:color w:val="auto"/>
          <w:vertAlign w:val="superscript"/>
        </w:rPr>
      </w:pPr>
    </w:p>
    <w:p>
      <w:pPr>
        <w:spacing w:after="0" w:line="289" w:lineRule="exact"/>
        <w:rPr>
          <w:rFonts w:ascii="Times New Roman" w:cs="Times New Roman" w:eastAsia="Times New Roman" w:hAnsi="Times New Roman"/>
          <w:sz w:val="17"/>
          <w:szCs w:val="17"/>
          <w:color w:val="auto"/>
          <w:vertAlign w:val="superscript"/>
        </w:rPr>
      </w:pPr>
    </w:p>
    <w:p>
      <w:pPr>
        <w:ind w:left="560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Policy Incentives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51" w:lineRule="exact"/>
        <w:rPr>
          <w:sz w:val="20"/>
          <w:szCs w:val="20"/>
          <w:color w:val="auto"/>
        </w:rPr>
      </w:pPr>
    </w:p>
    <w:p>
      <w:pPr>
        <w:jc w:val="both"/>
        <w:ind w:left="520" w:hanging="260"/>
        <w:spacing w:after="0" w:line="257"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w:t>
      </w:r>
    </w:p>
    <w:p>
      <w:pPr>
        <w:spacing w:after="0" w:line="21" w:lineRule="exact"/>
        <w:rPr>
          <w:rFonts w:ascii="Times New Roman" w:cs="Times New Roman" w:eastAsia="Times New Roman" w:hAnsi="Times New Roman"/>
          <w:sz w:val="14"/>
          <w:szCs w:val="14"/>
          <w:color w:val="231F20"/>
        </w:rPr>
      </w:pPr>
    </w:p>
    <w:p>
      <w:pPr>
        <w:jc w:val="both"/>
        <w:ind w:left="520" w:hanging="260"/>
        <w:spacing w:after="0" w:line="264"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Pursuant to the U.S. federal Modified Accelerated Cost Recovery System, or MACRS, wind, solar and BESS facilities are generally depreciable for tax purposes over a five-year period (before taking into account certain conventions) even though the useful life of such facilities is generally much longer than five years. Federal income tax law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13" w:lineRule="exact"/>
        <w:rPr>
          <w:rFonts w:ascii="Times New Roman" w:cs="Times New Roman" w:eastAsia="Times New Roman" w:hAnsi="Times New Roman"/>
          <w:sz w:val="14"/>
          <w:szCs w:val="14"/>
          <w:color w:val="231F20"/>
        </w:rPr>
      </w:pPr>
    </w:p>
    <w:p>
      <w:pPr>
        <w:jc w:val="both"/>
        <w:ind w:left="520" w:hanging="260"/>
        <w:spacing w:after="0" w:line="270"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elimination of, loss of, or reduction in, the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 To the extent that proposed legislation and new or revised regulations restrict or otherwise impact the Company’s operations, the proposed legislation and regulations could have a negative impact on the Company’s financial performance.</w:t>
      </w:r>
    </w:p>
    <w:p>
      <w:pPr>
        <w:spacing w:after="0" w:line="10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Proposed Federal MBTA Incidental Take Legislation and Regulations </w:t>
      </w:r>
      <w:r>
        <w:rPr>
          <w:rFonts w:ascii="Times New Roman" w:cs="Times New Roman" w:eastAsia="Times New Roman" w:hAnsi="Times New Roman"/>
          <w:sz w:val="14"/>
          <w:szCs w:val="14"/>
          <w:color w:val="auto"/>
        </w:rPr>
        <w:t>— On October 4, 2021, U.S. Fish and Wildlife Service, or FWS, issued the final MBTA rule, effective December 3,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restoring the MBTA to prohibit the incidental take of migratory birds. In 2021, FWS issued an advance notice of proposed rulemaking advising that it intends to gather information necessary to develop proposed regulations to authorize the incidental take of migratory birds under prescribed conditions and prepare a draft environmental review pursuant to the National Environmental Policy Act, or NEPA. Throughout 2022, FWS sought comments on the content of the proposed rule. In November 2023, FWS withdrew the draft MBTA permit program rule from the Office of Information and Regulatory Affairs to address technical comments received from agencies. To date, a new rule has not been published by FWS.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Federal Eagle Incidental Take Permit Rule </w:t>
      </w:r>
      <w:r>
        <w:rPr>
          <w:rFonts w:ascii="Times New Roman" w:cs="Times New Roman" w:eastAsia="Times New Roman" w:hAnsi="Times New Roman"/>
          <w:sz w:val="14"/>
          <w:szCs w:val="14"/>
          <w:color w:val="auto"/>
        </w:rPr>
        <w:t>— On September 30, 2022, FWS published in the Federal Register a draft rule revising the eagle incidental take permit program. Comments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revised rule continued to be accepted during 2023. The final eagle incidental take permit rule was published in the Federal Register on February 12, 2024 and became effective on April 13, 2024. As anticipated, the final rule provided expedited eagle take permitting and a lower cost pathway to permit issuance for many wind facilities but not all. Facility specific permits will still be required for some facilities. The wind industry continues to work with FWS to improve this process.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Local California Air District Rules </w:t>
      </w:r>
      <w:r>
        <w:rPr>
          <w:rFonts w:ascii="Times New Roman" w:cs="Times New Roman" w:eastAsia="Times New Roman" w:hAnsi="Times New Roman"/>
          <w:sz w:val="14"/>
          <w:szCs w:val="14"/>
          <w:color w:val="auto"/>
        </w:rPr>
        <w:t>— Air districts, including the San Diego Air Pollution Control District, have recently proposed and/or updated new source review permitting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Amendments to NEPA </w:t>
      </w:r>
      <w:r>
        <w:rPr>
          <w:rFonts w:ascii="Times New Roman" w:cs="Times New Roman" w:eastAsia="Times New Roman" w:hAnsi="Times New Roman"/>
          <w:sz w:val="14"/>
          <w:szCs w:val="14"/>
          <w:color w:val="auto"/>
        </w:rPr>
        <w:t>— On June 3, 2023, the Fiscal Responsibility Act of 2023, or FRA, was signed into law, which includes amendments to the NEPA, aimed at streamlining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environmental review process, or the Phase 1 Rule. Following the FRA, on July 31, 2023, the White House Council on Environmental Quality, or CEQ, published a proposed rule, the Bipartisan Permitting Reform Implementation Rule, which sought to revise, update and modernize the existing regulations under the NEPA and included provisions regarding robust public involvement and expanding both environmental justice and climate change, or the Phase 2 Rule. The Phase 2 Rule was finalized on May 1, 2024. The renewable energy industry generally supported both the Phase 1 Rule and the Phase 2 Rule, however, the final Phase 2 Rule was challenged in Federal District Court and the D.C. Circuit. In February 2025, the U.S. District Court for the District of North Dakota held that the CEQ has no legal authority to issue federal regulations, and as a result, CEQ’s final Phase 2 Rule exceeded the agency’s authority. As a result of the U.S. District Court’s order, CEQ’s final rule was vacated and its NEPA regulations were invalidated. This outcome did not result in a material effect on the Company, as it maintains status quo for the NEPA implementation.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customers located across 26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2024, the Company’s largest customers as a percentage of consolidated revenue were SCE and PG&amp;E, which represented approximately 24% and 17%, respectively, with the next five largest customers representing a total of approximately 30% of consolidated 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had 60 employees. The Company also depends upon personnel of CEG for the provision of asset management, administration and O&amp;M services.</w:t>
      </w:r>
    </w:p>
    <w:p>
      <w:pPr>
        <w:spacing w:after="0" w:line="12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personnel of CEG, the Company relies on other third-party service providers in the daily operations of its facilities in the Flexible Generation segment, as well as certain renewable facilities.</w:t>
      </w:r>
    </w:p>
    <w:p>
      <w:pPr>
        <w:spacing w:after="0" w:line="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and CEG focus on attracting, developing and retaining a team of highly talented and motivated employees. The Company and CEG seek to attract and retain employees with industry experience and relevant skills to support operations, which in certain areas requires specific professional or technical skills and experience. The Company’s and CEG’s programs to attract and recruit qualified candidates focus on identifying qualified candidates from a variety of backgrounds with the requisite skills and experience to bring value to the Company.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The Company and CEG utilize various programs for developing and retaining employees that focus on employee engagement and belonging, as well as continuing education.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CEG are committed to maintaining a workplace that acknowledges, encourages and values its employees as individuals. The Company and CEG believe that individual differences, experiences, and strengths enrich the Company’s culture and help the Company to better understand the needs of its customers and the communities in which it operates.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(ESG)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Clearway, Inc.’s Board of Directors reviews developing trends and emerging ESG matters as well as the Company’s strategies, activities, policies and communications regarding ESG matters, and reviews and considers potential actions the Company could take regarding ESG matters.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Aligned with the Company’s strategy of owning and acquiring environmentally-sound assets, in 2024, approximately 86% of the Company’s total operating revenues were not tied to the dispatch of power generation emitting GHGs. This non-GHG emitting operating revenue included renewable energy generation and grid reliability services in the Company’s Renewables segment and grid reliability services in the Flexible Generation segment at the El Segundo, Marsh Landing and Walnut Creek facilities. Also in 2024, 96% of the Company’s total generation was attributable to renewable energy and storage assets. The Company has also issued $2,125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Clearway, Inc.’s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The Company’s business is subject to numerous risks and uncertainties, discussed in more detail in the following section. These risks include, among others, the following key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9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grow and make investments or acquisitions through cash on hand is limited.</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effectively consummate future investments or acquisitions will also depend on the Company’s ability to arrange the required or desired financing for investments or acquisitions.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indebtedness could adversely affect its ability to raise additional capital to fund the Company’s operations or pay distributions.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expansion and refurbishment of electric generation facilities involve significant risks that could result in unplanned power outages or reduced output.</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concentration at certain of the Company’s facilities and the inability of suppliers to meet their obligations may expose the Company to significant financial credit or performance risks.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businesses are subject to physical, market and economic risks relating to potential effects of climate change and public and governmental initiatives to address climate change.</w:t>
      </w:r>
    </w:p>
    <w:p>
      <w:pPr>
        <w:spacing w:after="0" w:line="194"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the Company’s businesses is subject to cyber-based security and integrity risk.</w:t>
      </w:r>
    </w:p>
    <w:p>
      <w:pPr>
        <w:spacing w:after="0" w:line="29"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potentially be adversely affected by emerging technologies that may over time impact capacity markets and the energy industry overall.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GIP, TotalEnergies and CEG</w:t>
      </w:r>
    </w:p>
    <w:p>
      <w:pPr>
        <w:spacing w:after="0" w:line="96" w:lineRule="exact"/>
        <w:rPr>
          <w:sz w:val="20"/>
          <w:szCs w:val="20"/>
          <w:color w:val="auto"/>
        </w:rPr>
      </w:pPr>
    </w:p>
    <w:p>
      <w:pPr>
        <w:ind w:left="520" w:hanging="260"/>
        <w:spacing w:after="0" w:line="268"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GIP and TotalEnergies, through their equal ownership of CEG, the controlling shareholder of Clearway, Inc., exercise substantial influence over the Company. The Company is highly dependent on GIP, TotalEnergies and CEG.</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controls the Company and has the ability to designate a majority of the members of Clearway, Inc.’s Board of Directors.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consummate future acquisitions from CEG.</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be unable to terminate the CEG Master Services Agreement, in certain circumstances.</w:t>
      </w:r>
    </w:p>
    <w:p>
      <w:pPr>
        <w:spacing w:after="0" w:line="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9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business is subject to restrictions resulting from environmental, health and safety laws and regulations.</w:t>
      </w:r>
    </w:p>
    <w:p>
      <w:pPr>
        <w:spacing w:after="0" w:line="29" w:lineRule="exact"/>
        <w:rPr>
          <w:rFonts w:ascii="Times New Roman" w:cs="Times New Roman" w:eastAsia="Times New Roman" w:hAnsi="Times New Roman"/>
          <w:sz w:val="14"/>
          <w:szCs w:val="14"/>
          <w:b w:val="1"/>
          <w:bCs w:val="1"/>
          <w:color w:val="auto"/>
        </w:rPr>
      </w:pPr>
    </w:p>
    <w:p>
      <w:pPr>
        <w:ind w:left="520" w:hanging="260"/>
        <w:spacing w:after="0" w:line="27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is subject to complex and evolving U.S. laws and regulations regarding privacy and data protection.</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providing incentives for renewable power generation could change at any time and such changes may negatively impact the Company’s growth strategy.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foreign trade policies may materially and adversely affect the Company’s business, operations and financial condition.</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comply with tax laws and policies may depend on its contractual arrangements and information provided by third parties and may require significant resources.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distribution policy, the Company intends to distribute a significant amount of the CAFD through regular quarterly distributions, and the Company’s ability to grow and make investments and acquisitions through cash on hand is limited.</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business strategy includes growth through the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 will impede the Company’s ability to execute its growth strategy and limit the Company’s ability to increase the amount of distributions paid to Clearway, Inc. and CEG.</w:t>
      </w:r>
    </w:p>
    <w:p>
      <w:pPr>
        <w:spacing w:after="0" w:line="10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ability to invest in or acquire future renewable facilities may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unit holders. Any failure of the Company’s acquired generation assets to be accretive or difficulty in integrating such acquisition into the Company’s business could have a material adverse effect on the Company’s ability to grow its business and make cash distributions to its unit holders. As a result, the consummation of acquisitions could have a material adverse effect on the Company’s business, financial condition, results of operations, cash flows and ability to pay distributions to its unit holders.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electric power the Company generates within the Renewables segment is sold under long-term offtake agreements with public utilities or industrial or commercial end-users, with a weighted average remaining duration, based on CAFD, of approximately 12 years. As of December 31, 2024, the largest customers of the Company’s power generation and BESS assets, including assets in which the Company has less than a 100% membership interest, were SCE and PG&amp;E, which represented 24% and 17%, respectively, of total consolidated revenues generated by the Company during the year ended December 31, 2024.</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investments or acquisitions will also depend on the Company’s ability to arrange the required or desired financing for investments or acquisitions.</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may not have sufficient credit availability under the Company’s financing arrangements or have access to facility-level financing on commercially reasonable terms when investment or acquisition opportunities arise. An inability to obtain the required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investments or acquisitions.</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approximately $7,235 million of total consolidated indebtedness, $5,110 million of which was incurred by the Company’s non-guarantor subsidiaries. In addition, the Company’s share of its unconsolidated affiliates’ total indebtedness and letters of credit outstanding as of December 31, 2024, totaled approximately $282 million and $39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The Company’s substantial debt could have important negative consequences on the Company’s financial condition, including:</w:t>
      </w:r>
    </w:p>
    <w:p>
      <w:pPr>
        <w:spacing w:after="0" w:line="5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investments or acquisitions;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ind w:left="520" w:hanging="260"/>
        <w:spacing w:after="0" w:line="28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60"/>
        <w:spacing w:after="0" w:line="28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investments, acquisitions and general corporate or other purposes; and</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3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unit 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distributions to Clearway, Inc. and CEG.</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firstLine="318"/>
        <w:spacing w:after="0" w:line="284"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operating subsidiary, and the costs of such capital, are dependent on numerous factors, including:</w:t>
      </w:r>
    </w:p>
    <w:p>
      <w:pPr>
        <w:spacing w:after="0" w:line="1"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its partners, Clearway, Inc. (as the Company’s sole managing member), or GIP and TotalEnergies, through CEG, as Clearway, Inc.’s principal stockholder (on a combined voting basis);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regional wholesale power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 or credit quality;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unit holders, on the one hand, and the Company’s co-venturers, on the other hand, where the Company’s co-venturers’ business interests are inconsistent with the interests of the Company and its unit 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facilities are located, which could result in disruption to its operations.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business, financial condition, results of operations and cash flows.</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Company’s business is dependent upon the computer systems of third-party providers to process certain data necessary to conduct business, including sensitive employee information, credit card transaction information and other sensitive data.</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its third-party providers’ systems for protecting against cyber incidents prove to be insufficient, current or planned business operations could be interrupted, property could be damaged and confidential, proprietary or other sensitive information, including employee, customer or supplier information could be lost, stolen, or corrupted, causing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Delivery of fuels to fuel the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80"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The Company believes its current operations and future success depend largely on the continued services of key personnel employed by the Company and CEG. Although the Company currently has access to the resources of CEG, the loss of key personnel employed by the Company or CEG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potentially be adversely affected by emerging technologies that may over time impact capacity markets and the energy industry overall.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Relationships with GIP, TotalEnergies and CEG</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GIP and TotalEnergies, through their equal ownership of CEG, exercise substantial influence over the Company through CEG’s position as controlling shareholder of Clearway, Inc. The Company is highly dependent on CEG.</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CEG owns all of Clearway, Inc.’s outstanding Class B and Class D common stock. Clearway, Inc.’s outstanding Class B and Class D common stock is entitled to one vote per share and 1/100th of a vote per share, respectively. As a result of its ownership of Clearway, Inc.’s Class B and Class D common stock, CEG owns 54.91% of the combined voting power of Clearway, Inc.’s common stock as of December 31, 2024. CEG is equally owned by GIP and TotalEnergies. On October 1, 2024, BlackRock acquired 100% of the business and assets of GIM, which is the investment manager of the GIP funds that own an interest in CEG. Clearway, Inc., through its holdings of Class A units and Class C units, owned a 58.10% economic interest in the Company as of December 31, 2024. Additionally, CEG, through its holdings of Class B units and Class D units, owned the remaining 41.90% economic interest in the Company as of December 31, 2024. As a result of this ownership, CEG has substantial influence on the Company’s affairs.</w:t>
      </w:r>
    </w:p>
    <w:p>
      <w:pPr>
        <w:spacing w:after="0" w:line="10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Furthermore, effective January 1, 2025, the Company effected a reorganization pursuant to which all of the employees of the Company transferred to CEG. As a result, the Company depends solely on the services provided by or under the direction of CEG under the CEG Master Services Agreement to carry out its operations.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controls the Company and has the ability to designate a majority of the members of Clearway, Inc.’s Board of Directors.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Due to CEG’s approximate 54.91% combined voting power in Clearway, Inc., the ability of other holders of Clearway, Inc.’s Class A and Class C common stock to exercise control over the corporate governance of the Company is limited. CEG has a substantial influence on Clearway, Inc.’s affairs, and CEG’s voting power constitutes a large percentage of any quorum of Clearway, Inc.’s stockholders voting on any matter requiring the approval of Clearway, Inc.’s stockholders. Such matters include the election of directors, the adoption of amendments to Clearway, Inc.’s amended and restated certificate of incorporation and fourth amended and restated bylaws and approval of mergers or sale of all or substantially all of its assets. This concentration of ownership may also have the effect of delaying or preventing a change in control of Clearway, Inc. or discouraging others from making tender offers for Clearway, Inc.’s shares. In addition, CEG and its affiliates have the right to elect all of Clearway, Inc.’s directors. It is possible that the interests of CEG and its affiliates may in certain circumstances differ from the interests of the Company or other holders of Clearway, Inc.’s Class A and Class C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CEG.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to terminate the CEG Master Services Agreement, in certain circumstances.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CEG is in the process of implementing an enterprise resource planning, or ERP, application to support its core business processes and data. The implementation of an ERP application requires significant human resources, which could impact CEG’s ability to provide services to the Company under the CEG Master Services Agreement. In addition, the Company will rely on CEG’s ERP application to support its core business processes, data, financial accounting, financial reporting and internal controls. If CEG is unable to complete an effective implementation of its ERP application in a timely manner, it could adversely impact the Company and its ability to meet its financial reporting and internal control requirements.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its unit holders, and, depending on the scope and magnitude of these claims, the Company may incur significant expenses and other financial obligations to cover such claims.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Local, state and federal regulations may focus on areas such as monitoring and restricting GHG emissions, regulating methane emissions and transitioning away from reliance on fossil fuels.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new rules that would require a wide range of climate-related disclosures in SEC filings, including certain climate-related risks, climate-related metrics and GHG emissions, information about climate-related targets and goals, transition plans, if any, and extensive attestation requirements. Although the SEC issued an order in April 2024 staying implementation of the new rules pending the resolution of certain legal challenges, the outcome of these legal challenges is uncertain, including with respect to the content of any portion of the rules that may be upheld and the ultimate timing of required compliance with such rules. On February 11, 2025, however, the SEC notified the U.S. Court of Appeals of a statement issued by the SEC’s Acting Chairman regarding, among other things, the fact that the majority of current SEC Commissioners had previously voted against adopting the rules and requested that the U.S. Court of Appeals not schedule the case for argument to provide time for the SEC to deliberate and determine the appropriate next steps in the cases.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273"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1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elimination or loss of, or reduction in, such incentives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the Company’s business, financial condition, results of operations and ability to grow its business and make cash distributions.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U.S. foreign trade policies, including the imposition of additional tariffs and other trade barriers, and efforts to withdraw from or materially modify international trade agreements, may materially and adversely affect the Company’s business, operations and financial condition.</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Changes in U.S. foreign trade policies could lead to the imposition of additional trade barriers and tariffs on the foreign import of certain materials and products. For example, effective February 4, 2025, the U.S. government implemented an additional tariff on goods being imported from China and announced additional tariffs for goods imported into the U.S. from Mexico and Canada beginning in March 2025. The Company cannot predict what additional changes to trade policy will be made by the presidential administration or Congress, including whether existing tariff policies will be maintained or modified, what products may be subject to such policies or whether the entry into new bilateral or multilateral trade agreements will occur, nor can the Company predict the effects that any such changes would have on its business. However, such steps, if adopted, could increase the Company’s costs and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a tariff on certain goods being imported into China from the U.S. There can be no assurance that such changes in U.S. or foreign trade policy or in laws and policies governing foreign trade, and any resulting negative sentiments towards the U.S. as a result of such changes, would not materially and adversely affect the Company’s business, financial condition, results of operations and liquidity.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materially adversely affect the Company’s business, financial condition and results of operations.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Moreover, the costs and resources required to adequately comply with the aforementioned requirements and to monitor the activities of third parties are still to be determined as the Company puts in place its compliance and documentation program and as guidance from the Treasury in the form of notices and regulations continues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27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CEG and its owners;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investment opportunities, as well as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1C —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Managing Material Risks &amp; Integrated Overall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Engage Third Parties on Risk Management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Recognizing the complexity and evolving nature of cybersecurity threats, the Company engages with a range of external experts, including cybersecurity consultants in evaluating and testing its risk management systems. The Company’s collaboration with these third parties includes regular audits; threat and vulnerability assessments; incident response plan testing; company-wide monitoring of cybersecurity risks; and consultation on security enhancements.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Oversee Third-Party Risk</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Due to the risks associated with the engagement of third-party vendors, service providers and business partners, the Company applies stringent processes to manage these risks. Thorough security assessments of all third-party providers with access to internal data and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data breaches or other security incidents originating from third parties.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Risks from Cybersecurity Threats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February 24, 2025,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and that the Company’s efforts will always be successful. For further discussion regarding the Company’s cybersecurity risks, see Item 1A — Risk Factors, </w:t>
      </w:r>
      <w:r>
        <w:rPr>
          <w:rFonts w:ascii="Times New Roman" w:cs="Times New Roman" w:eastAsia="Times New Roman" w:hAnsi="Times New Roman"/>
          <w:sz w:val="14"/>
          <w:szCs w:val="14"/>
          <w:i w:val="1"/>
          <w:iCs w:val="1"/>
          <w:color w:val="auto"/>
        </w:rPr>
        <w:t>Risks Related to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Oversight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Reporting to Board of Directors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play a pivotal role in informing Clearway, Inc.’s Board of Directors on cybersecurity risks. They provide briefings to the Board of Directors on a regular basis, with a minimum frequency of once per year. These briefings encompass a broad range of topics, including:</w:t>
      </w:r>
    </w:p>
    <w:p>
      <w:pPr>
        <w:spacing w:after="0" w:line="82"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cybersecurity threat landscape and emerging threats;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Status of ongoing cybersecurity initiatives and strategies;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Incident reports and learnings from any meaningful cybersecurity events;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status and efforts with regulatory requirements and industry standards.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3" w:name="page34"/>
    <w:bookmarkEnd w:id="33"/>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to scheduled meetings, the Board of Directors of Clearway, Inc.,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Personnel</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With over 20 years of experience in the field of cybersecurity, the current Vice President of Information Technology brings a wealth of expertise to their role. Their background includes extensive experience in information technology, and their in-depth knowledge and experience are instrumental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current Director of Cybersecurity has over 30 years of experience in information technology across a variety of industries and compliance programs. The Director of Cybersecurity has been heavily focused on cybersecurity in regulated industries for the past 10 years.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Management’s Role Managing Cybersecurity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Clearway, Inc.’s Board of Directors, ensuring that they have insight and can provide guidance on critical cybersecurity issues.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Monitor Cybersecurity Incidents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Vice President of Information Technology and Director of Cybersecurity are continually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retainers from respected third parties. This plan includes immediate actions to mitigate the impact of the incident, long-term strategies for remediation and the prevention of future incidents.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operating facilities as of December 31,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Rated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3"/>
                <w:szCs w:val="13"/>
                <w:color w:val="auto"/>
              </w:rPr>
            </w:pPr>
          </w:p>
        </w:tc>
      </w:tr>
      <w:tr>
        <w:trPr>
          <w:trHeight w:val="18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60"/>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Flexible Generation</w:t>
            </w:r>
          </w:p>
        </w:tc>
        <w:tc>
          <w:tcPr>
            <w:tcW w:w="2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Carlsbad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Carlsbad,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2018</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El Segundo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Segundo,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2027 - 2029</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Devon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Milford, CT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GenConn Middletown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Middletown, CT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June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Marsh Landing </w:t>
            </w:r>
            <w:r>
              <w:rPr>
                <w:rFonts w:ascii="Times New Roman" w:cs="Times New Roman" w:eastAsia="Times New Roman" w:hAnsi="Times New Roman"/>
                <w:sz w:val="14"/>
                <w:szCs w:val="14"/>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Antioch,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2026 - 2030</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Walnut Creek </w:t>
            </w:r>
            <w:r>
              <w:rPr>
                <w:rFonts w:ascii="Times New Roman" w:cs="Times New Roman" w:eastAsia="Times New Roman" w:hAnsi="Times New Roman"/>
                <w:sz w:val="14"/>
                <w:szCs w:val="14"/>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Industry, CA</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2026 - 2027</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Flexible Generation</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Agua Caliente</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Dateland,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2026 - 2041</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Pima County, AZ</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2012</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2009</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 Springs,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February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SDG&amp;E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Fort Stockton,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2018</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Luis Obispo,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October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 November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2033 - 2038</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Center,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2014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Enterprise</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Providence,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Helper,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Escalante II</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Milforad,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Escalante III</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Delta,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Granite Mountain East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Granite Mountain West</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2016</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Iron Springs</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Cedar City, UT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2016</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Lemoore,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June 2013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2022</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Oahu Solar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Oahu, HI</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2019</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Santa Teresa, NM</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August 2011</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2035 - 2047</w:t>
            </w:r>
          </w:p>
        </w:tc>
      </w:tr>
      <w:tr>
        <w:trPr>
          <w:trHeight w:val="159"/>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Lancaster, CA</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March 2013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1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2023</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Texas Solar Nova 2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Kent County, TX</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2024</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Verizon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59"/>
        </w:trPr>
        <w:tc>
          <w:tcPr>
            <w:tcW w:w="23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r>
      <w:tr>
        <w:trPr>
          <w:trHeight w:val="159"/>
        </w:trPr>
        <w:tc>
          <w:tcPr>
            <w:tcW w:w="234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January 2023</w:t>
            </w: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r>
      <w:tr>
        <w:trPr>
          <w:trHeight w:val="149"/>
        </w:trPr>
        <w:tc>
          <w:tcPr>
            <w:tcW w:w="23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Solar</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3,740</w:t>
            </w:r>
          </w:p>
        </w:tc>
        <w:tc>
          <w:tcPr>
            <w:tcW w:w="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7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BESS</w:t>
            </w: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Arica </w:t>
            </w:r>
            <w:r>
              <w:rPr>
                <w:rFonts w:ascii="Times New Roman" w:cs="Times New Roman" w:eastAsia="Times New Roman" w:hAnsi="Times New Roman"/>
                <w:sz w:val="14"/>
                <w:szCs w:val="14"/>
                <w:color w:val="auto"/>
                <w:vertAlign w:val="superscript"/>
              </w:rPr>
              <w:t>(c)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6"/>
                <w:szCs w:val="16"/>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1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March - June 2024</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2039 - 2041</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5"/>
                <w:szCs w:val="15"/>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218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0"/>
        </w:trPr>
        <w:tc>
          <w:tcPr>
            <w:tcW w:w="2120" w:type="dxa"/>
            <w:vAlign w:val="bottom"/>
            <w:tcBorders>
              <w:top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Daggett 2 </w:t>
            </w:r>
            <w:r>
              <w:rPr>
                <w:rFonts w:ascii="Times New Roman" w:cs="Times New Roman" w:eastAsia="Times New Roman" w:hAnsi="Times New Roman"/>
                <w:sz w:val="14"/>
                <w:szCs w:val="14"/>
                <w:color w:val="auto"/>
                <w:vertAlign w:val="superscript"/>
              </w:rPr>
              <w:t>(c)</w:t>
            </w: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Daggett 3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 Bernardino,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 November 2023</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2033 - 2038</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2022</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Victory Pass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Riverside,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2220" w:type="dxa"/>
            <w:vAlign w:val="bottom"/>
            <w:tcBorders>
              <w:bottom w:val="single" w:sz="8" w:color="CCEEFF"/>
            </w:tcBorders>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Waiawa </w:t>
            </w:r>
            <w:r>
              <w:rPr>
                <w:rFonts w:ascii="Times New Roman" w:cs="Times New Roman" w:eastAsia="Times New Roman" w:hAnsi="Times New Roman"/>
                <w:sz w:val="14"/>
                <w:szCs w:val="14"/>
                <w:color w:val="auto"/>
                <w:vertAlign w:val="superscript"/>
              </w:rPr>
              <w:t>(c)</w:t>
            </w:r>
          </w:p>
        </w:tc>
        <w:tc>
          <w:tcPr>
            <w:tcW w:w="1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January 2023</w:t>
            </w:r>
          </w:p>
        </w:tc>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50"/>
        </w:trPr>
        <w:tc>
          <w:tcPr>
            <w:tcW w:w="222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Utility Scale BESS</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DGPV Funds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1"/>
                <w:szCs w:val="11"/>
                <w:color w:val="auto"/>
              </w:rPr>
              <w:t>September 2015 - March</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2030 - 2044</w:t>
            </w:r>
          </w:p>
        </w:tc>
        <w:tc>
          <w:tcPr>
            <w:tcW w:w="0" w:type="dxa"/>
            <w:vAlign w:val="bottom"/>
          </w:tcPr>
          <w:p>
            <w:pPr>
              <w:spacing w:after="0"/>
              <w:rPr>
                <w:sz w:val="1"/>
                <w:szCs w:val="1"/>
                <w:color w:val="auto"/>
              </w:rPr>
            </w:pPr>
          </w:p>
        </w:tc>
      </w:tr>
      <w:tr>
        <w:trPr>
          <w:trHeight w:val="155"/>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 Power Partners (SPP)</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2008 - June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2026 - 2037</w:t>
            </w:r>
          </w:p>
        </w:tc>
        <w:tc>
          <w:tcPr>
            <w:tcW w:w="0" w:type="dxa"/>
            <w:vAlign w:val="bottom"/>
          </w:tcPr>
          <w:p>
            <w:pPr>
              <w:spacing w:after="0"/>
              <w:rPr>
                <w:sz w:val="1"/>
                <w:szCs w:val="1"/>
                <w:color w:val="auto"/>
              </w:rPr>
            </w:pPr>
          </w:p>
        </w:tc>
      </w:tr>
      <w:tr>
        <w:trPr>
          <w:trHeight w:val="116"/>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DG Facilities</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2010 - October</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2025 - 2039</w:t>
            </w:r>
          </w:p>
        </w:tc>
        <w:tc>
          <w:tcPr>
            <w:tcW w:w="0" w:type="dxa"/>
            <w:vAlign w:val="bottom"/>
          </w:tcPr>
          <w:p>
            <w:pPr>
              <w:spacing w:after="0"/>
              <w:rPr>
                <w:sz w:val="1"/>
                <w:szCs w:val="1"/>
                <w:color w:val="auto"/>
              </w:rPr>
            </w:pPr>
          </w:p>
        </w:tc>
      </w:tr>
      <w:tr>
        <w:trPr>
          <w:trHeight w:val="160"/>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2015</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X</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XI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Mineral and Grant Counties, WV</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Toyota and Google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Broken Bow</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Custer County,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Buffalo, OK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Cedar Creek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Bingham County, ID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2024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2049</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Cedro Hill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Webb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 December 2024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CPS Energy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Crofton Bluffs</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Knox County,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November 2012</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Howard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2019</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Elkhorn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Bloomfield,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Forward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Goat Wind</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Sterling City,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2008 - June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Christoval,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Petersburg, NE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Lookout</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Berlin, 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9"/>
        </w:trPr>
        <w:tc>
          <w:tcPr>
            <w:tcW w:w="22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(c)</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Callahan County,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(c)</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Fisher County,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Mountain Wind 1</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Uinta County, Wyoming</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Mountain Wind 2</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Uinta County, Wyoming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Mt. Storm</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Grant County, WV</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Citigroup</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Ocotillo</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Forsan, TX</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2023</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100" w:type="dxa"/>
            <w:vAlign w:val="bottom"/>
          </w:tcPr>
          <w:p>
            <w:pPr>
              <w:spacing w:after="0"/>
              <w:rPr>
                <w:sz w:val="15"/>
                <w:szCs w:val="15"/>
                <w:color w:val="auto"/>
              </w:rPr>
            </w:pPr>
          </w:p>
        </w:tc>
        <w:tc>
          <w:tcPr>
            <w:tcW w:w="16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Rated MW</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9"/>
              </w:rPr>
              <w:t>Net MW</w:t>
            </w:r>
            <w:r>
              <w:rPr>
                <w:rFonts w:ascii="Times New Roman" w:cs="Times New Roman" w:eastAsia="Times New Roman" w:hAnsi="Times New Roman"/>
                <w:sz w:val="16"/>
                <w:szCs w:val="16"/>
                <w:b w:val="1"/>
                <w:bCs w:val="1"/>
                <w:color w:val="auto"/>
                <w:w w:val="99"/>
                <w:vertAlign w:val="superscript"/>
              </w:rPr>
              <w:t>(a)</w:t>
            </w:r>
          </w:p>
        </w:tc>
        <w:tc>
          <w:tcPr>
            <w:tcW w:w="100" w:type="dxa"/>
            <w:vAlign w:val="bottom"/>
          </w:tcPr>
          <w:p>
            <w:pPr>
              <w:spacing w:after="0"/>
              <w:rPr>
                <w:sz w:val="15"/>
                <w:szCs w:val="15"/>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80" w:type="dxa"/>
            <w:vAlign w:val="bottom"/>
          </w:tcPr>
          <w:p>
            <w:pPr>
              <w:spacing w:after="0"/>
              <w:rPr>
                <w:sz w:val="15"/>
                <w:szCs w:val="15"/>
                <w:color w:val="auto"/>
              </w:rPr>
            </w:pP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COD</w:t>
            </w:r>
          </w:p>
        </w:tc>
        <w:tc>
          <w:tcPr>
            <w:tcW w:w="100" w:type="dxa"/>
            <w:vAlign w:val="bottom"/>
          </w:tcPr>
          <w:p>
            <w:pPr>
              <w:spacing w:after="0"/>
              <w:rPr>
                <w:sz w:val="15"/>
                <w:szCs w:val="15"/>
                <w:color w:val="auto"/>
              </w:rPr>
            </w:pPr>
          </w:p>
        </w:tc>
        <w:tc>
          <w:tcPr>
            <w:tcW w:w="2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01"/>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Keyser, WV</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8"/>
                <w:szCs w:val="8"/>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208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Maryland Department of General Services</w:t>
            </w:r>
          </w:p>
        </w:tc>
        <w:tc>
          <w:tcPr>
            <w:tcW w:w="10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University System of Maryland</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(c) (d)</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Ritzville, WA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Juan Mesa</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Elida, NM</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2005</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Sleeping Bear</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Woodward, OK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2007</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Sweetwater, TX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2009</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Spanish Fork</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Spanish Fork, UT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Spring Canyon II</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2014</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Spring Canyon III</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Logan County, CO</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Putnam, OK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2011</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16"/>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(c)</w:t>
            </w:r>
          </w:p>
        </w:tc>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Vega, TX</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2019 - January</w:t>
            </w:r>
          </w:p>
        </w:tc>
        <w:tc>
          <w:tcPr>
            <w:tcW w:w="2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60"/>
        </w:trPr>
        <w:tc>
          <w:tcPr>
            <w:tcW w:w="2220" w:type="dxa"/>
            <w:vAlign w:val="bottom"/>
            <w:gridSpan w:val="2"/>
            <w:vMerge w:val="continue"/>
            <w:shd w:val="clear" w:color="auto" w:fill="CCEEFF"/>
          </w:tcPr>
          <w:p>
            <w:pPr>
              <w:spacing w:after="0"/>
              <w:rPr>
                <w:sz w:val="13"/>
                <w:szCs w:val="13"/>
                <w:color w:val="auto"/>
              </w:rPr>
            </w:pPr>
          </w:p>
        </w:tc>
        <w:tc>
          <w:tcPr>
            <w:tcW w:w="1680" w:type="dxa"/>
            <w:vAlign w:val="bottom"/>
            <w:gridSpan w:val="2"/>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CEEFF"/>
          </w:tcPr>
          <w:p>
            <w:pPr>
              <w:spacing w:after="0"/>
              <w:rPr>
                <w:sz w:val="13"/>
                <w:szCs w:val="13"/>
                <w:color w:val="auto"/>
              </w:rPr>
            </w:pPr>
          </w:p>
        </w:tc>
        <w:tc>
          <w:tcPr>
            <w:tcW w:w="218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gridSpan w:val="2"/>
          </w:tcPr>
          <w:p>
            <w:pPr>
              <w:ind w:left="28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6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4,306</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Clearway Energy LLC</w:t>
            </w:r>
          </w:p>
        </w:tc>
        <w:tc>
          <w:tcPr>
            <w:tcW w:w="1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11,839</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9,143</w:t>
            </w: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Net capacity represents the maximum, or rated, generating capacity or storage capacity of the facility multiplied by the Company’s percentage ownership in the facility as of December 31, 2024.</w:t>
      </w:r>
    </w:p>
    <w:p>
      <w:pPr>
        <w:spacing w:after="0" w:line="34"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primary fuel type for these facilities is natural gas, with the exception of GenConn Devon and GenConn Middletown, which also use oil.</w:t>
      </w:r>
    </w:p>
    <w:p>
      <w:pPr>
        <w:spacing w:after="0" w:line="56" w:lineRule="exact"/>
        <w:rPr>
          <w:rFonts w:ascii="Times New Roman" w:cs="Times New Roman" w:eastAsia="Times New Roman" w:hAnsi="Times New Roman"/>
          <w:sz w:val="14"/>
          <w:szCs w:val="14"/>
          <w:color w:val="auto"/>
          <w:vertAlign w:val="superscript"/>
        </w:rPr>
      </w:pPr>
    </w:p>
    <w:p>
      <w:pPr>
        <w:ind w:left="180" w:hanging="111"/>
        <w:spacing w:after="0" w:line="212" w:lineRule="auto"/>
        <w:tabs>
          <w:tab w:leader="none" w:pos="1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Facilities are part of tax equity arrangements, as further described in Item 15 </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Note 2, </w:t>
      </w:r>
      <w:r>
        <w:rPr>
          <w:rFonts w:ascii="Times New Roman" w:cs="Times New Roman" w:eastAsia="Times New Roman" w:hAnsi="Times New Roman"/>
          <w:sz w:val="10"/>
          <w:szCs w:val="10"/>
          <w:i w:val="1"/>
          <w:iCs w:val="1"/>
          <w:color w:val="auto"/>
        </w:rPr>
        <w:t>Summary of Significant Accounting Policies</w:t>
      </w:r>
      <w:r>
        <w:rPr>
          <w:rFonts w:ascii="Times New Roman" w:cs="Times New Roman" w:eastAsia="Times New Roman" w:hAnsi="Times New Roman"/>
          <w:sz w:val="10"/>
          <w:szCs w:val="10"/>
          <w:color w:val="auto"/>
        </w:rPr>
        <w:t xml:space="preserve">, and Note 5, </w:t>
      </w:r>
      <w:r>
        <w:rPr>
          <w:rFonts w:ascii="Times New Roman" w:cs="Times New Roman" w:eastAsia="Times New Roman" w:hAnsi="Times New Roman"/>
          <w:sz w:val="10"/>
          <w:szCs w:val="10"/>
          <w:i w:val="1"/>
          <w:iCs w:val="1"/>
          <w:color w:val="auto"/>
        </w:rPr>
        <w:t>Investments Accounted for by the Equity Method and Variable Interest Entities</w:t>
      </w:r>
      <w:r>
        <w:rPr>
          <w:rFonts w:ascii="Times New Roman" w:cs="Times New Roman" w:eastAsia="Times New Roman" w:hAnsi="Times New Roman"/>
          <w:sz w:val="10"/>
          <w:szCs w:val="10"/>
          <w:color w:val="auto"/>
        </w:rPr>
        <w:t>.</w:t>
      </w:r>
    </w:p>
    <w:p>
      <w:pPr>
        <w:spacing w:after="0" w:line="27" w:lineRule="exact"/>
        <w:rPr>
          <w:rFonts w:ascii="Times New Roman" w:cs="Times New Roman" w:eastAsia="Times New Roman" w:hAnsi="Times New Roman"/>
          <w:sz w:val="14"/>
          <w:szCs w:val="14"/>
          <w:color w:val="auto"/>
          <w:vertAlign w:val="superscript"/>
        </w:rPr>
      </w:pPr>
    </w:p>
    <w:p>
      <w:pPr>
        <w:ind w:left="200" w:hanging="131"/>
        <w:spacing w:after="0" w:line="200" w:lineRule="auto"/>
        <w:tabs>
          <w:tab w:leader="none" w:pos="20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55" w:right="1440" w:bottom="1440" w:gutter="0" w:footer="0" w:header="0"/>
        </w:sectPr>
      </w:pPr>
    </w:p>
    <w:bookmarkStart w:id="38" w:name="page39"/>
    <w:bookmarkEnd w:id="38"/>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22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0.4102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0.4102</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1" w:lineRule="exact"/>
        <w:rPr>
          <w:sz w:val="20"/>
          <w:szCs w:val="20"/>
          <w:color w:val="auto"/>
        </w:rPr>
      </w:pPr>
    </w:p>
    <w:p>
      <w:pPr>
        <w:ind w:right="1420" w:firstLine="318"/>
        <w:spacing w:after="0" w:line="477" w:lineRule="auto"/>
        <w:rPr>
          <w:sz w:val="20"/>
          <w:szCs w:val="20"/>
          <w:color w:val="auto"/>
        </w:rPr>
      </w:pPr>
      <w:r>
        <w:rPr>
          <w:rFonts w:ascii="Times New Roman" w:cs="Times New Roman" w:eastAsia="Times New Roman" w:hAnsi="Times New Roman"/>
          <w:sz w:val="14"/>
          <w:szCs w:val="14"/>
          <w:color w:val="auto"/>
        </w:rPr>
        <w:t xml:space="preserve">On February 17, 2025, the Company declared a quarterly distribution on its Class A, Class B, Class C and Class D units of $0.4312 per unit payable on March 17, 2025. </w:t>
      </w: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Management’s Discussion and Analysis of Financial Condition and the Results of Operations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Income to this Form 10-K.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 Discussions of the year ended December 31, 2022 that are not included in this Annual Report on Form 10-K and year-to-year comparisons of the year ended December 31, 2023 and the year ended December 31, 2022 can be found in “Management’s Discussion and Analysis of Financial Condition and the Results of Operations” in Part II, Item 7 of the Company’s Annual Report on Form 10-K for the year ended December 31, 2023.</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auto"/>
        </w:rPr>
      </w:pPr>
    </w:p>
    <w:p>
      <w:pPr>
        <w:ind w:left="1020" w:right="220" w:hanging="251"/>
        <w:spacing w:after="0" w:line="287" w:lineRule="auto"/>
        <w:tabs>
          <w:tab w:leader="none" w:pos="10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 Company’s Renewables segment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2024 </w:t>
      </w:r>
      <w:r>
        <w:rPr>
          <w:rFonts w:ascii="Times New Roman" w:cs="Times New Roman" w:eastAsia="Times New Roman" w:hAnsi="Times New Roman"/>
          <w:sz w:val="14"/>
          <w:szCs w:val="14"/>
          <w:color w:val="231F20"/>
        </w:rPr>
        <w:t>based on CAFD.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Third-Party Acquisition</w:t>
      </w:r>
    </w:p>
    <w:p>
      <w:pPr>
        <w:spacing w:after="0" w:line="138" w:lineRule="exact"/>
        <w:rPr>
          <w:sz w:val="20"/>
          <w:szCs w:val="20"/>
          <w:color w:val="auto"/>
        </w:rPr>
      </w:pPr>
    </w:p>
    <w:p>
      <w:pPr>
        <w:jc w:val="both"/>
        <w:ind w:left="520" w:hanging="260"/>
        <w:spacing w:after="0" w:line="259"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25, 2024, the Company entered into a binding agreement to acquire the Tuolumne wind facility, a 137 MW operating facility located in 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9"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20, 2024, the Company, through an indirect subsidiary, entered into an agreement with Clearway Renew to acquire the Class A membership interests in the Honeycomb Portfolio, which includes four BESS facilities under construction in Utah, representing 320 MW of capacity, for $78 million in cash consideration. The consummation of the transaction is subject to customary closing conditions and certain third-party approvals and is expected in the first half of 2026.</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November 18, 2024, the Company, through its indirect subsidiary, Dan’s Mountain Parent Holdco LLC, acquired the Class A membership interests in Dan’s 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28, 2024, the Company, through an indirect subsidiary, entered into an agreement with Clearway Renew to acquire 50% of the Class B membership interests in Pine Forest TE Holdco LLC, a tax equity fund that upon mechanical completion will own Pine Forest, a 300 MW solar facility that will be paired with a 200 MW BESS facility currently under construction in Hopkins County, Texas, for $90 million in cash consideration, subject to closing adjustments. The consummation of the transaction is subject to customary closing conditions and certain third-party approvals and is expected in the second half of 2025.</w:t>
      </w:r>
    </w:p>
    <w:p>
      <w:pPr>
        <w:spacing w:after="0" w:line="8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27, 2024, the Company, through an indirect subsidiary, entered into an agreement with Clearway Renew to acquire the Class A membership interests in Luna Valley, a 200 MW solar facility currently under construction in Fresno County, California, and Daggett 1, a 114 MW BESS facility currently under construction in San Bernardino, California, for $143 million in cash consideration, subject to closing adjustments. The consummation of the transaction is subject to customary closing conditions and certain third-party approvals and is expected in the first half of 2025.</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2024, the Company, through an indirect subsidiary, entered into an agreement with Clearway Renew to acquire the Class A membership interests in Rosamond South I, a 140 MW solar facility that will be paired with a 117 MW BESS facility currently under construction in Rosamond, California, for $21 million in cash consideration, subject to closing adjustments. The consummation of the transaction is subject to customary closing conditions and certain third-party approvals and is expected in the first half of 2025.</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82"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for further discussion of the transaction.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 Agreements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December 2029. El Segundo is now contracted for 100% of its capacity through 2027 and approximately 50% of its capacity through 2028.</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2024, the Company contracted with a load serving entity to sell approximately 97 MW of Walnut Creek’s RA commencing in January 2027 and ending in December 2027. Walnut Creek is contracted for 100% of its capacity through 2026 and is now contracted for approximately 20% of its capacity through 2027.</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28, 2024, the Company contracted with a load serving entity to sell approximately 90 MW of Marsh Landing’s RA commencing in September 2026 and ending in December 2030. On July 31, 2024, the Company contracted with an additional load serving entity to sell approximately 195 MW of Marsh Landing’s RA commencing in October 2026 and ending in December 2028. Marsh Landing is now contracted for approximately 99% of its capacity through 2027 and approximately 49% of its capacity through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Facility-level Financing Activities</w:t>
      </w:r>
    </w:p>
    <w:p>
      <w:pPr>
        <w:spacing w:after="0" w:line="136" w:lineRule="exact"/>
        <w:rPr>
          <w:sz w:val="20"/>
          <w:szCs w:val="20"/>
          <w:color w:val="auto"/>
        </w:rPr>
      </w:pPr>
    </w:p>
    <w:p>
      <w:pPr>
        <w:ind w:left="520" w:hanging="260"/>
        <w:spacing w:after="0" w:line="290" w:lineRule="auto"/>
        <w:tabs>
          <w:tab w:leader="none" w:pos="516"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connection with the 2024 Drop Downs of Texas Solar Nova 2, Cedar Creek and Dan’s Mountain, the Company assumed non-recourse facility-level debt.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facility-level debt associated with each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related to Broken Bow and Crofton Bluffs and to pay related financing costs.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financing arrangement.</w:t>
      </w:r>
    </w:p>
    <w:p>
      <w:pPr>
        <w:spacing w:after="0" w:line="93"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See </w:t>
      </w:r>
      <w:r>
        <w:rPr>
          <w:rFonts w:ascii="Times New Roman" w:cs="Times New Roman" w:eastAsia="Times New Roman" w:hAnsi="Times New Roman"/>
          <w:sz w:val="14"/>
          <w:szCs w:val="14"/>
          <w:color w:val="231F20"/>
        </w:rPr>
        <w:t xml:space="preserve">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000000"/>
        </w:rPr>
        <w:t>, for further discussion of the letter of credit facility.</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the Company paid $279 million 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Clearway Renew utilized the proceeds to repay the loan that was previously issued to its consolidated subsidiary by Rosie Class B LLC and to redeem Rosie Class B LLC’s entire equity investment in Rosie Central BESS. The Company utilized proceeds from Clearway Renew, along with $39 million held previously in escrow and $56 million of the Company’s additional purchase price contributed back to the Company by CEG, to repay the tax equity bridge loan, to make a distribution to the cash equity investor, to fund construction completion reserves and to pay associated fees.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5,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w:t>
      </w:r>
      <w:r>
        <w:rPr>
          <w:rFonts w:ascii="Times New Roman" w:cs="Times New Roman" w:eastAsia="Times New Roman" w:hAnsi="Times New Roman"/>
          <w:sz w:val="14"/>
          <w:szCs w:val="14"/>
          <w:color w:val="auto"/>
        </w:rPr>
        <w:t>, and Note 10,</w:t>
      </w:r>
      <w:r>
        <w:rPr>
          <w:rFonts w:ascii="Times New Roman" w:cs="Times New Roman" w:eastAsia="Times New Roman" w:hAnsi="Times New Roman"/>
          <w:sz w:val="14"/>
          <w:szCs w:val="14"/>
          <w:i w:val="1"/>
          <w:iCs w:val="1"/>
          <w:color w:val="auto"/>
        </w:rPr>
        <w:t xml:space="preserve"> Long-term Debt</w:t>
      </w:r>
      <w:r>
        <w:rPr>
          <w:rFonts w:ascii="Times New Roman" w:cs="Times New Roman" w:eastAsia="Times New Roman" w:hAnsi="Times New Roman"/>
          <w:sz w:val="14"/>
          <w:szCs w:val="14"/>
          <w:color w:val="auto"/>
        </w:rPr>
        <w:t>, for further discussion of the transactions.</w:t>
      </w:r>
    </w:p>
    <w:p>
      <w:pPr>
        <w:spacing w:after="0" w:line="104" w:lineRule="exact"/>
        <w:rPr>
          <w:rFonts w:ascii="Times New Roman" w:cs="Times New Roman" w:eastAsia="Times New Roman" w:hAnsi="Times New Roman"/>
          <w:sz w:val="14"/>
          <w:szCs w:val="14"/>
          <w:b w:val="1"/>
          <w:bCs w:val="1"/>
          <w:i w:val="1"/>
          <w:iCs w:val="1"/>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Company utilized the proceeds from the term loan and existing sources of liquidity to pay off the existing debt.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refinanced credit agreement.</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On May 1, 2024, when the Victory Pass and Arica solar and BESS facilities reached substantial completion, the Company paid $165 million to Clearway Renew as additional purchase price in connection with the Company’s acquisition of the Class A membership interests in VP-Arica TargetCo LLC on October 31, 2023.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transactions.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76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56"/>
              <w:spacing w:after="0" w:line="133"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Revenues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revenues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Contract 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20" w:type="dxa"/>
            <w:vAlign w:val="bottom"/>
            <w:tcBorders>
              <w:bottom w:val="single" w:sz="8" w:color="CCEEFF"/>
            </w:tcBorders>
          </w:tcPr>
          <w:p>
            <w:pPr>
              <w:spacing w:after="0"/>
              <w:rPr>
                <w:sz w:val="13"/>
                <w:szCs w:val="13"/>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Total operating revenues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52"/>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Cost of fuels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Impairment losses</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Development costs</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20" w:type="dxa"/>
            <w:vAlign w:val="bottom"/>
            <w:tcBorders>
              <w:bottom w:val="single" w:sz="8" w:color="CCEEFF"/>
            </w:tcBorders>
          </w:tcPr>
          <w:p>
            <w:pPr>
              <w:spacing w:after="0"/>
              <w:rPr>
                <w:sz w:val="13"/>
                <w:szCs w:val="13"/>
                <w:color w:val="auto"/>
              </w:rPr>
            </w:pPr>
          </w:p>
        </w:tc>
        <w:tc>
          <w:tcPr>
            <w:tcW w:w="7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w:t>
            </w:r>
          </w:p>
        </w:tc>
      </w:tr>
      <w:tr>
        <w:trPr>
          <w:trHeight w:val="163"/>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sale of business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158"/>
        </w:trPr>
        <w:tc>
          <w:tcPr>
            <w:tcW w:w="20" w:type="dxa"/>
            <w:vAlign w:val="bottom"/>
            <w:tcBorders>
              <w:bottom w:val="single" w:sz="8" w:color="CCEEFF"/>
            </w:tcBorders>
          </w:tcPr>
          <w:p>
            <w:pPr>
              <w:spacing w:after="0"/>
              <w:rPr>
                <w:sz w:val="13"/>
                <w:szCs w:val="13"/>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1,472</w:t>
            </w:r>
          </w:p>
        </w:tc>
      </w:tr>
      <w:tr>
        <w:trPr>
          <w:trHeight w:val="152"/>
        </w:trPr>
        <w:tc>
          <w:tcPr>
            <w:tcW w:w="20" w:type="dxa"/>
            <w:vAlign w:val="bottom"/>
            <w:shd w:val="clear" w:color="auto" w:fill="CCEEFF"/>
          </w:tcPr>
          <w:p>
            <w:pPr>
              <w:spacing w:after="0"/>
              <w:rPr>
                <w:sz w:val="13"/>
                <w:szCs w:val="13"/>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20" w:type="dxa"/>
            <w:vAlign w:val="bottom"/>
          </w:tcPr>
          <w:p>
            <w:pPr>
              <w:spacing w:after="0"/>
              <w:rPr>
                <w:sz w:val="14"/>
                <w:szCs w:val="14"/>
                <w:color w:val="auto"/>
              </w:rPr>
            </w:pPr>
          </w:p>
        </w:tc>
        <w:tc>
          <w:tcPr>
            <w:tcW w:w="77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interest income (expense)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2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interest expense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63"/>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other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58"/>
        </w:trPr>
        <w:tc>
          <w:tcPr>
            <w:tcW w:w="20" w:type="dxa"/>
            <w:vAlign w:val="bottom"/>
          </w:tcPr>
          <w:p>
            <w:pPr>
              <w:spacing w:after="0"/>
              <w:rPr>
                <w:sz w:val="13"/>
                <w:szCs w:val="13"/>
                <w:color w:val="auto"/>
              </w:rPr>
            </w:pP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(Loss) Income Before Income Taxes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r>
      <w:tr>
        <w:trPr>
          <w:trHeight w:val="172"/>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r>
      <w:tr>
        <w:trPr>
          <w:trHeight w:val="170"/>
        </w:trPr>
        <w:tc>
          <w:tcPr>
            <w:tcW w:w="20" w:type="dxa"/>
            <w:vAlign w:val="bottom"/>
            <w:shd w:val="clear" w:color="auto" w:fill="CCEEFF"/>
          </w:tcPr>
          <w:p>
            <w:pPr>
              <w:spacing w:after="0"/>
              <w:rPr>
                <w:sz w:val="14"/>
                <w:szCs w:val="14"/>
                <w:color w:val="auto"/>
              </w:rPr>
            </w:pPr>
          </w:p>
        </w:tc>
        <w:tc>
          <w:tcPr>
            <w:tcW w:w="7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3"/>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LLC</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Business metrics:</w:t>
            </w: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00" w:type="dxa"/>
            <w:vAlign w:val="bottom"/>
            <w:gridSpan w:val="3"/>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2"/>
        </w:trPr>
        <w:tc>
          <w:tcPr>
            <w:tcW w:w="75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3"/>
                <w:szCs w:val="13"/>
                <w:color w:val="auto"/>
              </w:rPr>
              <w:t xml:space="preserve">Solar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8,658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4,991</w:t>
            </w:r>
          </w:p>
        </w:tc>
        <w:tc>
          <w:tcPr>
            <w:tcW w:w="0" w:type="dxa"/>
            <w:vAlign w:val="bottom"/>
          </w:tcPr>
          <w:p>
            <w:pPr>
              <w:spacing w:after="0"/>
              <w:rPr>
                <w:sz w:val="1"/>
                <w:szCs w:val="1"/>
                <w:color w:val="auto"/>
              </w:rPr>
            </w:pPr>
          </w:p>
        </w:tc>
      </w:tr>
      <w:tr>
        <w:trPr>
          <w:trHeight w:val="170"/>
        </w:trPr>
        <w:tc>
          <w:tcPr>
            <w:tcW w:w="7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Wind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9,951</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9,414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9,343</w:t>
            </w:r>
          </w:p>
        </w:tc>
        <w:tc>
          <w:tcPr>
            <w:tcW w:w="0" w:type="dxa"/>
            <w:vAlign w:val="bottom"/>
          </w:tcPr>
          <w:p>
            <w:pPr>
              <w:spacing w:after="0"/>
              <w:rPr>
                <w:sz w:val="1"/>
                <w:szCs w:val="1"/>
                <w:color w:val="auto"/>
              </w:rPr>
            </w:pPr>
          </w:p>
        </w:tc>
      </w:tr>
      <w:tr>
        <w:trPr>
          <w:trHeight w:val="185"/>
        </w:trPr>
        <w:tc>
          <w:tcPr>
            <w:tcW w:w="7520" w:type="dxa"/>
            <w:vAlign w:val="bottom"/>
            <w:tcBorders>
              <w:top w:val="single" w:sz="8" w:color="CCEEFF"/>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Renewables MWh generated/sold (in thousands) </w:t>
            </w:r>
            <w:r>
              <w:rPr>
                <w:rFonts w:ascii="Times New Roman" w:cs="Times New Roman" w:eastAsia="Times New Roman" w:hAnsi="Times New Roman"/>
                <w:sz w:val="16"/>
                <w:szCs w:val="16"/>
                <w:color w:val="auto"/>
                <w:vertAlign w:val="superscript"/>
              </w:rPr>
              <w:t>(a)</w:t>
            </w:r>
          </w:p>
        </w:tc>
        <w:tc>
          <w:tcPr>
            <w:tcW w:w="11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18,609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14,334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Solar weighted-average capacity factor </w:t>
            </w:r>
            <w:r>
              <w:rPr>
                <w:rFonts w:ascii="Times New Roman" w:cs="Times New Roman" w:eastAsia="Times New Roman" w:hAnsi="Times New Roman"/>
                <w:sz w:val="16"/>
                <w:szCs w:val="16"/>
                <w:color w:val="auto"/>
                <w:vertAlign w:val="superscript"/>
              </w:rPr>
              <w:t>(b)</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20" w:type="dxa"/>
            <w:vAlign w:val="bottom"/>
            <w:vMerge w:val="continue"/>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29.8 %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28.4 %</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Wind weighted-average capacity factor </w:t>
            </w:r>
            <w:r>
              <w:rPr>
                <w:rFonts w:ascii="Times New Roman" w:cs="Times New Roman" w:eastAsia="Times New Roman" w:hAnsi="Times New Roman"/>
                <w:sz w:val="16"/>
                <w:szCs w:val="16"/>
                <w:color w:val="auto"/>
                <w:vertAlign w:val="superscript"/>
              </w:rPr>
              <w:t>(c)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29.9 %</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Thermal MWt sold (in thousands) </w:t>
            </w:r>
            <w:r>
              <w:rPr>
                <w:rFonts w:ascii="Times New Roman" w:cs="Times New Roman" w:eastAsia="Times New Roman" w:hAnsi="Times New Roman"/>
                <w:sz w:val="16"/>
                <w:szCs w:val="16"/>
                <w:color w:val="auto"/>
                <w:vertAlign w:val="superscript"/>
              </w:rPr>
              <w:t>(d)</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835</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Thermal MWh sold (in thousands) </w:t>
            </w:r>
            <w:r>
              <w:rPr>
                <w:rFonts w:ascii="Times New Roman" w:cs="Times New Roman" w:eastAsia="Times New Roman" w:hAnsi="Times New Roman"/>
                <w:sz w:val="16"/>
                <w:szCs w:val="16"/>
                <w:color w:val="auto"/>
                <w:vertAlign w:val="superscript"/>
              </w:rPr>
              <w:t>(d)</w:t>
            </w: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Flexible Generation MWh generated (in thousands) </w:t>
            </w:r>
            <w:r>
              <w:rPr>
                <w:rFonts w:ascii="Times New Roman" w:cs="Times New Roman" w:eastAsia="Times New Roman" w:hAnsi="Times New Roman"/>
                <w:sz w:val="16"/>
                <w:szCs w:val="16"/>
                <w:color w:val="auto"/>
                <w:vertAlign w:val="superscript"/>
              </w:rPr>
              <w:t>(a)(e)</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847</w:t>
            </w:r>
          </w:p>
        </w:tc>
        <w:tc>
          <w:tcPr>
            <w:tcW w:w="13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Flexible Generation equivalent availability factor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90.6 %</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80" w:hanging="111"/>
        <w:spacing w:after="0"/>
        <w:tabs>
          <w:tab w:leader="none" w:pos="18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Typical average capacity factors for solar facilities is 25%. The weighted-average capacity factors can vary based on seasonality and weather.</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Typical average capacity factors for wind facilities is 25-45%. The weighted-average capacity factors can vary based on seasonality and weather.</w:t>
      </w:r>
    </w:p>
    <w:p>
      <w:pPr>
        <w:spacing w:after="0" w:line="14"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2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On May 1, 2022, the Company completed the sale of 100% of its interests in the Thermal Business to KKR.</w:t>
      </w:r>
    </w:p>
    <w:p>
      <w:pPr>
        <w:spacing w:after="0" w:line="14"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generated in 2022 were not sold as the Flexible Generation facilities sold only capacity rather than energy prior to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revenues increased by $57 million for the year ended December 31, 2024, compared to the same period in 2023, due to a combination of the drivers summarized 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18"/>
        </w:trPr>
        <w:tc>
          <w:tcPr>
            <w:tcW w:w="23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Flexible Generation Segment</w:t>
            </w:r>
          </w:p>
        </w:tc>
        <w:tc>
          <w:tcPr>
            <w:tcW w:w="7560" w:type="dxa"/>
            <w:vAlign w:val="bottom"/>
            <w:shd w:val="clear" w:color="auto" w:fill="CCEEFF"/>
          </w:tcPr>
          <w:p>
            <w:pPr>
              <w:ind w:left="300"/>
              <w:spacing w:after="0" w:line="118" w:lineRule="exact"/>
              <w:rPr>
                <w:sz w:val="20"/>
                <w:szCs w:val="20"/>
                <w:color w:val="auto"/>
              </w:rPr>
            </w:pPr>
            <w:r>
              <w:rPr>
                <w:rFonts w:ascii="Times New Roman" w:cs="Times New Roman" w:eastAsia="Times New Roman" w:hAnsi="Times New Roman"/>
                <w:sz w:val="13"/>
                <w:szCs w:val="13"/>
                <w:color w:val="auto"/>
              </w:rPr>
              <w:t>Decrease primarily driven by lower prices for capacity revenue due to the expiration of PPAs and commencement of RA</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capacity revenue at the Walnut Creek and Marsh Landing facilities during the second quarter of 2023 and the El Segundo</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facility during the third quarter of 2023.</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Decrease driven by the sales-type lease revenue recognition of the Marsh Landing Black Start addition during the second</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quarter of 2023.</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primarily driven by higher energy revenue due to the commencement of merchant operations following the expiration</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of PPAs at the Walnut Creek, Marsh Landing and El Segundo facilities during 2023.</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8"/>
        </w:trPr>
        <w:tc>
          <w:tcPr>
            <w:tcW w:w="23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Renewables Segment</w:t>
            </w: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driven by the Daggett 2, Daggett 3, Victory Pass and Arica solar and BESS acquisitions, which reached commercial</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7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operations in December 2023, July 2023, March 2024 and April 2024, respectively, the acquisition of Texas Solar Nova 1 and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75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Texas Solar Nova 2 in December 2023 and March 2024, respectively, and the Rosamond Central BESS acquisition, which</w:t>
            </w:r>
          </w:p>
        </w:tc>
        <w:tc>
          <w:tcPr>
            <w:tcW w:w="2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reached commercial operations in June 2024.</w:t>
            </w: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primarily driven by higher wind production at the Alta wind facilities.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driven by the acquisition of the Cedar Creek wind facility in April 2024.</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primarily driven by the Walnut Creek PPA, which was fully amortized during the second quarter of 2023.</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Mark-to-market economic hedges</w:t>
            </w: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Decrease primarily driven by an increase in forward power prices in the ERCOT and PJM markets.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38"/>
        </w:trPr>
        <w:tc>
          <w:tcPr>
            <w:tcW w:w="2360" w:type="dxa"/>
            <w:vAlign w:val="bottom"/>
            <w:shd w:val="clear" w:color="auto" w:fill="CCEEFF"/>
          </w:tcPr>
          <w:p>
            <w:pPr>
              <w:spacing w:after="0"/>
              <w:rPr>
                <w:sz w:val="11"/>
                <w:szCs w:val="11"/>
                <w:color w:val="auto"/>
              </w:rPr>
            </w:pP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due to heat rate call option contracts entered into by El Segundo, Marsh Landing and Walnut Creek during the third</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quarter of 2023.</w:t>
            </w: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Cost of fuels decreased by $17 million during the year ended December 31, 2024, compared to the same period in 2023, primarily due to the associated costs of the sales-type lease recognition of the Marsh Landing Black Start addition during the second quarter of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$32 million during the year ended December 31, 2024, compared to the same period in 2023, primarily due to the solar and BESS acquisitions referenced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Amortization and Accretion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Depreciation, amortization and accretion increased by $101 million during the year ended December 31, 2024, compared to the same period in 2023, primarily due to the solar and BESS acquisitions referenced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Unconsolidated Affiliates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Equity in earnings of unconsolidated affiliates increased by $23 million during the year ended December 31, 2024, compared to the same period in 2023, due to changes in the fair value of interest rate swaps, lower depreciation expense and higher wind production.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97"/>
        </w:trPr>
        <w:tc>
          <w:tcPr>
            <w:tcW w:w="9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expense decreased by $30 million during the year ended December 31, 2024, compared to the same period in 2023, primarily due to the following:</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4"/>
        </w:trPr>
        <w:tc>
          <w:tcPr>
            <w:tcW w:w="9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changes in interest rates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interest expense due to an increase in principal balances for the Renewables segment primarily due to solar and BESS acquisitions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99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2024, the Company recorded an income tax expense of $1 million on pretax loss of $32 million. For the same period in 2023, the Company recorded an income tax benefit of $2 million on pretax loss of $15 million. The Company is classified as a partnership for federal and state income tax purposes. Therefore, federal and most state income taxes are assessed at the partner level. The franchise tax imposed by the state of Texas, however, is being assessed at the level of certain operating subsidiaries of the Company, and therefore reflected as an income tax expense or benefit of the Company.</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 and Redeemable Noncontrolling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the Company had a net loss of $236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sectPr>
      </w:pPr>
    </w:p>
    <w:p>
      <w:pPr>
        <w:spacing w:after="0" w:line="263"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the HLBV method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161530" cy="208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VP-Arica TE Holdco LLC and Rosie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0" w:lineRule="exact"/>
        <w:rPr>
          <w:sz w:val="20"/>
          <w:szCs w:val="20"/>
          <w:color w:val="auto"/>
        </w:rPr>
      </w:pPr>
    </w:p>
    <w:p>
      <w:pPr>
        <w:ind w:left="1031" w:hanging="1031"/>
        <w:spacing w:after="0"/>
        <w:tabs>
          <w:tab w:leader="none" w:pos="103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(404)</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168</w:t>
      </w:r>
    </w:p>
    <w:p>
      <w:pPr>
        <w:spacing w:after="0" w:line="26" w:lineRule="exact"/>
        <w:rPr>
          <w:sz w:val="20"/>
          <w:szCs w:val="20"/>
          <w:color w:val="auto"/>
        </w:rPr>
      </w:pPr>
    </w:p>
    <w:p>
      <w:pPr>
        <w:ind w:left="1031" w:hanging="1031"/>
        <w:spacing w:after="0"/>
        <w:tabs>
          <w:tab w:leader="none" w:pos="103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269"/>
            <w:col w:w="1351"/>
          </w:cols>
          <w:pgMar w:left="300" w:top="728" w:right="319" w:bottom="1440" w:gutter="0" w:footer="0" w:header="0"/>
          <w:type w:val="continuous"/>
        </w:sectPr>
      </w:pP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2023, the Company had a net loss of $162 million attributable to noncontrolling interests and redeemable noncontrolling interests comprised of the following:</w:t>
      </w:r>
    </w:p>
    <w:p>
      <w:pPr>
        <w:sectPr>
          <w:pgSz w:w="11900" w:h="16838" w:orient="portrait"/>
          <w:cols w:equalWidth="0" w:num="1">
            <w:col w:w="11280"/>
          </w:cols>
          <w:pgMar w:left="300" w:top="728" w:right="319" w:bottom="1440" w:gutter="0" w:footer="0" w:header="0"/>
          <w:type w:val="continuous"/>
        </w:sectPr>
      </w:pPr>
    </w:p>
    <w:p>
      <w:pPr>
        <w:spacing w:after="0" w:line="263" w:lineRule="exact"/>
        <w:rPr>
          <w:sz w:val="20"/>
          <w:szCs w:val="20"/>
          <w:color w:val="auto"/>
        </w:rPr>
      </w:pPr>
    </w:p>
    <w:p>
      <w:pPr>
        <w:ind w:left="20"/>
        <w:spacing w:after="0" w:line="247" w:lineRule="auto"/>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 method (primarily due to Daggett TE Holdco LLC and Daggett 2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61530" cy="208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 (primarily due to Daggett TE Holdco LLC and Daggett 2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0" w:lineRule="exact"/>
        <w:rPr>
          <w:sz w:val="20"/>
          <w:szCs w:val="20"/>
          <w:color w:val="auto"/>
        </w:rPr>
      </w:pPr>
    </w:p>
    <w:p>
      <w:pPr>
        <w:ind w:left="1031" w:hanging="1031"/>
        <w:spacing w:after="0"/>
        <w:tabs>
          <w:tab w:leader="none" w:pos="103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(388)</w:t>
      </w:r>
    </w:p>
    <w:p>
      <w:pPr>
        <w:spacing w:after="0" w:line="34" w:lineRule="exact"/>
        <w:rPr>
          <w:rFonts w:ascii="Times New Roman" w:cs="Times New Roman" w:eastAsia="Times New Roman" w:hAnsi="Times New Roman"/>
          <w:sz w:val="13"/>
          <w:szCs w:val="13"/>
          <w:color w:val="auto"/>
        </w:rPr>
      </w:pPr>
    </w:p>
    <w:p>
      <w:pPr>
        <w:ind w:left="109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226</w:t>
      </w:r>
    </w:p>
    <w:p>
      <w:pPr>
        <w:spacing w:after="0" w:line="26" w:lineRule="exact"/>
        <w:rPr>
          <w:sz w:val="20"/>
          <w:szCs w:val="20"/>
          <w:color w:val="auto"/>
        </w:rPr>
      </w:pPr>
    </w:p>
    <w:p>
      <w:pPr>
        <w:ind w:left="1031" w:hanging="1031"/>
        <w:spacing w:after="0"/>
        <w:tabs>
          <w:tab w:leader="none" w:pos="103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369"/>
            <w:col w:w="1351"/>
          </w:cols>
          <w:pgMar w:left="300" w:top="728" w:right="31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2023, the Company’s liquidity was approximately $1,330 million and $1,505 million, respectively, comprised of cash, restricted cash and availability under the Company’s revolving credit facility.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3"/>
                <w:szCs w:val="13"/>
                <w:color w:val="auto"/>
              </w:rPr>
            </w:pPr>
          </w:p>
        </w:tc>
      </w:tr>
      <w:tr>
        <w:trPr>
          <w:trHeight w:val="154"/>
        </w:trPr>
        <w:tc>
          <w:tcPr>
            <w:tcW w:w="8560" w:type="dxa"/>
            <w:vAlign w:val="bottom"/>
          </w:tcPr>
          <w:p>
            <w:pPr>
              <w:spacing w:after="0"/>
              <w:rPr>
                <w:sz w:val="13"/>
                <w:szCs w:val="13"/>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40" w:type="dxa"/>
            <w:vAlign w:val="bottom"/>
          </w:tcPr>
          <w:p>
            <w:pPr>
              <w:spacing w:after="0"/>
              <w:rPr>
                <w:sz w:val="13"/>
                <w:szCs w:val="13"/>
                <w:color w:val="auto"/>
              </w:rPr>
            </w:pPr>
          </w:p>
        </w:tc>
      </w:tr>
      <w:tr>
        <w:trPr>
          <w:trHeight w:val="17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Clearway Energy LLC, excluding subsidiaries</w:t>
            </w:r>
          </w:p>
        </w:tc>
        <w:tc>
          <w:tcPr>
            <w:tcW w:w="840" w:type="dxa"/>
            <w:vAlign w:val="bottom"/>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72"/>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accounts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Reserves, including debt service, distributions, performance obligations and other reserves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Revolving credit facility availability</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liquidity</w:t>
            </w: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$401 million and $516 million of restricted cash balances as of December 31, 2024 and </w:t>
      </w:r>
      <w:r>
        <w:rPr>
          <w:rFonts w:ascii="Times New Roman" w:cs="Times New Roman" w:eastAsia="Times New Roman" w:hAnsi="Times New Roman"/>
          <w:sz w:val="14"/>
          <w:szCs w:val="14"/>
          <w:color w:val="000000"/>
        </w:rPr>
        <w:t>2023</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4"/>
          <w:szCs w:val="14"/>
          <w:color w:val="000000"/>
        </w:rPr>
        <w:t>December 31, 2024, these restricted funds were comprised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$184 million designated to fund operating expenses, approximately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12529"/>
        </w:rPr>
        <w:t>Clearway Energy LLC and Clearway Energy Operating LLC Revolving Credit Facility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no outstanding borrowings under its revolving credit facility and $103 million in letters of credit outstanding. The facility will continue to be used for general corporate purposes, including financing of future investments or acquisitions and posting letters of credit.</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2024, the Company’s 2028 Senior Notes, 2031 Senior Notes and 2032 Senior Notes were rated BB by S&amp;P and Ba2 by Moody’s.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Times New Roman" w:cs="Times New Roman" w:eastAsia="Times New Roman" w:hAnsi="Times New Roman"/>
          <w:sz w:val="14"/>
          <w:szCs w:val="14"/>
          <w:color w:val="000000"/>
        </w:rPr>
        <w:t>Item 15 —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the Company’s financing arrangements consist of corporate level debt, which includes Senior Notes and the revolving credit facility; the ATM Program; and facility-level financings for its various assets.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Capistrano Portfolio Holdco LLC Financing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The Company utilized the proceeds from the term loan to pay off the existing debt in the amount of $63 million related to Broken Bow and Crofton Bluffs and to pay related financing costs.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and freed up capacity on the Company’s corporate revolving credit facility. The letter of credit facility has an initial term of three years and the option for two additional one-year extensions. As of December 31, 2024, $105 million was outstanding under the letter of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 Item 15</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 Note 3,</w:t>
      </w:r>
      <w:r>
        <w:rPr>
          <w:rFonts w:ascii="Times New Roman" w:cs="Times New Roman" w:eastAsia="Times New Roman" w:hAnsi="Times New Roman"/>
          <w:sz w:val="14"/>
          <w:szCs w:val="14"/>
          <w:i w:val="1"/>
          <w:iCs w:val="1"/>
          <w:color w:val="000000"/>
        </w:rPr>
        <w:t xml:space="preserve"> Acquisitions </w:t>
      </w:r>
      <w:r>
        <w:rPr>
          <w:rFonts w:ascii="Times New Roman" w:cs="Times New Roman" w:eastAsia="Times New Roman" w:hAnsi="Times New Roman"/>
          <w:sz w:val="14"/>
          <w:szCs w:val="14"/>
          <w:color w:val="000000"/>
        </w:rPr>
        <w:t>and Note 5,</w:t>
      </w:r>
      <w:r>
        <w:rPr>
          <w:rFonts w:ascii="Times New Roman" w:cs="Times New Roman" w:eastAsia="Times New Roman" w:hAnsi="Times New Roman"/>
          <w:sz w:val="14"/>
          <w:szCs w:val="14"/>
          <w:i w:val="1"/>
          <w:iCs w:val="1"/>
          <w:color w:val="000000"/>
        </w:rPr>
        <w:t xml:space="preserve"> Investments Accounted for by the Equity Method and Variable Interest Entities</w:t>
      </w:r>
      <w:r>
        <w:rPr>
          <w:rFonts w:ascii="Times New Roman" w:cs="Times New Roman" w:eastAsia="Times New Roman" w:hAnsi="Times New Roman"/>
          <w:sz w:val="14"/>
          <w:szCs w:val="14"/>
          <w:color w:val="231F20"/>
        </w:rPr>
        <w:t>; and (v)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Debt Service Obligations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2024, are due in the following periods: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There- after</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5"/>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Corporate-level debt: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2028</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2031</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2032</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Corporate-level debt</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Facility-level debt: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Borrego, due 2038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Buckthorn Solar, due 2025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Capistrano Portfolio Holdco LLC, due 2033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Cedar Creek,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Cedro Hill,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Daggett 2,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Daggett 3, due 2028</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Dan’s Mountain, due 2025 </w:t>
            </w:r>
            <w:r>
              <w:rPr>
                <w:rFonts w:ascii="Times New Roman" w:cs="Times New Roman" w:eastAsia="Times New Roman" w:hAnsi="Times New Roman"/>
                <w:sz w:val="16"/>
                <w:szCs w:val="16"/>
                <w:color w:val="auto"/>
                <w:vertAlign w:val="superscript"/>
              </w:rPr>
              <w:t>(a)</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TSN1 Class B Member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68"/>
        </w:trPr>
        <w:tc>
          <w:tcPr>
            <w:tcW w:w="20" w:type="dxa"/>
            <w:vAlign w:val="bottom"/>
            <w:tcBorders>
              <w:bottom w:val="single" w:sz="8" w:color="CCEEFF"/>
            </w:tcBorders>
          </w:tcPr>
          <w:p>
            <w:pPr>
              <w:spacing w:after="0"/>
              <w:rPr>
                <w:sz w:val="14"/>
                <w:szCs w:val="14"/>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facility-level debt</w:t>
            </w: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Total debt</w:t>
            </w: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555</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333</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1,626</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821</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3,507</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7,235</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At December 31, 2024, amount includes $125 million of construction-related financings recorded in long-term debt on the Company’s consolidated balance sheet that is being funded through long-term equity contributions.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9" w:name="page50"/>
    <w:bookmarkEnd w:id="49"/>
    <w:p>
      <w:pPr>
        <w:jc w:val="both"/>
        <w:ind w:firstLine="318"/>
        <w:spacing w:after="0" w:line="258" w:lineRule="auto"/>
        <w:rPr>
          <w:sz w:val="20"/>
          <w:szCs w:val="20"/>
          <w:color w:val="auto"/>
        </w:rPr>
      </w:pPr>
      <w:r>
        <w:rPr>
          <w:rFonts w:ascii="Times New Roman" w:cs="Times New Roman" w:eastAsia="Times New Roman" w:hAnsi="Times New Roman"/>
          <w:sz w:val="14"/>
          <w:szCs w:val="14"/>
          <w:color w:val="231F20"/>
        </w:rPr>
        <w:t xml:space="preserve">For the years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2023, the Company used approximately $287 million and $212 million, respectively, to fund capital expenditures, primarily in the Renewables segment, funded through construction-related financing. Growth capital expenditures included $107 million incurred in connection with the Victory Pass and Arica solar and BESS facilities, $54 million incurred in connection with the repowering of the Cedro Hill wind facility, $41 million incurred in connection with the Rosamond Central BESS facility, $23 million incurred in connection with Dan’s Mountain, $14 million incurred in connection with the Texas Solar Nova 1 and Texas Solar Nova 2 facilities, $14 million incurred in connection with the Daggett 2 solar and BESS facility, $10 million incurred in connection with the Daggett 3 solar and BESS facility, $7 million incurred in connection with the Cedar Creek wind facility and $6 million incurred by other facilities. In addition, for the years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and 2023, the Company incurred </w:t>
      </w:r>
      <w:r>
        <w:rPr>
          <w:rFonts w:ascii="Times New Roman" w:cs="Times New Roman" w:eastAsia="Times New Roman" w:hAnsi="Times New Roman"/>
          <w:sz w:val="14"/>
          <w:szCs w:val="14"/>
          <w:color w:val="000000"/>
        </w:rPr>
        <w:t>$11 million and $22 million, respectively, of maintenance capital expenditures, which are net of credits received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equipment manufacturers.</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estimates $24 million of maintenance capital expenditures for 2025. </w:t>
      </w:r>
      <w:r>
        <w:rPr>
          <w:rFonts w:ascii="Times New Roman" w:cs="Times New Roman" w:eastAsia="Times New Roman" w:hAnsi="Times New Roman"/>
          <w:sz w:val="14"/>
          <w:szCs w:val="14"/>
          <w:color w:val="000000"/>
        </w:rPr>
        <w:t>These estimates are subject to continuing review and adjustment and actual capital expenditures may vary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these estimates.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2024, the Company has several investments with an ownership interest percentage of 50% or less. GenConn is a VIE for which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Company is not the primary beneficiary. The Company’s pro-rata share of non-recourse debt held by unconsolidated affiliates was approximately $282 million as of December 31, 2024.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Note 10</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and Note 15</w:t>
      </w:r>
      <w:r>
        <w:rPr>
          <w:rFonts w:ascii="Times New Roman" w:cs="Times New Roman" w:eastAsia="Times New Roman" w:hAnsi="Times New Roman"/>
          <w:sz w:val="14"/>
          <w:szCs w:val="14"/>
          <w:i w:val="1"/>
          <w:iCs w:val="1"/>
          <w:color w:val="auto"/>
        </w:rPr>
        <w:t>, Leases,</w:t>
      </w:r>
      <w:r>
        <w:rPr>
          <w:rFonts w:ascii="Times New Roman" w:cs="Times New Roman" w:eastAsia="Times New Roman" w:hAnsi="Times New Roman"/>
          <w:sz w:val="14"/>
          <w:szCs w:val="14"/>
          <w:color w:val="auto"/>
        </w:rPr>
        <w:t xml:space="preserve"> for additional discussion.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40" w:type="dxa"/>
            <w:vAlign w:val="bottom"/>
          </w:tcPr>
          <w:p>
            <w:pPr>
              <w:spacing w:after="0"/>
              <w:rPr>
                <w:sz w:val="8"/>
                <w:szCs w:val="8"/>
                <w:color w:val="auto"/>
              </w:rPr>
            </w:pPr>
          </w:p>
        </w:tc>
        <w:tc>
          <w:tcPr>
            <w:tcW w:w="900" w:type="dxa"/>
            <w:vAlign w:val="bottom"/>
            <w:gridSpan w:val="2"/>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auto"/>
              </w:rPr>
              <w:t>Under</w:t>
            </w:r>
          </w:p>
        </w:tc>
        <w:tc>
          <w:tcPr>
            <w:tcW w:w="20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00" w:type="dxa"/>
            <w:vAlign w:val="bottom"/>
          </w:tcPr>
          <w:p>
            <w:pPr>
              <w:spacing w:after="0"/>
              <w:rPr>
                <w:sz w:val="8"/>
                <w:szCs w:val="8"/>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Over</w:t>
            </w:r>
          </w:p>
        </w:tc>
        <w:tc>
          <w:tcPr>
            <w:tcW w:w="260" w:type="dxa"/>
            <w:vAlign w:val="bottom"/>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8"/>
                <w:szCs w:val="8"/>
                <w:color w:val="auto"/>
              </w:rPr>
            </w:pPr>
          </w:p>
        </w:tc>
        <w:tc>
          <w:tcPr>
            <w:tcW w:w="800" w:type="dxa"/>
            <w:vAlign w:val="bottom"/>
            <w:vMerge w:val="restart"/>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1 Year</w:t>
            </w: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Natural gas transportation obligations </w:t>
            </w:r>
            <w:r>
              <w:rPr>
                <w:rFonts w:ascii="Times New Roman" w:cs="Times New Roman" w:eastAsia="Times New Roman" w:hAnsi="Times New Roman"/>
                <w:sz w:val="18"/>
                <w:szCs w:val="18"/>
                <w:color w:val="auto"/>
                <w:vertAlign w:val="superscript"/>
              </w:rPr>
              <w:t>(a)</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48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8"/>
                <w:szCs w:val="18"/>
                <w:color w:val="auto"/>
                <w:vertAlign w:val="superscript"/>
              </w:rPr>
              <w:t>(b)</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5"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These contractual cash obligations relate to reservation charges under the backbone transportation service contracts. In 2024, these contracts were amended to a volumetric approach and only incur charges when dispatched.</w:t>
      </w:r>
    </w:p>
    <w:p>
      <w:pPr>
        <w:spacing w:after="0" w:line="45" w:lineRule="exact"/>
        <w:rPr>
          <w:rFonts w:ascii="Times New Roman" w:cs="Times New Roman" w:eastAsia="Times New Roman" w:hAnsi="Times New Roman"/>
          <w:sz w:val="18"/>
          <w:szCs w:val="18"/>
          <w:color w:val="auto"/>
          <w:vertAlign w:val="superscript"/>
        </w:rPr>
      </w:pPr>
    </w:p>
    <w:p>
      <w:pPr>
        <w:ind w:left="140" w:hanging="135"/>
        <w:spacing w:after="0" w:line="187" w:lineRule="auto"/>
        <w:tabs>
          <w:tab w:leader="none" w:pos="140"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water right agreements, service and maintenance agreements and LTSA commitments.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Cedro Hill Repowering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December 27, 2024, when the repowering of the Cedro Hill wind facility reached substantial completion, tax equity investors contributed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$152 million to acquire the Class A membership interests in Cedro Hill TE Holdco LLC, a tax equity fund that owns the Cedro Hill wind facility. The tax equity proceeds were utilized, along with $54 million in construction loan proceeds, to repay the tax equity bridge loan and cash equity bridge loan, to fund construction completion and related reserves, to pay construction invoices and to pay associated fees with the remaining $26 million distributed to CEG. Also at substantial completion, the outstanding construction loans were converted to a term loan. Under the financing agreement, the Company borrowed an additional $88 million during 2024.</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212529"/>
        </w:rPr>
        <w:t xml:space="preserve">Tuolumne Third-Party Acquisition </w:t>
      </w:r>
      <w:r>
        <w:rPr>
          <w:rFonts w:ascii="Times New Roman" w:cs="Times New Roman" w:eastAsia="Times New Roman" w:hAnsi="Times New Roman"/>
          <w:sz w:val="14"/>
          <w:szCs w:val="14"/>
          <w:b w:val="1"/>
          <w:bCs w:val="1"/>
          <w:i w:val="1"/>
          <w:iCs w:val="1"/>
          <w:color w:val="000000"/>
        </w:rPr>
        <w:t>—</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On November 25, 2024, the Company entered into a binding agreement to acquire the Tuolumne wind facility, a 137 MW operating facility located in</w:t>
      </w:r>
      <w:r>
        <w:rPr>
          <w:rFonts w:ascii="Times New Roman" w:cs="Times New Roman" w:eastAsia="Times New Roman" w:hAnsi="Times New Roman"/>
          <w:sz w:val="14"/>
          <w:szCs w:val="14"/>
          <w:i w:val="1"/>
          <w:iCs w:val="1"/>
          <w:color w:val="212529"/>
        </w:rPr>
        <w:t xml:space="preserve"> </w:t>
      </w:r>
      <w:r>
        <w:rPr>
          <w:rFonts w:ascii="Times New Roman" w:cs="Times New Roman" w:eastAsia="Times New Roman" w:hAnsi="Times New Roman"/>
          <w:sz w:val="14"/>
          <w:szCs w:val="14"/>
          <w:color w:val="000000"/>
        </w:rPr>
        <w:t>Klickitat County, Washington, from an investment-grade regulated entity for approximately $219 million. After factoring in estimated closing adjustments and new non-recourse facility-level debt, the Company expects its total long-term corporate capital commitment to acquire the facility to be between $70 million and $75 million, which the Company expects to fund with existing sources of liquidity. Tuolumne reached commercial operations in 2009. As part of the acquisition, the Company will enter into a 15-year PPA with the seller of the facility. The Company also has received a PPA contractual extension option to enable a potential future repowering of the facility. The consummation of the transaction is subject to customary closing conditions and certain third-party approvals and is expected in the first half of 2025.</w:t>
      </w:r>
    </w:p>
    <w:p>
      <w:pPr>
        <w:spacing w:after="0" w:line="9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Dan’s Mountain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Mountain TargetCo LLC, the indirect owner of the Dan’s Mountain wind facility,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Dan’s Mountain has a 12-year PPA with an investment-grade utility that will commence when the underlying operating assets reach commercial operations, which is expected to occur in the first half of 2025. The acquisition was funded with existing sources of liquidity. As part of the acquisition of Dan’s Mountain, the Company assumed the facility’s financing agreement, which included a cash equity bridge loan that was partially paid off at acquisition date and a tax equity bridge loan, both of which will be completely paid off when the facility reaches substantial completion. Subsequent to the acquisition, the Company borrowed an additional $24 million in tax equity bridge loans.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Rosamond Central BESS Drop Down and Financing Activities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June 13, 2024, when the Rosamond Central BESS facility reached substantial completion, the Company paid $279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Clearway Renew as additional purchase price to complete its acquisition of the facility, which occurred on December 1, 2023. The additional purchase price consisted of $64 million that was funded by the Company from existing sources of liquidity and $215 million funded through contributions from third-party investors. Including the additional purchase price, the Company’s total purchase price was $349 million, $80 million of which was funded by the Company with the remaining $269 million funded through contributions from third-party investors. Clearway Renew utilized the additional proceeds to repay the balance of $184 million on the loan previously issued to its consolidated subsidiary by Rosie Class B LLC and to redeem Rosie Class B LLC’s entire equity investment in Rosie Central BESS of $28 million. The Company utilized proceeds from Clearway Renew, along with $39 million held previously in escrow and $56 million of the Company’s additional purchase price that was contributed back to the Company by CEG, to repay the tax equity bridge loan, to make a distribution to the cash equity investor, to fund construction completion reserves and to pay associated fees. Additionally, on June 13, 2024, the outstanding construction loans were converted to a term loan. Under the financing agreement, the Company borrowed an additional $30 million during 2024.</w:t>
      </w:r>
    </w:p>
    <w:p>
      <w:pPr>
        <w:spacing w:after="0" w:line="27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Victory Pass and Arica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May 1, 2024, when the Victory Pass and Arica solar and BESS facilities reached substantial completion, the Company paid $165 million to Clearway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Renew as additional purchase price in connection with the Company’s acquisition of the Class A membership interests in VP-Arica TargetCo LLC on October 31, 2023, which was funded with existing sources of liquidity. Also on May 1, 2024, the cash equity investor contributed an additional $347 million, the tax equity investor contributed an additional $410 million and CEG contributed $52 million, which were utilized, along with $103 million held previously in escrow, to repay the cash equity bridge loan, to repay the tax equity bridge loan, to fund construction completion reserves and to pay associated fees. Prior to the repayment of the tax equity bridge loan, the Company borrowed an additional $62 million during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1" w:name="page52"/>
    <w:bookmarkEnd w:id="51"/>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Cedar Creek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acquisition was funded with existing sources of liquidity. Additionally, the Company assumed the facility’s financing agreement, which included a construction loan that converted to a term loan at acquisition date along with a cash equity bridge loan and tax equity bridge loan that were both repaid at acquisition date.</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Texas Solar Nova 2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located in Kent County, Texas, from Clearway Renew for cash consideration of $112 million, $17 million of which was funded by the Company with the remaining $95 million funded through a contribution from the cash equity investor in Lighthouse Renewable Holdco 2 LLC, which is a partnership. Lighthouse Renewable Holdco 2 LLC indirectly consolidates as primary beneficiary, TSN1 TE Holdco LLC, a tax equity fund that owns Texas Solar Nova 1 and Texas Solar Nova 2. Texas Solar Nova 2 has an 18-year PPA with an investment-grade counterparty that commenced in February 2024. The Company’s portion of the purchase price was funded with existing sources of liquidity. Additionally, the Company assumed the facility’s financing agreement, which included a tax equity bridge loan that was repaid at acquisition date and a term loan.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Cash Distributions to Clearway, Inc.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Company’s assets. Distributions on units </w:t>
      </w:r>
      <w:r>
        <w:rPr>
          <w:rFonts w:ascii="Times New Roman" w:cs="Times New Roman" w:eastAsia="Times New Roman" w:hAnsi="Times New Roman"/>
          <w:sz w:val="14"/>
          <w:szCs w:val="14"/>
          <w:color w:val="000000"/>
        </w:rPr>
        <w:t>are subject to available capital, market conditions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compliance with associated laws, regulations and other contractual obligations. The Company expects that, based on current circumstances, comparable distributions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Class B, Class C and Class D units during the year ended December 31,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4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17, 2025, the Company declared a quarterly distribution on its Class A, Class B, Class C and Class D units of $0.4312 per unit payable on 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comparative periods: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Pr>
          <w:p>
            <w:pPr>
              <w:spacing w:after="0"/>
              <w:rPr>
                <w:sz w:val="13"/>
                <w:szCs w:val="13"/>
                <w:color w:val="auto"/>
              </w:rPr>
            </w:pPr>
          </w:p>
        </w:tc>
        <w:tc>
          <w:tcPr>
            <w:tcW w:w="25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60" w:type="dxa"/>
            <w:vAlign w:val="bottom"/>
          </w:tcPr>
          <w:p>
            <w:pPr>
              <w:spacing w:after="0"/>
              <w:rPr>
                <w:sz w:val="13"/>
                <w:szCs w:val="13"/>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7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772</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4"/>
                <w:szCs w:val="14"/>
                <w:color w:val="auto"/>
              </w:rPr>
              <w:t>733</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(725)</w:t>
            </w:r>
          </w:p>
        </w:tc>
        <w:tc>
          <w:tcPr>
            <w:tcW w:w="280" w:type="dxa"/>
            <w:vAlign w:val="bottom"/>
          </w:tcPr>
          <w:p>
            <w:pPr>
              <w:spacing w:after="0"/>
              <w:rPr>
                <w:sz w:val="15"/>
                <w:szCs w:val="15"/>
                <w:color w:val="auto"/>
              </w:rPr>
            </w:pPr>
          </w:p>
        </w:tc>
        <w:tc>
          <w:tcPr>
            <w:tcW w:w="1020" w:type="dxa"/>
            <w:vAlign w:val="bottom"/>
          </w:tcPr>
          <w:p>
            <w:pPr>
              <w:jc w:val="center"/>
              <w:ind w:left="595"/>
              <w:spacing w:after="0"/>
              <w:rPr>
                <w:sz w:val="20"/>
                <w:szCs w:val="20"/>
                <w:color w:val="auto"/>
              </w:rPr>
            </w:pPr>
            <w:r>
              <w:rPr>
                <w:rFonts w:ascii="Times New Roman" w:cs="Times New Roman" w:eastAsia="Times New Roman" w:hAnsi="Times New Roman"/>
                <w:sz w:val="14"/>
                <w:szCs w:val="14"/>
                <w:color w:val="auto"/>
              </w:rPr>
              <w:t>(523)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(365)</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4"/>
                <w:szCs w:val="14"/>
                <w:color w:val="auto"/>
              </w:rPr>
              <w:t>(155)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371"/>
        </w:trPr>
        <w:tc>
          <w:tcPr>
            <w:tcW w:w="73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operating income after adjusting for non-cash items</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from unconsolidated affiliates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working capital primarily driven by the timing of accounts receivable collections and payments of accounts payable</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cash paid for Drop Down Assets, net of cash acquired</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capital expenditures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note receivable – affiliate related to the Rosie Class B LLC loan issued to Clearway Renew</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for equipment deposit from affiliate in 2023 related to the Cedro Hill wind facility</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investments in unconsolidated affiliates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the return of investment from unconsolidated affiliates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for equipment deposit in 2023 related to the Cedro Hill wind facility</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0"/>
        </w:trPr>
        <w:tc>
          <w:tcPr>
            <w:tcW w:w="7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3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net cash used in financing activities were driven by:</w:t>
            </w:r>
          </w:p>
        </w:tc>
        <w:tc>
          <w:tcPr>
            <w:tcW w:w="8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payments for long-term debt and a decrease in proceeds from issuance of long-term debt</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contributions from noncontrolling interests and CEG, net of distributions</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tax-related distributions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buyouts of noncontrolling interest and redeemable noncontrolling interest</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7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payments of debt issuance costs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15</w:t>
      </w:r>
      <w:r>
        <w:rPr>
          <w:rFonts w:ascii="Times New Roman" w:cs="Times New Roman" w:eastAsia="Times New Roman" w:hAnsi="Times New Roman"/>
          <w:sz w:val="14"/>
          <w:szCs w:val="14"/>
          <w:color w:val="000000"/>
        </w:rPr>
        <w:t xml:space="preserve">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Instruments.</w:t>
      </w:r>
    </w:p>
    <w:p>
      <w:pPr>
        <w:spacing w:after="0" w:line="211" w:lineRule="exact"/>
        <w:rPr>
          <w:sz w:val="20"/>
          <w:szCs w:val="20"/>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1"/>
          <w:szCs w:val="11"/>
          <w:b w:val="1"/>
          <w:bCs w:val="1"/>
          <w:u w:val="single" w:color="auto"/>
          <w:color w:val="auto"/>
        </w:rPr>
        <w:t>Derivative Activity ( Losses)/Gains</w:t>
      </w:r>
      <w:r>
        <w:rPr>
          <w:sz w:val="20"/>
          <w:szCs w:val="20"/>
          <w:color w:val="auto"/>
        </w:rPr>
        <w:tab/>
      </w: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2023</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Changes in fair value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Fair Value Hierarchy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2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2024</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4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640" w:type="dxa"/>
            <w:vAlign w:val="bottom"/>
            <w:gridSpan w:val="2"/>
          </w:tcPr>
          <w:p>
            <w:pPr>
              <w:jc w:val="right"/>
              <w:ind w:right="609"/>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940" w:type="dxa"/>
            <w:vAlign w:val="bottom"/>
          </w:tcPr>
          <w:p>
            <w:pPr>
              <w:jc w:val="right"/>
              <w:ind w:right="294"/>
              <w:spacing w:after="0" w:line="115" w:lineRule="exact"/>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49"/>
        </w:trPr>
        <w:tc>
          <w:tcPr>
            <w:tcW w:w="1240" w:type="dxa"/>
            <w:vAlign w:val="bottom"/>
            <w:vMerge w:val="continue"/>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 Year to 3 Years</w:t>
            </w:r>
          </w:p>
        </w:tc>
        <w:tc>
          <w:tcPr>
            <w:tcW w:w="140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9"/>
              </w:rPr>
              <w:t>3 Years to 5 Years</w:t>
            </w:r>
          </w:p>
        </w:tc>
        <w:tc>
          <w:tcPr>
            <w:tcW w:w="1640" w:type="dxa"/>
            <w:vAlign w:val="bottom"/>
            <w:gridSpan w:val="2"/>
          </w:tcPr>
          <w:p>
            <w:pPr>
              <w:jc w:val="right"/>
              <w:ind w:right="769"/>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-789305</wp:posOffset>
            </wp:positionV>
            <wp:extent cx="716153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419735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97350" cy="698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42" w:lineRule="exact"/>
        <w:rPr>
          <w:sz w:val="20"/>
          <w:szCs w:val="20"/>
          <w:color w:val="auto"/>
        </w:rPr>
      </w:pPr>
    </w:p>
    <w:p>
      <w:pPr>
        <w:sectPr>
          <w:pgSz w:w="11900" w:h="16838" w:orient="portrait"/>
          <w:cols w:equalWidth="0" w:num="2">
            <w:col w:w="3960" w:space="720"/>
            <w:col w:w="6600"/>
          </w:cols>
          <w:pgMar w:left="300" w:top="728" w:right="3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35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5"/>
              </w:rPr>
              <w:t>166</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w w:val="98"/>
              </w:rPr>
              <w:t>(362)</w:t>
            </w:r>
          </w:p>
        </w:tc>
      </w:tr>
      <w:tr>
        <w:trPr>
          <w:trHeight w:val="196"/>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8"/>
              </w:rPr>
              <w:t>(196)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Hypothetical Liquidation at Book Value, or HLBV, and determining the fair value of financial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54" w:name="page55"/>
    <w:bookmarkEnd w:id="54"/>
    <w:tbl>
      <w:tblPr>
        <w:tblLayout w:type="fixed"/>
        <w:tblInd w:w="20" w:type="dxa"/>
        <w:tblCellMar>
          <w:top w:w="0" w:type="dxa"/>
          <w:left w:w="0" w:type="dxa"/>
          <w:bottom w:w="0" w:type="dxa"/>
          <w:right w:w="0" w:type="dxa"/>
        </w:tblCellMar>
      </w:tblPr>
      <w:tr>
        <w:trPr>
          <w:trHeight w:val="126"/>
        </w:trPr>
        <w:tc>
          <w:tcPr>
            <w:tcW w:w="5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241"/>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Hypothetical Liquidation at Book Value (HLBV)</w:t>
            </w: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Application of liquidation provisions of operating agreements</w:t>
            </w:r>
          </w:p>
        </w:tc>
      </w:tr>
      <w:tr>
        <w:trPr>
          <w:trHeight w:val="142"/>
        </w:trPr>
        <w:tc>
          <w:tcPr>
            <w:tcW w:w="5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Financial Instruments</w:t>
            </w:r>
          </w:p>
        </w:tc>
        <w:tc>
          <w:tcPr>
            <w:tcW w:w="5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Use of unobservable market inputs such as future electricity prices, future interest rates and</w:t>
            </w:r>
          </w:p>
        </w:tc>
      </w:tr>
      <w:tr>
        <w:trPr>
          <w:trHeight w:val="184"/>
        </w:trPr>
        <w:tc>
          <w:tcPr>
            <w:tcW w:w="8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discount rates</w:t>
            </w: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Hypothetical Liquidation at Book Value (HLBV)</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Certain portions of the Company’s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000000"/>
        </w:rPr>
        <w:t xml:space="preserve"> for more information.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long-term power commodity contracts would cause a change of approximately $6 million to the net value of the related derivatives as of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for more information.</w:t>
      </w:r>
    </w:p>
    <w:p>
      <w:pPr>
        <w:spacing w:after="0" w:line="267"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231F20"/>
        </w:rPr>
        <w:t xml:space="preserve">Most of the Company’s subsidiaries enter into interest rate swaps intended to hedge the risks associated with interest rates on non-recourse facility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Debt</w:t>
      </w:r>
      <w:r>
        <w:rPr>
          <w:rFonts w:ascii="Times New Roman" w:cs="Times New Roman" w:eastAsia="Times New Roman" w:hAnsi="Times New Roman"/>
          <w:sz w:val="14"/>
          <w:szCs w:val="14"/>
          <w:color w:val="231F20"/>
        </w:rPr>
        <w:t>, for more information about interest rate swaps of the Company’s subsidiaries.</w:t>
      </w:r>
    </w:p>
    <w:p>
      <w:pPr>
        <w:spacing w:after="0" w:line="8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the counterparties would have owed the Company $168 million.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a 1% change in interest rates would result in an approximately $2 million change in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the fair value of the Company’s debt was $6,715 million and the carrying value was $7,237 million. The Company estimates that a 1% decrease in market interest rates would have increased the fair value of its long-term debt by $294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for more information about concentration of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8-K filed on May 10, 2024, the Audit Committee of the Board of Directors of Clearway, Inc.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ending December 31, 2024. For more information, please refer to the Company’s Current Report on Form 8-K filed on May 10, 2024.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December 31, 2024, the end of the period covered by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or 15d-15(f) under the Exchange Act) during the quarter ended December 31, 2024, that materially affected, or are reasonably likely to materially affect, the Company’s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Inherent Limitations over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2" w:lineRule="exact"/>
        <w:rPr>
          <w:sz w:val="20"/>
          <w:szCs w:val="20"/>
          <w:color w:val="auto"/>
        </w:rPr>
      </w:pPr>
    </w:p>
    <w:p>
      <w:pPr>
        <w:ind w:left="460" w:hanging="137"/>
        <w:spacing w:after="0"/>
        <w:tabs>
          <w:tab w:leader="none" w:pos="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136" w:lineRule="exact"/>
        <w:rPr>
          <w:rFonts w:ascii="Times New Roman" w:cs="Times New Roman" w:eastAsia="Times New Roman" w:hAnsi="Times New Roman"/>
          <w:sz w:val="14"/>
          <w:szCs w:val="14"/>
          <w:color w:val="auto"/>
        </w:rPr>
      </w:pPr>
    </w:p>
    <w:p>
      <w:pPr>
        <w:ind w:firstLine="323"/>
        <w:spacing w:after="0" w:line="287" w:lineRule="auto"/>
        <w:tabs>
          <w:tab w:leader="none" w:pos="4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4"/>
          <w:szCs w:val="14"/>
          <w:color w:val="auto"/>
        </w:rPr>
      </w:pPr>
    </w:p>
    <w:p>
      <w:pPr>
        <w:ind w:firstLine="323"/>
        <w:spacing w:after="0" w:line="287"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evaluation under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the Company’s management concluded that the Company’s internal control over financial reporting was effective as of December 31,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Information about Directors, Executive Officers and Corporate Governance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Directors”)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shows information for the Company’s executive officers. Executive officers serve until their successors are duly appointed or elected.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734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16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Craig Cornelius</w:t>
            </w:r>
          </w:p>
        </w:tc>
        <w:tc>
          <w:tcPr>
            <w:tcW w:w="16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w w:val="91"/>
              </w:rPr>
              <w:t>45</w:t>
            </w:r>
          </w:p>
        </w:tc>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16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Sarah Rubenstein</w:t>
            </w:r>
          </w:p>
        </w:tc>
        <w:tc>
          <w:tcPr>
            <w:tcW w:w="1680" w:type="dxa"/>
            <w:vAlign w:val="bottom"/>
          </w:tcPr>
          <w:p>
            <w:pPr>
              <w:jc w:val="center"/>
              <w:ind w:left="976"/>
              <w:spacing w:after="0"/>
              <w:rPr>
                <w:sz w:val="20"/>
                <w:szCs w:val="20"/>
                <w:color w:val="auto"/>
              </w:rPr>
            </w:pPr>
            <w:r>
              <w:rPr>
                <w:rFonts w:ascii="Times New Roman" w:cs="Times New Roman" w:eastAsia="Times New Roman" w:hAnsi="Times New Roman"/>
                <w:sz w:val="13"/>
                <w:szCs w:val="13"/>
                <w:color w:val="auto"/>
                <w:w w:val="91"/>
              </w:rPr>
              <w:t>47</w:t>
            </w:r>
          </w:p>
        </w:tc>
        <w:tc>
          <w:tcPr>
            <w:tcW w:w="73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tc>
      </w:tr>
      <w:tr>
        <w:trPr>
          <w:trHeight w:val="17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Kevin P. Malcarney</w:t>
            </w:r>
          </w:p>
        </w:tc>
        <w:tc>
          <w:tcPr>
            <w:tcW w:w="16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w w:val="91"/>
              </w:rPr>
              <w:t>58</w:t>
            </w:r>
          </w:p>
        </w:tc>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Executive Vice President, General Counsel and Corporate Secretary</w:t>
            </w:r>
          </w:p>
        </w:tc>
      </w:tr>
    </w:tbl>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Craig Cornelius </w:t>
      </w:r>
      <w:r>
        <w:rPr>
          <w:rFonts w:ascii="Times New Roman" w:cs="Times New Roman" w:eastAsia="Times New Roman" w:hAnsi="Times New Roman"/>
          <w:sz w:val="14"/>
          <w:szCs w:val="14"/>
          <w:color w:val="auto"/>
        </w:rPr>
        <w:t>has served as President and Chief Executive Officer of the Company since July 2024 and as a director of the Company since July 2024. He has been CEG’s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As President and Chief Executive Officer of the Company, Mr. Cornelius provides the Board of Directors with management’s perspective regarding the Company’s day to day operations and overall strategic plan.</w:t>
      </w:r>
    </w:p>
    <w:p>
      <w:pPr>
        <w:spacing w:after="0" w:line="1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Sarah Rubenstein </w:t>
      </w:r>
      <w:r>
        <w:rPr>
          <w:rFonts w:ascii="Times New Roman" w:cs="Times New Roman" w:eastAsia="Times New Roman" w:hAnsi="Times New Roman"/>
          <w:sz w:val="14"/>
          <w:szCs w:val="14"/>
          <w:color w:val="auto"/>
        </w:rPr>
        <w:t>has served as Executive Vice President and Chief Financial Officer of the Company since April 2023 and previously served as Senior Vice President and Chief Accounting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99"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Kevin P. Malcarney </w:t>
      </w:r>
      <w:r>
        <w:rPr>
          <w:rFonts w:ascii="Times New Roman" w:cs="Times New Roman" w:eastAsia="Times New Roman" w:hAnsi="Times New Roman"/>
          <w:sz w:val="14"/>
          <w:szCs w:val="14"/>
          <w:color w:val="auto"/>
        </w:rPr>
        <w:t>has served as the Company’s General Counsel, Corporate Secretary and Chief Compliance Officer since May 2018, and was promoted from Senior Vice President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not adopted a separate code of ethics because all of the officers of the Company are subject to the Code of Conduct adopted by the Board of Directors of Clearway, Inc. The Code of Conduct of Clearway, Inc. applies to all of its directors and employees, including its and the Company’s officers (e.g., the Company’s Chief Executive Officer (the “CEO”), Chief Financial Officer (the “CFO”) and Principal Accounting Officer). Clearway, Inc.’s Code of Conduct is available on its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has not adopted a separate insider trading policy because all of the officers, and certain other employees and insiders, of the Company are subject to the insider trading policy (the “Clearway, Inc. Insider Trading Policy”) adopted by the Board of Directors of Clearway, Inc., which governs the purchase, sale and/or other dispositions of our securities and the securities of Clearway, Inc. by insiders of the Company and Clearway, Inc. We believe the Clearway, Inc. Insider Trading Policy is reasonably designed to promote compliance with insider trading laws, rules and regulations. A copy of the Clearway, Inc. Insider Trading Policy is filed as Exhibit 19 to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Report</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(the “Compensation Committee”) of the Board of Clearway, Inc. (the “Board”)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 Stanley O’Neal,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Jonathan Bram</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Jennifer Lowry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Compensation Program</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Clearway, Inc. is a publicly-traded energy infrastructure investor with a focus on investments in clean energy and owner of modern, sustainable and long-term contracted assets across North America. The Company is sponsored by GIP and TotalEnergies through the portfolio company, CEG, and, together, GIP and TotalEnergies indirectly hold all of Clearway, Inc.’s Class B common stock and Class D common stock and thus collectively have the majority voting interest in the Company. This Compensation Discussion and Analysis (this “CD&amp;A”) describes the philosophy, elements, implementation and results of Clearway, Inc.’s 2024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Compensation Committee’s objectives are to design a simple, yet competitive, executive compensation program for the Company, which is aligned with the interests of our stockholders. This program is designed to align our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 awards, which are issued under our Amended and Restated 2013 Equity Incentive Plan (“LTIP”), are comprised of approximately 67% Relative Performance Stock Units (“RPSUs”), which vest based on relative TSR measured over three years, and approximately 33% Restricted Stock Units (“RSUs”), which vest based on continued service over three years. The program is intended to incorporate many best practices in compensation design, while being tailored to our business needs and compensation objectives.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jc w:val="both"/>
        <w:ind w:right="20" w:firstLine="318"/>
        <w:spacing w:after="0" w:line="257" w:lineRule="auto"/>
        <w:rPr>
          <w:sz w:val="20"/>
          <w:szCs w:val="20"/>
          <w:color w:val="auto"/>
        </w:rPr>
      </w:pPr>
      <w:r>
        <w:rPr>
          <w:rFonts w:ascii="Times New Roman" w:cs="Times New Roman" w:eastAsia="Times New Roman" w:hAnsi="Times New Roman"/>
          <w:sz w:val="14"/>
          <w:szCs w:val="14"/>
          <w:color w:val="auto"/>
        </w:rPr>
        <w:t>In 2024, the Compensation Committee reviewed and did not modify its general philosophy related to the compensation program. However, the Company does not pay any cash compensation or provide employee benefits (other than LTIP benefits) to Mr. Cornelius, who became our President and CEO on July 1, 2024 (“Current CEO”) (i.e., upon the departure of Mr. Sotos, our former President and CEO on June 30, 2024 (“Former CEO”)). Mr. Cornelius is an employee of CEG and serves as CEG’s Chief Executive Officer in addition to his role as the Company’s President and CEO. As an employee of CEG, Mr. Cornelius’ cash-based compensation is paid solely by CEG and his employee benefits (other than LTIP benefits) are provided solely by CEG in accordance with the terms of his employment agreement and CEG’s benefit plans. Although the Company pays CEG the management fee, (i) the management fee is unaffected by the compensation CEG provides to Mr. Cornelius, and (ii) the Company does not otherwise pay or reimburse CEG for the foregoing cash compensation and employee benefits that are provided by CEG to Mr. Cornelius. However, pursuant to our LTIP, the Compensation Committee may, from time to time, grant RPSUs, RSUs and/or other equity-based awards to Mr. Cornelius. The following table sets forth the payor of each primary element of Mr. Cornelius’ compensation:</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600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Primary Element of Mr. Cornelius’ Compensation</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Payor of Compensation Element</w:t>
            </w:r>
          </w:p>
        </w:tc>
      </w:tr>
      <w:tr>
        <w:trPr>
          <w:trHeight w:val="191"/>
        </w:trPr>
        <w:tc>
          <w:tcPr>
            <w:tcW w:w="60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2"/>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Annual Incentive Compensation</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r>
        <w:trPr>
          <w:trHeight w:val="192"/>
        </w:trPr>
        <w:tc>
          <w:tcPr>
            <w:tcW w:w="60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Company / CEG</w:t>
            </w:r>
          </w:p>
        </w:tc>
      </w:tr>
      <w:tr>
        <w:trPr>
          <w:trHeight w:val="192"/>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CEG</w:t>
            </w:r>
          </w:p>
        </w:tc>
      </w:tr>
    </w:tbl>
    <w:p>
      <w:pPr>
        <w:spacing w:after="0" w:line="187" w:lineRule="exact"/>
        <w:rPr>
          <w:sz w:val="20"/>
          <w:szCs w:val="20"/>
          <w:color w:val="auto"/>
        </w:rPr>
      </w:pPr>
    </w:p>
    <w:p>
      <w:pPr>
        <w:jc w:val="both"/>
        <w:ind w:right="20" w:firstLine="306"/>
        <w:spacing w:after="0" w:line="270" w:lineRule="auto"/>
        <w:rPr>
          <w:sz w:val="20"/>
          <w:szCs w:val="20"/>
          <w:color w:val="auto"/>
        </w:rPr>
      </w:pPr>
      <w:r>
        <w:rPr>
          <w:rFonts w:ascii="Times New Roman" w:cs="Times New Roman" w:eastAsia="Times New Roman" w:hAnsi="Times New Roman"/>
          <w:sz w:val="14"/>
          <w:szCs w:val="14"/>
          <w:color w:val="auto"/>
        </w:rPr>
        <w:t>Because the Company does not pay any cash compensation or provide employee benefits (other than the benefits with respect to the Company’s LTIP) to Mr. Cornelius, the Company has not disclosed these items with respect to Mr. Cornelius in the Summary Compensation Table. Instead, the Company has disclosed only compensatory amounts that are payable by the Company, which are limited to Mr. Cornelius’ RSU and RPSU grants under the LTIP.</w:t>
      </w:r>
    </w:p>
    <w:p>
      <w:pPr>
        <w:spacing w:after="0" w:line="93" w:lineRule="exact"/>
        <w:rPr>
          <w:sz w:val="20"/>
          <w:szCs w:val="20"/>
          <w:color w:val="auto"/>
        </w:rPr>
      </w:pPr>
    </w:p>
    <w:p>
      <w:pPr>
        <w:jc w:val="both"/>
        <w:ind w:right="20" w:firstLine="318"/>
        <w:spacing w:after="0" w:line="287" w:lineRule="auto"/>
        <w:rPr>
          <w:sz w:val="20"/>
          <w:szCs w:val="20"/>
          <w:color w:val="auto"/>
        </w:rPr>
      </w:pPr>
      <w:r>
        <w:rPr>
          <w:rFonts w:ascii="Times New Roman" w:cs="Times New Roman" w:eastAsia="Times New Roman" w:hAnsi="Times New Roman"/>
          <w:sz w:val="14"/>
          <w:szCs w:val="14"/>
          <w:color w:val="auto"/>
        </w:rPr>
        <w:t>With respect to our NEOs, excluding our Current CEO (“Other NEOs”), compensation during 2024 continued to be delivered through a mix of the following: (x) base salary, (y) an annual incentive bonus opportunity under the AIP and (z) long-term incentive compensation under our LTIP in the form of RPSUs and RSUs.</w:t>
      </w:r>
    </w:p>
    <w:p>
      <w:pPr>
        <w:spacing w:after="0" w:line="82" w:lineRule="exact"/>
        <w:rPr>
          <w:sz w:val="20"/>
          <w:szCs w:val="20"/>
          <w:color w:val="auto"/>
        </w:rPr>
      </w:pPr>
    </w:p>
    <w:p>
      <w:pPr>
        <w:jc w:val="both"/>
        <w:ind w:right="20" w:firstLine="318"/>
        <w:spacing w:after="0" w:line="287" w:lineRule="auto"/>
        <w:rPr>
          <w:sz w:val="20"/>
          <w:szCs w:val="20"/>
          <w:color w:val="auto"/>
        </w:rPr>
      </w:pPr>
      <w:r>
        <w:rPr>
          <w:rFonts w:ascii="Times New Roman" w:cs="Times New Roman" w:eastAsia="Times New Roman" w:hAnsi="Times New Roman"/>
          <w:sz w:val="14"/>
          <w:szCs w:val="14"/>
          <w:color w:val="auto"/>
        </w:rPr>
        <w:t>At our 2024 Annual Meeting of Stockholders, we received approximately 98% support for our say on pay proposal. We believe these results demonstrate our stockholders support our pay practices and that our compensation program is aligned with their interests.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4"/>
          <w:szCs w:val="14"/>
          <w:i w:val="1"/>
          <w:iCs w:val="1"/>
          <w:color w:val="auto"/>
        </w:rPr>
        <w:t>Key Governance Features of Our Executive Compensation Program</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compensation program and practices incorporate several key governance features as highlighted in the table below.</w:t>
      </w:r>
    </w:p>
    <w:p>
      <w:pPr>
        <w:spacing w:after="0" w:line="78" w:lineRule="exact"/>
        <w:rPr>
          <w:sz w:val="20"/>
          <w:szCs w:val="20"/>
          <w:color w:val="auto"/>
        </w:rPr>
      </w:pPr>
    </w:p>
    <w:p>
      <w:pPr>
        <w:jc w:val="right"/>
        <w:ind w:right="2400"/>
        <w:spacing w:after="0"/>
        <w:tabs>
          <w:tab w:leader="none" w:pos="940" w:val="left"/>
        </w:tabs>
        <w:rPr>
          <w:sz w:val="20"/>
          <w:szCs w:val="20"/>
          <w:color w:val="auto"/>
        </w:rPr>
      </w:pPr>
      <w:r>
        <w:rPr>
          <w:rFonts w:ascii="Times New Roman" w:cs="Times New Roman" w:eastAsia="Times New Roman" w:hAnsi="Times New Roman"/>
          <w:sz w:val="11"/>
          <w:szCs w:val="11"/>
          <w:b w:val="1"/>
          <w:bCs w:val="1"/>
          <w:color w:val="auto"/>
        </w:rPr>
        <w:t>What We Do:</w:t>
      </w:r>
      <w:r>
        <w:rPr>
          <w:sz w:val="20"/>
          <w:szCs w:val="20"/>
          <w:color w:val="auto"/>
        </w:rPr>
        <w:tab/>
      </w:r>
      <w:r>
        <w:rPr>
          <w:rFonts w:ascii="Times New Roman" w:cs="Times New Roman" w:eastAsia="Times New Roman" w:hAnsi="Times New Roman"/>
          <w:sz w:val="11"/>
          <w:szCs w:val="11"/>
          <w:b w:val="1"/>
          <w:bCs w:val="1"/>
          <w:color w:val="auto"/>
        </w:rPr>
        <w:t>What We Don’t Do:</w:t>
      </w:r>
    </w:p>
    <w:p>
      <w:pPr>
        <w:sectPr>
          <w:pgSz w:w="11900" w:h="16838" w:orient="portrait"/>
          <w:cols w:equalWidth="0" w:num="1">
            <w:col w:w="11280"/>
          </w:cols>
          <w:pgMar w:left="300" w:top="728" w:right="319" w:bottom="1440" w:gutter="0" w:footer="0" w:header="0"/>
        </w:sectPr>
      </w:pPr>
    </w:p>
    <w:p>
      <w:pPr>
        <w:spacing w:after="0" w:line="186" w:lineRule="exact"/>
        <w:rPr>
          <w:sz w:val="20"/>
          <w:szCs w:val="20"/>
          <w:color w:val="auto"/>
        </w:rPr>
      </w:pPr>
    </w:p>
    <w:p>
      <w:pPr>
        <w:ind w:left="520" w:hanging="2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for performance by compensating our Current CEO through equity</w:t>
      </w:r>
    </w:p>
    <w:p>
      <w:pPr>
        <w:spacing w:after="0" w:line="23" w:lineRule="exact"/>
        <w:rPr>
          <w:rFonts w:ascii="Times New Roman" w:cs="Times New Roman" w:eastAsia="Times New Roman" w:hAnsi="Times New Roman"/>
          <w:sz w:val="14"/>
          <w:szCs w:val="14"/>
          <w:color w:val="auto"/>
        </w:rPr>
      </w:pPr>
    </w:p>
    <w:p>
      <w:pPr>
        <w:ind w:left="520" w:right="80" w:hanging="246"/>
        <w:spacing w:after="0" w:line="170" w:lineRule="exact"/>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large majority of our equity compensation for Senior Vice Presidents and above is performance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w:t>
      </w:r>
    </w:p>
    <w:p>
      <w:pPr>
        <w:spacing w:after="0" w:line="134" w:lineRule="exact"/>
        <w:rPr>
          <w:rFonts w:ascii="Times New Roman" w:cs="Times New Roman" w:eastAsia="Times New Roman" w:hAnsi="Times New Roman"/>
          <w:sz w:val="14"/>
          <w:szCs w:val="14"/>
          <w:color w:val="auto"/>
        </w:rPr>
      </w:pPr>
    </w:p>
    <w:p>
      <w:pPr>
        <w:ind w:left="520" w:hanging="2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our peer group median for total direct compensation for the Other NEOs</w:t>
      </w:r>
    </w:p>
    <w:p>
      <w:pPr>
        <w:spacing w:after="0" w:line="23" w:lineRule="exact"/>
        <w:rPr>
          <w:rFonts w:ascii="Times New Roman" w:cs="Times New Roman" w:eastAsia="Times New Roman" w:hAnsi="Times New Roman"/>
          <w:sz w:val="14"/>
          <w:szCs w:val="14"/>
          <w:color w:val="auto"/>
        </w:rPr>
      </w:pPr>
    </w:p>
    <w:p>
      <w:pPr>
        <w:ind w:left="520" w:right="300" w:hanging="246"/>
        <w:spacing w:after="0" w:line="170" w:lineRule="exact"/>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double trigger for the acceleration of equity vesting in connection with a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w:t>
      </w:r>
    </w:p>
    <w:p>
      <w:pPr>
        <w:ind w:left="520" w:right="340" w:hanging="246"/>
        <w:spacing w:after="0" w:line="228"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undue risk taking in our compensation practices and engage in robust risk monitoring</w:t>
      </w:r>
    </w:p>
    <w:p>
      <w:pPr>
        <w:spacing w:after="0" w:line="7" w:lineRule="exact"/>
        <w:rPr>
          <w:rFonts w:ascii="Times New Roman" w:cs="Times New Roman" w:eastAsia="Times New Roman" w:hAnsi="Times New Roman"/>
          <w:sz w:val="14"/>
          <w:szCs w:val="14"/>
          <w:color w:val="auto"/>
        </w:rPr>
      </w:pPr>
    </w:p>
    <w:p>
      <w:pPr>
        <w:ind w:left="520" w:right="60" w:hanging="246"/>
        <w:spacing w:after="0" w:line="239"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legally-required and Company-specific clawback policies in our compensation plans</w:t>
      </w:r>
    </w:p>
    <w:p>
      <w:pPr>
        <w:spacing w:after="0" w:line="8" w:lineRule="exact"/>
        <w:rPr>
          <w:rFonts w:ascii="Times New Roman" w:cs="Times New Roman" w:eastAsia="Times New Roman" w:hAnsi="Times New Roman"/>
          <w:sz w:val="14"/>
          <w:szCs w:val="14"/>
          <w:color w:val="auto"/>
        </w:rPr>
      </w:pPr>
    </w:p>
    <w:p>
      <w:pPr>
        <w:ind w:left="520" w:hanging="2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robust stock ownership guidelines for our NEOs</w:t>
      </w:r>
    </w:p>
    <w:p>
      <w:pPr>
        <w:spacing w:after="0" w:line="23" w:lineRule="exact"/>
        <w:rPr>
          <w:rFonts w:ascii="Times New Roman" w:cs="Times New Roman" w:eastAsia="Times New Roman" w:hAnsi="Times New Roman"/>
          <w:sz w:val="14"/>
          <w:szCs w:val="14"/>
          <w:color w:val="auto"/>
        </w:rPr>
      </w:pPr>
    </w:p>
    <w:p>
      <w:pPr>
        <w:ind w:left="520" w:hanging="246"/>
        <w:spacing w:after="0" w:line="161" w:lineRule="exact"/>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market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retirement benefits and limited perquisites</w:t>
      </w:r>
    </w:p>
    <w:p>
      <w:pPr>
        <w:spacing w:after="0" w:line="31" w:lineRule="exact"/>
        <w:rPr>
          <w:rFonts w:ascii="Times New Roman" w:cs="Times New Roman" w:eastAsia="Times New Roman" w:hAnsi="Times New Roman"/>
          <w:sz w:val="14"/>
          <w:szCs w:val="14"/>
          <w:color w:val="auto"/>
        </w:rPr>
      </w:pPr>
    </w:p>
    <w:p>
      <w:pPr>
        <w:ind w:left="520" w:hanging="246"/>
        <w:spacing w:after="0" w:line="228"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an independent compensation consultant to provide advice to the Compensation Committee with respect to our compensation program</w:t>
      </w:r>
    </w:p>
    <w:p>
      <w:pPr>
        <w:spacing w:after="0" w:line="7" w:lineRule="exact"/>
        <w:rPr>
          <w:rFonts w:ascii="Times New Roman" w:cs="Times New Roman" w:eastAsia="Times New Roman" w:hAnsi="Times New Roman"/>
          <w:sz w:val="14"/>
          <w:szCs w:val="14"/>
          <w:color w:val="auto"/>
        </w:rPr>
      </w:pPr>
    </w:p>
    <w:p>
      <w:pPr>
        <w:ind w:left="520" w:hanging="24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an 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-1790065</wp:posOffset>
            </wp:positionV>
            <wp:extent cx="7161530" cy="208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-1372235</wp:posOffset>
            </wp:positionV>
            <wp:extent cx="7161530" cy="208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7161530" cy="208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-307975</wp:posOffset>
            </wp:positionV>
            <wp:extent cx="7161530" cy="2089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49" w:right="40" w:hanging="249"/>
        <w:spacing w:after="0" w:line="169" w:lineRule="exact"/>
        <w:tabs>
          <w:tab w:leader="none" w:pos="24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excise tax gross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ups on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 payments and no tax gross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ups on perquisites or benefits</w:t>
      </w:r>
    </w:p>
    <w:p>
      <w:pPr>
        <w:spacing w:after="0" w:line="155"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pledging or hedging of the Company’s stock by NEOs or directors</w:t>
      </w:r>
    </w:p>
    <w:p>
      <w:pPr>
        <w:spacing w:after="0" w:line="23" w:lineRule="exact"/>
        <w:rPr>
          <w:rFonts w:ascii="Times New Roman" w:cs="Times New Roman" w:eastAsia="Times New Roman" w:hAnsi="Times New Roman"/>
          <w:sz w:val="14"/>
          <w:szCs w:val="14"/>
          <w:color w:val="auto"/>
        </w:rPr>
      </w:pPr>
    </w:p>
    <w:p>
      <w:pPr>
        <w:ind w:left="249" w:right="180" w:hanging="249"/>
        <w:spacing w:after="0" w:line="237" w:lineRule="auto"/>
        <w:tabs>
          <w:tab w:leader="none" w:pos="24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employment agreements for executive officers with the exception of the Current CEO and Former CEO</w:t>
      </w:r>
    </w:p>
    <w:p>
      <w:pPr>
        <w:spacing w:after="0" w:line="155"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guaranteed bonus payments under our AIP for our NEOs</w:t>
      </w:r>
    </w:p>
    <w:p>
      <w:pPr>
        <w:spacing w:after="0" w:line="167"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supplemental executive retirement plans</w:t>
      </w:r>
    </w:p>
    <w:p>
      <w:pPr>
        <w:spacing w:after="0" w:line="23" w:lineRule="exact"/>
        <w:rPr>
          <w:rFonts w:ascii="Times New Roman" w:cs="Times New Roman" w:eastAsia="Times New Roman" w:hAnsi="Times New Roman"/>
          <w:sz w:val="14"/>
          <w:szCs w:val="14"/>
          <w:color w:val="auto"/>
        </w:rPr>
      </w:pPr>
    </w:p>
    <w:p>
      <w:pPr>
        <w:ind w:left="249" w:right="60" w:hanging="249"/>
        <w:spacing w:after="0" w:line="159" w:lineRule="exact"/>
        <w:tabs>
          <w:tab w:leader="none" w:pos="24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of underwater stock options and no stock option grants with an exercise price below 100% of fair market value</w:t>
      </w:r>
    </w:p>
    <w:p>
      <w:pPr>
        <w:spacing w:after="0" w:line="1057" w:lineRule="exact"/>
        <w:rPr>
          <w:sz w:val="20"/>
          <w:szCs w:val="20"/>
          <w:color w:val="auto"/>
        </w:rPr>
      </w:pPr>
    </w:p>
    <w:p>
      <w:pPr>
        <w:sectPr>
          <w:pgSz w:w="11900" w:h="16838" w:orient="portrait"/>
          <w:cols w:equalWidth="0" w:num="2">
            <w:col w:w="5500" w:space="291"/>
            <w:col w:w="5489"/>
          </w:cols>
          <w:pgMar w:left="300" w:top="728" w:right="3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Strategy</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Company’s primary business strategy is to focus on the acquisition and ownership of assets with predictable, long-term cash flows that allow the Company to increase the cash distributions paid to its unit holders over time without compromising the ongoing stability of the business. The Company’s plan for executing this strategy includes the following key components: focusing on contracted renewable energy and flexible generation; growing our business through acquisitions of contracted operating assets primarily in North America; and maintaining sound financial practices to increase distributions to our unit holders. For additional information regarding the Company’s business results during 2024, please see Part II, Item 7 – </w:t>
      </w:r>
      <w:r>
        <w:rPr>
          <w:rFonts w:ascii="Times New Roman" w:cs="Times New Roman" w:eastAsia="Times New Roman" w:hAnsi="Times New Roman"/>
          <w:sz w:val="14"/>
          <w:szCs w:val="14"/>
          <w:i w:val="1"/>
          <w:iCs w:val="1"/>
          <w:color w:val="auto"/>
        </w:rPr>
        <w:t>Management’s Discussion and Analysis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and Results of Operations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Compensation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Named Executive Officers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This CD&amp;A describes the material components of our compensation program for our NEOs in 2024. For the year ending December 31, 2024, our NEOs included the following individuals: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NEO</w:t>
            </w:r>
          </w:p>
        </w:tc>
        <w:tc>
          <w:tcPr>
            <w:tcW w:w="6920" w:type="dxa"/>
            <w:vAlign w:val="bottom"/>
          </w:tcPr>
          <w:p>
            <w:pPr>
              <w:ind w:left="3220"/>
              <w:spacing w:after="0"/>
              <w:rPr>
                <w:sz w:val="20"/>
                <w:szCs w:val="20"/>
                <w:color w:val="auto"/>
              </w:rPr>
            </w:pPr>
            <w:r>
              <w:rPr>
                <w:rFonts w:ascii="Times New Roman" w:cs="Times New Roman" w:eastAsia="Times New Roman" w:hAnsi="Times New Roman"/>
                <w:sz w:val="11"/>
                <w:szCs w:val="11"/>
                <w:b w:val="1"/>
                <w:bCs w:val="1"/>
                <w:color w:val="auto"/>
              </w:rPr>
              <w:t>2024 Title</w:t>
            </w:r>
          </w:p>
        </w:tc>
      </w:tr>
      <w:tr>
        <w:trPr>
          <w:trHeight w:val="180"/>
        </w:trPr>
        <w:tc>
          <w:tcPr>
            <w:tcW w:w="4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Craig Cornelius</w:t>
            </w:r>
          </w:p>
        </w:tc>
        <w:tc>
          <w:tcPr>
            <w:tcW w:w="100" w:type="dxa"/>
            <w:vAlign w:val="bottom"/>
            <w:tcBorders>
              <w:top w:val="single" w:sz="8" w:color="CCEEFF"/>
            </w:tcBorders>
            <w:shd w:val="clear" w:color="auto" w:fill="CCEEFF"/>
          </w:tcPr>
          <w:p>
            <w:pPr>
              <w:spacing w:after="0"/>
              <w:rPr>
                <w:sz w:val="15"/>
                <w:szCs w:val="15"/>
                <w:color w:val="auto"/>
              </w:rPr>
            </w:pPr>
          </w:p>
        </w:tc>
        <w:tc>
          <w:tcPr>
            <w:tcW w:w="6920" w:type="dxa"/>
            <w:vAlign w:val="bottom"/>
            <w:tcBorders>
              <w:top w:val="single" w:sz="8" w:color="auto"/>
            </w:tcBorders>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President and Chief Executive Officer </w:t>
            </w:r>
            <w:r>
              <w:rPr>
                <w:rFonts w:ascii="Times New Roman" w:cs="Times New Roman" w:eastAsia="Times New Roman" w:hAnsi="Times New Roman"/>
                <w:sz w:val="18"/>
                <w:szCs w:val="18"/>
                <w:color w:val="auto"/>
                <w:vertAlign w:val="superscript"/>
              </w:rPr>
              <w:t>(1)</w:t>
            </w:r>
          </w:p>
        </w:tc>
      </w:tr>
      <w:tr>
        <w:trPr>
          <w:trHeight w:val="180"/>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Christopher S. Sotos</w:t>
            </w:r>
          </w:p>
        </w:tc>
        <w:tc>
          <w:tcPr>
            <w:tcW w:w="692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Former President and Chief Executive Officer </w:t>
            </w:r>
            <w:r>
              <w:rPr>
                <w:rFonts w:ascii="Times New Roman" w:cs="Times New Roman" w:eastAsia="Times New Roman" w:hAnsi="Times New Roman"/>
                <w:sz w:val="18"/>
                <w:szCs w:val="18"/>
                <w:color w:val="auto"/>
                <w:vertAlign w:val="superscript"/>
              </w:rPr>
              <w:t>(2)</w:t>
            </w:r>
          </w:p>
        </w:tc>
      </w:tr>
      <w:tr>
        <w:trPr>
          <w:trHeight w:val="180"/>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Sarah Rubenstein</w:t>
            </w:r>
          </w:p>
        </w:tc>
        <w:tc>
          <w:tcPr>
            <w:tcW w:w="6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Kevin P. Malcarney</w:t>
            </w:r>
          </w:p>
        </w:tc>
        <w:tc>
          <w:tcPr>
            <w:tcW w:w="6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Vice President, General Counsel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13881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9" w:lineRule="exact"/>
        <w:rPr>
          <w:sz w:val="20"/>
          <w:szCs w:val="20"/>
          <w:color w:val="auto"/>
        </w:rPr>
      </w:pPr>
    </w:p>
    <w:p>
      <w:pPr>
        <w:ind w:left="200" w:hanging="131"/>
        <w:spacing w:after="0"/>
        <w:tabs>
          <w:tab w:leader="none" w:pos="20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Mr. Cornelius was appointed to serve as President and CEO of the Company on July 1, 2024.</w:t>
      </w:r>
    </w:p>
    <w:p>
      <w:pPr>
        <w:spacing w:after="0" w:line="28" w:lineRule="exact"/>
        <w:rPr>
          <w:rFonts w:ascii="Times New Roman" w:cs="Times New Roman" w:eastAsia="Times New Roman" w:hAnsi="Times New Roman"/>
          <w:sz w:val="16"/>
          <w:szCs w:val="16"/>
          <w:color w:val="auto"/>
          <w:vertAlign w:val="superscript"/>
        </w:rPr>
      </w:pPr>
    </w:p>
    <w:p>
      <w:pPr>
        <w:ind w:left="180" w:hanging="111"/>
        <w:spacing w:after="0" w:line="225" w:lineRule="auto"/>
        <w:tabs>
          <w:tab w:leader="none" w:pos="18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Sotos voluntarily resigned from his employment with the Company and from his service on the Board on June 30, 2024.</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color w:val="auto"/>
        </w:rPr>
        <w:t>Goals and Objectives of the Program</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Compensation Committee is responsible for the development and implementation of the Company’s executive compensation program, subject to Board approval for equity awards under the LTIP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long-term business strategy. The Compensation Committee is committed to aligning executive compensation with performance. Our Compensation Committee has designed an executive compensation program that is intended to:</w:t>
      </w:r>
    </w:p>
    <w:p>
      <w:pPr>
        <w:spacing w:after="0" w:line="16"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closely align our executive compensation with stockholder value creation, avoiding plans that encourage executives to take excessive risk, while driving long-term value to stockholders;</w:t>
      </w:r>
    </w:p>
    <w:p>
      <w:pPr>
        <w:spacing w:after="0" w:line="5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our long-term business strategy, while rewarding our executive team for their individual accomplishments with tailored individual executive compensation metrics and incentives; and</w:t>
      </w:r>
    </w:p>
    <w:p>
      <w:pPr>
        <w:spacing w:after="0" w:line="20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competitive compensation opportunity while aligning with market standards for compensation.</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Compensation Committee’s objectives are achieved through the use of short-term incentives for the Other NEOs and long-term incentives for all the NEOs. The Company currently targets total direct compensation with respect to the Other NEOs at the median of our Compensation Peer Group (defined below), as described below under “Elements of Compensation.”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Compensation Process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Consultant</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2024.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its affiliates provided any other services for us or any of our affiliates in 2024.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Peer Group Analysis</w:t>
      </w:r>
    </w:p>
    <w:p>
      <w:pPr>
        <w:spacing w:after="0" w:line="138" w:lineRule="exact"/>
        <w:rPr>
          <w:sz w:val="20"/>
          <w:szCs w:val="20"/>
          <w:color w:val="auto"/>
        </w:rPr>
      </w:pPr>
    </w:p>
    <w:p>
      <w:pPr>
        <w:jc w:val="both"/>
        <w:ind w:firstLine="318"/>
        <w:spacing w:after="0" w:line="173" w:lineRule="exact"/>
        <w:rPr>
          <w:sz w:val="20"/>
          <w:szCs w:val="20"/>
          <w:color w:val="auto"/>
        </w:rPr>
      </w:pPr>
      <w:r>
        <w:rPr>
          <w:rFonts w:ascii="Times New Roman" w:cs="Times New Roman" w:eastAsia="Times New Roman" w:hAnsi="Times New Roman"/>
          <w:sz w:val="14"/>
          <w:szCs w:val="14"/>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but given the dynamic nature of our industry and the companies that constitute it, the Compensation Committee annually examines the peer group for appropriateness in terms of size, complexity, and industry. In connection with this annual review, the Compensation Committee reviewed the peer group identified for 2023 and adjusted it to remove South Jersey Industries, Inc. due to its acquisition and delisting, and add Capital Power Corporation and Boralex Inc. for compensation benchmarking purposes in 2024 (the “Compensation Peer Group”).</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4"/>
          <w:szCs w:val="14"/>
          <w:color w:val="auto"/>
        </w:rPr>
        <w:t>For these purposes, the Compensation Peer Group, comprised of similarly sized publicly owned energy and utility companies, is identified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Ticker</w:t>
            </w:r>
          </w:p>
        </w:tc>
        <w:tc>
          <w:tcPr>
            <w:tcW w:w="3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Ticker</w:t>
            </w:r>
          </w:p>
        </w:tc>
      </w:tr>
      <w:tr>
        <w:trPr>
          <w:trHeight w:val="180"/>
        </w:trPr>
        <w:tc>
          <w:tcPr>
            <w:tcW w:w="34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Algonquin Power &amp; Utilities Corp.</w:t>
            </w:r>
          </w:p>
        </w:tc>
        <w:tc>
          <w:tcPr>
            <w:tcW w:w="8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NYSE: AQN</w:t>
            </w:r>
          </w:p>
        </w:tc>
        <w:tc>
          <w:tcPr>
            <w:tcW w:w="100" w:type="dxa"/>
            <w:vAlign w:val="bottom"/>
            <w:tcBorders>
              <w:top w:val="single" w:sz="8" w:color="CCEEFF"/>
            </w:tcBorders>
            <w:shd w:val="clear" w:color="auto" w:fill="CCEEFF"/>
          </w:tcPr>
          <w:p>
            <w:pPr>
              <w:spacing w:after="0"/>
              <w:rPr>
                <w:sz w:val="15"/>
                <w:szCs w:val="15"/>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MGE Energy, Inc.</w:t>
            </w:r>
          </w:p>
        </w:tc>
        <w:tc>
          <w:tcPr>
            <w:tcW w:w="1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MGEE</w:t>
            </w:r>
          </w:p>
        </w:tc>
      </w:tr>
      <w:tr>
        <w:trPr>
          <w:trHeight w:val="180"/>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Alliant Energy Corporation</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NASDAQ: LNT</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Northland Power Inc.</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TSX: NPI</w:t>
            </w:r>
          </w:p>
        </w:tc>
      </w:tr>
      <w:tr>
        <w:trPr>
          <w:trHeight w:val="202"/>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Atmos Energy Corporation</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NYSE: ATO</w:t>
            </w: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NorthWestern Corporation</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NYSE: NWE</w:t>
            </w:r>
          </w:p>
        </w:tc>
      </w:tr>
      <w:tr>
        <w:trPr>
          <w:trHeight w:val="201"/>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Avista Corporation</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NYSE: AVA</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Ormat Technologies, Inc.</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NYSE: ORA</w:t>
            </w:r>
          </w:p>
        </w:tc>
      </w:tr>
      <w:tr>
        <w:trPr>
          <w:trHeight w:val="181"/>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Black Hills Corporation</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NYSE: BKH</w:t>
            </w: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Portland General Electric Company</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NYSE: POR</w:t>
            </w:r>
          </w:p>
        </w:tc>
      </w:tr>
      <w:tr>
        <w:trPr>
          <w:trHeight w:val="180"/>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Boralex Inc.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OTCMKTS: BRLXF</w:t>
            </w: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TransAltaCorporation</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NYSE: TAC</w:t>
            </w:r>
          </w:p>
        </w:tc>
      </w:tr>
      <w:tr>
        <w:trPr>
          <w:trHeight w:val="180"/>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Power Corporation</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OTCMKTS: CPXWF</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80"/>
        </w:trPr>
        <w:tc>
          <w:tcPr>
            <w:tcW w:w="35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Equitrans Midstream Corporation</w:t>
            </w:r>
            <w:r>
              <w:rPr>
                <w:rFonts w:ascii="Times New Roman" w:cs="Times New Roman" w:eastAsia="Times New Roman" w:hAnsi="Times New Roman"/>
                <w:sz w:val="18"/>
                <w:szCs w:val="18"/>
                <w:color w:val="auto"/>
                <w:vertAlign w:val="superscript"/>
              </w:rPr>
              <w:t>(1)</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NYSE: ETRN</w:t>
            </w: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0"/>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Genesis Energy, L.P.</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NYSE: GEL</w:t>
            </w: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r>
      <w:tr>
        <w:trPr>
          <w:trHeight w:val="184"/>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Innergex Renewable Energy Inc.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TSX: INE</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8" w:lineRule="exact"/>
        <w:rPr>
          <w:sz w:val="20"/>
          <w:szCs w:val="20"/>
          <w:color w:val="auto"/>
        </w:rPr>
      </w:pPr>
    </w:p>
    <w:p>
      <w:pPr>
        <w:ind w:left="60" w:firstLine="9"/>
        <w:spacing w:after="0" w:line="365" w:lineRule="auto"/>
        <w:tabs>
          <w:tab w:leader="none" w:pos="177" w:val="left"/>
        </w:tabs>
        <w:numPr>
          <w:ilvl w:val="0"/>
          <w:numId w:val="3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Equitrans Midstream Corporation was acquired by EQT Corporation in July 2024 and was delisted, but was included by Pay Governance as part of its 2024 compensation benchmarking analysis, and for that reason, Equitrans Midstream Corporation is included in the Compensation Peer Group for 2024 but will not be part of the Compensation Peer Group for 2025 or going forward.</w:t>
      </w:r>
    </w:p>
    <w:p>
      <w:pPr>
        <w:spacing w:after="0" w:line="2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For the purposes of determining appropriate NEO compensation levels for 2024, the Compensation Committee reviewed NEO compensation from peers, where available and when appropriate (e.g., based on an NEO’s position and duties). To supplement this analysis, the Compensation Committee reviewed relevant third-party survey data and considered the recommendations of the Former CEO (i.e., given that such analysis and recommendations took place prior to the Current CEO’s commencement as our President and CEO on July 1, 2024), on Other NEO and employee compensation matters not involving the Former CEO. The Compensation Committee may accept or adjust CEO recommendations at its discretion. The NEOs did not participate in Compensation Committee discussions regarding their own compensation.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Elements of Compensation</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Our executive compensation program consists of fixed compensation (base salary), performance-based compensation (AIP bonus and RPSUs) and time-based compensation (RSUs), noting that the only compensation directly provided by the Company to the Current CEO consists of awards of RPSUs and RSUs that are issued pursuant to our LTIP. We generally use the median percentile of our Compensation Peer Group as a guidepost in establishing the targeted levels of total direct compensation (cash and/or equity, as applicable) for our NEOs, noting that the terms of the initial RPSU and RSU awards and the target value of such awards granted to our Current CEO in 2024 were established pursuant to his employment agreement. We expect that, over time, the relevant components of targeted total direct compensation for our NEOs will continue to approximate the median of our Compensation Peer Group. Realized pay in a given year depends on the achievement of defined performance-based compensation metrics. While a portion of the above-described compensation is fixed, a significant percentage is at-risk and payable and/or realizable only if certain performance objectives are met.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Base Salary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noted above, the Company does not pay cash compensation to our Current CEO, who is an employee of CEG. As a result, our Current CEO’s base salary is paid solely by CEG in accordance with his employment agreement. However, the Compensation Committee is permitted under the terms of our Current CEO’s employment agreement to make non-binding recommendations to the CEG compensation committee regarding any adjustments to Mr. Cornelius’ base salary, with the CEG compensation committee having final decisional authority with respect to such adjustments.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4" w:name="page65"/>
    <w:bookmarkEnd w:id="64"/>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With respect to our Other NEOs, we use base salary as a critical component to compensate such NEO for his or her level of experience and position responsibilities and for the continued expectation of superior performance. Recommendations on increases to base salary take into account, among other factors, the applicable NEO’s individual performance, the general contributions of the NEO to overall corporate performance, the level of responsibility of such NEO with respect to his or her specific position, and the NEO’s current base salary level compared to the market median. The base salary for each NEO for fiscal year 2024 as of December 31, 2024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2024 Annualized</w:t>
            </w:r>
          </w:p>
        </w:tc>
        <w:tc>
          <w:tcPr>
            <w:tcW w:w="1860" w:type="dxa"/>
            <w:vAlign w:val="bottom"/>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Percentage Increase</w:t>
            </w:r>
          </w:p>
        </w:tc>
      </w:tr>
      <w:tr>
        <w:trPr>
          <w:trHeight w:val="18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Base Salary ($)</w:t>
            </w:r>
            <w:r>
              <w:rPr>
                <w:rFonts w:ascii="Times New Roman" w:cs="Times New Roman" w:eastAsia="Times New Roman" w:hAnsi="Times New Roman"/>
                <w:sz w:val="14"/>
                <w:szCs w:val="14"/>
                <w:b w:val="1"/>
                <w:bCs w:val="1"/>
                <w:color w:val="auto"/>
                <w:vertAlign w:val="superscript"/>
              </w:rPr>
              <w:t>(1)</w:t>
            </w:r>
          </w:p>
        </w:tc>
        <w:tc>
          <w:tcPr>
            <w:tcW w:w="1860" w:type="dxa"/>
            <w:vAlign w:val="bottom"/>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Over 2023 (%)</w:t>
            </w:r>
            <w:r>
              <w:rPr>
                <w:rFonts w:ascii="Times New Roman" w:cs="Times New Roman" w:eastAsia="Times New Roman" w:hAnsi="Times New Roman"/>
                <w:sz w:val="14"/>
                <w:szCs w:val="14"/>
                <w:b w:val="1"/>
                <w:bCs w:val="1"/>
                <w:color w:val="auto"/>
                <w:vertAlign w:val="superscript"/>
              </w:rPr>
              <w:t>(2)</w:t>
            </w:r>
          </w:p>
        </w:tc>
      </w:tr>
      <w:tr>
        <w:trPr>
          <w:trHeight w:val="171"/>
        </w:trPr>
        <w:tc>
          <w:tcPr>
            <w:tcW w:w="77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(3)</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78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Christopher S. Sotos</w:t>
            </w:r>
            <w:r>
              <w:rPr>
                <w:rFonts w:ascii="Times New Roman" w:cs="Times New Roman" w:eastAsia="Times New Roman" w:hAnsi="Times New Roman"/>
                <w:sz w:val="18"/>
                <w:szCs w:val="18"/>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691,809</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8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428,480</w:t>
            </w:r>
          </w:p>
        </w:tc>
        <w:tc>
          <w:tcPr>
            <w:tcW w:w="1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9" w:lineRule="exact"/>
        <w:rPr>
          <w:sz w:val="20"/>
          <w:szCs w:val="20"/>
          <w:color w:val="auto"/>
        </w:rPr>
      </w:pPr>
    </w:p>
    <w:p>
      <w:pPr>
        <w:ind w:left="200" w:hanging="131"/>
        <w:spacing w:after="0"/>
        <w:tabs>
          <w:tab w:leader="none" w:pos="20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Actual 2024 base salary earnings are presented in the Summary Compensation Table for the Other NEOs.</w:t>
      </w:r>
    </w:p>
    <w:p>
      <w:pPr>
        <w:spacing w:after="0" w:line="28" w:lineRule="exact"/>
        <w:rPr>
          <w:rFonts w:ascii="Times New Roman" w:cs="Times New Roman" w:eastAsia="Times New Roman" w:hAnsi="Times New Roman"/>
          <w:sz w:val="16"/>
          <w:szCs w:val="16"/>
          <w:color w:val="auto"/>
          <w:vertAlign w:val="superscript"/>
        </w:rPr>
      </w:pPr>
    </w:p>
    <w:p>
      <w:pPr>
        <w:ind w:left="200" w:hanging="131"/>
        <w:spacing w:after="0" w:line="197" w:lineRule="auto"/>
        <w:tabs>
          <w:tab w:leader="none" w:pos="20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compared to the December 31, 2023 annualized base salary.</w:t>
      </w:r>
    </w:p>
    <w:p>
      <w:pPr>
        <w:spacing w:after="0" w:line="29" w:lineRule="exact"/>
        <w:rPr>
          <w:rFonts w:ascii="Times New Roman" w:cs="Times New Roman" w:eastAsia="Times New Roman" w:hAnsi="Times New Roman"/>
          <w:sz w:val="16"/>
          <w:szCs w:val="16"/>
          <w:color w:val="auto"/>
          <w:vertAlign w:val="superscript"/>
        </w:rPr>
      </w:pPr>
    </w:p>
    <w:p>
      <w:pPr>
        <w:ind w:left="60" w:firstLine="9"/>
        <w:spacing w:after="0"/>
        <w:tabs>
          <w:tab w:leader="none" w:pos="188"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Cornelius’ base salary is payable solely by CEG in accordance with his employment agreement and is included in the above table for the sake of completeness, but is not included in the Summary Compensation Table.</w:t>
      </w:r>
    </w:p>
    <w:p>
      <w:pPr>
        <w:spacing w:after="0" w:line="149" w:lineRule="exact"/>
        <w:rPr>
          <w:rFonts w:ascii="Times New Roman" w:cs="Times New Roman" w:eastAsia="Times New Roman" w:hAnsi="Times New Roman"/>
          <w:sz w:val="14"/>
          <w:szCs w:val="14"/>
          <w:color w:val="auto"/>
          <w:vertAlign w:val="superscript"/>
        </w:rPr>
      </w:pPr>
    </w:p>
    <w:p>
      <w:pPr>
        <w:ind w:left="200" w:hanging="131"/>
        <w:spacing w:after="0" w:line="235" w:lineRule="auto"/>
        <w:tabs>
          <w:tab w:leader="none" w:pos="20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Mr. Sotos voluntarily resigned from his employment with the Company and from his service on the Board on June 30,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Incentive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As noted above, the Company does not pay cash compensation to our Current CEO, who is an employee of CEG. As a result, our Current CEO’s annual bonus compensation is paid solely by CEG (pursuant to CEG’s annual bonus program) in accordance with his employment agreement. Pursuant to his employment agreement and beginning with the 2024 fiscal year, our Current CEO is eligible to receive an annual incentive bonus at a target amount equal to 175% of his then-current base salary, with the actual annual bonus with respect to a fiscal year being based on the level of achievement of annual performance objectives established for such fiscal year with respect to CEG; provided that such actual annual bonus may not exceed 300% of the Current CEO’s base salary as in effect at the end of such fiscal year. However, during fiscal years in which the Current CEO serves as our CEO (including fiscal year 2024), the performance objectives with respect to his annual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Our Current CEO’s performance objectives were primarily based on the 2024 AIP bonus performance criteria and weighting described below, along with three additional key performance milestones. As a result, the key performance milestone target for our Current CEO was achievement of five out of eight key performance milestones.</w:t>
      </w:r>
    </w:p>
    <w:p>
      <w:pPr>
        <w:spacing w:after="0" w:line="10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With respect to our Other NEOs, annual incentive compensation awards (AIP bonuses) are made under our AIP (our Current CEO does not participate in our AIP). AIP bonuses represent short-term compensation designed to compensate our Other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2024 relate to: (a) CAFD and (b) key performance milestones. In addition, the overall bonus payout is negatively adjusted for any OSHA recordable injuries that occur during the year, and each Other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AIP bonus opportunities are expressed in terms of threshold, target and maximum bonus opportunities. Different percentages of each Other NEO’s annual base salary relate to these threshold, target and maximum AIP bonus opportunities. However, in the event threshold performance for 2024 was not achieved with respect to one of the AIP performance metrics, no AIP bonuses would have been payable for that component for 2024.</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AIP provides our Other NEOs (other than Mr. Sotos) eligibility for a pro-rated target bonus payment for the year of a qualifying severance termination, based on the portion of the performance period that the NEO was employed. Mr. Sotos, pursuant to the terms of his Separation Agreement (as defined below), remained eligible for a pro-rated bonus payment for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color w:val="auto"/>
        </w:rPr>
        <w:t>2024 AIP Bonus Performance Criteria</w:t>
      </w:r>
    </w:p>
    <w:p>
      <w:pPr>
        <w:spacing w:after="0" w:line="138" w:lineRule="exact"/>
        <w:rPr>
          <w:sz w:val="20"/>
          <w:szCs w:val="20"/>
          <w:color w:val="auto"/>
        </w:rPr>
      </w:pPr>
    </w:p>
    <w:p>
      <w:pPr>
        <w:jc w:val="both"/>
        <w:ind w:right="80" w:firstLine="318"/>
        <w:spacing w:after="0" w:line="287" w:lineRule="auto"/>
        <w:rPr>
          <w:sz w:val="20"/>
          <w:szCs w:val="20"/>
          <w:color w:val="auto"/>
        </w:rPr>
      </w:pPr>
      <w:r>
        <w:rPr>
          <w:rFonts w:ascii="Times New Roman" w:cs="Times New Roman" w:eastAsia="Times New Roman" w:hAnsi="Times New Roman"/>
          <w:sz w:val="14"/>
          <w:szCs w:val="14"/>
          <w:color w:val="auto"/>
        </w:rPr>
        <w:t>The 2024 AIP bonus performance criteria applicable to our Other NEOs are based upon the two Company goals described above and adjusted, as discussed, based on OSHA recordable injuries and individual performance, as applicable. The table below sets forth the 2024 AIP performance criteria and weightings applicable to all Other NEOs, assuming the achievement of each goal at target.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Goal</w:t>
            </w:r>
          </w:p>
        </w:tc>
        <w:tc>
          <w:tcPr>
            <w:tcW w:w="5040" w:type="dxa"/>
            <w:vAlign w:val="bottom"/>
          </w:tcPr>
          <w:p>
            <w:pPr>
              <w:jc w:val="right"/>
              <w:ind w:right="892"/>
              <w:spacing w:after="0"/>
              <w:rPr>
                <w:sz w:val="20"/>
                <w:szCs w:val="20"/>
                <w:color w:val="auto"/>
              </w:rPr>
            </w:pPr>
            <w:r>
              <w:rPr>
                <w:rFonts w:ascii="Times New Roman" w:cs="Times New Roman" w:eastAsia="Times New Roman" w:hAnsi="Times New Roman"/>
                <w:sz w:val="11"/>
                <w:szCs w:val="11"/>
                <w:b w:val="1"/>
                <w:bCs w:val="1"/>
                <w:color w:val="auto"/>
              </w:rPr>
              <w:t>Weight</w:t>
            </w:r>
          </w:p>
        </w:tc>
      </w:tr>
      <w:tr>
        <w:trPr>
          <w:trHeight w:val="22"/>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CAFD</w:t>
            </w:r>
            <w:r>
              <w:rPr>
                <w:rFonts w:ascii="Times New Roman" w:cs="Times New Roman" w:eastAsia="Times New Roman" w:hAnsi="Times New Roman"/>
                <w:sz w:val="18"/>
                <w:szCs w:val="18"/>
                <w:color w:val="auto"/>
                <w:vertAlign w:val="superscript"/>
              </w:rPr>
              <w:t>(1)</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Key Performance Milestones</w:t>
            </w:r>
          </w:p>
        </w:tc>
        <w:tc>
          <w:tcPr>
            <w:tcW w:w="5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Overall Funding</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100%</w:t>
            </w:r>
          </w:p>
        </w:tc>
      </w:tr>
      <w:tr>
        <w:trPr>
          <w:trHeight w:val="180"/>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OSHA Recordables (per recordable injury)</w:t>
            </w:r>
          </w:p>
        </w:tc>
        <w:tc>
          <w:tcPr>
            <w:tcW w:w="5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-5%</w:t>
            </w:r>
          </w:p>
        </w:tc>
      </w:tr>
      <w:tr>
        <w:trPr>
          <w:trHeight w:val="180"/>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Individual Performance</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1" w:lineRule="exact"/>
        <w:rPr>
          <w:sz w:val="20"/>
          <w:szCs w:val="20"/>
          <w:color w:val="auto"/>
        </w:rPr>
      </w:pPr>
    </w:p>
    <w:p>
      <w:pPr>
        <w:jc w:val="both"/>
        <w:ind w:left="60" w:right="80" w:firstLine="9"/>
        <w:spacing w:after="0" w:line="283" w:lineRule="auto"/>
        <w:tabs>
          <w:tab w:leader="none" w:pos="188" w:val="left"/>
        </w:tabs>
        <w:numPr>
          <w:ilvl w:val="1"/>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250" w:lineRule="exact"/>
        <w:rPr>
          <w:rFonts w:ascii="Times New Roman" w:cs="Times New Roman" w:eastAsia="Times New Roman" w:hAnsi="Times New Roman"/>
          <w:sz w:val="14"/>
          <w:szCs w:val="14"/>
          <w:color w:val="auto"/>
          <w:vertAlign w:val="superscript"/>
        </w:rPr>
      </w:pPr>
    </w:p>
    <w:p>
      <w:pPr>
        <w:ind w:left="260" w:right="80" w:hanging="255"/>
        <w:spacing w:after="0" w:line="287"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CAFD. The Compensation Committee set the 2024 threshold, target and maximum CAFD performance metric at $320 million, $395 million and $445 million, respectively. For 2024, the CAFD goals and the achieved level are set forth in the chart below.</w:t>
      </w:r>
    </w:p>
    <w:p>
      <w:pPr>
        <w:spacing w:after="0" w:line="67"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CAFD</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CAFD</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CAFD</w:t>
            </w:r>
          </w:p>
        </w:tc>
        <w:tc>
          <w:tcPr>
            <w:tcW w:w="2640" w:type="dxa"/>
            <w:vAlign w:val="bottom"/>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rPr>
              <w:t>CAFD</w:t>
            </w:r>
          </w:p>
        </w:tc>
      </w:tr>
      <w:tr>
        <w:trPr>
          <w:trHeight w:val="212"/>
        </w:trPr>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640" w:type="dxa"/>
            <w:vAlign w:val="bottom"/>
          </w:tcPr>
          <w:p>
            <w:pPr>
              <w:jc w:val="center"/>
              <w:ind w:left="99"/>
              <w:spacing w:after="0"/>
              <w:rPr>
                <w:sz w:val="20"/>
                <w:szCs w:val="20"/>
                <w:color w:val="auto"/>
              </w:rPr>
            </w:pPr>
            <w:r>
              <w:rPr>
                <w:rFonts w:ascii="Times New Roman" w:cs="Times New Roman" w:eastAsia="Times New Roman" w:hAnsi="Times New Roman"/>
                <w:sz w:val="11"/>
                <w:szCs w:val="11"/>
                <w:b w:val="1"/>
                <w:bCs w:val="1"/>
                <w:color w:val="auto"/>
              </w:rPr>
              <w:t>Actual</w:t>
            </w:r>
          </w:p>
        </w:tc>
      </w:tr>
      <w:tr>
        <w:trPr>
          <w:trHeight w:val="72"/>
        </w:trPr>
        <w:tc>
          <w:tcPr>
            <w:tcW w:w="282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171"/>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$320 million</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$395 million</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$445 million</w:t>
            </w:r>
          </w:p>
        </w:tc>
        <w:tc>
          <w:tcPr>
            <w:tcW w:w="264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4"/>
                <w:szCs w:val="14"/>
                <w:color w:val="auto"/>
              </w:rPr>
              <w:t>$425 million</w:t>
            </w:r>
          </w:p>
        </w:tc>
      </w:tr>
    </w:tbl>
    <w:p>
      <w:pPr>
        <w:spacing w:after="0" w:line="144" w:lineRule="exact"/>
        <w:rPr>
          <w:sz w:val="20"/>
          <w:szCs w:val="20"/>
          <w:color w:val="auto"/>
        </w:rPr>
      </w:pPr>
    </w:p>
    <w:p>
      <w:pPr>
        <w:jc w:val="both"/>
        <w:ind w:left="260" w:right="80" w:hanging="255"/>
        <w:spacing w:after="0" w:line="261"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Performance Milestones. “Key performance milestones” performance metrics are established as a defined annual incentive category. The Compensation Committee establishes threshold, target and maximum levels of performance for this category based on the number of milestones achieved. For 2024, a total of five milestones were established relating to CAFD per share goals, the Company’s tax runway position, adherence to budget, the Company’s compliance with the Inflation Reduction Act (IRA), and Enterprise Resource Planning (ERP) selection and implementation readiness. For 2024, threshold performance required the achievement of two out of the five milestones, target performance required the achievement of three out of the five milestones, and maximum performance required the achievement of all five milestones. Ultimately, maximum performance was attained with the achievement of all five milestones in 2024.</w:t>
      </w:r>
    </w:p>
    <w:p>
      <w:pPr>
        <w:spacing w:after="0" w:line="100" w:lineRule="exact"/>
        <w:rPr>
          <w:rFonts w:ascii="Times New Roman" w:cs="Times New Roman" w:eastAsia="Times New Roman" w:hAnsi="Times New Roman"/>
          <w:sz w:val="14"/>
          <w:szCs w:val="14"/>
          <w:color w:val="auto"/>
        </w:rPr>
      </w:pPr>
    </w:p>
    <w:p>
      <w:pPr>
        <w:jc w:val="both"/>
        <w:ind w:left="260" w:right="80" w:hanging="255"/>
        <w:spacing w:after="0" w:line="264"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Performance. As indicated above, an Other NEO’s individual performance may (negatively or positively) affect his or her AIP bonus by up to 20% of his or her target award, although no AIP bonus payments can exceed 200% of the target award. Such individual performance is determined on a subjective basis based on the Compensation Committee’s assessment of the Other NEO’s contributions in supporting adherence to budget, support towards the achievement of key milestones, and other contributions towards the successful execution of the Company’s business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2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color w:val="auto"/>
        </w:rPr>
        <w:t>2024 AIP Bonus Opportunity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threshold, target and maximum AIP bonus opportunities for each NEO for 2024, expressed as a percentage of base salary,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22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74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Target</w:t>
            </w:r>
          </w:p>
        </w:tc>
      </w:tr>
      <w:tr>
        <w:trPr>
          <w:trHeight w:val="137"/>
        </w:trPr>
        <w:tc>
          <w:tcPr>
            <w:tcW w:w="20" w:type="dxa"/>
            <w:vAlign w:val="bottom"/>
          </w:tcPr>
          <w:p>
            <w:pPr>
              <w:spacing w:after="0"/>
              <w:rPr>
                <w:sz w:val="11"/>
                <w:szCs w:val="11"/>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14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86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5"/>
              </w:rPr>
              <w:t>(%)</w:t>
            </w:r>
            <w:r>
              <w:rPr>
                <w:rFonts w:ascii="Times New Roman" w:cs="Times New Roman" w:eastAsia="Times New Roman" w:hAnsi="Times New Roman"/>
                <w:sz w:val="14"/>
                <w:szCs w:val="14"/>
                <w:b w:val="1"/>
                <w:bCs w:val="1"/>
                <w:color w:val="auto"/>
                <w:w w:val="95"/>
                <w:vertAlign w:val="superscript"/>
              </w:rPr>
              <w:t>(1)</w:t>
            </w:r>
          </w:p>
        </w:tc>
        <w:tc>
          <w:tcPr>
            <w:tcW w:w="1220" w:type="dxa"/>
            <w:vAlign w:val="bottom"/>
          </w:tcPr>
          <w:p>
            <w:pPr>
              <w:jc w:val="center"/>
              <w:ind w:right="134"/>
              <w:spacing w:after="0" w:line="137" w:lineRule="exact"/>
              <w:rPr>
                <w:sz w:val="20"/>
                <w:szCs w:val="20"/>
                <w:color w:val="auto"/>
              </w:rPr>
            </w:pPr>
            <w:r>
              <w:rPr>
                <w:rFonts w:ascii="Times New Roman" w:cs="Times New Roman" w:eastAsia="Times New Roman" w:hAnsi="Times New Roman"/>
                <w:sz w:val="11"/>
                <w:szCs w:val="11"/>
                <w:b w:val="1"/>
                <w:bCs w:val="1"/>
                <w:color w:val="auto"/>
                <w:w w:val="88"/>
              </w:rPr>
              <w:t>(%)</w:t>
            </w:r>
            <w:r>
              <w:rPr>
                <w:rFonts w:ascii="Times New Roman" w:cs="Times New Roman" w:eastAsia="Times New Roman" w:hAnsi="Times New Roman"/>
                <w:sz w:val="14"/>
                <w:szCs w:val="14"/>
                <w:b w:val="1"/>
                <w:bCs w:val="1"/>
                <w:color w:val="auto"/>
                <w:w w:val="88"/>
                <w:vertAlign w:val="superscript"/>
              </w:rPr>
              <w:t>(1)</w:t>
            </w:r>
          </w:p>
        </w:tc>
        <w:tc>
          <w:tcPr>
            <w:tcW w:w="174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Amount ($)</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87.5</w:t>
            </w:r>
          </w:p>
        </w:tc>
        <w:tc>
          <w:tcPr>
            <w:tcW w:w="8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4"/>
                <w:szCs w:val="14"/>
                <w:color w:val="auto"/>
              </w:rPr>
              <w:t>175</w:t>
            </w:r>
          </w:p>
        </w:tc>
        <w:tc>
          <w:tcPr>
            <w:tcW w:w="122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4"/>
                <w:szCs w:val="14"/>
                <w:color w:val="auto"/>
              </w:rPr>
              <w:t>300</w:t>
            </w:r>
          </w:p>
        </w:tc>
        <w:tc>
          <w:tcPr>
            <w:tcW w:w="174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4"/>
                <w:szCs w:val="14"/>
                <w:color w:val="auto"/>
                <w:w w:val="99"/>
              </w:rPr>
              <w:t>1,312,500</w:t>
            </w:r>
          </w:p>
        </w:tc>
      </w:tr>
      <w:tr>
        <w:trPr>
          <w:trHeight w:val="180"/>
        </w:trPr>
        <w:tc>
          <w:tcPr>
            <w:tcW w:w="20" w:type="dxa"/>
            <w:vAlign w:val="bottom"/>
          </w:tcPr>
          <w:p>
            <w:pPr>
              <w:spacing w:after="0"/>
              <w:rPr>
                <w:sz w:val="15"/>
                <w:szCs w:val="15"/>
                <w:color w:val="auto"/>
              </w:rPr>
            </w:pPr>
          </w:p>
        </w:tc>
        <w:tc>
          <w:tcPr>
            <w:tcW w:w="63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Christopher S. Sotos</w:t>
            </w:r>
            <w:r>
              <w:rPr>
                <w:rFonts w:ascii="Times New Roman" w:cs="Times New Roman" w:eastAsia="Times New Roman" w:hAnsi="Times New Roman"/>
                <w:sz w:val="18"/>
                <w:szCs w:val="18"/>
                <w:color w:val="auto"/>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860" w:type="dxa"/>
            <w:vAlign w:val="bottom"/>
          </w:tcPr>
          <w:p>
            <w:pPr>
              <w:jc w:val="center"/>
              <w:ind w:left="14"/>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rPr>
              <w:t>200</w:t>
            </w:r>
          </w:p>
        </w:tc>
        <w:tc>
          <w:tcPr>
            <w:tcW w:w="17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691,809</w:t>
            </w:r>
          </w:p>
        </w:tc>
      </w:tr>
      <w:tr>
        <w:trPr>
          <w:trHeight w:val="180"/>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Sarah Rubenstein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32.5</w:t>
            </w:r>
          </w:p>
        </w:tc>
        <w:tc>
          <w:tcPr>
            <w:tcW w:w="86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4"/>
                <w:szCs w:val="14"/>
                <w:color w:val="auto"/>
                <w:w w:val="99"/>
              </w:rPr>
              <w:t>65</w:t>
            </w:r>
          </w:p>
        </w:tc>
        <w:tc>
          <w:tcPr>
            <w:tcW w:w="122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4"/>
                <w:szCs w:val="14"/>
                <w:color w:val="auto"/>
              </w:rPr>
              <w:t>130</w:t>
            </w:r>
          </w:p>
        </w:tc>
        <w:tc>
          <w:tcPr>
            <w:tcW w:w="174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4"/>
                <w:szCs w:val="14"/>
                <w:color w:val="auto"/>
              </w:rPr>
              <w:t>276,250</w:t>
            </w:r>
          </w:p>
        </w:tc>
      </w:tr>
      <w:tr>
        <w:trPr>
          <w:trHeight w:val="184"/>
        </w:trPr>
        <w:tc>
          <w:tcPr>
            <w:tcW w:w="2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P. Malcarney</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w:t>
            </w:r>
          </w:p>
        </w:tc>
        <w:tc>
          <w:tcPr>
            <w:tcW w:w="860" w:type="dxa"/>
            <w:vAlign w:val="bottom"/>
          </w:tcPr>
          <w:p>
            <w:pPr>
              <w:jc w:val="center"/>
              <w:ind w:left="14"/>
              <w:spacing w:after="0"/>
              <w:rPr>
                <w:sz w:val="20"/>
                <w:szCs w:val="20"/>
                <w:color w:val="auto"/>
              </w:rPr>
            </w:pPr>
            <w:r>
              <w:rPr>
                <w:rFonts w:ascii="Times New Roman" w:cs="Times New Roman" w:eastAsia="Times New Roman" w:hAnsi="Times New Roman"/>
                <w:sz w:val="14"/>
                <w:szCs w:val="14"/>
                <w:color w:val="auto"/>
                <w:w w:val="99"/>
              </w:rPr>
              <w:t>65</w:t>
            </w:r>
          </w:p>
        </w:tc>
        <w:tc>
          <w:tcPr>
            <w:tcW w:w="122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rPr>
              <w:t>130</w:t>
            </w:r>
          </w:p>
        </w:tc>
        <w:tc>
          <w:tcPr>
            <w:tcW w:w="17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278,512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1" w:lineRule="exact"/>
        <w:rPr>
          <w:sz w:val="20"/>
          <w:szCs w:val="20"/>
          <w:color w:val="auto"/>
        </w:rPr>
      </w:pPr>
    </w:p>
    <w:p>
      <w:pPr>
        <w:ind w:left="180" w:hanging="111"/>
        <w:spacing w:after="0"/>
        <w:tabs>
          <w:tab w:leader="none" w:pos="180" w:val="left"/>
        </w:tabs>
        <w:numPr>
          <w:ilvl w:val="0"/>
          <w:numId w:val="3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This assumes that the CAFD performance metric and all other quantitative and qualitative goals, including the key milestones, are achieved at threshold, target and maximum levels, as applicable.</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Cornelius’ AIP bonus is payable solely by CEG in accordance with his employment agreement and is included in the above table for the sake of completeness, but is not included in the Summary Compensation Table.</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3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Sotos voluntarily resigned from his employment with the Company and from his service on the Board on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AIP Bonuses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noted above, with respect to AIP bonuses for 2024, the CAFD target was $395 million and the key performance milestone target was achievement of three out of five key performance milestones.</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For 2024, CAFD achievement was above target and below maximum at approximately $425 million, five out of five key performance milestones were achieved, and there were no OSHA recordable injuries. Due to the achievement specified above, 2024 AIP bonuses were paid after taking into account the pro rata adjustment made to Mr. Sotos pursuant to his Separation Agreement, and at levels between target and maximum for each of Ms. Rubenstein and Mr. Malcarney. The Compensation Committee elected to not apply an individual performance modifier with respect to any of our Other NEOs’ 2024 AIP bonuses. If performance falls between threshold and target or target and maximum, the bonus opportunity will be determined on an interpolated basis. As a result, the CAFD metric and the key performance milestone metrics were respectively weighted at 40% and 60% of target.</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annual incentive bonuses paid to NEOs for 2024 were: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0" w:type="dxa"/>
            <w:vAlign w:val="bottom"/>
          </w:tcPr>
          <w:p>
            <w:pPr>
              <w:spacing w:after="0"/>
              <w:rPr>
                <w:sz w:val="1"/>
                <w:szCs w:val="1"/>
                <w:color w:val="auto"/>
              </w:rPr>
            </w:pPr>
          </w:p>
        </w:tc>
      </w:tr>
      <w:tr>
        <w:trPr>
          <w:trHeight w:val="14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Annual Base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Individual Performance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Salary Achieved (%)</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Modifier (+/- 20%)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Achieved (%)</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Payment ($)</w:t>
            </w:r>
          </w:p>
        </w:tc>
        <w:tc>
          <w:tcPr>
            <w:tcW w:w="0" w:type="dxa"/>
            <w:vAlign w:val="bottom"/>
          </w:tcPr>
          <w:p>
            <w:pPr>
              <w:spacing w:after="0"/>
              <w:rPr>
                <w:sz w:val="1"/>
                <w:szCs w:val="1"/>
                <w:color w:val="auto"/>
              </w:rPr>
            </w:pPr>
          </w:p>
        </w:tc>
      </w:tr>
      <w:tr>
        <w:trPr>
          <w:trHeight w:val="175"/>
        </w:trPr>
        <w:tc>
          <w:tcPr>
            <w:tcW w:w="54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Christopher S. Sotos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564,183</w:t>
            </w:r>
          </w:p>
        </w:tc>
        <w:tc>
          <w:tcPr>
            <w:tcW w:w="0" w:type="dxa"/>
            <w:vAlign w:val="bottom"/>
          </w:tcPr>
          <w:p>
            <w:pPr>
              <w:spacing w:after="0"/>
              <w:rPr>
                <w:sz w:val="1"/>
                <w:szCs w:val="1"/>
                <w:color w:val="auto"/>
              </w:rPr>
            </w:pPr>
          </w:p>
        </w:tc>
      </w:tr>
      <w:tr>
        <w:trPr>
          <w:trHeight w:val="18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5"/>
                <w:szCs w:val="15"/>
                <w:color w:val="auto"/>
              </w:rPr>
            </w:pPr>
          </w:p>
        </w:tc>
        <w:tc>
          <w:tcPr>
            <w:tcW w:w="148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508,300</w:t>
            </w:r>
          </w:p>
        </w:tc>
        <w:tc>
          <w:tcPr>
            <w:tcW w:w="0" w:type="dxa"/>
            <w:vAlign w:val="bottom"/>
          </w:tcPr>
          <w:p>
            <w:pPr>
              <w:spacing w:after="0"/>
              <w:rPr>
                <w:sz w:val="1"/>
                <w:szCs w:val="1"/>
                <w:color w:val="auto"/>
              </w:rPr>
            </w:pPr>
          </w:p>
        </w:tc>
      </w:tr>
      <w:tr>
        <w:trPr>
          <w:trHeight w:val="18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line="300" w:lineRule="auto"/>
        <w:tabs>
          <w:tab w:leader="none" w:pos="164" w:val="left"/>
        </w:tabs>
        <w:numPr>
          <w:ilvl w:val="0"/>
          <w:numId w:val="3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Sotos voluntarily resigned from his employment with the Company and from his service on the Board on June 30, 2024 and, pursuant to his Separation Agreement, his annual incentive payment was adjusted on a pro rata basis based on the number of days Mr. Sotos was employed by the Company during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Annual Bonus for Current CEO</w:t>
      </w:r>
    </w:p>
    <w:p>
      <w:pPr>
        <w:spacing w:after="0" w:line="138"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4"/>
          <w:szCs w:val="14"/>
          <w:color w:val="auto"/>
        </w:rPr>
        <w:t>As noted above, during fiscal years in which the Current CEO serves as our CEO (including fiscal year 2024), the performance objectives with respect to his annual bonus will be established, evaluated and approved (including for such purposes that relate to the extent to which such performance objectives are attained) by the Compensation Committee with non-binding input from the CEG compensation committee. The fiscal year 2024 performance objectives for Mr. Cornelius were established in accordance with the foregoing, with the addition of three key performance milestones.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ind w:firstLine="306"/>
        <w:spacing w:after="0" w:line="287" w:lineRule="auto"/>
        <w:rPr>
          <w:sz w:val="20"/>
          <w:szCs w:val="20"/>
          <w:color w:val="auto"/>
        </w:rPr>
      </w:pPr>
      <w:r>
        <w:rPr>
          <w:rFonts w:ascii="Times New Roman" w:cs="Times New Roman" w:eastAsia="Times New Roman" w:hAnsi="Times New Roman"/>
          <w:sz w:val="14"/>
          <w:szCs w:val="14"/>
          <w:color w:val="auto"/>
        </w:rPr>
        <w:t>Based on the above CAFD achievement, the achievement of seven out of eight key performance milestones, and that there were no OSHA recordable injuries, the 2024 bonus for Mr. Cornelius, was paid at a level between target and maximum,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0" w:type="dxa"/>
            <w:vAlign w:val="bottom"/>
          </w:tcPr>
          <w:p>
            <w:pPr>
              <w:spacing w:after="0"/>
              <w:rPr>
                <w:sz w:val="1"/>
                <w:szCs w:val="1"/>
                <w:color w:val="auto"/>
              </w:rPr>
            </w:pPr>
          </w:p>
        </w:tc>
      </w:tr>
      <w:tr>
        <w:trPr>
          <w:trHeight w:val="14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Annual Base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Individual Performance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55"/>
        </w:trPr>
        <w:tc>
          <w:tcPr>
            <w:tcW w:w="5540" w:type="dxa"/>
            <w:vAlign w:val="bottom"/>
            <w:gridSpan w:val="2"/>
            <w:vMerge w:val="continue"/>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Salary Achieved (%)</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Modifier (+/- 20%)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Achieved (%)</w:t>
            </w: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Payment ($)</w:t>
            </w:r>
          </w:p>
        </w:tc>
        <w:tc>
          <w:tcPr>
            <w:tcW w:w="0" w:type="dxa"/>
            <w:vAlign w:val="bottom"/>
          </w:tcPr>
          <w:p>
            <w:pPr>
              <w:spacing w:after="0"/>
              <w:rPr>
                <w:sz w:val="1"/>
                <w:szCs w:val="1"/>
                <w:color w:val="auto"/>
              </w:rPr>
            </w:pPr>
          </w:p>
        </w:tc>
      </w:tr>
      <w:tr>
        <w:trPr>
          <w:trHeight w:val="175"/>
        </w:trPr>
        <w:tc>
          <w:tcPr>
            <w:tcW w:w="54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4"/>
                <w:szCs w:val="14"/>
                <w:color w:val="auto"/>
              </w:rPr>
              <w:t>2,152,500</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Cornelius’ annual bonus is payable solely by CEG in accordance with his employment agreement and is included in the above table for the sake of completeness, but is not included in the Summary Compensation Table.</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Cornelius elected to receive a portion of his annual bonus in shares of Company stock granted pursuant to CEG’s equity compensation program that will vest 100% immediately upon their grant of March 15, 2025.</w:t>
      </w:r>
    </w:p>
    <w:p>
      <w:pPr>
        <w:spacing w:after="0" w:line="9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Long</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-36195</wp:posOffset>
            </wp:positionV>
            <wp:extent cx="55880"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believe that equity awards directly align our NEOs’ interests with those of our stockholders. In 2024,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time-based (i.e., granted as RSUs which vest over three years). We believe that our AIP appropriately focuses our Other NEOs on shorter-term (one-year) financial metrics while our LTIP emphasizes to our NEOs the importance of long-term stockholder value creation (i.e., three-year TSR outperformance).</w:t>
      </w:r>
    </w:p>
    <w:p>
      <w:pPr>
        <w:spacing w:after="0" w:line="10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Compensation Committee and senior management monitor the Company’s equity grant practices to evaluate whether such policies comply with governing regulations and are consistent with good corporate practices. Such grants are typically made in mid-April each year. In addition, the Compensation Committee may make grants at any time during the year it deems appropriate, including with respect to new hires or transitions. Therefore, the proximity of any awards to other significant corporate events is coincidental. We do not grant, and in 2024 did not grant, stock options in anticipation of the release of material non-public information (“MNPI”). We attempt to make equity awards during periods when we do not have MNPI that could impact our stock price and we do not time, and in 2024 did not time, the release of MNPI based on equity grant dates or for the purpose of affecting the value of executive compensation.</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For 2024, Mr. Cornelius and Mr. Sotos’ target LTIP awards were 350% of their respective base salaries and Ms. Rubenstein and Mr. Malcarney’s target LTIP awards were 125% of their respective base salaries. Mr. Sotos, Ms. Rubenstein and Mr. Malcarney’s target LTIP awards remained unchanged from 2023. In addition, Mr. Cornelius received an award of 375,000 restricted shares of Class C common stock of Clearway, Inc. under CEG’s equity compensation program on April 30, 2024. This award, which was made outside of our LTIP and which is not payable by the Company, vests in three equal amounts, with one-third having vested on October 1, 2024, and one-third vesting on each of October 1, 2025 and October 1, 2026.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Relative Performance Stock Units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specified performance period. The performance period is generally three years, but in the case of the initial RPSU award granted to our Current CEO pursuant to his employment agreement, such RPSU award covers the period from April 30, 2024 through December 31, 2026.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0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payout of shares of Class C common stock at the end of the performance period is based on the Company’s TSR performance percentile rank compared with the TSR performance of the Performance Peer Group. To ensure a rigorous program design, the target-level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8" w:name="page69"/>
    <w:bookmarkEnd w:id="68"/>
    <w:p>
      <w:pPr>
        <w:jc w:val="both"/>
        <w:ind w:right="20" w:firstLine="318"/>
        <w:spacing w:after="0" w:line="257" w:lineRule="auto"/>
        <w:rPr>
          <w:sz w:val="20"/>
          <w:szCs w:val="20"/>
          <w:color w:val="auto"/>
        </w:rPr>
      </w:pPr>
      <w:r>
        <w:rPr>
          <w:rFonts w:ascii="Times New Roman" w:cs="Times New Roman" w:eastAsia="Times New Roman" w:hAnsi="Times New Roman"/>
          <w:sz w:val="14"/>
          <w:szCs w:val="14"/>
          <w:color w:val="auto"/>
        </w:rPr>
        <w:t>In the event relative performance is below the 25th percentile, or “Threshold” performance, the award is forfeited. In the event relative performance is between the 25th percentile and the 50th percentile, or “Standard Target” performance (or the 60th percentile if our TSR performance declines by more than 20% over the performance period, or “Modified Target” performance),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75th percentile, or “Maximum” performance, a maximum payout of 150% of the target will be paid with respect to RPSU awards granted in 2024. For RPSUs granted after 2024, the Compensation Committee changed the payout opportunity to equal 50% in the event of Threshold performance, 100% in the event of Standard Target performance, and 150% in the event of Maximum performance (based on an interpolated calculation for performance between these achievement levels). Additionally, with respect to such awards, payout opportunity is limited to 100% if the Company’s absolute TSR is negative regardless of the Company’s relative percentile rank. Based on the Company’s TSR performance ranked against the TSR performance of the Performance Peer Group over the three-year performance period ending on December 31, 2024, the RPSUs granted in 2022 will vest on April 15, 2025 at 31% of target.</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illustrates the design of our RPSUs in 2024.</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30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1820" w:type="dxa"/>
            <w:vAlign w:val="bottom"/>
            <w:tcBorders>
              <w:top w:val="single" w:sz="8" w:color="auto"/>
              <w:bottom w:val="single" w:sz="8" w:color="auto"/>
            </w:tcBorders>
          </w:tcPr>
          <w:p>
            <w:pPr>
              <w:spacing w:after="0"/>
              <w:rPr>
                <w:sz w:val="16"/>
                <w:szCs w:val="16"/>
                <w:color w:val="auto"/>
              </w:rPr>
            </w:pPr>
          </w:p>
        </w:tc>
        <w:tc>
          <w:tcPr>
            <w:tcW w:w="3800" w:type="dxa"/>
            <w:vAlign w:val="bottom"/>
            <w:tcBorders>
              <w:top w:val="single" w:sz="8" w:color="auto"/>
              <w:bottom w:val="single" w:sz="8" w:color="auto"/>
              <w:right w:val="single" w:sz="8" w:color="auto"/>
            </w:tcBorders>
            <w:gridSpan w:val="2"/>
          </w:tcPr>
          <w:p>
            <w:pPr>
              <w:jc w:val="center"/>
              <w:ind w:right="1629"/>
              <w:spacing w:after="0"/>
              <w:rPr>
                <w:sz w:val="20"/>
                <w:szCs w:val="20"/>
                <w:color w:val="auto"/>
              </w:rPr>
            </w:pPr>
            <w:r>
              <w:rPr>
                <w:rFonts w:ascii="Times New Roman" w:cs="Times New Roman" w:eastAsia="Times New Roman" w:hAnsi="Times New Roman"/>
                <w:sz w:val="14"/>
                <w:szCs w:val="14"/>
                <w:b w:val="1"/>
                <w:bCs w:val="1"/>
                <w:color w:val="auto"/>
              </w:rPr>
              <w:t>Performance Requirement</w:t>
            </w:r>
          </w:p>
        </w:tc>
        <w:tc>
          <w:tcPr>
            <w:tcW w:w="238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Payout Opportunity</w:t>
            </w: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Maximum</w:t>
            </w:r>
          </w:p>
        </w:tc>
        <w:tc>
          <w:tcPr>
            <w:tcW w:w="182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right w:val="single" w:sz="8" w:color="auto"/>
            </w:tcBorders>
            <w:gridSpan w:val="2"/>
            <w:shd w:val="clear" w:color="auto" w:fill="CCEEFF"/>
          </w:tcPr>
          <w:p>
            <w:pPr>
              <w:jc w:val="center"/>
              <w:ind w:right="1629"/>
              <w:spacing w:after="0"/>
              <w:rPr>
                <w:sz w:val="20"/>
                <w:szCs w:val="20"/>
                <w:color w:val="auto"/>
              </w:rPr>
            </w:pPr>
            <w:r>
              <w:rPr>
                <w:rFonts w:ascii="Times New Roman" w:cs="Times New Roman" w:eastAsia="Times New Roman" w:hAnsi="Times New Roman"/>
                <w:sz w:val="14"/>
                <w:szCs w:val="14"/>
                <w:color w:val="auto"/>
              </w:rPr>
              <w:t>75th percentile or above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r>
      <w:tr>
        <w:trPr>
          <w:trHeight w:val="209"/>
        </w:trPr>
        <w:tc>
          <w:tcPr>
            <w:tcW w:w="3300" w:type="dxa"/>
            <w:vAlign w:val="bottom"/>
            <w:tcBorders>
              <w:left w:val="single" w:sz="8" w:color="auto"/>
              <w:righ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Modified Target:</w:t>
            </w:r>
          </w:p>
        </w:tc>
        <w:tc>
          <w:tcPr>
            <w:tcW w:w="2380" w:type="dxa"/>
            <w:vAlign w:val="bottom"/>
            <w:tcBorders>
              <w:right w:val="single" w:sz="8" w:color="auto"/>
            </w:tcBorders>
          </w:tcPr>
          <w:p>
            <w:pPr>
              <w:spacing w:after="0"/>
              <w:rPr>
                <w:sz w:val="18"/>
                <w:szCs w:val="18"/>
                <w:color w:val="auto"/>
              </w:rPr>
            </w:pPr>
          </w:p>
        </w:tc>
      </w:tr>
      <w:tr>
        <w:trPr>
          <w:trHeight w:val="180"/>
        </w:trPr>
        <w:tc>
          <w:tcPr>
            <w:tcW w:w="3300" w:type="dxa"/>
            <w:vAlign w:val="bottom"/>
            <w:tcBorders>
              <w:left w:val="single" w:sz="8" w:color="auto"/>
              <w:right w:val="single" w:sz="8" w:color="auto"/>
            </w:tcBorders>
          </w:tcPr>
          <w:p>
            <w:pPr>
              <w:spacing w:after="0"/>
              <w:rPr>
                <w:sz w:val="15"/>
                <w:szCs w:val="15"/>
                <w:color w:val="auto"/>
              </w:rPr>
            </w:pPr>
          </w:p>
        </w:tc>
        <w:tc>
          <w:tcPr>
            <w:tcW w:w="182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Standard Target:</w:t>
            </w:r>
          </w:p>
        </w:tc>
        <w:tc>
          <w:tcPr>
            <w:tcW w:w="4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60th percentile</w:t>
            </w:r>
          </w:p>
        </w:tc>
        <w:tc>
          <w:tcPr>
            <w:tcW w:w="2380" w:type="dxa"/>
            <w:vAlign w:val="bottom"/>
            <w:tcBorders>
              <w:right w:val="single" w:sz="8" w:color="auto"/>
            </w:tcBorders>
          </w:tcPr>
          <w:p>
            <w:pPr>
              <w:spacing w:after="0"/>
              <w:rPr>
                <w:sz w:val="15"/>
                <w:szCs w:val="15"/>
                <w:color w:val="auto"/>
              </w:rPr>
            </w:pPr>
          </w:p>
        </w:tc>
      </w:tr>
      <w:tr>
        <w:trPr>
          <w:trHeight w:val="237"/>
        </w:trPr>
        <w:tc>
          <w:tcPr>
            <w:tcW w:w="3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Target</w:t>
            </w:r>
          </w:p>
        </w:tc>
        <w:tc>
          <w:tcPr>
            <w:tcW w:w="182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color w:val="auto"/>
              </w:rPr>
              <w:t>50th percentile</w:t>
            </w:r>
          </w:p>
        </w:tc>
        <w:tc>
          <w:tcPr>
            <w:tcW w:w="40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(less than −20% absolute TSR)</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i w:val="1"/>
                <w:iCs w:val="1"/>
                <w:color w:val="auto"/>
              </w:rPr>
              <w:t>Threshold</w:t>
            </w:r>
          </w:p>
        </w:tc>
        <w:tc>
          <w:tcPr>
            <w:tcW w:w="18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right w:val="single" w:sz="8" w:color="CCEEFF"/>
            </w:tcBorders>
            <w:shd w:val="clear" w:color="auto" w:fill="CCEEFF"/>
          </w:tcPr>
          <w:p>
            <w:pPr>
              <w:spacing w:after="0"/>
              <w:rPr>
                <w:sz w:val="14"/>
                <w:szCs w:val="14"/>
                <w:color w:val="auto"/>
              </w:rPr>
            </w:pPr>
          </w:p>
        </w:tc>
        <w:tc>
          <w:tcPr>
            <w:tcW w:w="3400" w:type="dxa"/>
            <w:vAlign w:val="bottom"/>
            <w:tcBorders>
              <w:bottom w:val="single" w:sz="8" w:color="auto"/>
              <w:right w:val="single" w:sz="8" w:color="auto"/>
            </w:tcBorders>
            <w:shd w:val="clear" w:color="auto" w:fill="CCEEFF"/>
          </w:tcPr>
          <w:p>
            <w:pPr>
              <w:jc w:val="center"/>
              <w:ind w:right="2009"/>
              <w:spacing w:after="0"/>
              <w:rPr>
                <w:sz w:val="20"/>
                <w:szCs w:val="20"/>
                <w:color w:val="auto"/>
              </w:rPr>
            </w:pPr>
            <w:r>
              <w:rPr>
                <w:rFonts w:ascii="Times New Roman" w:cs="Times New Roman" w:eastAsia="Times New Roman" w:hAnsi="Times New Roman"/>
                <w:sz w:val="14"/>
                <w:szCs w:val="14"/>
                <w:color w:val="auto"/>
              </w:rPr>
              <w:t>25th percentile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33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i w:val="1"/>
                <w:iCs w:val="1"/>
                <w:color w:val="auto"/>
              </w:rPr>
              <w:t>Below Threshold</w:t>
            </w:r>
          </w:p>
        </w:tc>
        <w:tc>
          <w:tcPr>
            <w:tcW w:w="1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2009"/>
              <w:spacing w:after="0"/>
              <w:rPr>
                <w:sz w:val="20"/>
                <w:szCs w:val="20"/>
                <w:color w:val="auto"/>
              </w:rPr>
            </w:pPr>
            <w:r>
              <w:rPr>
                <w:rFonts w:ascii="Times New Roman" w:cs="Times New Roman" w:eastAsia="Times New Roman" w:hAnsi="Times New Roman"/>
                <w:sz w:val="14"/>
                <w:szCs w:val="14"/>
                <w:color w:val="auto"/>
              </w:rPr>
              <w:t>Below 25th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38" w:lineRule="exact"/>
        <w:rPr>
          <w:sz w:val="20"/>
          <w:szCs w:val="20"/>
          <w:color w:val="auto"/>
        </w:rPr>
      </w:pPr>
    </w:p>
    <w:p>
      <w:pPr>
        <w:jc w:val="both"/>
        <w:ind w:right="20" w:firstLine="318"/>
        <w:spacing w:after="0" w:line="188" w:lineRule="exact"/>
        <w:rPr>
          <w:sz w:val="20"/>
          <w:szCs w:val="20"/>
          <w:color w:val="auto"/>
        </w:rPr>
      </w:pPr>
      <w:r>
        <w:rPr>
          <w:rFonts w:ascii="Times New Roman" w:cs="Times New Roman" w:eastAsia="Times New Roman" w:hAnsi="Times New Roman"/>
          <w:sz w:val="14"/>
          <w:szCs w:val="14"/>
          <w:color w:val="auto"/>
        </w:rPr>
        <w:t>Each RSU represents the right to receive one share of Clearway, Inc.’s Class C common stock after the completion of the vesting period. The RSUs granted to the NEOs in 2024 vest ratably, meaning that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third of the award vests each year on the anniversary of the grant date, over a three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Equivalent Rights (DERs)</w:t>
      </w:r>
    </w:p>
    <w:p>
      <w:pPr>
        <w:spacing w:after="0" w:line="138"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awards of both RPSUs and RSUs, each NEO also receives DERs, which accrue with respect to the award to which they relate. Accrued DERs are credited as additional shares that will be subject to the vesting and payment terms of the corresponding award of RPSUs or RSUs, as applicable. Accordingly, accrued DERs are paid at the same time the shares of Class C common stock underlying each award are delivered to the NEO, and accrued DERs are forfeited if, or to the extent that, the underlying award is forfeited.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Clawbacks</w:t>
      </w:r>
    </w:p>
    <w:p>
      <w:pPr>
        <w:spacing w:after="0" w:line="138" w:lineRule="exact"/>
        <w:rPr>
          <w:sz w:val="20"/>
          <w:szCs w:val="20"/>
          <w:color w:val="auto"/>
        </w:rPr>
      </w:pPr>
    </w:p>
    <w:p>
      <w:pPr>
        <w:jc w:val="both"/>
        <w:ind w:right="20" w:firstLine="318"/>
        <w:spacing w:after="0" w:line="172" w:lineRule="exact"/>
        <w:rPr>
          <w:sz w:val="20"/>
          <w:szCs w:val="20"/>
          <w:color w:val="auto"/>
        </w:rPr>
      </w:pPr>
      <w:r>
        <w:rPr>
          <w:rFonts w:ascii="Times New Roman" w:cs="Times New Roman" w:eastAsia="Times New Roman" w:hAnsi="Times New Roman"/>
          <w:sz w:val="14"/>
          <w:szCs w:val="14"/>
          <w:color w:val="auto"/>
        </w:rPr>
        <w:t>In 2023, the Compensation Committee adopted a “clawback” policy that is intended to comply with the requirements under the federal securities laws, including the Dodd-Frank Wall Street Reform and Consumer Protection Act of 2010. A copy of the clawback policy has been filed as Exhibit 97 to this Annual Report on Form 10-K.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Oxley Act of 2002 (“SOX”), the CEO and the CFO would also be subject to a “clawback,” as required by SOX.</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9"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All of our Other NEOs are eligible to participate in the same retirement, life insurance, health and welfare plans as other employees of the Company (Mr. Cornelius participates in similar employee benefit plans maintained by CEG pursuant to his employment agreement and the terms of CEG’s employee benefit plans). To generally support more complicated financial planning and estate planning matters, NEOs are eligible for reimbursement of annual tax return preparation, tax advice, financial planning and estate planning expenses (CEG is responsible for making these reimbursement payments for Mr. Cornelius pursuant to his employment agreement). During 2024, each of Mr. Sotos and Mr. Cornelius were eligible for a maximum reimbursement of $12,000 per year and the remaining Other NEOs were each eligible for a maximum reimbursement of $3,000 per year.</w:t>
      </w:r>
    </w:p>
    <w:p>
      <w:pPr>
        <w:spacing w:after="0" w:line="7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Potential Severance and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-36195</wp:posOffset>
            </wp:positionV>
            <wp:extent cx="55880"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-36195</wp:posOffset>
            </wp:positionV>
            <wp:extent cx="5588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Each NEO’s RPSU and RSU award agreements under the LTIP provide for certain treatment in the event of such NEO’s termination of employment under certain circumstances, including in connection with a change-in-control. Additionally, Mr. Cornelius, pursuant to his employment agreement (as described below), Mr. Sotos, pursuant to his Separation Agreement (as described below), and the remaining Other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believe 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a more detailed discussion, including the quantification of potential payments, please see the section entitled “Severance and Change-in-Control” following the executive compensation tables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Ownership Guidelines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Compensation Committee and the Board require the CEO to hold Company stock with a value equal to 5.0 times his base salary until his separation from the Company. Executive Vice</w:t>
      </w:r>
    </w:p>
    <w:p>
      <w:pPr>
        <w:spacing w:after="0" w:line="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February 4, 2025 is shown below. Mr. Cornelius, Mr. Sotos and Mr. Malcarney each met or exceeded his stock ownership guidelines as of February 4, 2025, or in the case of Mr. Sotos, as of the date of his resignation from the Company. Ms. Rubenstein’s stock ownership guideline was increased from a 2.0 to 3.0 multiple in connection with her appointment as Executive Vice President and Chief Financial Officer in April 2023. Therefore, Ms. Rubenstein did not meet this increased stock ownership guideline as of February 4, 2025, and the above divestiture restrictions and related exceptions will apply to Ms. Rubenstein during periods in which, and to the extent that, the above guidelines are not met.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Target Ownership</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jc w:val="right"/>
              <w:ind w:right="694"/>
              <w:spacing w:after="0"/>
              <w:rPr>
                <w:sz w:val="20"/>
                <w:szCs w:val="20"/>
                <w:color w:val="auto"/>
              </w:rPr>
            </w:pPr>
            <w:r>
              <w:rPr>
                <w:rFonts w:ascii="Times New Roman" w:cs="Times New Roman" w:eastAsia="Times New Roman" w:hAnsi="Times New Roman"/>
                <w:sz w:val="11"/>
                <w:szCs w:val="11"/>
                <w:b w:val="1"/>
                <w:bCs w:val="1"/>
                <w:color w:val="auto"/>
              </w:rPr>
              <w:t>Actual Ownership</w:t>
            </w:r>
          </w:p>
        </w:tc>
        <w:tc>
          <w:tcPr>
            <w:tcW w:w="0" w:type="dxa"/>
            <w:vAlign w:val="bottom"/>
          </w:tcPr>
          <w:p>
            <w:pPr>
              <w:spacing w:after="0"/>
              <w:rPr>
                <w:sz w:val="1"/>
                <w:szCs w:val="1"/>
                <w:color w:val="auto"/>
              </w:rPr>
            </w:pPr>
          </w:p>
        </w:tc>
      </w:tr>
      <w:tr>
        <w:trPr>
          <w:trHeight w:val="16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92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w w:val="99"/>
              </w:rPr>
              <w:t>Multiple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jc w:val="right"/>
              <w:ind w:right="934"/>
              <w:spacing w:after="0"/>
              <w:rPr>
                <w:sz w:val="20"/>
                <w:szCs w:val="20"/>
                <w:color w:val="auto"/>
              </w:rPr>
            </w:pPr>
            <w:r>
              <w:rPr>
                <w:rFonts w:ascii="Times New Roman" w:cs="Times New Roman" w:eastAsia="Times New Roman" w:hAnsi="Times New Roman"/>
                <w:sz w:val="11"/>
                <w:szCs w:val="11"/>
                <w:b w:val="1"/>
                <w:bCs w:val="1"/>
                <w:color w:val="auto"/>
              </w:rPr>
              <w:t>Multiple</w:t>
            </w:r>
          </w:p>
        </w:tc>
        <w:tc>
          <w:tcPr>
            <w:tcW w:w="0" w:type="dxa"/>
            <w:vAlign w:val="bottom"/>
          </w:tcPr>
          <w:p>
            <w:pPr>
              <w:spacing w:after="0"/>
              <w:rPr>
                <w:sz w:val="1"/>
                <w:szCs w:val="1"/>
                <w:color w:val="auto"/>
              </w:rPr>
            </w:pPr>
          </w:p>
        </w:tc>
      </w:tr>
      <w:tr>
        <w:trPr>
          <w:trHeight w:val="180"/>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Craig Cornelius</w:t>
            </w:r>
          </w:p>
        </w:tc>
        <w:tc>
          <w:tcPr>
            <w:tcW w:w="8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5.0x</w:t>
            </w:r>
          </w:p>
        </w:tc>
        <w:tc>
          <w:tcPr>
            <w:tcW w:w="10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14.3x</w:t>
            </w:r>
          </w:p>
        </w:tc>
        <w:tc>
          <w:tcPr>
            <w:tcW w:w="0" w:type="dxa"/>
            <w:vAlign w:val="bottom"/>
          </w:tcPr>
          <w:p>
            <w:pPr>
              <w:spacing w:after="0"/>
              <w:rPr>
                <w:sz w:val="1"/>
                <w:szCs w:val="1"/>
                <w:color w:val="auto"/>
              </w:rPr>
            </w:pPr>
          </w:p>
        </w:tc>
      </w:tr>
      <w:tr>
        <w:trPr>
          <w:trHeight w:val="184"/>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Christopher S. Sotos</w:t>
            </w:r>
            <w:r>
              <w:rPr>
                <w:rFonts w:ascii="Times New Roman" w:cs="Times New Roman" w:eastAsia="Times New Roman" w:hAnsi="Times New Roman"/>
                <w:sz w:val="18"/>
                <w:szCs w:val="18"/>
                <w:color w:val="auto"/>
                <w:vertAlign w:val="superscript"/>
              </w:rPr>
              <w:t>(1)</w:t>
            </w:r>
          </w:p>
        </w:tc>
        <w:tc>
          <w:tcPr>
            <w:tcW w:w="1920" w:type="dxa"/>
            <w:vAlign w:val="bottom"/>
          </w:tcPr>
          <w:p>
            <w:pPr>
              <w:spacing w:after="0"/>
              <w:rPr>
                <w:sz w:val="16"/>
                <w:szCs w:val="16"/>
                <w:color w:val="auto"/>
              </w:rPr>
            </w:pPr>
          </w:p>
        </w:tc>
        <w:tc>
          <w:tcPr>
            <w:tcW w:w="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5.0x</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23.4x</w:t>
            </w:r>
          </w:p>
        </w:tc>
        <w:tc>
          <w:tcPr>
            <w:tcW w:w="0" w:type="dxa"/>
            <w:vAlign w:val="bottom"/>
          </w:tcPr>
          <w:p>
            <w:pPr>
              <w:spacing w:after="0"/>
              <w:rPr>
                <w:sz w:val="1"/>
                <w:szCs w:val="1"/>
                <w:color w:val="auto"/>
              </w:rPr>
            </w:pPr>
          </w:p>
        </w:tc>
      </w:tr>
      <w:tr>
        <w:trPr>
          <w:trHeight w:val="124"/>
        </w:trPr>
        <w:tc>
          <w:tcPr>
            <w:tcW w:w="634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92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3.0x</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2.8x</w:t>
            </w:r>
          </w:p>
        </w:tc>
        <w:tc>
          <w:tcPr>
            <w:tcW w:w="0" w:type="dxa"/>
            <w:vAlign w:val="bottom"/>
          </w:tcPr>
          <w:p>
            <w:pPr>
              <w:spacing w:after="0"/>
              <w:rPr>
                <w:sz w:val="1"/>
                <w:szCs w:val="1"/>
                <w:color w:val="auto"/>
              </w:rPr>
            </w:pPr>
          </w:p>
        </w:tc>
      </w:tr>
      <w:tr>
        <w:trPr>
          <w:trHeight w:val="124"/>
        </w:trPr>
        <w:tc>
          <w:tcPr>
            <w:tcW w:w="6340" w:type="dxa"/>
            <w:vAlign w:val="bottom"/>
            <w:gridSpan w:val="2"/>
            <w:vMerge w:val="continue"/>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920" w:type="dxa"/>
            <w:vAlign w:val="bottom"/>
          </w:tcPr>
          <w:p>
            <w:pPr>
              <w:spacing w:after="0"/>
              <w:rPr>
                <w:sz w:val="16"/>
                <w:szCs w:val="16"/>
                <w:color w:val="auto"/>
              </w:rPr>
            </w:pPr>
          </w:p>
        </w:tc>
        <w:tc>
          <w:tcPr>
            <w:tcW w:w="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3.0x</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7.7x</w:t>
            </w:r>
          </w:p>
        </w:tc>
        <w:tc>
          <w:tcPr>
            <w:tcW w:w="0" w:type="dxa"/>
            <w:vAlign w:val="bottom"/>
          </w:tcPr>
          <w:p>
            <w:pPr>
              <w:spacing w:after="0"/>
              <w:rPr>
                <w:sz w:val="1"/>
                <w:szCs w:val="1"/>
                <w:color w:val="auto"/>
              </w:rPr>
            </w:pPr>
          </w:p>
        </w:tc>
      </w:tr>
      <w:tr>
        <w:trPr>
          <w:trHeight w:val="123"/>
        </w:trPr>
        <w:tc>
          <w:tcPr>
            <w:tcW w:w="634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2" w:lineRule="exact"/>
        <w:rPr>
          <w:sz w:val="20"/>
          <w:szCs w:val="20"/>
          <w:color w:val="auto"/>
        </w:rPr>
      </w:pPr>
    </w:p>
    <w:p>
      <w:pPr>
        <w:ind w:left="180" w:hanging="111"/>
        <w:spacing w:after="0"/>
        <w:tabs>
          <w:tab w:leader="none" w:pos="180" w:val="left"/>
        </w:tabs>
        <w:numPr>
          <w:ilvl w:val="0"/>
          <w:numId w:val="4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Reported for Mr. Sotos as of the last business day prior to his voluntary resignation of employment with the Company and service on the Board on June 30,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Tax and Accounting Considerations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Section 162(m) of the Internal Revenue Code (the “Code”) precludes Clearway, Inc.,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03" w:lineRule="exact"/>
        <w:rPr>
          <w:sz w:val="20"/>
          <w:szCs w:val="20"/>
          <w:color w:val="auto"/>
        </w:rPr>
      </w:pPr>
    </w:p>
    <w:p>
      <w:pPr>
        <w:jc w:val="both"/>
        <w:ind w:firstLine="318"/>
        <w:spacing w:after="0" w:line="182" w:lineRule="exact"/>
        <w:rPr>
          <w:sz w:val="20"/>
          <w:szCs w:val="20"/>
          <w:color w:val="auto"/>
        </w:rPr>
      </w:pPr>
      <w:r>
        <w:rPr>
          <w:rFonts w:ascii="Times New Roman" w:cs="Times New Roman" w:eastAsia="Times New Roman" w:hAnsi="Times New Roman"/>
          <w:sz w:val="14"/>
          <w:szCs w:val="14"/>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goals.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Tables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Pension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Value and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1"/>
                <w:szCs w:val="11"/>
                <w:b w:val="1"/>
                <w:bCs w:val="1"/>
                <w:color w:val="auto"/>
              </w:rPr>
              <w:t>Non</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Equity</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Nonqualified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Deferred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Incentive Plan</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02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0"/>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940" w:type="dxa"/>
            <w:vAlign w:val="bottom"/>
            <w:tcBorders>
              <w:bottom w:val="single" w:sz="8" w:color="CCEEFF"/>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w:t>
            </w: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(4)</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b w:val="1"/>
                <w:bCs w:val="1"/>
                <w:color w:val="auto"/>
              </w:rPr>
              <w:t>Craig Cornelius</w:t>
            </w:r>
            <w:r>
              <w:rPr>
                <w:rFonts w:ascii="Times New Roman" w:cs="Times New Roman" w:eastAsia="Times New Roman" w:hAnsi="Times New Roman"/>
                <w:sz w:val="14"/>
                <w:szCs w:val="14"/>
                <w:b w:val="1"/>
                <w:bCs w:val="1"/>
                <w:color w:val="auto"/>
                <w:vertAlign w:val="superscript"/>
              </w:rPr>
              <w:t>(5)</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2,851,921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2,851,921</w:t>
            </w:r>
          </w:p>
        </w:tc>
        <w:tc>
          <w:tcPr>
            <w:tcW w:w="0" w:type="dxa"/>
            <w:vAlign w:val="bottom"/>
          </w:tcPr>
          <w:p>
            <w:pPr>
              <w:spacing w:after="0"/>
              <w:rPr>
                <w:sz w:val="1"/>
                <w:szCs w:val="1"/>
                <w:color w:val="auto"/>
              </w:rPr>
            </w:pPr>
          </w:p>
        </w:tc>
      </w:tr>
      <w:tr>
        <w:trPr>
          <w:trHeight w:val="153"/>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President and</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w:t>
            </w: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180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Christopher S. Sotos</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357,016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2,144,197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695,553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3,196,766</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Former President and</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665,201</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2,244,752</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532,161</w:t>
            </w:r>
          </w:p>
        </w:tc>
        <w:tc>
          <w:tcPr>
            <w:tcW w:w="1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16,885</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3,458,999</w:t>
            </w:r>
          </w:p>
        </w:tc>
        <w:tc>
          <w:tcPr>
            <w:tcW w:w="0" w:type="dxa"/>
            <w:vAlign w:val="bottom"/>
          </w:tcPr>
          <w:p>
            <w:pPr>
              <w:spacing w:after="0"/>
              <w:rPr>
                <w:sz w:val="1"/>
                <w:szCs w:val="1"/>
                <w:color w:val="auto"/>
              </w:rPr>
            </w:pPr>
          </w:p>
        </w:tc>
      </w:tr>
      <w:tr>
        <w:trPr>
          <w:trHeight w:val="18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659,682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1,951,273</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725,069</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3,348,224</w:t>
            </w:r>
          </w:p>
        </w:tc>
        <w:tc>
          <w:tcPr>
            <w:tcW w:w="0" w:type="dxa"/>
            <w:vAlign w:val="bottom"/>
          </w:tcPr>
          <w:p>
            <w:pPr>
              <w:spacing w:after="0"/>
              <w:rPr>
                <w:sz w:val="1"/>
                <w:szCs w:val="1"/>
                <w:color w:val="auto"/>
              </w:rPr>
            </w:pPr>
          </w:p>
        </w:tc>
      </w:tr>
      <w:tr>
        <w:trPr>
          <w:trHeight w:val="85"/>
        </w:trPr>
        <w:tc>
          <w:tcPr>
            <w:tcW w:w="180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Sarah Rubenstein</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418,846</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470,513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508,300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1,411,459</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Executive Vice President and</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369,365</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464,062</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200,200</w:t>
            </w:r>
          </w:p>
        </w:tc>
        <w:tc>
          <w:tcPr>
            <w:tcW w:w="1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1,046,827</w:t>
            </w:r>
          </w:p>
        </w:tc>
        <w:tc>
          <w:tcPr>
            <w:tcW w:w="0" w:type="dxa"/>
            <w:vAlign w:val="bottom"/>
          </w:tcPr>
          <w:p>
            <w:pPr>
              <w:spacing w:after="0"/>
              <w:rPr>
                <w:sz w:val="1"/>
                <w:szCs w:val="1"/>
                <w:color w:val="auto"/>
              </w:rPr>
            </w:pPr>
          </w:p>
        </w:tc>
      </w:tr>
      <w:tr>
        <w:trPr>
          <w:trHeight w:val="18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Accounting Officer</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324,197</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378,417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177,125</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891,939</w:t>
            </w:r>
          </w:p>
        </w:tc>
        <w:tc>
          <w:tcPr>
            <w:tcW w:w="0" w:type="dxa"/>
            <w:vAlign w:val="bottom"/>
          </w:tcPr>
          <w:p>
            <w:pPr>
              <w:spacing w:after="0"/>
              <w:rPr>
                <w:sz w:val="1"/>
                <w:szCs w:val="1"/>
                <w:color w:val="auto"/>
              </w:rPr>
            </w:pPr>
          </w:p>
        </w:tc>
      </w:tr>
      <w:tr>
        <w:trPr>
          <w:trHeight w:val="85"/>
        </w:trPr>
        <w:tc>
          <w:tcPr>
            <w:tcW w:w="1800" w:type="dxa"/>
            <w:vAlign w:val="bottom"/>
            <w:tcBorders>
              <w:bottom w:val="single" w:sz="8" w:color="CCEEFF"/>
            </w:tcBorders>
          </w:tcPr>
          <w:p>
            <w:pPr>
              <w:spacing w:after="0"/>
              <w:rPr>
                <w:sz w:val="7"/>
                <w:szCs w:val="7"/>
                <w:color w:val="auto"/>
              </w:rPr>
            </w:pPr>
          </w:p>
        </w:tc>
        <w:tc>
          <w:tcPr>
            <w:tcW w:w="9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Kevin P. Malcarney</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425,945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474,339</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512,462</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1,429,546</w:t>
            </w:r>
          </w:p>
        </w:tc>
        <w:tc>
          <w:tcPr>
            <w:tcW w:w="0" w:type="dxa"/>
            <w:vAlign w:val="bottom"/>
          </w:tcPr>
          <w:p>
            <w:pPr>
              <w:spacing w:after="0"/>
              <w:rPr>
                <w:sz w:val="1"/>
                <w:szCs w:val="1"/>
                <w:color w:val="auto"/>
              </w:rPr>
            </w:pPr>
          </w:p>
        </w:tc>
      </w:tr>
      <w:tr>
        <w:trPr>
          <w:trHeight w:val="15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Executive Vice President,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410,154</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496,605</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214,240</w:t>
            </w:r>
          </w:p>
        </w:tc>
        <w:tc>
          <w:tcPr>
            <w:tcW w:w="10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1,137,199</w:t>
            </w:r>
          </w:p>
        </w:tc>
        <w:tc>
          <w:tcPr>
            <w:tcW w:w="0" w:type="dxa"/>
            <w:vAlign w:val="bottom"/>
          </w:tcPr>
          <w:p>
            <w:pPr>
              <w:spacing w:after="0"/>
              <w:rPr>
                <w:sz w:val="1"/>
                <w:szCs w:val="1"/>
                <w:color w:val="auto"/>
              </w:rPr>
            </w:pPr>
          </w:p>
        </w:tc>
      </w:tr>
      <w:tr>
        <w:trPr>
          <w:trHeight w:val="18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General Counsel and</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398,461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465,703</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283,400</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1,160,414</w:t>
            </w:r>
          </w:p>
        </w:tc>
        <w:tc>
          <w:tcPr>
            <w:tcW w:w="0" w:type="dxa"/>
            <w:vAlign w:val="bottom"/>
          </w:tcPr>
          <w:p>
            <w:pPr>
              <w:spacing w:after="0"/>
              <w:rPr>
                <w:sz w:val="1"/>
                <w:szCs w:val="1"/>
                <w:color w:val="auto"/>
              </w:rPr>
            </w:pPr>
          </w:p>
        </w:tc>
      </w:tr>
      <w:tr>
        <w:trPr>
          <w:trHeight w:val="147"/>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Secretary</w:t>
            </w: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13881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7" w:lineRule="exact"/>
        <w:rPr>
          <w:sz w:val="20"/>
          <w:szCs w:val="20"/>
          <w:color w:val="auto"/>
        </w:rPr>
      </w:pPr>
    </w:p>
    <w:p>
      <w:pPr>
        <w:ind w:left="180" w:hanging="111"/>
        <w:spacing w:after="0"/>
        <w:tabs>
          <w:tab w:leader="none" w:pos="180" w:val="left"/>
        </w:tabs>
        <w:numPr>
          <w:ilvl w:val="0"/>
          <w:numId w:val="4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Reflects base salary earnings.</w:t>
      </w:r>
    </w:p>
    <w:p>
      <w:pPr>
        <w:spacing w:after="0" w:line="43" w:lineRule="exact"/>
        <w:rPr>
          <w:rFonts w:ascii="Times New Roman" w:cs="Times New Roman" w:eastAsia="Times New Roman" w:hAnsi="Times New Roman"/>
          <w:sz w:val="7"/>
          <w:szCs w:val="7"/>
          <w:color w:val="auto"/>
        </w:rPr>
      </w:pPr>
    </w:p>
    <w:p>
      <w:pPr>
        <w:jc w:val="both"/>
        <w:ind w:left="60" w:firstLine="9"/>
        <w:spacing w:after="0" w:line="275" w:lineRule="auto"/>
        <w:tabs>
          <w:tab w:leader="none" w:pos="174" w:val="left"/>
        </w:tabs>
        <w:numPr>
          <w:ilvl w:val="0"/>
          <w:numId w:val="4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Reflects the grant date fair value determined in accordance with the Financial Accounting Standards Board Accounting Standards Codification Topic 718, Comparison — Stock Compensation. The Company uses the price of Clearway, Inc.’s Class C common stock on the date of grant as the fair value of the Company’s RSUs. The fair value of RPSUs is estimated on the date of grant using a Monte Carlo simulation model. The number of RPSUs granted is based on the 10-day average closing price of Clearway, Inc.’s Class C common stock ending on the date of grant, which is intended to more closely reflect the compensation practices of the Compensation Peer Group companies. For RPSUs granted in 2024, if the maximum level of performance is achieved, the fair value will be approximately $2,894,786 for Mr. Cornelius, $2,017,825 for Mr. Sotos, $442,771 for Ms. Rubenstein and $446,385 for Mr. Malcarney.</w:t>
      </w:r>
    </w:p>
    <w:p>
      <w:pPr>
        <w:ind w:left="180" w:hanging="111"/>
        <w:spacing w:after="0"/>
        <w:tabs>
          <w:tab w:leader="none" w:pos="180" w:val="left"/>
        </w:tabs>
        <w:numPr>
          <w:ilvl w:val="0"/>
          <w:numId w:val="4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amounts shown in this column represent the annual incentive bonuses paid to the NEOs. Further information regarding the annual incentive bonuses is included in the “2024 Annual Incentive Bonuses” section of this CD&amp;A.</w:t>
      </w:r>
    </w:p>
    <w:p>
      <w:pPr>
        <w:spacing w:after="0" w:line="24" w:lineRule="exact"/>
        <w:rPr>
          <w:rFonts w:ascii="Times New Roman" w:cs="Times New Roman" w:eastAsia="Times New Roman" w:hAnsi="Times New Roman"/>
          <w:sz w:val="14"/>
          <w:szCs w:val="14"/>
          <w:color w:val="auto"/>
          <w:vertAlign w:val="superscript"/>
        </w:rPr>
      </w:pPr>
    </w:p>
    <w:p>
      <w:pPr>
        <w:jc w:val="both"/>
        <w:ind w:left="60" w:firstLine="9"/>
        <w:spacing w:after="0" w:line="265" w:lineRule="auto"/>
        <w:tabs>
          <w:tab w:leader="none" w:pos="174" w:val="left"/>
        </w:tabs>
        <w:numPr>
          <w:ilvl w:val="0"/>
          <w:numId w:val="4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excluding the financial advisor’s travel or out-of-pocket expenses; and when applicable, the Company’s discretionary contribution to the 401(k) plan. In addition the amounts provided in the All Other Compensation column represent benefits paid to Mr. Sotos in connection with his departure from the Company. The following table identifies the additional compensation for each NEO.</w:t>
      </w:r>
    </w:p>
    <w:p>
      <w:pPr>
        <w:spacing w:after="0" w:line="4" w:lineRule="exact"/>
        <w:rPr>
          <w:rFonts w:ascii="Times New Roman" w:cs="Times New Roman" w:eastAsia="Times New Roman" w:hAnsi="Times New Roman"/>
          <w:sz w:val="13"/>
          <w:szCs w:val="13"/>
          <w:color w:val="auto"/>
          <w:vertAlign w:val="superscript"/>
        </w:rPr>
      </w:pPr>
    </w:p>
    <w:p>
      <w:pPr>
        <w:jc w:val="both"/>
        <w:ind w:left="60" w:firstLine="9"/>
        <w:spacing w:after="0" w:line="276" w:lineRule="auto"/>
        <w:tabs>
          <w:tab w:leader="none" w:pos="174" w:val="left"/>
        </w:tabs>
        <w:numPr>
          <w:ilvl w:val="0"/>
          <w:numId w:val="4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RPSU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401(k)</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Severance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rPr>
              <w:t>Financial</w:t>
            </w:r>
          </w:p>
        </w:tc>
        <w:tc>
          <w:tcPr>
            <w:tcW w:w="13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rPr>
              <w:t>Employer</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1"/>
                <w:szCs w:val="11"/>
                <w:b w:val="1"/>
                <w:bCs w:val="1"/>
                <w:color w:val="auto"/>
              </w:rPr>
              <w:t>Payments</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Advisor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Matching</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and</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Services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PTO Supplemental</w:t>
            </w:r>
          </w:p>
        </w:tc>
        <w:tc>
          <w:tcPr>
            <w:tcW w:w="1320" w:type="dxa"/>
            <w:vAlign w:val="bottom"/>
            <w:gridSpan w:val="2"/>
          </w:tcPr>
          <w:p>
            <w:pPr>
              <w:jc w:val="center"/>
              <w:ind w:right="80"/>
              <w:spacing w:after="0" w:line="86" w:lineRule="exact"/>
              <w:rPr>
                <w:sz w:val="20"/>
                <w:szCs w:val="20"/>
                <w:color w:val="auto"/>
              </w:rPr>
            </w:pPr>
            <w:r>
              <w:rPr>
                <w:rFonts w:ascii="Times New Roman" w:cs="Times New Roman" w:eastAsia="Times New Roman" w:hAnsi="Times New Roman"/>
                <w:sz w:val="9"/>
                <w:szCs w:val="9"/>
                <w:b w:val="1"/>
                <w:bCs w:val="1"/>
                <w:color w:val="auto"/>
              </w:rPr>
              <w:t>Benefits</w:t>
            </w: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32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6"/>
                <w:szCs w:val="6"/>
                <w:b w:val="1"/>
                <w:bCs w:val="1"/>
                <w:color w:val="auto"/>
              </w:rPr>
              <w:t>(a)</w:t>
            </w: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58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Year</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7"/>
                <w:szCs w:val="7"/>
                <w:color w:val="auto"/>
              </w:rPr>
            </w:pPr>
          </w:p>
        </w:tc>
        <w:tc>
          <w:tcPr>
            <w:tcW w:w="1240" w:type="dxa"/>
            <w:vAlign w:val="bottom"/>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60" w:type="dxa"/>
            <w:vAlign w:val="bottom"/>
            <w:gridSpan w:val="2"/>
          </w:tcPr>
          <w:p>
            <w:pPr>
              <w:ind w:left="1240"/>
              <w:spacing w:after="0"/>
              <w:rPr>
                <w:sz w:val="20"/>
                <w:szCs w:val="20"/>
                <w:color w:val="auto"/>
              </w:rPr>
            </w:pPr>
            <w:r>
              <w:rPr>
                <w:rFonts w:ascii="Times New Roman" w:cs="Times New Roman" w:eastAsia="Times New Roman" w:hAnsi="Times New Roman"/>
                <w:sz w:val="7"/>
                <w:szCs w:val="7"/>
                <w:b w:val="1"/>
                <w:bCs w:val="1"/>
                <w:color w:val="auto"/>
              </w:rPr>
              <w:t>(b)</w:t>
            </w:r>
          </w:p>
        </w:tc>
        <w:tc>
          <w:tcPr>
            <w:tcW w:w="106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95"/>
        </w:trPr>
        <w:tc>
          <w:tcPr>
            <w:tcW w:w="20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1"/>
                <w:szCs w:val="11"/>
                <w:b w:val="1"/>
                <w:bCs w:val="1"/>
                <w:color w:val="auto"/>
              </w:rPr>
              <w:t>Payout ($)</w:t>
            </w: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Consulting Payments ($)</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Christopher S. Sotos</w:t>
            </w:r>
          </w:p>
        </w:tc>
        <w:tc>
          <w:tcPr>
            <w:tcW w:w="1580" w:type="dxa"/>
            <w:vAlign w:val="bottom"/>
            <w:tcBorders>
              <w:top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4,160</w:t>
            </w: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79,166</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565,093</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33,334</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695,553</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5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3,685</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16,885</w:t>
            </w: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0" w:type="dxa"/>
            <w:vAlign w:val="bottom"/>
          </w:tcPr>
          <w:p>
            <w:pPr>
              <w:spacing w:after="0"/>
              <w:rPr>
                <w:sz w:val="1"/>
                <w:szCs w:val="1"/>
                <w:color w:val="auto"/>
              </w:rPr>
            </w:pPr>
          </w:p>
        </w:tc>
      </w:tr>
      <w:tr>
        <w:trPr>
          <w:trHeight w:val="42"/>
        </w:trPr>
        <w:tc>
          <w:tcPr>
            <w:tcW w:w="20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Sarah Rubenstein</w:t>
            </w: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5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0" w:type="dxa"/>
            <w:vAlign w:val="bottom"/>
          </w:tcPr>
          <w:p>
            <w:pPr>
              <w:spacing w:after="0"/>
              <w:rPr>
                <w:sz w:val="1"/>
                <w:szCs w:val="1"/>
                <w:color w:val="auto"/>
              </w:rPr>
            </w:pPr>
          </w:p>
        </w:tc>
      </w:tr>
      <w:tr>
        <w:trPr>
          <w:trHeight w:val="42"/>
        </w:trPr>
        <w:tc>
          <w:tcPr>
            <w:tcW w:w="208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Kevin P. Malcarney</w:t>
            </w: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2024</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16,800</w:t>
            </w:r>
          </w:p>
        </w:tc>
        <w:tc>
          <w:tcPr>
            <w:tcW w:w="0" w:type="dxa"/>
            <w:vAlign w:val="bottom"/>
          </w:tcPr>
          <w:p>
            <w:pPr>
              <w:spacing w:after="0"/>
              <w:rPr>
                <w:sz w:val="1"/>
                <w:szCs w:val="1"/>
                <w:color w:val="auto"/>
              </w:rPr>
            </w:pPr>
          </w:p>
        </w:tc>
      </w:tr>
      <w:tr>
        <w:trPr>
          <w:trHeight w:val="153"/>
        </w:trPr>
        <w:tc>
          <w:tcPr>
            <w:tcW w:w="2080" w:type="dxa"/>
            <w:vAlign w:val="bottom"/>
          </w:tcPr>
          <w:p>
            <w:pPr>
              <w:spacing w:after="0"/>
              <w:rPr>
                <w:sz w:val="13"/>
                <w:szCs w:val="13"/>
                <w:color w:val="auto"/>
              </w:rPr>
            </w:pPr>
          </w:p>
        </w:tc>
        <w:tc>
          <w:tcPr>
            <w:tcW w:w="15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2023</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1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16,200</w:t>
            </w: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2022</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650</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12,200</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line="288" w:lineRule="auto"/>
        <w:tabs>
          <w:tab w:leader="none" w:pos="170" w:val="left"/>
        </w:tabs>
        <w:numPr>
          <w:ilvl w:val="0"/>
          <w:numId w:val="4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Amounts reported reflect the total severance payments and benefits payable to Mr. Sotos in connection with his termination of employment, excluding accrued but unpaid paid-time-off and payments of consulting fees. We provide a description of these amounts below under the section titled, “—Potential Payments Upon Termination or Change in Control”.</w:t>
      </w:r>
    </w:p>
    <w:p>
      <w:pPr>
        <w:spacing w:after="0" w:line="4" w:lineRule="exact"/>
        <w:rPr>
          <w:rFonts w:ascii="Times New Roman" w:cs="Times New Roman" w:eastAsia="Times New Roman" w:hAnsi="Times New Roman"/>
          <w:sz w:val="7"/>
          <w:szCs w:val="7"/>
          <w:color w:val="auto"/>
        </w:rPr>
      </w:pPr>
    </w:p>
    <w:p>
      <w:pPr>
        <w:ind w:left="60" w:firstLine="9"/>
        <w:spacing w:after="0"/>
        <w:tabs>
          <w:tab w:leader="none" w:pos="174" w:val="left"/>
        </w:tabs>
        <w:numPr>
          <w:ilvl w:val="0"/>
          <w:numId w:val="4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Amounts reported reflect the consulting fees paid to Mr. Sotos, pursuant to the consulting agreement between Mr. Sotos and the Company. We provide a description of this agreement below under the section titled, “—Severance and Change in Control”.</w:t>
      </w:r>
    </w:p>
    <w:p>
      <w:pPr>
        <w:spacing w:after="0" w:line="21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color w:val="auto"/>
        </w:rPr>
        <w:t>Grants of Plan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Based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0" w:type="dxa"/>
            <w:vAlign w:val="bottom"/>
          </w:tcPr>
          <w:p>
            <w:pPr>
              <w:spacing w:after="0"/>
              <w:rPr>
                <w:sz w:val="1"/>
                <w:szCs w:val="1"/>
                <w:color w:val="auto"/>
              </w:rPr>
            </w:pPr>
          </w:p>
        </w:tc>
      </w:tr>
      <w:tr>
        <w:trPr>
          <w:trHeight w:val="106"/>
        </w:trPr>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0"/>
                <w:szCs w:val="10"/>
                <w:b w:val="1"/>
                <w:bCs w:val="1"/>
                <w:color w:val="auto"/>
              </w:rPr>
              <w:t>Stock</w:t>
            </w:r>
          </w:p>
        </w:tc>
        <w:tc>
          <w:tcPr>
            <w:tcW w:w="84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Estimated Possible Payouts</w:t>
            </w: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Awards: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100"/>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jc w:val="center"/>
              <w:ind w:right="92"/>
              <w:spacing w:after="0" w:line="101" w:lineRule="exact"/>
              <w:rPr>
                <w:sz w:val="20"/>
                <w:szCs w:val="20"/>
                <w:color w:val="auto"/>
              </w:rPr>
            </w:pPr>
            <w:r>
              <w:rPr>
                <w:rFonts w:ascii="Times New Roman" w:cs="Times New Roman" w:eastAsia="Times New Roman" w:hAnsi="Times New Roman"/>
                <w:sz w:val="10"/>
                <w:szCs w:val="10"/>
                <w:b w:val="1"/>
                <w:bCs w:val="1"/>
                <w:color w:val="auto"/>
                <w:w w:val="95"/>
              </w:rPr>
              <w:t>Under</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gridSpan w:val="4"/>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w w:val="98"/>
              </w:rPr>
              <w:t>Estimated Future Payouts</w:t>
            </w:r>
          </w:p>
        </w:tc>
        <w:tc>
          <w:tcPr>
            <w:tcW w:w="1000" w:type="dxa"/>
            <w:vAlign w:val="bottom"/>
            <w:gridSpan w:val="2"/>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rPr>
              <w:t>Number</w:t>
            </w:r>
          </w:p>
        </w:tc>
        <w:tc>
          <w:tcPr>
            <w:tcW w:w="840" w:type="dxa"/>
            <w:vAlign w:val="bottom"/>
          </w:tcPr>
          <w:p>
            <w:pPr>
              <w:jc w:val="center"/>
              <w:spacing w:after="0" w:line="101"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0" w:type="dxa"/>
            <w:vAlign w:val="bottom"/>
          </w:tcPr>
          <w:p>
            <w:pPr>
              <w:spacing w:after="0"/>
              <w:rPr>
                <w:sz w:val="1"/>
                <w:szCs w:val="1"/>
                <w:color w:val="auto"/>
              </w:rPr>
            </w:pPr>
          </w:p>
        </w:tc>
      </w:tr>
      <w:tr>
        <w:trPr>
          <w:trHeight w:val="123"/>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left="612"/>
              <w:spacing w:after="0" w:line="115" w:lineRule="exact"/>
              <w:rPr>
                <w:sz w:val="20"/>
                <w:szCs w:val="20"/>
                <w:color w:val="auto"/>
              </w:rPr>
            </w:pPr>
            <w:r>
              <w:rPr>
                <w:rFonts w:ascii="Times New Roman" w:cs="Times New Roman" w:eastAsia="Times New Roman" w:hAnsi="Times New Roman"/>
                <w:sz w:val="10"/>
                <w:szCs w:val="10"/>
                <w:b w:val="1"/>
                <w:bCs w:val="1"/>
                <w:color w:val="auto"/>
                <w:w w:val="98"/>
              </w:rPr>
              <w:t>Non</w:t>
            </w:r>
            <w:r>
              <w:rPr>
                <w:rFonts w:ascii="MS PGothic" w:cs="MS PGothic" w:eastAsia="MS PGothic" w:hAnsi="MS PGothic"/>
                <w:sz w:val="10"/>
                <w:szCs w:val="10"/>
                <w:color w:val="auto"/>
                <w:strike w:val="1"/>
                <w:w w:val="98"/>
              </w:rPr>
              <w:t>‑</w:t>
            </w:r>
            <w:r>
              <w:rPr>
                <w:rFonts w:ascii="Times New Roman" w:cs="Times New Roman" w:eastAsia="Times New Roman" w:hAnsi="Times New Roman"/>
                <w:sz w:val="10"/>
                <w:szCs w:val="10"/>
                <w:b w:val="1"/>
                <w:bCs w:val="1"/>
                <w:color w:val="auto"/>
                <w:w w:val="98"/>
              </w:rPr>
              <w:t>Equity Incentive</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2"/>
          </w:tcPr>
          <w:p>
            <w:pPr>
              <w:jc w:val="center"/>
              <w:ind w:left="711"/>
              <w:spacing w:after="0"/>
              <w:rPr>
                <w:sz w:val="20"/>
                <w:szCs w:val="20"/>
                <w:color w:val="auto"/>
              </w:rPr>
            </w:pPr>
            <w:r>
              <w:rPr>
                <w:rFonts w:ascii="Times New Roman" w:cs="Times New Roman" w:eastAsia="Times New Roman" w:hAnsi="Times New Roman"/>
                <w:sz w:val="10"/>
                <w:szCs w:val="10"/>
                <w:b w:val="1"/>
                <w:bCs w:val="1"/>
                <w:color w:val="auto"/>
                <w:w w:val="97"/>
              </w:rPr>
              <w:t>Under Equity Incentive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and</w:t>
            </w: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Plan Awards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w w:val="97"/>
              </w:rPr>
              <w:t>Plan Awards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of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34"/>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Award</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Approval</w:t>
            </w: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0" w:type="dxa"/>
            <w:vAlign w:val="bottom"/>
            <w:tcBorders>
              <w:top w:val="single" w:sz="8" w:color="auto"/>
            </w:tcBorders>
          </w:tcPr>
          <w:p>
            <w:pPr>
              <w:jc w:val="right"/>
              <w:ind w:right="132"/>
              <w:spacing w:after="0" w:line="10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800" w:type="dxa"/>
            <w:vAlign w:val="bottom"/>
            <w:tcBorders>
              <w:top w:val="single" w:sz="8" w:color="auto"/>
            </w:tcBorders>
          </w:tcPr>
          <w:p>
            <w:pPr>
              <w:jc w:val="center"/>
              <w:ind w:right="112"/>
              <w:spacing w:after="0" w:line="103"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660" w:type="dxa"/>
            <w:vAlign w:val="bottom"/>
            <w:tcBorders>
              <w:top w:val="single" w:sz="8" w:color="auto"/>
            </w:tcBorders>
          </w:tcPr>
          <w:p>
            <w:pPr>
              <w:jc w:val="right"/>
              <w:ind w:right="152"/>
              <w:spacing w:after="0" w:line="10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80" w:type="dxa"/>
            <w:vAlign w:val="bottom"/>
          </w:tcPr>
          <w:p>
            <w:pPr>
              <w:spacing w:after="0"/>
              <w:rPr>
                <w:sz w:val="8"/>
                <w:szCs w:val="8"/>
                <w:color w:val="auto"/>
              </w:rPr>
            </w:pPr>
          </w:p>
        </w:tc>
        <w:tc>
          <w:tcPr>
            <w:tcW w:w="920" w:type="dxa"/>
            <w:vAlign w:val="bottom"/>
            <w:tcBorders>
              <w:top w:val="single" w:sz="8" w:color="auto"/>
            </w:tcBorders>
          </w:tcPr>
          <w:p>
            <w:pPr>
              <w:jc w:val="right"/>
              <w:ind w:right="211"/>
              <w:spacing w:after="0" w:line="103"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860" w:type="dxa"/>
            <w:vAlign w:val="bottom"/>
            <w:tcBorders>
              <w:top w:val="single" w:sz="8" w:color="auto"/>
            </w:tcBorders>
          </w:tcPr>
          <w:p>
            <w:pPr>
              <w:jc w:val="right"/>
              <w:ind w:right="391"/>
              <w:spacing w:after="0" w:line="103" w:lineRule="exact"/>
              <w:rPr>
                <w:sz w:val="20"/>
                <w:szCs w:val="20"/>
                <w:color w:val="auto"/>
              </w:rPr>
            </w:pPr>
            <w:r>
              <w:rPr>
                <w:rFonts w:ascii="Times New Roman" w:cs="Times New Roman" w:eastAsia="Times New Roman" w:hAnsi="Times New Roman"/>
                <w:sz w:val="10"/>
                <w:szCs w:val="10"/>
                <w:b w:val="1"/>
                <w:bCs w:val="1"/>
                <w:color w:val="auto"/>
              </w:rPr>
              <w:t>Target</w:t>
            </w:r>
          </w:p>
        </w:tc>
        <w:tc>
          <w:tcPr>
            <w:tcW w:w="760" w:type="dxa"/>
            <w:vAlign w:val="bottom"/>
            <w:tcBorders>
              <w:top w:val="single" w:sz="8" w:color="auto"/>
            </w:tcBorders>
          </w:tcPr>
          <w:p>
            <w:pPr>
              <w:jc w:val="right"/>
              <w:ind w:right="251"/>
              <w:spacing w:after="0" w:line="10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80" w:type="dxa"/>
            <w:vAlign w:val="bottom"/>
          </w:tcPr>
          <w:p>
            <w:pPr>
              <w:spacing w:after="0"/>
              <w:rPr>
                <w:sz w:val="8"/>
                <w:szCs w:val="8"/>
                <w:color w:val="auto"/>
              </w:rPr>
            </w:pPr>
          </w:p>
        </w:tc>
        <w:tc>
          <w:tcPr>
            <w:tcW w:w="9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0" w:type="dxa"/>
            <w:vAlign w:val="bottom"/>
          </w:tcPr>
          <w:p>
            <w:pPr>
              <w:spacing w:after="0"/>
              <w:rPr>
                <w:sz w:val="1"/>
                <w:szCs w:val="1"/>
                <w:color w:val="auto"/>
              </w:rPr>
            </w:pPr>
          </w:p>
        </w:tc>
      </w:tr>
      <w:tr>
        <w:trPr>
          <w:trHeight w:val="15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Type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800" w:type="dxa"/>
            <w:vAlign w:val="bottom"/>
          </w:tcPr>
          <w:p>
            <w:pPr>
              <w:jc w:val="right"/>
              <w:ind w:right="272"/>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(1)</w:t>
            </w:r>
          </w:p>
        </w:tc>
        <w:tc>
          <w:tcPr>
            <w:tcW w:w="800" w:type="dxa"/>
            <w:vAlign w:val="bottom"/>
          </w:tcPr>
          <w:p>
            <w:pPr>
              <w:jc w:val="center"/>
              <w:ind w:right="112"/>
              <w:spacing w:after="0" w:line="154"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(2)</w:t>
            </w:r>
          </w:p>
        </w:tc>
        <w:tc>
          <w:tcPr>
            <w:tcW w:w="660" w:type="dxa"/>
            <w:vAlign w:val="bottom"/>
          </w:tcPr>
          <w:p>
            <w:pPr>
              <w:jc w:val="right"/>
              <w:ind w:right="272"/>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6"/>
                <w:szCs w:val="6"/>
                <w:b w:val="1"/>
                <w:bCs w:val="1"/>
                <w:color w:val="auto"/>
              </w:rPr>
              <w:t>(3)</w:t>
            </w:r>
          </w:p>
        </w:tc>
        <w:tc>
          <w:tcPr>
            <w:tcW w:w="80" w:type="dxa"/>
            <w:vAlign w:val="bottom"/>
          </w:tcPr>
          <w:p>
            <w:pPr>
              <w:spacing w:after="0"/>
              <w:rPr>
                <w:sz w:val="13"/>
                <w:szCs w:val="13"/>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w:t>
            </w: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ind w:right="41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3"/>
                <w:szCs w:val="13"/>
                <w:color w:val="auto"/>
              </w:rPr>
            </w:pPr>
          </w:p>
        </w:tc>
        <w:tc>
          <w:tcPr>
            <w:tcW w:w="84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vertAlign w:val="subscript"/>
              </w:rPr>
              <w:t>($)</w:t>
            </w:r>
            <w:r>
              <w:rPr>
                <w:rFonts w:ascii="Times New Roman" w:cs="Times New Roman" w:eastAsia="Times New Roman" w:hAnsi="Times New Roman"/>
                <w:sz w:val="6"/>
                <w:szCs w:val="6"/>
                <w:b w:val="1"/>
                <w:bCs w:val="1"/>
                <w:color w:val="auto"/>
                <w:w w:val="98"/>
              </w:rPr>
              <w:t>(4)</w:t>
            </w:r>
          </w:p>
        </w:tc>
        <w:tc>
          <w:tcPr>
            <w:tcW w:w="0" w:type="dxa"/>
            <w:vAlign w:val="bottom"/>
          </w:tcPr>
          <w:p>
            <w:pPr>
              <w:spacing w:after="0"/>
              <w:rPr>
                <w:sz w:val="1"/>
                <w:szCs w:val="1"/>
                <w:color w:val="auto"/>
              </w:rPr>
            </w:pPr>
          </w:p>
        </w:tc>
      </w:tr>
      <w:tr>
        <w:trPr>
          <w:trHeight w:val="129"/>
        </w:trPr>
        <w:tc>
          <w:tcPr>
            <w:tcW w:w="156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0"/>
                <w:szCs w:val="10"/>
                <w:b w:val="1"/>
                <w:bCs w:val="1"/>
                <w:color w:val="auto"/>
              </w:rPr>
              <w:t>Craig Cornelius</w:t>
            </w:r>
            <w:r>
              <w:rPr>
                <w:rFonts w:ascii="Times New Roman" w:cs="Times New Roman" w:eastAsia="Times New Roman" w:hAnsi="Times New Roman"/>
                <w:sz w:val="12"/>
                <w:szCs w:val="12"/>
                <w:b w:val="1"/>
                <w:bCs w:val="1"/>
                <w:color w:val="auto"/>
                <w:vertAlign w:val="superscript"/>
              </w:rPr>
              <w:t>(5)</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RPSU</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7/1/2024</w:t>
            </w:r>
          </w:p>
        </w:tc>
        <w:tc>
          <w:tcPr>
            <w:tcW w:w="100" w:type="dxa"/>
            <w:vAlign w:val="bottom"/>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4/30/2024</w:t>
            </w:r>
          </w:p>
        </w:tc>
        <w:tc>
          <w:tcPr>
            <w:tcW w:w="100" w:type="dxa"/>
            <w:vAlign w:val="bottom"/>
          </w:tcPr>
          <w:p>
            <w:pPr>
              <w:spacing w:after="0"/>
              <w:rPr>
                <w:sz w:val="11"/>
                <w:szCs w:val="11"/>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18,972</w:t>
            </w:r>
          </w:p>
        </w:tc>
        <w:tc>
          <w:tcPr>
            <w:tcW w:w="86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color w:val="auto"/>
              </w:rPr>
              <w:t>75,889</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113,834</w:t>
            </w:r>
          </w:p>
        </w:tc>
        <w:tc>
          <w:tcPr>
            <w:tcW w:w="80" w:type="dxa"/>
            <w:vAlign w:val="bottom"/>
          </w:tcPr>
          <w:p>
            <w:pPr>
              <w:spacing w:after="0"/>
              <w:rPr>
                <w:sz w:val="11"/>
                <w:szCs w:val="1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1,929,857</w:t>
            </w:r>
          </w:p>
        </w:tc>
        <w:tc>
          <w:tcPr>
            <w:tcW w:w="0" w:type="dxa"/>
            <w:vAlign w:val="bottom"/>
          </w:tcPr>
          <w:p>
            <w:pPr>
              <w:spacing w:after="0"/>
              <w:rPr>
                <w:sz w:val="1"/>
                <w:szCs w:val="1"/>
                <w:color w:val="auto"/>
              </w:rPr>
            </w:pPr>
          </w:p>
        </w:tc>
      </w:tr>
      <w:tr>
        <w:trPr>
          <w:trHeight w:val="138"/>
        </w:trPr>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7/1/2024</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4/30/2024</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37,945</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922,064</w:t>
            </w:r>
          </w:p>
        </w:tc>
        <w:tc>
          <w:tcPr>
            <w:tcW w:w="0" w:type="dxa"/>
            <w:vAlign w:val="bottom"/>
          </w:tcPr>
          <w:p>
            <w:pPr>
              <w:spacing w:after="0"/>
              <w:rPr>
                <w:sz w:val="1"/>
                <w:szCs w:val="1"/>
                <w:color w:val="auto"/>
              </w:rPr>
            </w:pPr>
          </w:p>
        </w:tc>
      </w:tr>
      <w:tr>
        <w:trPr>
          <w:trHeight w:val="1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Christopher S. Sotos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AIP</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345,905</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691,809</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1,383,618</w:t>
            </w:r>
          </w:p>
        </w:tc>
        <w:tc>
          <w:tcPr>
            <w:tcW w:w="80" w:type="dxa"/>
            <w:vAlign w:val="bottom"/>
          </w:tcPr>
          <w:p>
            <w:pPr>
              <w:spacing w:after="0"/>
              <w:rPr>
                <w:sz w:val="11"/>
                <w:szCs w:val="11"/>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2"/>
        </w:trPr>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RPSU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17,309</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69,234</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103,851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1,345,217</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tcPr>
          <w:p>
            <w:pPr>
              <w:spacing w:after="0"/>
              <w:rPr>
                <w:sz w:val="12"/>
                <w:szCs w:val="12"/>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35,526</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798,980</w:t>
            </w:r>
          </w:p>
        </w:tc>
        <w:tc>
          <w:tcPr>
            <w:tcW w:w="0" w:type="dxa"/>
            <w:vAlign w:val="bottom"/>
          </w:tcPr>
          <w:p>
            <w:pPr>
              <w:spacing w:after="0"/>
              <w:rPr>
                <w:sz w:val="1"/>
                <w:szCs w:val="1"/>
                <w:color w:val="auto"/>
              </w:rPr>
            </w:pPr>
          </w:p>
        </w:tc>
      </w:tr>
      <w:tr>
        <w:trPr>
          <w:trHeight w:val="155"/>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Sarah Rubenstein</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AIP</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138,125</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276,250</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552,500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5"/>
              </w:rPr>
              <w:t>RPSU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3,798</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15,192</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22,788</w:t>
            </w:r>
          </w:p>
        </w:tc>
        <w:tc>
          <w:tcPr>
            <w:tcW w:w="8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295,181</w:t>
            </w:r>
          </w:p>
        </w:tc>
        <w:tc>
          <w:tcPr>
            <w:tcW w:w="0" w:type="dxa"/>
            <w:vAlign w:val="bottom"/>
          </w:tcPr>
          <w:p>
            <w:pPr>
              <w:spacing w:after="0"/>
              <w:rPr>
                <w:sz w:val="1"/>
                <w:szCs w:val="1"/>
                <w:color w:val="auto"/>
              </w:rPr>
            </w:pPr>
          </w:p>
        </w:tc>
      </w:tr>
      <w:tr>
        <w:trPr>
          <w:trHeight w:val="143"/>
        </w:trPr>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7,796</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175,332</w:t>
            </w:r>
          </w:p>
        </w:tc>
        <w:tc>
          <w:tcPr>
            <w:tcW w:w="0" w:type="dxa"/>
            <w:vAlign w:val="bottom"/>
          </w:tcPr>
          <w:p>
            <w:pPr>
              <w:spacing w:after="0"/>
              <w:rPr>
                <w:sz w:val="1"/>
                <w:szCs w:val="1"/>
                <w:color w:val="auto"/>
              </w:rPr>
            </w:pPr>
          </w:p>
        </w:tc>
      </w:tr>
      <w:tr>
        <w:trPr>
          <w:trHeight w:val="142"/>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Kevin P. Malcarney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AIP</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139,256</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278,512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557,024</w:t>
            </w:r>
          </w:p>
        </w:tc>
        <w:tc>
          <w:tcPr>
            <w:tcW w:w="80" w:type="dxa"/>
            <w:vAlign w:val="bottom"/>
          </w:tcPr>
          <w:p>
            <w:pPr>
              <w:spacing w:after="0"/>
              <w:rPr>
                <w:sz w:val="12"/>
                <w:szCs w:val="12"/>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5"/>
        </w:trPr>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RPSU</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3,829</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rPr>
              <w:t>15,316</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22,974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297,590</w:t>
            </w: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rPr>
              <w:t>RSU</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4/15/2024</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2/15/2024</w:t>
            </w: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7,859</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13881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7" w:lineRule="exact"/>
        <w:rPr>
          <w:sz w:val="20"/>
          <w:szCs w:val="20"/>
          <w:color w:val="auto"/>
        </w:rPr>
      </w:pPr>
    </w:p>
    <w:p>
      <w:pPr>
        <w:ind w:left="180" w:hanging="111"/>
        <w:spacing w:after="0"/>
        <w:tabs>
          <w:tab w:leader="none" w:pos="180"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Threshold non-equity incentive plan awards include annual incentive plan threshold payments, as presented in the CD&amp;A.</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4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Target non-equity incentive plan awards include annual incentive plan target payments, as presented in the CD&amp;A.</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4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Maximum non-equity incentive plan awards include annual incentive plan maximum payments, as presented in the CD&amp;A.</w:t>
      </w:r>
    </w:p>
    <w:p>
      <w:pPr>
        <w:spacing w:after="0" w:line="31" w:lineRule="exact"/>
        <w:rPr>
          <w:rFonts w:ascii="Times New Roman" w:cs="Times New Roman" w:eastAsia="Times New Roman" w:hAnsi="Times New Roman"/>
          <w:sz w:val="7"/>
          <w:szCs w:val="7"/>
          <w:color w:val="auto"/>
        </w:rPr>
      </w:pPr>
    </w:p>
    <w:p>
      <w:pPr>
        <w:jc w:val="both"/>
        <w:ind w:left="60" w:firstLine="9"/>
        <w:spacing w:after="0" w:line="317" w:lineRule="auto"/>
        <w:tabs>
          <w:tab w:leader="none" w:pos="164" w:val="left"/>
        </w:tabs>
        <w:numPr>
          <w:ilvl w:val="0"/>
          <w:numId w:val="4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Reflects the grant date fair value determined in accordance with the Financial Accounting Standards Board Accounting Standards Codification Topic 718, Comparison—Stock Compensation. The Company uses the price of Clearway, Inc.’s Class C common stock on the date of grant as the fair value of the Company’s RSUs. The fair value of RPSUs is estimated on the date of grant using a Monte Carlo simulation model. The number of RPSUs granted is based on the 10-day average closing price of Clearway, Inc.’s Class C common stock ending on the date of grant.</w:t>
      </w:r>
    </w:p>
    <w:p>
      <w:pPr>
        <w:spacing w:after="0" w:line="116" w:lineRule="exact"/>
        <w:rPr>
          <w:rFonts w:ascii="Times New Roman" w:cs="Times New Roman" w:eastAsia="Times New Roman" w:hAnsi="Times New Roman"/>
          <w:sz w:val="12"/>
          <w:szCs w:val="12"/>
          <w:color w:val="auto"/>
          <w:vertAlign w:val="superscript"/>
        </w:rPr>
      </w:pPr>
    </w:p>
    <w:p>
      <w:pPr>
        <w:ind w:left="60" w:firstLine="9"/>
        <w:spacing w:after="0" w:line="282" w:lineRule="auto"/>
        <w:tabs>
          <w:tab w:leader="none" w:pos="174" w:val="left"/>
        </w:tabs>
        <w:numPr>
          <w:ilvl w:val="0"/>
          <w:numId w:val="4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RPSU grants under the LTIP. For a more detailed discussion of the incentive-based compensation provided to Mr. Cornelius by CEG, please see the sections entitled “Annual Incentive Compensation” and “Long-Term Incentive Compensation” in the “Elements of Compensation” section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End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27"/>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left="171"/>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7"/>
              </w:rPr>
              <w:t>Market Value</w:t>
            </w:r>
          </w:p>
        </w:tc>
        <w:tc>
          <w:tcPr>
            <w:tcW w:w="2020" w:type="dxa"/>
            <w:vAlign w:val="bottom"/>
            <w:gridSpan w:val="3"/>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Equity Incentive Plan Awards</w:t>
            </w:r>
          </w:p>
        </w:tc>
      </w:tr>
      <w:tr>
        <w:trPr>
          <w:trHeight w:val="120"/>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of Shares or</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060" w:type="dxa"/>
            <w:vAlign w:val="bottom"/>
          </w:tcPr>
          <w:p>
            <w:pPr>
              <w:spacing w:after="0"/>
              <w:rPr>
                <w:sz w:val="10"/>
                <w:szCs w:val="10"/>
                <w:color w:val="auto"/>
              </w:rPr>
            </w:pPr>
          </w:p>
        </w:tc>
      </w:tr>
      <w:tr>
        <w:trPr>
          <w:trHeight w:val="106"/>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left="151"/>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0"/>
                <w:szCs w:val="10"/>
                <w:b w:val="1"/>
                <w:bCs w:val="1"/>
                <w:color w:val="auto"/>
              </w:rPr>
              <w:t>or Units of</w:t>
            </w:r>
          </w:p>
        </w:tc>
        <w:tc>
          <w:tcPr>
            <w:tcW w:w="1480" w:type="dxa"/>
            <w:vAlign w:val="bottom"/>
            <w:gridSpan w:val="3"/>
          </w:tcPr>
          <w:p>
            <w:pPr>
              <w:jc w:val="center"/>
              <w:ind w:right="380"/>
              <w:spacing w:after="0" w:line="106" w:lineRule="exact"/>
              <w:rPr>
                <w:sz w:val="20"/>
                <w:szCs w:val="20"/>
                <w:color w:val="auto"/>
              </w:rPr>
            </w:pPr>
            <w:r>
              <w:rPr>
                <w:rFonts w:ascii="Times New Roman" w:cs="Times New Roman" w:eastAsia="Times New Roman" w:hAnsi="Times New Roman"/>
                <w:sz w:val="10"/>
                <w:szCs w:val="10"/>
                <w:b w:val="1"/>
                <w:bCs w:val="1"/>
                <w:color w:val="auto"/>
              </w:rPr>
              <w:t>Units of</w:t>
            </w:r>
          </w:p>
        </w:tc>
        <w:tc>
          <w:tcPr>
            <w:tcW w:w="9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06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7"/>
              </w:rPr>
              <w:t>Market Value</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Unexercised</w:t>
            </w: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Stock that</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Stock that</w:t>
            </w: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8"/>
              </w:rPr>
              <w:t>Shares that</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of Unearned</w:t>
            </w:r>
          </w:p>
        </w:tc>
      </w:tr>
      <w:tr>
        <w:trPr>
          <w:trHeight w:val="106"/>
        </w:trPr>
        <w:tc>
          <w:tcPr>
            <w:tcW w:w="2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left="171"/>
              <w:spacing w:after="0" w:line="106"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center"/>
              <w:ind w:right="280"/>
              <w:spacing w:after="0" w:line="106"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50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left="131"/>
              <w:spacing w:after="0" w:line="106"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1480" w:type="dxa"/>
            <w:vAlign w:val="bottom"/>
            <w:gridSpan w:val="3"/>
          </w:tcPr>
          <w:p>
            <w:pPr>
              <w:jc w:val="center"/>
              <w:ind w:right="4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Have Not</w:t>
            </w:r>
          </w:p>
        </w:tc>
        <w:tc>
          <w:tcPr>
            <w:tcW w:w="9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0"/>
                <w:szCs w:val="10"/>
                <w:b w:val="1"/>
                <w:bCs w:val="1"/>
                <w:color w:val="auto"/>
                <w:w w:val="98"/>
              </w:rPr>
              <w:t>Have</w:t>
            </w:r>
          </w:p>
        </w:tc>
        <w:tc>
          <w:tcPr>
            <w:tcW w:w="106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8"/>
              </w:rPr>
              <w:t>Shares that Have</w:t>
            </w: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9"/>
              </w:rPr>
              <w:t>Expiration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Vested</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Vested</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Not Vested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Not Vested</w:t>
            </w:r>
          </w:p>
        </w:tc>
      </w:tr>
      <w:tr>
        <w:trPr>
          <w:trHeight w:val="164"/>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Unexercisable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2"/>
                <w:szCs w:val="12"/>
                <w:b w:val="1"/>
                <w:bCs w:val="1"/>
                <w:color w:val="auto"/>
                <w:w w:val="85"/>
                <w:vertAlign w:val="superscript"/>
              </w:rPr>
              <w:t>(1)</w:t>
            </w:r>
          </w:p>
        </w:tc>
      </w:tr>
      <w:tr>
        <w:trPr>
          <w:trHeight w:val="13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Craig Cornelius</w:t>
            </w: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39,068 </w:t>
            </w:r>
            <w:r>
              <w:rPr>
                <w:rFonts w:ascii="Times New Roman" w:cs="Times New Roman" w:eastAsia="Times New Roman" w:hAnsi="Times New Roman"/>
                <w:sz w:val="12"/>
                <w:szCs w:val="12"/>
                <w:color w:val="auto"/>
                <w:vertAlign w:val="superscript"/>
              </w:rPr>
              <w:t>(2)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1,015,768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117,208 </w:t>
            </w:r>
            <w:r>
              <w:rPr>
                <w:rFonts w:ascii="Times New Roman" w:cs="Times New Roman" w:eastAsia="Times New Roman" w:hAnsi="Times New Roman"/>
                <w:sz w:val="12"/>
                <w:szCs w:val="12"/>
                <w:color w:val="auto"/>
                <w:vertAlign w:val="superscript"/>
              </w:rPr>
              <w:t>(3)</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3,047,408</w:t>
            </w:r>
          </w:p>
        </w:tc>
      </w:tr>
      <w:tr>
        <w:trPr>
          <w:trHeight w:val="14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Christopher S. Sotos </w:t>
            </w:r>
            <w:r>
              <w:rPr>
                <w:rFonts w:ascii="Times New Roman" w:cs="Times New Roman" w:eastAsia="Times New Roman" w:hAnsi="Times New Roman"/>
                <w:sz w:val="12"/>
                <w:szCs w:val="12"/>
                <w:color w:val="auto"/>
                <w:vertAlign w:val="superscript"/>
              </w:rPr>
              <w:t>(4)</w:t>
            </w:r>
          </w:p>
        </w:tc>
        <w:tc>
          <w:tcPr>
            <w:tcW w:w="800" w:type="dxa"/>
            <w:vAlign w:val="bottom"/>
          </w:tcPr>
          <w:p>
            <w:pPr>
              <w:spacing w:after="0"/>
              <w:rPr>
                <w:sz w:val="12"/>
                <w:szCs w:val="12"/>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gridSpan w:val="2"/>
          </w:tcPr>
          <w:p>
            <w:pPr>
              <w:ind w:left="980"/>
              <w:spacing w:after="0"/>
              <w:rPr>
                <w:sz w:val="20"/>
                <w:szCs w:val="20"/>
                <w:color w:val="auto"/>
              </w:rPr>
            </w:pPr>
            <w:r>
              <w:rPr>
                <w:rFonts w:ascii="Times New Roman" w:cs="Times New Roman" w:eastAsia="Times New Roman" w:hAnsi="Times New Roman"/>
                <w:sz w:val="10"/>
                <w:szCs w:val="10"/>
                <w:color w:val="auto"/>
              </w:rPr>
              <w:t>—</w:t>
            </w:r>
          </w:p>
        </w:tc>
        <w:tc>
          <w:tcPr>
            <w:tcW w:w="1480" w:type="dxa"/>
            <w:vAlign w:val="bottom"/>
            <w:gridSpan w:val="3"/>
          </w:tcPr>
          <w:p>
            <w:pPr>
              <w:jc w:val="right"/>
              <w:ind w:right="4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9"/>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Sarah Rubenstein</w:t>
            </w:r>
          </w:p>
        </w:tc>
        <w:tc>
          <w:tcPr>
            <w:tcW w:w="8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13,399 </w:t>
            </w:r>
            <w:r>
              <w:rPr>
                <w:rFonts w:ascii="Times New Roman" w:cs="Times New Roman" w:eastAsia="Times New Roman" w:hAnsi="Times New Roman"/>
                <w:sz w:val="12"/>
                <w:szCs w:val="12"/>
                <w:color w:val="auto"/>
                <w:vertAlign w:val="superscript"/>
              </w:rPr>
              <w:t>(5)</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348,374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xml:space="preserve">27,638 </w:t>
            </w:r>
            <w:r>
              <w:rPr>
                <w:rFonts w:ascii="Times New Roman" w:cs="Times New Roman" w:eastAsia="Times New Roman" w:hAnsi="Times New Roman"/>
                <w:sz w:val="12"/>
                <w:szCs w:val="12"/>
                <w:color w:val="auto"/>
                <w:vertAlign w:val="superscript"/>
              </w:rPr>
              <w:t>(6)</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718,588</w:t>
            </w:r>
          </w:p>
        </w:tc>
      </w:tr>
      <w:tr>
        <w:trPr>
          <w:trHeight w:val="17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Kevin P. Malcarney</w:t>
            </w:r>
          </w:p>
        </w:tc>
        <w:tc>
          <w:tcPr>
            <w:tcW w:w="800" w:type="dxa"/>
            <w:vAlign w:val="bottom"/>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13,900 </w:t>
            </w:r>
            <w:r>
              <w:rPr>
                <w:rFonts w:ascii="Times New Roman" w:cs="Times New Roman" w:eastAsia="Times New Roman" w:hAnsi="Times New Roman"/>
                <w:sz w:val="12"/>
                <w:szCs w:val="12"/>
                <w:color w:val="auto"/>
                <w:vertAlign w:val="superscript"/>
              </w:rPr>
              <w:t>(7)</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361,400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30,024 </w:t>
            </w:r>
            <w:r>
              <w:rPr>
                <w:rFonts w:ascii="Times New Roman" w:cs="Times New Roman" w:eastAsia="Times New Roman" w:hAnsi="Times New Roman"/>
                <w:sz w:val="12"/>
                <w:szCs w:val="12"/>
                <w:color w:val="auto"/>
                <w:vertAlign w:val="superscript"/>
              </w:rPr>
              <w:t>(8)</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13881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5" w:lineRule="exact"/>
        <w:rPr>
          <w:sz w:val="20"/>
          <w:szCs w:val="20"/>
          <w:color w:val="auto"/>
        </w:rPr>
      </w:pPr>
    </w:p>
    <w:p>
      <w:pPr>
        <w:ind w:left="180" w:hanging="111"/>
        <w:spacing w:after="0"/>
        <w:tabs>
          <w:tab w:leader="none" w:pos="180"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Amounts reflect the market value of the unearned shares based on the December 31, 2024 Class C common stock closing price of $26.00.</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12,635 RSUs and 374 DERs that will vest on July 1, 2025, 12,636 RSUs and 374 DERs that will vest on July 1, 2026, and 12,674 RSUs and 375 DERs that will vest on July 1, 2027.</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4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This amount represents 117,208 RPSUs and 2,250 DERs that will vest on July 1, 2027 if maximum target payout is achieved.</w:t>
      </w:r>
    </w:p>
    <w:p>
      <w:pPr>
        <w:spacing w:after="0" w:line="17"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Mr. Sotos voluntarily resigned from his employment with the Company and from his service on the Board on June 30, 2024.</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200" w:lineRule="auto"/>
        <w:tabs>
          <w:tab w:leader="none" w:pos="180" w:val="left"/>
        </w:tabs>
        <w:numPr>
          <w:ilvl w:val="0"/>
          <w:numId w:val="4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This amount represents 5,581 RPSUs and 513 DERs that will vest on April 15, 2025, 4,279 RPSUs and 305 DERs that will vest on April 15, 2026, and 2,604 RSUs and 117 DERs that will vest on April 15, 2027..</w:t>
      </w:r>
    </w:p>
    <w:p>
      <w:pPr>
        <w:spacing w:after="0" w:line="35" w:lineRule="exact"/>
        <w:rPr>
          <w:rFonts w:ascii="Times New Roman" w:cs="Times New Roman" w:eastAsia="Times New Roman" w:hAnsi="Times New Roman"/>
          <w:sz w:val="14"/>
          <w:szCs w:val="14"/>
          <w:color w:val="auto"/>
          <w:vertAlign w:val="superscript"/>
        </w:rPr>
      </w:pPr>
    </w:p>
    <w:p>
      <w:pPr>
        <w:ind w:left="60" w:firstLine="9"/>
        <w:spacing w:after="0" w:line="237" w:lineRule="auto"/>
        <w:tabs>
          <w:tab w:leader="none" w:pos="174" w:val="left"/>
        </w:tabs>
        <w:numPr>
          <w:ilvl w:val="0"/>
          <w:numId w:val="4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This amount represents 8,913 RPSUs and 1,232 DERs that will vest on April 15, 2025 if payout is achieved at target, 2,850 RPSUs and 287 DERs that will vest on April 15, 2026 if payout is achieved at minimum, and 15,875 RPSUs and 683 DERs that will vest on April 15, 2027 if payout is achieved at target.</w:t>
      </w:r>
    </w:p>
    <w:p>
      <w:pPr>
        <w:spacing w:after="0" w:line="23" w:lineRule="exact"/>
        <w:rPr>
          <w:rFonts w:ascii="Times New Roman" w:cs="Times New Roman" w:eastAsia="Times New Roman" w:hAnsi="Times New Roman"/>
          <w:sz w:val="13"/>
          <w:szCs w:val="13"/>
          <w:color w:val="auto"/>
          <w:vertAlign w:val="superscript"/>
        </w:rPr>
      </w:pPr>
    </w:p>
    <w:p>
      <w:pPr>
        <w:ind w:left="60" w:firstLine="9"/>
        <w:spacing w:after="0" w:line="266" w:lineRule="auto"/>
        <w:tabs>
          <w:tab w:leader="none" w:pos="174" w:val="left"/>
        </w:tabs>
        <w:numPr>
          <w:ilvl w:val="0"/>
          <w:numId w:val="4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This amount represents 5,862 RSUs and 558 DERs that will vest on April 15, 2025, 4,418 RSUs and 319 DERs that will vest on April 15, 2026, and 2,625 RSUs and 118 DERs that will vest on April 15, 2027. Amounts do not include shares withheld for payment of taxes due to retirement eligibility.</w:t>
      </w:r>
    </w:p>
    <w:p>
      <w:pPr>
        <w:spacing w:after="0" w:line="3" w:lineRule="exact"/>
        <w:rPr>
          <w:rFonts w:ascii="Times New Roman" w:cs="Times New Roman" w:eastAsia="Times New Roman" w:hAnsi="Times New Roman"/>
          <w:sz w:val="13"/>
          <w:szCs w:val="13"/>
          <w:color w:val="auto"/>
          <w:vertAlign w:val="superscript"/>
        </w:rPr>
      </w:pPr>
    </w:p>
    <w:p>
      <w:pPr>
        <w:ind w:left="60" w:firstLine="9"/>
        <w:spacing w:after="0" w:line="340" w:lineRule="auto"/>
        <w:tabs>
          <w:tab w:leader="none" w:pos="164" w:val="left"/>
        </w:tabs>
        <w:numPr>
          <w:ilvl w:val="0"/>
          <w:numId w:val="4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This amount represents 10,970 RPSUs and 1,517 DERs that will vest on April 15, 2025 if payout is achieved at target, 3,050 RPSUs and 246 DERs that will vest on April 15, 2026 if payout is achieved at minimum, and 16,004 RPSUs and 688 DERs that will vest on April 15, 2027 if payout is achieved at target.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 Exercises and Stock Vested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2560" w:type="dxa"/>
            <w:vAlign w:val="bottom"/>
            <w:gridSpan w:val="3"/>
          </w:tcPr>
          <w:p>
            <w:pPr>
              <w:jc w:val="right"/>
              <w:ind w:right="875"/>
              <w:spacing w:after="0"/>
              <w:rPr>
                <w:sz w:val="20"/>
                <w:szCs w:val="20"/>
                <w:color w:val="auto"/>
              </w:rPr>
            </w:pPr>
            <w:r>
              <w:rPr>
                <w:rFonts w:ascii="Times New Roman" w:cs="Times New Roman" w:eastAsia="Times New Roman" w:hAnsi="Times New Roman"/>
                <w:sz w:val="11"/>
                <w:szCs w:val="11"/>
                <w:b w:val="1"/>
                <w:bCs w:val="1"/>
                <w:color w:val="auto"/>
              </w:rPr>
              <w:t>Stock Awards</w:t>
            </w: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280" w:type="dxa"/>
            <w:vAlign w:val="bottom"/>
            <w:tcBorders>
              <w:top w:val="single" w:sz="8" w:color="auto"/>
            </w:tcBorders>
          </w:tcPr>
          <w:p>
            <w:pPr>
              <w:spacing w:after="0"/>
              <w:rPr>
                <w:sz w:val="10"/>
                <w:szCs w:val="10"/>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Acquired 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Value Realized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Acquired</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Value Realized</w:t>
            </w:r>
          </w:p>
        </w:tc>
      </w:tr>
      <w:tr>
        <w:trPr>
          <w:trHeight w:val="126"/>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on Exercise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on Vesting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Vesting</w:t>
            </w:r>
          </w:p>
        </w:tc>
      </w:tr>
      <w:tr>
        <w:trPr>
          <w:trHeight w:val="18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(2)</w:t>
            </w:r>
          </w:p>
        </w:tc>
      </w:tr>
      <w:tr>
        <w:trPr>
          <w:trHeight w:val="171"/>
        </w:trPr>
        <w:tc>
          <w:tcPr>
            <w:tcW w:w="620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Craig Cornelius </w:t>
            </w:r>
            <w:r>
              <w:rPr>
                <w:rFonts w:ascii="Times New Roman" w:cs="Times New Roman" w:eastAsia="Times New Roman" w:hAnsi="Times New Roman"/>
                <w:sz w:val="18"/>
                <w:szCs w:val="18"/>
                <w:color w:val="auto"/>
                <w:vertAlign w:val="superscript"/>
              </w:rPr>
              <w:t>(3)</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S. Sotos</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4"/>
                <w:szCs w:val="14"/>
                <w:color w:val="auto"/>
              </w:rPr>
              <w:t>51,839</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1,165,896</w:t>
            </w:r>
          </w:p>
        </w:tc>
      </w:tr>
      <w:tr>
        <w:trPr>
          <w:trHeight w:val="202"/>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4"/>
                <w:szCs w:val="14"/>
                <w:color w:val="auto"/>
              </w:rPr>
              <w:t>6,096</w:t>
            </w:r>
            <w:r>
              <w:rPr>
                <w:rFonts w:ascii="Times New Roman" w:cs="Times New Roman" w:eastAsia="Times New Roman" w:hAnsi="Times New Roman"/>
                <w:sz w:val="18"/>
                <w:szCs w:val="18"/>
                <w:color w:val="auto"/>
                <w:vertAlign w:val="superscript"/>
              </w:rPr>
              <w:t>(5)</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137,106</w:t>
            </w:r>
          </w:p>
        </w:tc>
      </w:tr>
      <w:tr>
        <w:trPr>
          <w:trHeight w:val="25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Kevin P. Malcarney</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11,822</w:t>
            </w:r>
            <w:r>
              <w:rPr>
                <w:rFonts w:ascii="Times New Roman" w:cs="Times New Roman" w:eastAsia="Times New Roman" w:hAnsi="Times New Roman"/>
                <w:sz w:val="18"/>
                <w:szCs w:val="18"/>
                <w:color w:val="auto"/>
                <w:vertAlign w:val="superscript"/>
              </w:rPr>
              <w:t>(6)</w:t>
            </w:r>
          </w:p>
        </w:tc>
        <w:tc>
          <w:tcPr>
            <w:tcW w:w="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13881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180" w:hanging="111"/>
        <w:spacing w:after="0"/>
        <w:tabs>
          <w:tab w:leader="none" w:pos="180" w:val="left"/>
        </w:tabs>
        <w:numPr>
          <w:ilvl w:val="0"/>
          <w:numId w:val="4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shares and DERs that vested pursuant to underlying awards and converted to Class C common stock in 2024.</w:t>
      </w:r>
    </w:p>
    <w:p>
      <w:pPr>
        <w:spacing w:after="0" w:line="24" w:lineRule="exact"/>
        <w:rPr>
          <w:rFonts w:ascii="Times New Roman" w:cs="Times New Roman" w:eastAsia="Times New Roman" w:hAnsi="Times New Roman"/>
          <w:sz w:val="14"/>
          <w:szCs w:val="14"/>
          <w:color w:val="auto"/>
          <w:vertAlign w:val="superscript"/>
        </w:rPr>
      </w:pPr>
    </w:p>
    <w:p>
      <w:pPr>
        <w:ind w:left="60" w:firstLine="9"/>
        <w:spacing w:after="0" w:line="277" w:lineRule="auto"/>
        <w:tabs>
          <w:tab w:leader="none" w:pos="174" w:val="left"/>
        </w:tabs>
        <w:numPr>
          <w:ilvl w:val="0"/>
          <w:numId w:val="4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values are based on the April 15, 2024 Class C common stock closing share price of $22.49 for awards and DERs that vested on April 15, 2024. The values for retirement eligible NEOs are based on the Class C common stock closing share price on the dates the awards became eligible for continued vesting and shares and DERs were withheld to cover certain tax withholding obligations.</w:t>
      </w:r>
    </w:p>
    <w:p>
      <w:pPr>
        <w:spacing w:after="0" w:line="3" w:lineRule="exact"/>
        <w:rPr>
          <w:rFonts w:ascii="Times New Roman" w:cs="Times New Roman" w:eastAsia="Times New Roman" w:hAnsi="Times New Roman"/>
          <w:sz w:val="7"/>
          <w:szCs w:val="7"/>
          <w:color w:val="auto"/>
        </w:rPr>
      </w:pPr>
    </w:p>
    <w:p>
      <w:pPr>
        <w:ind w:left="60" w:firstLine="9"/>
        <w:spacing w:after="0" w:line="260" w:lineRule="auto"/>
        <w:tabs>
          <w:tab w:leader="none" w:pos="174" w:val="left"/>
        </w:tabs>
        <w:numPr>
          <w:ilvl w:val="0"/>
          <w:numId w:val="4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Disclosure with respect to Mr. Cornelius is limited to compensatory amounts that are payable by the Company, which are limited to his RSU and RPSU grants under the LTIP. For a more detailed discussion of the equity-based compensation provided to Mr. Cornelius by CEG, please see the section entitled “Long-Term Incentive Compensation” in the “Elements of Compensation” section above.</w:t>
      </w:r>
    </w:p>
    <w:p>
      <w:pPr>
        <w:spacing w:after="0" w:line="10" w:lineRule="exact"/>
        <w:rPr>
          <w:rFonts w:ascii="Times New Roman" w:cs="Times New Roman" w:eastAsia="Times New Roman" w:hAnsi="Times New Roman"/>
          <w:sz w:val="13"/>
          <w:szCs w:val="13"/>
          <w:color w:val="auto"/>
          <w:vertAlign w:val="superscript"/>
        </w:rPr>
      </w:pPr>
    </w:p>
    <w:p>
      <w:pPr>
        <w:ind w:left="60" w:firstLine="9"/>
        <w:spacing w:after="0" w:line="292" w:lineRule="auto"/>
        <w:tabs>
          <w:tab w:leader="none" w:pos="164"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Represents 6,758 RSUs, 24,085 RPSUs and 4,893 DERs that vested on April 15, 2024 pursuant to the stock compensation awards granted on April 15, 2021. Represents 6,724 RSUs and 743 DERs that vested on April 15, 2024 pursuant to the stock compensation award granted on April 15, 2022. Represents 8,113 RSUs and 523 DERs that vested on April 15, 2024 pursuant to the stock compensation award granted on April 15, 2023.</w:t>
      </w:r>
    </w:p>
    <w:p>
      <w:pPr>
        <w:spacing w:after="0" w:line="3" w:lineRule="exact"/>
        <w:rPr>
          <w:rFonts w:ascii="Times New Roman" w:cs="Times New Roman" w:eastAsia="Times New Roman" w:hAnsi="Times New Roman"/>
          <w:sz w:val="12"/>
          <w:szCs w:val="12"/>
          <w:color w:val="auto"/>
          <w:vertAlign w:val="superscript"/>
        </w:rPr>
      </w:pPr>
    </w:p>
    <w:p>
      <w:pPr>
        <w:ind w:left="60" w:firstLine="9"/>
        <w:spacing w:after="0" w:line="269" w:lineRule="auto"/>
        <w:tabs>
          <w:tab w:leader="none" w:pos="174" w:val="left"/>
        </w:tabs>
        <w:numPr>
          <w:ilvl w:val="0"/>
          <w:numId w:val="4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Represents 2,471 RSUs and 392 DERs that vested on April 15, 2024 pursuant to the stock compensation award granted on April 15, 2021. Represents 1,304 RSUs and 144 DERs that vested on April 15, 2024 pursuant to the stock compensation award granted on April 15, 2022. Represents 1,677 RSUs and 108 DERs that vested on April 15, 2024 pursuant to the stock compensation award granted on April 15, 2023.</w:t>
      </w:r>
    </w:p>
    <w:p>
      <w:pPr>
        <w:jc w:val="both"/>
        <w:ind w:left="60" w:firstLine="9"/>
        <w:spacing w:after="0" w:line="280" w:lineRule="auto"/>
        <w:tabs>
          <w:tab w:leader="none" w:pos="174" w:val="left"/>
        </w:tabs>
        <w:numPr>
          <w:ilvl w:val="0"/>
          <w:numId w:val="4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1,536 RSUs, 5,472 RPSUs and 1,111 DERs that vested on April 15, 2024 pursuant to the stock compensation awards granted on April 15, 2021. Represents 1,462 RSUs and 161 DERs that vested on April 15, 2024 pursuant to the stock compensation award granted on April 15, 2022. Represents 1,795 RSUs and 115 DERs that vested on April 15, 2024 pursuant to the stock compensation award granted on April 15, 2023. Represents 160 shares and 10 DERs that were withheld to cover certain tax obligations in 2024 due to awards becoming eligible for continued vesting in the event of the NEO’s retirement.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2024, the Company was not a party to employment agreements with any executive officers other than Mr. Sotos and Mr. Cornelius.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Sotos Employment Agreement</w:t>
      </w:r>
    </w:p>
    <w:p>
      <w:pPr>
        <w:spacing w:after="0" w:line="138"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4"/>
          <w:szCs w:val="14"/>
          <w:color w:val="auto"/>
        </w:rPr>
        <w:t>On April 30, 2024, Mr. Sotos informed the Company that, effective as of June 30, 2024, he would voluntarily resign from his position as President and CEO and from his role as a member of the Board to pursue other opportunities. In connection with the announcement of Mr. Sotos’ resignation, we entered into a Separation Agreement and General Release with Mr. Sotos on April 30, 2024 (the “Separation Agreement”), which governs the terms of his separation from the Company. Pursuant to the Separation Agreement, Mr. Sotos continued in his position as President and CEO and as a member of the Board from April 30, 2024 until June 30, 2024 (the “Transition Period”). During the Transition Period, the Company continued to provide Mr. Sotos with certain compensation and benefits described in his amended and restated employment agreement with the Company, dated as of September 23, 2021 (the “Sotos Employment Agreement”), including (i) current annual base salary, (ii) any bonus, incentive compensation, deferred compensation and other compensation earned or accrued by Mr. Sotos until June 30, 2024 under the Company’s compensation and benefit plans, programs and arrangements, (iii) any accrued but unused vacation pay, expense reimbursements and other cash entitlements accrued by Mr. Sotos, in accordance with Company policy until June 30, 2024, and (iv) all benefits accrued by Mr. Sotos under the Company’s benefit plans and qualified and nonqualified retirement, pension, 401(k) and similar plans and arrangements. The Separation Agreement superseded and preempted the Sotos Employment Agreement, although certain of Mr. Sotos’ restrictive covenant obligations and indemnification rights under the Sotos Employment Agreement were preserved pursuant to the Separation Agreement. The separation benefits Mr. Sotos received pursuant to the Separation Agreement (in lieu of the separation benefits he would have otherwise received under the Sotos Employment Agreement) are described and quantified under the section “Severance and Change-in-Control”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Cornelius Employment Agreement</w:t>
      </w:r>
    </w:p>
    <w:p>
      <w:pPr>
        <w:spacing w:after="0" w:line="138"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4"/>
          <w:szCs w:val="14"/>
          <w:color w:val="auto"/>
        </w:rPr>
        <w:t>In connection with the announcement of Mr. Sotos’ voluntary resignation, on April 30, 2024, the Board elected Mr. Cornelius as a member of the Board and appointed Mr. Cornelius as President and CEO of the Company, in each case effective as of July 1, 2024. As part of Mr. Cornelius’ appointment as our President and CEO, the then-existing employment agreement between CEG and Mr. Cornelius was amended and restated on April 30, 2024 (the “Cornelius Employment Agreement”). Pursuant to the Cornelius Employment Agreement, the Company was added as a party to that agreement.</w:t>
      </w:r>
    </w:p>
    <w:p>
      <w:pPr>
        <w:spacing w:after="0" w:line="98" w:lineRule="exact"/>
        <w:rPr>
          <w:sz w:val="20"/>
          <w:szCs w:val="20"/>
          <w:color w:val="auto"/>
        </w:rPr>
      </w:pPr>
    </w:p>
    <w:p>
      <w:pPr>
        <w:jc w:val="both"/>
        <w:ind w:firstLine="306"/>
        <w:spacing w:after="0" w:line="270" w:lineRule="auto"/>
        <w:rPr>
          <w:sz w:val="20"/>
          <w:szCs w:val="20"/>
          <w:color w:val="auto"/>
        </w:rPr>
      </w:pPr>
      <w:r>
        <w:rPr>
          <w:rFonts w:ascii="Times New Roman" w:cs="Times New Roman" w:eastAsia="Times New Roman" w:hAnsi="Times New Roman"/>
          <w:sz w:val="14"/>
          <w:szCs w:val="14"/>
          <w:color w:val="auto"/>
        </w:rPr>
        <w:t>The Cornelius Employment Agreement entitles Mr. Cornelius to an annual base salary, payable solely by CEG, of $500,000, which was increased to $750,000 as of July 1, 2024. As noted above, the Compensation Committee is permitted under the terms of the Cornelius Employment Agreement to make non-binding recommendations to the CEG compensation committee regarding any adjustments to Mr. Cornelius’ base salary, and the CEG compensation committee will have final decisional authority with respect to such adjustments.</w:t>
      </w:r>
    </w:p>
    <w:p>
      <w:pPr>
        <w:spacing w:after="0" w:line="93"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4"/>
          <w:szCs w:val="14"/>
          <w:color w:val="auto"/>
        </w:rPr>
        <w:t>The Cornelius Employment Agreement provides that, beginning with the 2024 fiscal year, Mr. Cornelius will be eligible to receive an annual incentive bonus (the “CEG Bonus”) at a target amount equal to 175% of his then-current base salary, with the actual CEG Bonus with respect to a fiscal year payable solely by CEG based on the level of achievement of annual performance objectives established for such fiscal year with respect to the Company; provided that such actual CEG Bonus may not exceed 300% of Mr. Cornelius’ base salary as in effect at the end of such fiscal year. As noted above, during fiscal years in which Mr. Cornelius serves as our CEO (including fiscal year 2024), the performance objectives with respect to the CEG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w:t>
      </w:r>
    </w:p>
    <w:p>
      <w:pPr>
        <w:spacing w:after="0" w:line="104"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4"/>
          <w:szCs w:val="14"/>
          <w:color w:val="auto"/>
        </w:rPr>
        <w:t>The Cornelius Employment Agreement provides that Mr. Cornelius is eligible to participate in the LTIP, on such terms as are set forth therein. Mr. Cornelius’ annual long term incentive grant under the LTIP (the “Target LTIP Award”) will be 350% of his then-current annual base salary. The Target LTIP Award, one-third of which will be in the form of RSUs and the remainder of which will be in the form of RPSUs. The 2024 Target LTIP Award was granted to Mr. Cornelius on July 1, 2024. In addition, Mr. Cornelius received from CEG (i.e., under CEG’s equity compensation program) a grant of 375,000 restricted shares of the Class C common stock of Clearway, Inc. on April 30, 2024, which vests in three equal amounts, with one-third having vested on October 1, 2024 and one-third vesting on each of October 1, 2025 and October 1, 2026.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4"/>
          <w:szCs w:val="14"/>
          <w:color w:val="auto"/>
        </w:rPr>
        <w:t>In addition to the compensation and benefits described above, the Cornelius Employment Agreement provides that Mr. Cornelius will receive the following:</w:t>
      </w:r>
    </w:p>
    <w:p>
      <w:pPr>
        <w:spacing w:after="0" w:line="136" w:lineRule="exact"/>
        <w:rPr>
          <w:sz w:val="20"/>
          <w:szCs w:val="20"/>
          <w:color w:val="auto"/>
        </w:rPr>
      </w:pPr>
    </w:p>
    <w:p>
      <w:pPr>
        <w:ind w:left="760" w:hanging="246"/>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by CEG for reasonable business expenses incurred by Mr. Cornelius in carrying out his duties and responsibilities as our President and CEO;</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by CEG for personal financial advisory and tax preparation services, or related legal advisory services, up to a maximum of $12,000 per year; and</w:t>
      </w:r>
    </w:p>
    <w:p>
      <w:pPr>
        <w:spacing w:after="0" w:line="199"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CEG of an amount equal to $40,000 in connection with the attorneys’ fees anticipated to be incurred by Mr. Cornelius in connection with establishing the terms of Mr. Cornelius’ services as our President and CEO, negotiating the Cornelius Employment Agreement and related matters.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under the Cornelius Employment Agreement, CEG and the Company have agreed to indemnify Mr. Cornelius against any claims arising as a result of his position with the Company to the fullest extent legally permitted by CEG’s and Clearway, Inc.’s certificates of incorporation, bylaws or board resolutions (in each case, as applicable to CEG and the Clearway, Inc.) or, if greater, Delaware law.</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Cornelius Employment Agreement includes (i) non-competition and non-interference restrictions on Mr. Cornelius with respect to CEG and the Company during the term of his employment, and (ii) non-solicitation restrictions on Mr. Cornelius with respect to CEG and the Company during the term of his employment and for one year after his termination of employment. The Cornelius Employment Agreement also includes confidentiality, non-disparagement obligations and intellectual property restrictions with respect to CEG and the Company.</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Cornelius Employment Agreement further entitles Mr. Cornelius to certain severance payments and benefits in the event his employment is terminated under certain circumstances. These separation benefits are described and quantified under the section “Severance and Change-in-Control” below.</w:t>
      </w:r>
    </w:p>
    <w:p>
      <w:pPr>
        <w:spacing w:after="0" w:line="5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i w:val="1"/>
          <w:iCs w:val="1"/>
          <w:color w:val="auto"/>
        </w:rPr>
        <w:t>Severance and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-36195</wp:posOffset>
            </wp:positionV>
            <wp:extent cx="55880"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-36195</wp:posOffset>
            </wp:positionV>
            <wp:extent cx="5588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4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the Sotos Employment Agreement with respect to Mr. Sotos, as defined in the Cornelius Employment Agreement with respect to Mr. Cornelius,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provided that pursuant to the Cornelius Employment Agreement, the payout percentage with respect to Mr. Cornelius’ RPSUs will be deemed met at no less than 100% (or, if greater, the payout percentage determined based on actual performance). In general, no RPSU or RSU that is granted to an NEO provides for accelerated vesting upon any other involuntary termination. RSUs granted to Ms. Rubenstein prior to her promotion to Senior Vice President and Chief Accounting Officer in 2022 provide pro-rated vesting for certain involuntary terminations of service that occur in connection with certain significant business events.</w:t>
      </w:r>
    </w:p>
    <w:p>
      <w:pPr>
        <w:spacing w:after="0" w:line="10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“Change in Control Period” is the period commencing six months immediately prior to, and ending 24 months immediately following, a “change in control” of the Company (as “change in control” is defined in the Sotos Employment Agreement with respect to Mr. Sotos, and in the LTIP with respect to the Other NEOs).</w:t>
      </w:r>
    </w:p>
    <w:p>
      <w:pPr>
        <w:spacing w:after="0" w:line="82" w:lineRule="exact"/>
        <w:rPr>
          <w:sz w:val="20"/>
          <w:szCs w:val="20"/>
          <w:color w:val="auto"/>
        </w:rPr>
      </w:pPr>
    </w:p>
    <w:p>
      <w:pPr>
        <w:jc w:val="both"/>
        <w:ind w:firstLine="318"/>
        <w:spacing w:after="0" w:line="188" w:lineRule="exact"/>
        <w:rPr>
          <w:sz w:val="20"/>
          <w:szCs w:val="20"/>
          <w:color w:val="auto"/>
        </w:rPr>
      </w:pPr>
      <w:r>
        <w:rPr>
          <w:rFonts w:ascii="Times New Roman" w:cs="Times New Roman" w:eastAsia="Times New Roman" w:hAnsi="Times New Roman"/>
          <w:sz w:val="14"/>
          <w:szCs w:val="14"/>
          <w:color w:val="auto"/>
        </w:rPr>
        <w:t>In addition to the above described treatment of the equity awards, Mr. Sotos, pursuant to the Sotos Employment Agreement, and the other NEOs, pursuant to the CIC Plan and in some cases, the AIP, are entitled to certain additional severance payments and benefits in the event of termination of employment under certain circumstances, including following a change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color w:val="auto"/>
        </w:rPr>
        <w:t>Mr. Sotos’ Benefits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Pursuant to the Separation Agreement and in consideration for the release of claims Mr. Sotos entered into with respect to the Company, Mr. Sotos received the following separation benefits (the “Separation Benefits”): (i) the waiver by the Company of the non-compete covenant contained in the Sotos Employment Agreement, (ii) his annual performance bonus in respect of the 2024 calendar year, adjusted on a pro rata basis based on the number of days Mr. Sotos is actually employed by the Company during 2024, which if earned (i.e., contingent on the satisfaction of applicable performance goals), will be paid to Mr. Sotos in a lump sum cash payment on or about the date on which annual bonuses are paid to the Company’s other executive officers, and (iii) reimbursement of certain expenses incurred by Mr. Sotos in connection with the negotiation of the Separation Agreement, up to a maximum of $20,000. The Separation Agreement superseded and preempted the Sotos Employment Agreement, although Mr. Sotos’ restrictive covenant obligations (excluding non-competition obligations) and indemnification rights under the Sotos Employment Agreement were preserved pursuant to the Separation Agreement. Therefore, except as described above, the severance benefits under the Sotos Employment Agreement (i.e., a lump sum payment equal to no less than 1.5 times Mr. Sotos’ annual base salary and reimbursement of the portion of COBRA premiums) were not triggered or otherwise applicable to Mr. Sotos in connection with his voluntary resignation from his position as President and CEO and from his role as a member of the Board. In addition, Mr. Sotos entered into a consulting agreement on June 20, 2024 in connection with his departure, under which he agreed to provide transition, advisory and consulting services to the Company over a two-month term beginning on July 1, 2024, which term was subject to renewal (however, no such renewal took place). Under the consulting agreement, Mr. Sotos was entitled to receive (x) a fee of $33,334 for each two-month term under the consulting agreement, and (y) in the event Mr. Sotos performed consulting services in excess of 20 hours in any two-month period, a prorated amount for such excess hours at an hourly rate of $1,500. Mr. Sotos also was entitled to be reimbursed for certain reasonable and actual out-of-pocket expenses incurred in performing the consulting services.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Mr. Cornelius’ Benefits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Pursuant to the Cornelius Employment Agreement, if Mr. Cornelius’ employment is involuntarily terminated by CEG without cause, or if he terminates his employment for good reason, CEG agrees to provide Mr. Cornelius with the following severance benefits, subject to Mr. Cornelius executing a release of claims as a condition to receipt of certain of the following severance benefits:</w:t>
      </w:r>
    </w:p>
    <w:p>
      <w:pPr>
        <w:spacing w:after="0" w:line="82" w:lineRule="exact"/>
        <w:rPr>
          <w:sz w:val="20"/>
          <w:szCs w:val="20"/>
          <w:color w:val="auto"/>
        </w:rPr>
      </w:pPr>
    </w:p>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accrued but unpaid base salary through the date of termination, any unpaid or unreimbursed expenses incurred in accordance with the Cornelius Employment Agreement and any benefits provided under CEG’s employee benefit plans upon a termination of employment (collectively, the “Accrued Obligations”);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his then-current base salary plus the target CEG Bonus for the year of termination, which amount will be paid during the 12-month period after the date of termination in accordance with CEG’s regular payroll practices;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unpaid CEG Bonus amount for the prior fiscal year to the extent not paid prior to the termination date; and</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COBRA premiums for 12 months after the date of termination, except that such coverage will be discontinued if Mr. Cornelius becomes eligible to receive any health benefits as a result of subsequent employment or service.</w:t>
      </w:r>
    </w:p>
    <w:p>
      <w:pPr>
        <w:spacing w:after="0" w:line="82"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4"/>
          <w:szCs w:val="14"/>
          <w:color w:val="auto"/>
        </w:rPr>
        <w:t>If Mr. Cornelius’ employment is terminated as a result of his death or disability, Mr. Cornelius will be entitled to (i) the Accrued Obligations, (ii) any unpaid CEG Bonus for the prior fiscal year, and (iii) an amount equal to the target CEG Bonus for the year of termination, which amount will be prorated based on the number of days during the year that Mr. Cornelius was employed by CEG. The Cornelius Employment Agreement does not provide Mr. Cornelius with any additional enhanced benefits in connection with a change in control, such that his severance benefits, if any, will be dictated by the trigger event for his termination.</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an excise tax under section 4999 of the Code would be triggered by any payments under the Cornelius Employment Agreement or otherwise, CEG will reduce such payments so that no amounts are subject to section 4999 of the Code, provided that such payments will only be reduced to the extent that the after-tax value of amounts received by Mr. Cornelius after application of such reduction would exceed the after-tax value of the amounts received without application of such reduction.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color w:val="auto"/>
        </w:rPr>
        <w:t>Other NEO Benefits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NEOs (excluding Mr. Sotos) may receive a discretionary payment of the pro-rated target bonus under the AIP in the event of their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under the CIC Plan, in the event of involuntary termination without cause, Other NEOs (excluding Mr. Sotos) are entitled to a general severance benefit equal to 1.5 times base salary payable in a lump sum amount and reimbursement for COBRA benefits continuation cost for a period of 18 months.</w:t>
      </w:r>
    </w:p>
    <w:p>
      <w:pPr>
        <w:spacing w:after="0" w:line="8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CIC Plan also provides such Other NEOs with a change-in-control benefit in the event that, within six months prior to, as well as 24 months following, a change-in-control, their employment is either involuntarily terminated by the Company without cause or voluntarily terminated by such Other NEO for good reason. The change-in-control benefit for Mr. Malcarney and Ms. Rubenstein consists of an amount equal to 2.99 times the sum of his or her base salary plus the annual target incentive for the year of termination. All such Other NEOs are also eligible for (i) an amount equal to their target bonus for the year of termination, pro-rated for the number of days during the performance period that they were employed by the Company and (ii) reimbursement for all or a portion of their COBRA benefits continuation cost for a period of 18 months at the same coverage level and cost, on an after-tax basis, as in effect immediately prior to his or her termination of employment.</w:t>
      </w:r>
    </w:p>
    <w:p>
      <w:pPr>
        <w:spacing w:after="0" w:line="27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condition of receiving severance or change-in-control benefits, such Other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Other NEO.</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If an excise tax under Section 4999 of the Code would be triggered for an Other NEO by any payments under the CIC Plan or otherwise upon a change-in-control, the Company will reduce such payments so that no amounts are subject to Section 4999 of the Code, if such reduction would cause the amount to be retained by such Other NEO to be greater than if such Other NEO were required to pay such excise tax.</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of Change-In-Control, Etc.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general, under the CIC Plan and the LTIP:</w:t>
      </w:r>
    </w:p>
    <w:p>
      <w:pPr>
        <w:spacing w:after="0" w:line="136" w:lineRule="exact"/>
        <w:rPr>
          <w:sz w:val="20"/>
          <w:szCs w:val="20"/>
          <w:color w:val="auto"/>
        </w:rPr>
      </w:pPr>
    </w:p>
    <w:p>
      <w:pPr>
        <w:jc w:val="both"/>
        <w:ind w:left="520" w:firstLine="58"/>
        <w:spacing w:after="0" w:line="257" w:lineRule="auto"/>
        <w:tabs>
          <w:tab w:leader="none" w:pos="10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06" w:lineRule="exact"/>
        <w:rPr>
          <w:rFonts w:ascii="Times New Roman" w:cs="Times New Roman" w:eastAsia="Times New Roman" w:hAnsi="Times New Roman"/>
          <w:sz w:val="14"/>
          <w:szCs w:val="14"/>
          <w:color w:val="auto"/>
        </w:rPr>
      </w:pPr>
    </w:p>
    <w:p>
      <w:pPr>
        <w:jc w:val="both"/>
        <w:ind w:left="520" w:firstLine="58"/>
        <w:spacing w:after="0" w:line="264" w:lineRule="auto"/>
        <w:tabs>
          <w:tab w:leader="none" w:pos="10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termination without “cause” means the Other NEO’s termination by the Company for any reason other than the Other NEO’s (a) conviction of, or agreement to a plea of nolo contendere to, a felony or other crime involving moral turpitude (including an indictment therefore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4"/>
          <w:szCs w:val="14"/>
          <w:color w:val="auto"/>
        </w:rPr>
        <w:t>In general, under the CIC Plan:</w:t>
      </w:r>
    </w:p>
    <w:p>
      <w:pPr>
        <w:spacing w:after="0" w:line="136" w:lineRule="exact"/>
        <w:rPr>
          <w:sz w:val="20"/>
          <w:szCs w:val="20"/>
          <w:color w:val="auto"/>
        </w:rPr>
      </w:pPr>
    </w:p>
    <w:p>
      <w:pPr>
        <w:jc w:val="both"/>
        <w:ind w:left="520" w:firstLine="58"/>
        <w:spacing w:after="0" w:line="261" w:lineRule="auto"/>
        <w:tabs>
          <w:tab w:leader="none" w:pos="102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voluntary termination for “good reason” means the resignation of the Other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general, under the Cornelius Employment Agreement:</w:t>
      </w:r>
    </w:p>
    <w:p>
      <w:pPr>
        <w:spacing w:after="0" w:line="136" w:lineRule="exact"/>
        <w:rPr>
          <w:sz w:val="20"/>
          <w:szCs w:val="20"/>
          <w:color w:val="auto"/>
        </w:rPr>
      </w:pPr>
    </w:p>
    <w:p>
      <w:pPr>
        <w:jc w:val="both"/>
        <w:ind w:left="520" w:firstLine="58"/>
        <w:spacing w:after="0" w:line="258" w:lineRule="auto"/>
        <w:tabs>
          <w:tab w:leader="none" w:pos="1026" w:val="left"/>
        </w:tabs>
        <w:numPr>
          <w:ilvl w:val="0"/>
          <w:numId w:val="50"/>
        </w:numPr>
        <w:rPr>
          <w:rFonts w:ascii="Arial" w:cs="Arial" w:eastAsia="Arial" w:hAnsi="Arial"/>
          <w:sz w:val="14"/>
          <w:szCs w:val="14"/>
          <w:color w:val="auto"/>
        </w:rPr>
      </w:pPr>
      <w:r>
        <w:rPr>
          <w:rFonts w:ascii="Times New Roman" w:cs="Times New Roman" w:eastAsia="Times New Roman" w:hAnsi="Times New Roman"/>
          <w:sz w:val="14"/>
          <w:szCs w:val="14"/>
          <w:color w:val="auto"/>
        </w:rPr>
        <w:t>An involuntary termination with “cause” means Mr. Cornelius’ (i) act or acts of gross negligence or willful misconduct in the course of his employment under the Cornelius Employment Agreement, (ii) willful failure or refusal to perform in any material respect his duties or responsibilities (other than by reason of disability or illness), (iii) misappropriation (or attempted misappropriation) of any assets or business opportunities with respect to CEG or the Company, (iv) embezzlement or fraud committed (or attempted) by him or at his direction, (v) conviction of, indictment for, or pleading “guilty” or “ no contest” to, (x) a felony or (y) any other criminal charge that has, or could be reasonably expected to have, an adverse impact on the performance of his duties with respect to CEG or the Company or otherwise result in material injury to the reputation or business of CEG or the Company, (vi) any material violation of CEG’s policies, including but not limited to those relating to sexual harassment or business conduct, and those otherwise set forth in the manuals or statements of policy of the CEG, or (vii) Executive’s material breach of the Cornelius Employment Agreement.</w:t>
      </w:r>
    </w:p>
    <w:p>
      <w:pPr>
        <w:spacing w:after="0" w:line="103" w:lineRule="exact"/>
        <w:rPr>
          <w:rFonts w:ascii="Arial" w:cs="Arial" w:eastAsia="Arial" w:hAnsi="Arial"/>
          <w:sz w:val="14"/>
          <w:szCs w:val="14"/>
          <w:color w:val="auto"/>
        </w:rPr>
      </w:pPr>
    </w:p>
    <w:p>
      <w:pPr>
        <w:jc w:val="both"/>
        <w:ind w:left="520" w:firstLine="58"/>
        <w:spacing w:after="0" w:line="264" w:lineRule="auto"/>
        <w:tabs>
          <w:tab w:leader="none" w:pos="102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voluntary termination for “good reason” means the resignation of Mr. Cornelius in the event of (i) a material demotion in his title, duties, or responsibilities under the Cornelius Employment Agreement, including a change in reporting relationship to the CEG board of directors, (ii) a material reduction in his base salary or target CEG Bonus opportunity (other than pursuant to an across-the-board reduction applicable to all similarly situated executives), (iii) the relocation of his principal place of employment of more than twenty (20) miles from its current location, or (iv) any other material breach of a provision of the Cornelius Employment Agreement by CEG.</w:t>
      </w:r>
    </w:p>
    <w:p>
      <w:pPr>
        <w:spacing w:after="0" w:line="9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definitions of cause and good reason under the Sotos Employment Agreement, which were similar to the definitions under the CIC Plan, are not described in this section due to his voluntary resignation from his position as President and CEO and from his role as a member of the Board on June 30, 2024.</w:t>
      </w:r>
    </w:p>
    <w:p>
      <w:pPr>
        <w:spacing w:after="0" w:line="5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i w:val="1"/>
          <w:iCs w:val="1"/>
          <w:color w:val="auto"/>
        </w:rPr>
        <w:t>Potential Payments Upon Termination or Change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In</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Control</w:t>
      </w:r>
    </w:p>
    <w:p>
      <w:pPr>
        <w:spacing w:after="0" w:line="16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amount of compensation payable by the Company to each NEO in each circumstance is shown in the table below, assuming that termination of employment occurred as of December 31, 2024, and including payments by the Company that would have been earned as of such date. The amounts shown below do not include benefits payable under the Company’s 401(k) plan.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Involuntary Not for</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Cause or Voluntary</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7"/>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Involuntary</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Voluntary</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Good Reason</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26"/>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Following</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Death or</w:t>
            </w:r>
          </w:p>
        </w:tc>
        <w:tc>
          <w:tcPr>
            <w:tcW w:w="1340" w:type="dxa"/>
            <w:vAlign w:val="bottom"/>
          </w:tcPr>
          <w:p>
            <w:pPr>
              <w:spacing w:after="0"/>
              <w:rPr>
                <w:sz w:val="10"/>
                <w:szCs w:val="10"/>
                <w:color w:val="auto"/>
              </w:rPr>
            </w:pPr>
          </w:p>
        </w:tc>
      </w:tr>
      <w:tr>
        <w:trPr>
          <w:trHeight w:val="180"/>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rPr>
              <w:t>Not for Cause ($)</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 Good Reason ($)</w:t>
            </w:r>
          </w:p>
        </w:tc>
        <w:tc>
          <w:tcPr>
            <w:tcW w:w="10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 Change in Control ($)</w:t>
            </w:r>
            <w:r>
              <w:rPr>
                <w:rFonts w:ascii="Times New Roman" w:cs="Times New Roman" w:eastAsia="Times New Roman" w:hAnsi="Times New Roman"/>
                <w:sz w:val="14"/>
                <w:szCs w:val="14"/>
                <w:b w:val="1"/>
                <w:bCs w:val="1"/>
                <w:color w:val="auto"/>
                <w:w w:val="99"/>
                <w:vertAlign w:val="superscript"/>
              </w:rPr>
              <w:t>(1)</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Disability ($)</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Qualified Retirement</w:t>
            </w:r>
          </w:p>
        </w:tc>
      </w:tr>
      <w:tr>
        <w:trPr>
          <w:trHeight w:val="192"/>
        </w:trPr>
        <w:tc>
          <w:tcPr>
            <w:tcW w:w="290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4"/>
                <w:szCs w:val="14"/>
                <w:color w:val="auto"/>
              </w:rPr>
              <w:t>Craig Cornelius</w:t>
            </w:r>
            <w:r>
              <w:rPr>
                <w:rFonts w:ascii="Times New Roman" w:cs="Times New Roman" w:eastAsia="Times New Roman" w:hAnsi="Times New Roman"/>
                <w:sz w:val="18"/>
                <w:szCs w:val="18"/>
                <w:color w:val="auto"/>
                <w:vertAlign w:val="superscript"/>
              </w:rPr>
              <w:t>(2)</w:t>
            </w:r>
          </w:p>
        </w:tc>
        <w:tc>
          <w:tcPr>
            <w:tcW w:w="1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3,047,442</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3,047,442</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9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Christopher S. Sotos</w:t>
            </w:r>
            <w:r>
              <w:rPr>
                <w:rFonts w:ascii="Times New Roman" w:cs="Times New Roman" w:eastAsia="Times New Roman" w:hAnsi="Times New Roman"/>
                <w:sz w:val="18"/>
                <w:szCs w:val="18"/>
                <w:color w:val="auto"/>
                <w:vertAlign w:val="superscript"/>
              </w:rPr>
              <w:t>(3)</w:t>
            </w:r>
          </w:p>
        </w:tc>
        <w:tc>
          <w:tcPr>
            <w:tcW w:w="13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Sarah Rubenstein</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947,516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3,696,164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1,565,661</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Kevin P. Malcarney</w:t>
            </w:r>
            <w:r>
              <w:rPr>
                <w:rFonts w:ascii="Times New Roman" w:cs="Times New Roman" w:eastAsia="Times New Roman" w:hAnsi="Times New Roman"/>
                <w:sz w:val="18"/>
                <w:szCs w:val="18"/>
                <w:color w:val="auto"/>
                <w:vertAlign w:val="superscript"/>
              </w:rPr>
              <w:t>(4)</w:t>
            </w:r>
          </w:p>
        </w:tc>
        <w:tc>
          <w:tcPr>
            <w:tcW w:w="13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954,847</w:t>
            </w:r>
          </w:p>
        </w:tc>
        <w:tc>
          <w:tcPr>
            <w:tcW w:w="100" w:type="dxa"/>
            <w:vAlign w:val="bottom"/>
          </w:tcPr>
          <w:p>
            <w:pPr>
              <w:spacing w:after="0"/>
              <w:rPr>
                <w:sz w:val="22"/>
                <w:szCs w:val="22"/>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3,630,490</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1,662,705</w:t>
            </w:r>
          </w:p>
        </w:tc>
        <w:tc>
          <w:tcPr>
            <w:tcW w:w="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13881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0" w:lineRule="exact"/>
        <w:rPr>
          <w:sz w:val="20"/>
          <w:szCs w:val="20"/>
          <w:color w:val="auto"/>
        </w:rPr>
      </w:pPr>
    </w:p>
    <w:p>
      <w:pPr>
        <w:ind w:left="180" w:hanging="111"/>
        <w:spacing w:after="0"/>
        <w:tabs>
          <w:tab w:leader="none" w:pos="180" w:val="left"/>
        </w:tabs>
        <w:numPr>
          <w:ilvl w:val="0"/>
          <w:numId w:val="5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figure for Mr. Malcarney represents the best-net after-tax scenario if this results in him being in a better net after-tax position.</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5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Disclosure with respect to Mr. Cornelius is limited to separation benefits that are payable by the Company, which are limited to his RSU and RPSU grants under the LTIP.</w:t>
      </w:r>
    </w:p>
    <w:p>
      <w:pPr>
        <w:spacing w:after="0" w:line="24" w:lineRule="exact"/>
        <w:rPr>
          <w:rFonts w:ascii="Times New Roman" w:cs="Times New Roman" w:eastAsia="Times New Roman" w:hAnsi="Times New Roman"/>
          <w:sz w:val="14"/>
          <w:szCs w:val="14"/>
          <w:color w:val="auto"/>
          <w:vertAlign w:val="superscript"/>
        </w:rPr>
      </w:pPr>
    </w:p>
    <w:p>
      <w:pPr>
        <w:jc w:val="both"/>
        <w:ind w:left="60" w:firstLine="9"/>
        <w:spacing w:after="0" w:line="267" w:lineRule="auto"/>
        <w:tabs>
          <w:tab w:leader="none" w:pos="174" w:val="left"/>
        </w:tabs>
        <w:numPr>
          <w:ilvl w:val="0"/>
          <w:numId w:val="5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Sotos voluntarily resigned from his employment with the Company in June 2024, such that he was not entitled to receive separation benefits as of December 31, 2024. However, in connection with Mr. Sotos’ voluntary termination event, he received a pro-rated payment of his annual bonus under the AIP in the amount of $564,183 plus $910 in reimbursements for expenses incurred by Mr. Sotos in connection with the negotiation of the Separation Agreement. In addition, Mr. Sotos received $33,334 consulting fees pursuant to the consulting agreement between Mr. Sotos and the Company.</w:t>
      </w:r>
    </w:p>
    <w:p>
      <w:pPr>
        <w:ind w:left="180" w:hanging="111"/>
        <w:spacing w:after="0"/>
        <w:tabs>
          <w:tab w:leader="none" w:pos="180" w:val="left"/>
        </w:tabs>
        <w:numPr>
          <w:ilvl w:val="0"/>
          <w:numId w:val="5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Mr. Malcarney met the definition of Qualified Retirement in 2022 and is therefore entitled to certain payments and vesting of awards in the event he retires before they vest.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CEO Pay Ratio</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a result of the rules under the Dodd-Frank Act, the SEC requires disclosure of the CEO to median employee pay ratio. The following is a reasonable estimate, prepared under applicable SEC rules, of the ratio of the annual total compensation of our CEO, Mr. Cornelius, to the annual total compensation of our median employee. Mr. Cornelius became our President and CEO on July 1, 2024 upon the departure of Mr. Sotos, our former President and CEO on June 30, 2024. Under this scenario, applicable SEC rules permit us to annualize the compensation of Mr. Cornelius in presenting the pay ratio. The annual total compensation of Mr. Cornelius listed below equals his total compensation as reported in the Summary Compensation Table. As discussed further in the CD&amp;A, this amount reflects only amounts that are payable by the Company, which are limited to Mr. Cornelius’ annual RSU and RPSU grants under the LTIP for 2024, such that, there was no need to annualize these grants as their full grant date fair values are already included in Mr. Cornelius’ fiscal year 2024 compensation in the Summary Compensation Table under applicable SEC rules.</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For purposes of our 2024 CEO pay ratio analysis, we determined that we could use the same median employee that we identified in 2023 given that there had been no change in either our employee population or our employee compensation arrangements that we believe would significantly impact our 2024 pay ratio disclosure. Similarly, there has been no change in our median employee’s circumstances that we reasonably believe would result in a significant change to our 2024 pay ratio disclosure. Our median employee’s annual total compensation for 2024 was determined using the same rules that apply to reporting the compensation of our NEOs (including our CEO) in the “Total” column of the “Summary Compensation Table — 2022 — 2024” above. The following total compensation amounts were determined based on that methodology:</w:t>
      </w:r>
    </w:p>
    <w:p>
      <w:pPr>
        <w:spacing w:after="0" w:line="90" w:lineRule="exact"/>
        <w:rPr>
          <w:sz w:val="20"/>
          <w:szCs w:val="20"/>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the median employee for 2024 was $148,212.</w:t>
      </w:r>
    </w:p>
    <w:p>
      <w:pPr>
        <w:spacing w:after="0" w:line="2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Mr. Cornelius for 2024 was $2,851,921.</w:t>
      </w:r>
    </w:p>
    <w:p>
      <w:pPr>
        <w:spacing w:after="0" w:line="2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we estimate that Mr. Cornelius’ 2024 annual total compensation was approximately 19 times that of our median employee.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0" w:name="page81"/>
    <w:bookmarkEnd w:id="80"/>
    <w:p>
      <w:pPr>
        <w:ind w:right="4480"/>
        <w:spacing w:after="0" w:line="444" w:lineRule="auto"/>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 Clearway Energy LLC Ownership</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2024, GIP and TotalEnergies, through CEG, owned 42,738,750 of the Company’s Class B units and 41,961,750 of the Company’s Class D units, and Clearway, Inc. owned 34,613,853 of the Company’s Class A units and 82,833,226 of the Company’s Class C units. As of December 31, 2024, Clearway, Inc., through its holdings of Class A units and Class C units, owned a 58.10% economic interest in the Company. Clearway, Inc. consolidates the results of the Company through its controlling interest as sole managing member. As of December 31, 2024, CEG, through its holdings of Class B units and Class D units, owned a 41.90% economic interest in the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Clearway, Inc. Ownership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Ownership of Executive Officers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34,613,853 shares of Class A common stock outstanding as of January 31, 2025, and 82,833,226 shares of Class C common stock outstanding as of January 31, 2025, and percentage of combined voting power is based on 78,600,553 votes represented by Clearway, Inc.’s outstanding Class A, Class B, Class C and Class D common stock in the aggregate as of January 31, 2025. The percentage of beneficial ownership and the percentage of combined voting power also include any shares that such person has the right to acquire within 60 days of January 31, 2025. Unless otherwise indicated, each person has sole voting and dispositive power with respect to the shares set forth in the following table.</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address of the beneficial owners is Clearway, Inc., 300 Carnegie Center, Suite 300, Princeton, New Jersey 08540.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r>
      <w:tr>
        <w:trPr>
          <w:trHeight w:val="15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360" w:type="dxa"/>
            <w:vAlign w:val="bottom"/>
            <w:tcBorders>
              <w:bottom w:val="single" w:sz="8" w:color="auto"/>
            </w:tcBorders>
            <w:gridSpan w:val="2"/>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3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200" w:type="dxa"/>
            <w:vAlign w:val="bottom"/>
            <w:tcBorders>
              <w:bottom w:val="single" w:sz="8" w:color="auto"/>
            </w:tcBorders>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60" w:type="dxa"/>
            <w:vAlign w:val="bottom"/>
          </w:tcPr>
          <w:p>
            <w:pPr>
              <w:jc w:val="right"/>
              <w:ind w:right="74"/>
              <w:spacing w:after="0" w:line="118" w:lineRule="exact"/>
              <w:rPr>
                <w:sz w:val="20"/>
                <w:szCs w:val="20"/>
                <w:color w:val="auto"/>
              </w:rPr>
            </w:pPr>
            <w:r>
              <w:rPr>
                <w:rFonts w:ascii="Times New Roman" w:cs="Times New Roman" w:eastAsia="Times New Roman" w:hAnsi="Times New Roman"/>
                <w:sz w:val="11"/>
                <w:szCs w:val="11"/>
                <w:b w:val="1"/>
                <w:bCs w:val="1"/>
                <w:color w:val="auto"/>
              </w:rPr>
              <w:t>% of Class A</w:t>
            </w: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 of Class C</w:t>
            </w:r>
          </w:p>
        </w:tc>
        <w:tc>
          <w:tcPr>
            <w:tcW w:w="20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Combined</w:t>
            </w:r>
          </w:p>
        </w:tc>
      </w:tr>
      <w:tr>
        <w:trPr>
          <w:trHeight w:val="137"/>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Executive Officers</w:t>
            </w:r>
          </w:p>
        </w:tc>
        <w:tc>
          <w:tcPr>
            <w:tcW w:w="1000" w:type="dxa"/>
            <w:vAlign w:val="bottom"/>
          </w:tcPr>
          <w:p>
            <w:pPr>
              <w:ind w:left="420"/>
              <w:spacing w:after="0" w:line="137" w:lineRule="exact"/>
              <w:rPr>
                <w:sz w:val="20"/>
                <w:szCs w:val="20"/>
                <w:color w:val="auto"/>
              </w:rPr>
            </w:pPr>
            <w:r>
              <w:rPr>
                <w:rFonts w:ascii="Times New Roman" w:cs="Times New Roman" w:eastAsia="Times New Roman" w:hAnsi="Times New Roman"/>
                <w:sz w:val="11"/>
                <w:szCs w:val="11"/>
                <w:b w:val="1"/>
                <w:bCs w:val="1"/>
                <w:color w:val="auto"/>
              </w:rPr>
              <w:t>Number</w:t>
            </w:r>
            <w:r>
              <w:rPr>
                <w:rFonts w:ascii="Times New Roman" w:cs="Times New Roman" w:eastAsia="Times New Roman" w:hAnsi="Times New Roman"/>
                <w:sz w:val="14"/>
                <w:szCs w:val="14"/>
                <w:b w:val="1"/>
                <w:bCs w:val="1"/>
                <w:color w:val="auto"/>
                <w:vertAlign w:val="superscript"/>
              </w:rPr>
              <w:t>(1)</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20" w:type="dxa"/>
            <w:vAlign w:val="bottom"/>
          </w:tcPr>
          <w:p>
            <w:pPr>
              <w:spacing w:after="0"/>
              <w:rPr>
                <w:sz w:val="11"/>
                <w:szCs w:val="11"/>
                <w:color w:val="auto"/>
              </w:rPr>
            </w:pPr>
          </w:p>
        </w:tc>
        <w:tc>
          <w:tcPr>
            <w:tcW w:w="1180" w:type="dxa"/>
            <w:vAlign w:val="bottom"/>
          </w:tcPr>
          <w:p>
            <w:pPr>
              <w:jc w:val="right"/>
              <w:ind w:right="434"/>
              <w:spacing w:after="0" w:line="137" w:lineRule="exact"/>
              <w:rPr>
                <w:sz w:val="20"/>
                <w:szCs w:val="20"/>
                <w:color w:val="auto"/>
              </w:rPr>
            </w:pPr>
            <w:r>
              <w:rPr>
                <w:rFonts w:ascii="Times New Roman" w:cs="Times New Roman" w:eastAsia="Times New Roman" w:hAnsi="Times New Roman"/>
                <w:sz w:val="11"/>
                <w:szCs w:val="11"/>
                <w:b w:val="1"/>
                <w:bCs w:val="1"/>
                <w:color w:val="auto"/>
              </w:rPr>
              <w:t>Number</w:t>
            </w:r>
            <w:r>
              <w:rPr>
                <w:rFonts w:ascii="Times New Roman" w:cs="Times New Roman" w:eastAsia="Times New Roman" w:hAnsi="Times New Roman"/>
                <w:sz w:val="14"/>
                <w:szCs w:val="14"/>
                <w:b w:val="1"/>
                <w:bCs w:val="1"/>
                <w:color w:val="auto"/>
                <w:vertAlign w:val="superscript"/>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1"/>
                <w:szCs w:val="11"/>
                <w:b w:val="1"/>
                <w:bCs w:val="1"/>
                <w:color w:val="auto"/>
                <w:w w:val="98"/>
              </w:rPr>
              <w:t>Voting Power</w:t>
            </w:r>
            <w:r>
              <w:rPr>
                <w:rFonts w:ascii="Times New Roman" w:cs="Times New Roman" w:eastAsia="Times New Roman" w:hAnsi="Times New Roman"/>
                <w:sz w:val="14"/>
                <w:szCs w:val="14"/>
                <w:b w:val="1"/>
                <w:bCs w:val="1"/>
                <w:color w:val="auto"/>
                <w:w w:val="98"/>
                <w:vertAlign w:val="superscript"/>
              </w:rPr>
              <w:t>(2)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Craig Cornelius</w:t>
            </w:r>
          </w:p>
        </w:tc>
        <w:tc>
          <w:tcPr>
            <w:tcW w:w="10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94"/>
              <w:spacing w:after="0" w:line="171" w:lineRule="exact"/>
              <w:rPr>
                <w:sz w:val="20"/>
                <w:szCs w:val="20"/>
                <w:color w:val="auto"/>
              </w:rPr>
            </w:pPr>
            <w:r>
              <w:rPr>
                <w:rFonts w:ascii="Times New Roman" w:cs="Times New Roman" w:eastAsia="Times New Roman" w:hAnsi="Times New Roman"/>
                <w:sz w:val="14"/>
                <w:szCs w:val="14"/>
                <w:color w:val="auto"/>
              </w:rPr>
              <w:t>324,285</w:t>
            </w:r>
            <w:r>
              <w:rPr>
                <w:rFonts w:ascii="Times New Roman" w:cs="Times New Roman" w:eastAsia="Times New Roman" w:hAnsi="Times New Roman"/>
                <w:sz w:val="18"/>
                <w:szCs w:val="18"/>
                <w:color w:val="auto"/>
                <w:vertAlign w:val="superscript"/>
              </w:rPr>
              <w:t>(3)</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Sarah Rubenstein</w:t>
            </w:r>
          </w:p>
        </w:tc>
        <w:tc>
          <w:tcPr>
            <w:tcW w:w="1000" w:type="dxa"/>
            <w:vAlign w:val="bottom"/>
          </w:tcPr>
          <w:p>
            <w:pPr>
              <w:spacing w:after="0"/>
              <w:rPr>
                <w:sz w:val="15"/>
                <w:szCs w:val="15"/>
                <w:color w:val="auto"/>
              </w:rPr>
            </w:pPr>
          </w:p>
        </w:tc>
        <w:tc>
          <w:tcPr>
            <w:tcW w:w="136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rPr>
              <w:t>380</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4"/>
                <w:szCs w:val="14"/>
                <w:color w:val="auto"/>
              </w:rPr>
              <w:t>26,373</w:t>
            </w:r>
            <w:r>
              <w:rPr>
                <w:rFonts w:ascii="Times New Roman" w:cs="Times New Roman" w:eastAsia="Times New Roman" w:hAnsi="Times New Roman"/>
                <w:sz w:val="18"/>
                <w:szCs w:val="18"/>
                <w:color w:val="auto"/>
                <w:vertAlign w:val="superscript"/>
              </w:rPr>
              <w:t>(4)</w:t>
            </w:r>
          </w:p>
        </w:tc>
        <w:tc>
          <w:tcPr>
            <w:tcW w:w="10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P. Malcarney</w:t>
            </w:r>
          </w:p>
        </w:tc>
        <w:tc>
          <w:tcPr>
            <w:tcW w:w="10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994"/>
              <w:spacing w:after="0"/>
              <w:rPr>
                <w:sz w:val="20"/>
                <w:szCs w:val="20"/>
                <w:color w:val="auto"/>
              </w:rPr>
            </w:pPr>
            <w:r>
              <w:rPr>
                <w:rFonts w:ascii="Times New Roman" w:cs="Times New Roman" w:eastAsia="Times New Roman" w:hAnsi="Times New Roman"/>
                <w:sz w:val="14"/>
                <w:szCs w:val="14"/>
                <w:color w:val="auto"/>
              </w:rPr>
              <w:t>600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94"/>
              <w:spacing w:after="0" w:line="181" w:lineRule="exact"/>
              <w:rPr>
                <w:sz w:val="20"/>
                <w:szCs w:val="20"/>
                <w:color w:val="auto"/>
              </w:rPr>
            </w:pPr>
            <w:r>
              <w:rPr>
                <w:rFonts w:ascii="Times New Roman" w:cs="Times New Roman" w:eastAsia="Times New Roman" w:hAnsi="Times New Roman"/>
                <w:sz w:val="14"/>
                <w:szCs w:val="14"/>
                <w:color w:val="auto"/>
              </w:rPr>
              <w:t>69,307</w:t>
            </w:r>
            <w:r>
              <w:rPr>
                <w:rFonts w:ascii="Times New Roman" w:cs="Times New Roman" w:eastAsia="Times New Roman" w:hAnsi="Times New Roman"/>
                <w:sz w:val="18"/>
                <w:szCs w:val="18"/>
                <w:color w:val="auto"/>
                <w:vertAlign w:val="superscript"/>
              </w:rPr>
              <w:t>(5)</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20" w:type="dxa"/>
            <w:vAlign w:val="bottom"/>
          </w:tcPr>
          <w:p>
            <w:pPr>
              <w:spacing w:after="0"/>
              <w:rPr>
                <w:sz w:val="21"/>
                <w:szCs w:val="21"/>
                <w:color w:val="auto"/>
              </w:rPr>
            </w:pP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All executive officers as a group (three people)</w:t>
            </w:r>
          </w:p>
        </w:tc>
        <w:tc>
          <w:tcPr>
            <w:tcW w:w="1000" w:type="dxa"/>
            <w:vAlign w:val="bottom"/>
          </w:tcPr>
          <w:p>
            <w:pPr>
              <w:spacing w:after="0"/>
              <w:rPr>
                <w:sz w:val="21"/>
                <w:szCs w:val="21"/>
                <w:color w:val="auto"/>
              </w:rPr>
            </w:pPr>
          </w:p>
        </w:tc>
        <w:tc>
          <w:tcPr>
            <w:tcW w:w="1360" w:type="dxa"/>
            <w:vAlign w:val="bottom"/>
          </w:tcPr>
          <w:p>
            <w:pPr>
              <w:jc w:val="right"/>
              <w:ind w:right="994"/>
              <w:spacing w:after="0"/>
              <w:rPr>
                <w:sz w:val="20"/>
                <w:szCs w:val="20"/>
                <w:color w:val="auto"/>
              </w:rPr>
            </w:pPr>
            <w:r>
              <w:rPr>
                <w:rFonts w:ascii="Times New Roman" w:cs="Times New Roman" w:eastAsia="Times New Roman" w:hAnsi="Times New Roman"/>
                <w:sz w:val="14"/>
                <w:szCs w:val="14"/>
                <w:color w:val="auto"/>
              </w:rPr>
              <w:t>980</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419,965</w:t>
            </w:r>
            <w:r>
              <w:rPr>
                <w:rFonts w:ascii="Times New Roman" w:cs="Times New Roman" w:eastAsia="Times New Roman" w:hAnsi="Times New Roman"/>
                <w:sz w:val="18"/>
                <w:szCs w:val="18"/>
                <w:color w:val="auto"/>
                <w:vertAlign w:val="superscript"/>
              </w:rPr>
              <w:t>(6)</w:t>
            </w:r>
          </w:p>
        </w:tc>
        <w:tc>
          <w:tcPr>
            <w:tcW w:w="10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13881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 Less than one percent of outstanding Class A common stock, Class C common stock or combined voting power, as applicable.</w:t>
      </w:r>
    </w:p>
    <w:p>
      <w:pPr>
        <w:spacing w:after="0" w:line="33" w:lineRule="exact"/>
        <w:rPr>
          <w:sz w:val="20"/>
          <w:szCs w:val="20"/>
          <w:color w:val="auto"/>
        </w:rPr>
      </w:pPr>
    </w:p>
    <w:p>
      <w:pPr>
        <w:ind w:left="60" w:firstLine="9"/>
        <w:spacing w:after="0" w:line="288" w:lineRule="auto"/>
        <w:tabs>
          <w:tab w:leader="none" w:pos="174" w:val="left"/>
        </w:tabs>
        <w:numPr>
          <w:ilvl w:val="0"/>
          <w:numId w:val="5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4" w:lineRule="exact"/>
        <w:rPr>
          <w:rFonts w:ascii="Times New Roman" w:cs="Times New Roman" w:eastAsia="Times New Roman" w:hAnsi="Times New Roman"/>
          <w:sz w:val="7"/>
          <w:szCs w:val="7"/>
          <w:color w:val="auto"/>
        </w:rPr>
      </w:pPr>
    </w:p>
    <w:p>
      <w:pPr>
        <w:jc w:val="both"/>
        <w:ind w:left="60" w:firstLine="9"/>
        <w:spacing w:after="0" w:line="261" w:lineRule="auto"/>
        <w:tabs>
          <w:tab w:leader="none" w:pos="174" w:val="left"/>
        </w:tabs>
        <w:numPr>
          <w:ilvl w:val="0"/>
          <w:numId w:val="5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spacing w:after="0" w:line="147" w:lineRule="exact"/>
        <w:rPr>
          <w:rFonts w:ascii="Times New Roman" w:cs="Times New Roman" w:eastAsia="Times New Roman" w:hAnsi="Times New Roman"/>
          <w:sz w:val="13"/>
          <w:szCs w:val="13"/>
          <w:color w:val="auto"/>
          <w:vertAlign w:val="superscript"/>
        </w:rPr>
      </w:pPr>
    </w:p>
    <w:p>
      <w:pPr>
        <w:jc w:val="both"/>
        <w:ind w:left="60" w:firstLine="9"/>
        <w:spacing w:after="0" w:line="269" w:lineRule="auto"/>
        <w:tabs>
          <w:tab w:leader="none" w:pos="174" w:val="left"/>
        </w:tabs>
        <w:numPr>
          <w:ilvl w:val="0"/>
          <w:numId w:val="5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0 DERs to be paid in Class C common stock. Excludes 25,310 RSUs, 3,375 DERs and 75,889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9" w:lineRule="exact"/>
        <w:rPr>
          <w:rFonts w:ascii="Times New Roman" w:cs="Times New Roman" w:eastAsia="Times New Roman" w:hAnsi="Times New Roman"/>
          <w:sz w:val="13"/>
          <w:szCs w:val="13"/>
          <w:color w:val="auto"/>
          <w:vertAlign w:val="superscript"/>
        </w:rPr>
      </w:pPr>
    </w:p>
    <w:p>
      <w:pPr>
        <w:jc w:val="both"/>
        <w:ind w:left="60" w:firstLine="9"/>
        <w:spacing w:after="0" w:line="269" w:lineRule="auto"/>
        <w:tabs>
          <w:tab w:leader="none" w:pos="174" w:val="left"/>
        </w:tabs>
        <w:numPr>
          <w:ilvl w:val="0"/>
          <w:numId w:val="5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515 DERs to be paid in Class C common stock. Excludes 6,883 RSUs, 3,491 DERs and 33,123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9" w:lineRule="exact"/>
        <w:rPr>
          <w:rFonts w:ascii="Times New Roman" w:cs="Times New Roman" w:eastAsia="Times New Roman" w:hAnsi="Times New Roman"/>
          <w:sz w:val="13"/>
          <w:szCs w:val="13"/>
          <w:color w:val="auto"/>
          <w:vertAlign w:val="superscript"/>
        </w:rPr>
      </w:pPr>
    </w:p>
    <w:p>
      <w:pPr>
        <w:jc w:val="both"/>
        <w:ind w:left="60" w:firstLine="9"/>
        <w:spacing w:after="0" w:line="269" w:lineRule="auto"/>
        <w:tabs>
          <w:tab w:leader="none" w:pos="174" w:val="left"/>
        </w:tabs>
        <w:numPr>
          <w:ilvl w:val="0"/>
          <w:numId w:val="5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560 DERs to be paid in Class C common stock. Excludes 7,043 RSUs, 3,876 DERs and 35,737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left="180" w:hanging="111"/>
        <w:spacing w:after="0"/>
        <w:tabs>
          <w:tab w:leader="none" w:pos="180" w:val="left"/>
        </w:tabs>
        <w:numPr>
          <w:ilvl w:val="0"/>
          <w:numId w:val="5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Consists of the total holdings of all executive officers as a group.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Relationship with CEG and Clearway, Inc.</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CEG owns all of Clearway, Inc.’s outstanding Class B common stock and Class D common stock, which represents, in the aggregate, 54.91% of the voting interest in Clearway, Inc.’s stock, and receives distributions from the Company through its ownership of the Company’s Class B and Class D units. Holders of Clearway, Inc.’s Class A common stock and Class C common stock hold, in the aggregate, the remaining 45.09% of the voting interest in Clearway, Inc.’s stock. Each holder of Clearway, Inc.’s Class A or Class B common stock is entitled to one vote for each share held. Each holder of Clearway, Inc.’s Class C or Class D common stock is entitled to 1/100th of one vote for each share held. The holders of Clearway, Inc.’s outstanding shares of Class A and Class C common stock are entitled to dividends as declared. Clearway, Inc., through its holdings of the Company’s Class A units and Class C units, owns a 58.10% economic interest in the Company. CEG, through its holdings of the Company’s Class B units and Class D units, owns a 41.90% economic interest in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CEG Master Services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along with Clearway, Inc. and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of the Company transferred to CEG as of January 1, 2025. On February 13, 2025, but effective as of January 1, 2025, the CEG Master Services Agreement was amended and restated again to engage CEG in a payroll sharing agreement, such that the Company directly bears all labor costs for certain employees of CEG who perform work on behalf of the Company. Under the amended and restated agreement, CEG and certain of its affiliates or third-party service providers continued providing the operational and administrative services outlined above, and, effective January 1, 2025, also began providing accounting, internal audit, tax, legal and treasury services to the Company, in exchange for the payment of fees in respect of such services. Certain independent functions of the Company are directed by the Corporate Governance, Conflicts and Nominating Committee of Clearway, Inc.’s Board of Directors and paid for by the Company, while being administered by CEG.</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the Company paid approximately $6,060,000 under the CEG Master Services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Committed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assets listed below represent the Company’s currently committed investments in facilities with CEG: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Technology</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Gross Capacity (MW)</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COD</w:t>
            </w:r>
          </w:p>
        </w:tc>
      </w:tr>
      <w:tr>
        <w:trPr>
          <w:trHeight w:val="173"/>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Daggett 1</w:t>
            </w:r>
          </w:p>
        </w:tc>
        <w:tc>
          <w:tcPr>
            <w:tcW w:w="8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BESS</w:t>
            </w:r>
          </w:p>
        </w:tc>
        <w:tc>
          <w:tcPr>
            <w:tcW w:w="8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114</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1H25</w:t>
            </w: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Honeycomb Portfolio</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5"/>
              </w:rPr>
              <w:t>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320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UT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1H26</w:t>
            </w: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Luna Valley</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4"/>
              </w:rPr>
              <w:t>Solar</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200</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Pine Forest </w:t>
            </w:r>
            <w:r>
              <w:rPr>
                <w:rFonts w:ascii="Times New Roman" w:cs="Times New Roman" w:eastAsia="Times New Roman" w:hAnsi="Times New Roman"/>
                <w:sz w:val="18"/>
                <w:szCs w:val="18"/>
                <w:color w:val="auto"/>
                <w:vertAlign w:val="superscript"/>
              </w:rPr>
              <w:t>(a)</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500</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TX</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r>
        <w:trPr>
          <w:trHeight w:val="180"/>
        </w:trPr>
        <w:tc>
          <w:tcPr>
            <w:tcW w:w="42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Rosamond South I </w:t>
            </w:r>
            <w:r>
              <w:rPr>
                <w:rFonts w:ascii="Times New Roman" w:cs="Times New Roman" w:eastAsia="Times New Roman" w:hAnsi="Times New Roman"/>
                <w:sz w:val="18"/>
                <w:szCs w:val="18"/>
                <w:color w:val="auto"/>
                <w:vertAlign w:val="superscript"/>
              </w:rPr>
              <w:t>(a)</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Solar/BESS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257</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CA</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2H25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Included in a co-investment partnership.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Drop Down Transactions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Cedro Hill Repowering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December 12, 2023, in connection with the repowering of the Cedro Hill wind facility, the Company entered into a financing agreement for non-recourse debt, which consists of construction loans, a tax equity bridge loan and a cash equity bridge loan.</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Company, through its indirect subsidiary, Cedro Hill Class B Member LLC, consolidates as primary beneficiary, Cedro Hill TE Holdco LLC. The tax equity proceeds were utilized, along with $54 million in construction loan proceeds, to repay the $138 million tax equity bridge loan, the $16 million cash equity bridge loan, to fund $38 million in construction completion and related reserves, which is included in restricted cash on the Company’s consolidated balance sheet, to pay $11 million in construction invoices and to pay $4 million in associated fees with the remaining $26 million distributed to CEG.</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 Drop Down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 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the Dan’s Mountain Drop Down, the Company assumed non-recourse facility-level debt, which included a cash equity bridge loan and tax equity bridge loan. A partial payment of $7 million was made on the cash equity bridge loan at acquisition date utilizing all of the proceeds from the Company, which were contributed back to the Company by CEG. CEG also contributed $2 million to the Company to pay $2 million in associated fees in connection with the funding.</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BESS Drop Down and Financing Activities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June 30, 2023, Rosie Class B LLC, the indirect owner of the Rosamond Central solar facility, amended its financing agreement, which included a term loan, construction loan and tax equity bridge loan. On July 3, 2023, Rosie Class B LLC issued a loan to Clearway Renew, utilizing a portion of the loan proceeds under the amended financing agreement, in order to finance the construction of the BESS facility. On December 1, 2023, the Rosamond Central solar facility acquired a 147 MW co-located BESS facility from Clearway Renew.</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On June 13, 2024, when the Rosamond Central BESS facility reached substantial completion, the Company paid $279 million to Clearway Renew as additional purchase price to complete its acquisition of the facility, which consisted of $64 million funded by the Company and $215 million funded through contributions from third-party investors. Also on June 13, 2024, Clearway Renew repaid the $184 million outstanding loan balance owed to Rosie Class B LLC utilizing the additional purchase price of $279 million paid by the Company.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 of which $4 million was related to construction management agreement, or CMA, fees paid to CEG. In addition, on June 13, 2024, Clearway Renew redeemed Rosie Class B LLC’s entire investment of $28 million in Rosie Central BESS utilizing the additional purchase price paid by the Company.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 Drop Down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In connection with the Victory Pass and Arica Drop Down, the Company assumed non-recourse facility-level debt, which included a sponsor equity bridge loan and tax equity bridge loan.</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May 1, 2024, when the facilities reached substantial completion, the Company paid $165 million to Clearway Renew as additional purchase price,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of which $9 million was related to CMA fees paid to CEG.</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Cedar Creek Drop Down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connection with the Cedar Creek Drop Down, the Company assumed non-recourse facility-level debt, which included a construction loan, sponsor equity bridge loan and tax equity bridge loan. At acquisition date, when the facility reached substantial completion, the tax equity investor contributed $108 million, which was utilized, along with the Company’s entire purchase price that was contributed back to the Company by CEG, to repay the tax equity bridge loan, to repay the sponsor equity bridge loan, to partially repay $2 million in construction loans, to fund $16 million in</w:t>
      </w:r>
    </w:p>
    <w:p>
      <w:pPr>
        <w:sectPr>
          <w:pgSz w:w="11900" w:h="16838" w:orient="portrait"/>
          <w:cols w:equalWidth="0" w:num="1">
            <w:col w:w="11280"/>
          </w:cols>
          <w:pgMar w:left="300" w:top="727" w:right="319" w:bottom="0" w:gutter="0" w:footer="0" w:header="0"/>
        </w:sectPr>
      </w:pPr>
    </w:p>
    <w:bookmarkStart w:id="82" w:name="page83"/>
    <w:bookmarkEnd w:id="82"/>
    <w:p>
      <w:pPr>
        <w:jc w:val="both"/>
        <w:spacing w:after="0" w:line="287" w:lineRule="auto"/>
        <w:rPr>
          <w:sz w:val="20"/>
          <w:szCs w:val="20"/>
          <w:color w:val="auto"/>
        </w:rPr>
      </w:pPr>
      <w:r>
        <w:rPr>
          <w:rFonts w:ascii="Times New Roman" w:cs="Times New Roman" w:eastAsia="Times New Roman" w:hAnsi="Times New Roman"/>
          <w:sz w:val="14"/>
          <w:szCs w:val="14"/>
          <w:color w:val="auto"/>
        </w:rPr>
        <w:t>construction completion reserves, which is included in restricted cash on the Company’s consolidated balance sheet, and to pay $6 million in associated fees, of which $5 million were related to CMA fees paid to CEG.</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2 Drop Downs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Lighthouse Renewable Holdco 2 LLC indirectly consolidates as primary beneficiary, TSN1 TE Holdco LLC, a tax equity fund that owns Texas Solar Nova 1 and Texas Solar Nova 2. Lighthouse Renewable Holdco 2 LLC is a partnership between the Company and a cash equity investor.</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connection with the Texas Solar Nova 2 Drop Down, the Company assumed non-recourse facility-level debt, which included a term loan and tax equity bridge loan.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is included in restricted cash on the Company’s consolidated balance sheet, and to pay $4 million in associated fees, of which $3 million was related to CMA fees paid to CEG.</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2024, CEG contributed $6 million to the Company as a purchase price true up related to the 2023 Texas Solar Nova 1 Drop Down and the 2024 Texas Solar Nova 2 Drop Down. The Company also distributed $2 million to CEG related to Texas Solar Nova 1 revenue earned prior to the Company’s acquisition on December 28, 2023.</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2 and 3 Drop Downs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2024, the Company distributed $1 million to CEG as a purchase price true up related to the 2023 Daggett 2 Drop Down. Also, CEG contributed $6 million to the Company as a purchase price true up paid to the cash equity investor in Daggett 2 and Daggett 3 connected with the 2023 Drop Downs.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Agreements</w:t>
      </w:r>
    </w:p>
    <w:p>
      <w:pPr>
        <w:spacing w:after="0" w:line="107" w:lineRule="exact"/>
        <w:rPr>
          <w:sz w:val="20"/>
          <w:szCs w:val="20"/>
          <w:color w:val="auto"/>
        </w:rPr>
      </w:pPr>
    </w:p>
    <w:p>
      <w:pPr>
        <w:jc w:val="both"/>
        <w:ind w:firstLine="318"/>
        <w:spacing w:after="0" w:line="182" w:lineRule="exact"/>
        <w:rPr>
          <w:sz w:val="20"/>
          <w:szCs w:val="20"/>
          <w:color w:val="auto"/>
        </w:rPr>
      </w:pPr>
      <w:r>
        <w:rPr>
          <w:rFonts w:ascii="Times New Roman" w:cs="Times New Roman" w:eastAsia="Times New Roman" w:hAnsi="Times New Roman"/>
          <w:sz w:val="14"/>
          <w:szCs w:val="14"/>
          <w:color w:val="auto"/>
        </w:rPr>
        <w:t>CEG provides operations and maintenance, or O&amp;M, and day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operational support to the Company’s utility scale solar and wind facilities in accordance with O&amp;M agreements with the Company. Each of the counterparties to the O&amp;M agreements is an affiliate of CEG. The O&amp;M agreements for which the amount paid to CEG exceeded $120,000 during the year ended December 31, 2024 are described in the table below. Under these O&amp;M agreements, the Company generally pays an annual or monthly fee, which may be subject to annual adjustment, plus any reimbursable expenses.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536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202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Approximate Amount</w:t>
            </w:r>
          </w:p>
        </w:tc>
        <w:tc>
          <w:tcPr>
            <w:tcW w:w="0" w:type="dxa"/>
            <w:vAlign w:val="bottom"/>
          </w:tcPr>
          <w:p>
            <w:pPr>
              <w:spacing w:after="0"/>
              <w:rPr>
                <w:sz w:val="1"/>
                <w:szCs w:val="1"/>
                <w:color w:val="auto"/>
              </w:rPr>
            </w:pPr>
          </w:p>
        </w:tc>
      </w:tr>
      <w:tr>
        <w:trPr>
          <w:trHeight w:val="170"/>
        </w:trPr>
        <w:tc>
          <w:tcPr>
            <w:tcW w:w="3900" w:type="dxa"/>
            <w:vAlign w:val="bottom"/>
            <w:gridSpan w:val="2"/>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Paid to CEG</w:t>
            </w:r>
          </w:p>
        </w:tc>
        <w:tc>
          <w:tcPr>
            <w:tcW w:w="0" w:type="dxa"/>
            <w:vAlign w:val="bottom"/>
          </w:tcPr>
          <w:p>
            <w:pPr>
              <w:spacing w:after="0"/>
              <w:rPr>
                <w:sz w:val="1"/>
                <w:szCs w:val="1"/>
                <w:color w:val="auto"/>
              </w:rPr>
            </w:pPr>
          </w:p>
        </w:tc>
      </w:tr>
      <w:tr>
        <w:trPr>
          <w:trHeight w:val="171"/>
        </w:trPr>
        <w:tc>
          <w:tcPr>
            <w:tcW w:w="3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80" w:type="dxa"/>
            <w:vAlign w:val="bottom"/>
          </w:tcPr>
          <w:p>
            <w:pPr>
              <w:spacing w:after="0"/>
              <w:rPr>
                <w:sz w:val="14"/>
                <w:szCs w:val="14"/>
                <w:color w:val="auto"/>
              </w:rPr>
            </w:pPr>
          </w:p>
        </w:tc>
        <w:tc>
          <w:tcPr>
            <w:tcW w:w="5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Agua Caliente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22,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Arica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27, 2023</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Borrego</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August 1, 2012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Buckthorn Solar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22,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Chestnut Fund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9,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Clearway &amp; EFS Distributed Solar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28,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CS4 Fund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29,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CVSR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30, 2011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Daggett 2</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July 15,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28,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DGPV Fund 1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12, 2015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DGPV Fund 2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4,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DGPV Fund 4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16,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Golden Puma Fund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March 30,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Kansas South</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13,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Lanikuhana Solar LLC</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28,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May 28, 2021</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June 30, 2023</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Solar Blythe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1,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Solar Blythe II</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March 1,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Solar Community 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9,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SPP Facilities</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Agreements, dated October 31, 2017</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 High Desert</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9,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Texas Solar Nova 1</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24, 2022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Texas Solar Nova 2</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24, 2022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Utah Solar Portfolio</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Agreements, dated June 13, 2022</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Victory Pass</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27,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Waiawa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28,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Waipio PV LLC</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28,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Wind</w:t>
            </w:r>
          </w:p>
        </w:tc>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II</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III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IV</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V</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Alta Wind X</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Alta Wind XI</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Black Rock</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30,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Broken Bow</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 6, 2017</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Buffalo Bear</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May 1,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Cedar Creek</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June 15,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Cedro Hill</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Nov 11,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Crofton Bluffs</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13, 2012</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Elbow Creek</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31, 2018</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Forward</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20,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Goat Wind</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18, 2008</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Langford</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July 30, 2018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Laredo Ridge</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24,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Lookout</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11, 2008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Mesquite Sky</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30,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Mesquite Star</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May 7, 2019</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Mt. Storm</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April 23, 2021</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Mountain Wind 1</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17,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Mountain Wind 2</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17,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Ocotillo</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November 3, 2020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Odin</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16,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Pinnacle</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December 1,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Rattlesnake</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5, 2020</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Sleeping Bear</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South Trent</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October 1, 2015</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Spanish Fork</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September 16, 2016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Taloga</w:t>
            </w: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O&amp;M Agreement, dated July 1, 2016</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$2,754,000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Wildorado</w:t>
            </w: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O&amp;M Agreement, dated February 11, 2008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$3,547,000</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i w:val="1"/>
          <w:iCs w:val="1"/>
          <w:color w:val="auto"/>
        </w:rPr>
        <w:t>Asset Management and Administrative Services Agreements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CEG provides day-to-day administrative support to certain of the Company’s subsidiaries in accordance with asset management and administrative services agreements, or the ASAs. The ASAs for which the amount involved exceeded $120,000 during the year ended December 31, 2024 are described in the table below. Under these agreements, the Company generally pays an annual or monthly fee, which may be subject to annual adjustment, plus any reimbursable expenses.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2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65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1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169"/>
        </w:trPr>
        <w:tc>
          <w:tcPr>
            <w:tcW w:w="2980" w:type="dxa"/>
            <w:vAlign w:val="bottom"/>
            <w:gridSpan w:val="2"/>
            <w:vMerge w:val="continue"/>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 to CEG</w:t>
            </w:r>
          </w:p>
        </w:tc>
        <w:tc>
          <w:tcPr>
            <w:tcW w:w="0" w:type="dxa"/>
            <w:vAlign w:val="bottom"/>
          </w:tcPr>
          <w:p>
            <w:pPr>
              <w:spacing w:after="0"/>
              <w:rPr>
                <w:sz w:val="1"/>
                <w:szCs w:val="1"/>
                <w:color w:val="auto"/>
              </w:rPr>
            </w:pPr>
          </w:p>
        </w:tc>
      </w:tr>
      <w:tr>
        <w:trPr>
          <w:trHeight w:val="172"/>
        </w:trPr>
        <w:tc>
          <w:tcPr>
            <w:tcW w:w="2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4"/>
                <w:szCs w:val="14"/>
                <w:color w:val="auto"/>
              </w:rPr>
            </w:pPr>
          </w:p>
        </w:tc>
        <w:tc>
          <w:tcPr>
            <w:tcW w:w="6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Agua Caliente</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January 18, 2012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Alpine</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March 15,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Arica</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16,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Buckthorn Solar</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May 22, 2017</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Chestnut Fund LLC</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July 31, 2017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CS4 Fund LLC</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 dated November 29, 2018</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CVSR</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April 26, 2016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28,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DGPV Fund 4 LLC</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 dated June 28, 2016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May 28,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Oahu Solar</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28, 2017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June 30, 2023</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SPP Facilities</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Management Agreements, dated October 31, 2017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Texas Solar Nova 1</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24,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Texas Solar Nova 2</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24,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Utah Solar Portfolio</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Management Agreements, dated December 1,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Victory Pass</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November 16,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Waiawa</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May 28, 2021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Wind</w:t>
            </w:r>
          </w:p>
        </w:tc>
        <w:tc>
          <w:tcPr>
            <w:tcW w:w="6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Black Rock</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30, 2020</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Broken Bow</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Buffalo Bear</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September 15, 2011</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Capistrano Portfolio Holdco</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Services Agreement, dated June 23,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Cedar Creek</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March 10, 2023</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Cedro Hill</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and Administration Agreement, dated March 10, 2010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Crofton Bluffs</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Elbow Creek</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January 1, 2018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Forward</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Langford</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24,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Laredo Ridge</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Support Services Agreement, dated May 27, 2010</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Lighthouse Renewable Holdco 2 LLC</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Services Agreement, dated December 17,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Lookout</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Mesquite Sky</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December 30,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Mesquite Star</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May 7, 2019</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Mountain Wind 1</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Mountain Wind 2</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February 13,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Mt. Storm</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Administration Agreement, dated April 23,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Ocotillo</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November 3, 2020</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Pinnacle</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Amended and Restated Services Agreement, dated September 15, 2011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Rattlesnake</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February 5, 2020</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Sleeping Bear</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South Trent</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October 1, 2015</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Spanish Fork</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 Agreement, dated January 1, 2012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Taloga</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Agreement, dated November 20, 2012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$164,000</w:t>
            </w: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Viento Funding II, LLC</w:t>
            </w: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and Administration Agreement, dated July 1, 2013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$269,000</w:t>
            </w:r>
          </w:p>
        </w:tc>
        <w:tc>
          <w:tcPr>
            <w:tcW w:w="0" w:type="dxa"/>
            <w:vAlign w:val="bottom"/>
          </w:tcPr>
          <w:p>
            <w:pPr>
              <w:spacing w:after="0"/>
              <w:rPr>
                <w:sz w:val="1"/>
                <w:szCs w:val="1"/>
                <w:color w:val="auto"/>
              </w:rPr>
            </w:pPr>
          </w:p>
        </w:tc>
      </w:tr>
      <w:tr>
        <w:trPr>
          <w:trHeight w:val="184"/>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Wildorado</w:t>
            </w: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Administration Agreement, dated September 25, 2017</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$298,000</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Land Lease Agreements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CEG. The land lease agreements for which the amount involved exceeded $120,000 during the year ended December 31, 2024 are described in the table below. Under these agreements, the Company generally pays a quarterly or monthly fee, which may be subject to annual adjustment.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600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to CEG</w:t>
            </w:r>
          </w:p>
        </w:tc>
        <w:tc>
          <w:tcPr>
            <w:tcW w:w="0" w:type="dxa"/>
            <w:vAlign w:val="bottom"/>
          </w:tcPr>
          <w:p>
            <w:pPr>
              <w:spacing w:after="0"/>
              <w:rPr>
                <w:sz w:val="1"/>
                <w:szCs w:val="1"/>
                <w:color w:val="auto"/>
              </w:rPr>
            </w:pPr>
          </w:p>
        </w:tc>
      </w:tr>
      <w:tr>
        <w:trPr>
          <w:trHeight w:val="171"/>
        </w:trPr>
        <w:tc>
          <w:tcPr>
            <w:tcW w:w="3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00" w:type="dxa"/>
            <w:vAlign w:val="bottom"/>
          </w:tcPr>
          <w:p>
            <w:pPr>
              <w:spacing w:after="0"/>
              <w:rPr>
                <w:sz w:val="14"/>
                <w:szCs w:val="14"/>
                <w:color w:val="auto"/>
              </w:rPr>
            </w:pPr>
          </w:p>
        </w:tc>
        <w:tc>
          <w:tcPr>
            <w:tcW w:w="5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Daggett 2</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October 27,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$982,000</w:t>
            </w:r>
          </w:p>
        </w:tc>
        <w:tc>
          <w:tcPr>
            <w:tcW w:w="0" w:type="dxa"/>
            <w:vAlign w:val="bottom"/>
          </w:tcPr>
          <w:p>
            <w:pPr>
              <w:spacing w:after="0"/>
              <w:rPr>
                <w:sz w:val="1"/>
                <w:szCs w:val="1"/>
                <w:color w:val="auto"/>
              </w:rPr>
            </w:pPr>
          </w:p>
        </w:tc>
      </w:tr>
      <w:tr>
        <w:trPr>
          <w:trHeight w:val="180"/>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Daggett 3</w:t>
            </w: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Lease Agreement, dated December 18, 2020</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$1,609,000</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Mililani I</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November 18,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$824,000</w:t>
            </w:r>
          </w:p>
        </w:tc>
        <w:tc>
          <w:tcPr>
            <w:tcW w:w="0" w:type="dxa"/>
            <w:vAlign w:val="bottom"/>
          </w:tcPr>
          <w:p>
            <w:pPr>
              <w:spacing w:after="0"/>
              <w:rPr>
                <w:sz w:val="1"/>
                <w:szCs w:val="1"/>
                <w:color w:val="auto"/>
              </w:rPr>
            </w:pPr>
          </w:p>
        </w:tc>
      </w:tr>
      <w:tr>
        <w:trPr>
          <w:trHeight w:val="180"/>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Oahu Solar</w:t>
            </w: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Lease Agreement, dated September 19, 2019</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$922,000</w:t>
            </w: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Rosamond Central</w:t>
            </w: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Lease Agreement, dated November 18,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Collaboration Agreement</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On February 9, 2024, the Company entered into a Development Collaboration Agreement with Clearway Renew, or the Collaboration Agreement, pursuant to which, among other things, the Company procures substitute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companies, or the BESS Companies, in each case pursuant to separate, five-year purchase agreements, or the RA Agreements. In addition, pursuant to the Collaboration Agreement, Clearway Renew has offered the Company a right of first offer to acquire an ownership interest in the BESS Companies or certain of Clearway Renew’s BESS facilities. Under the Collaboration Agreement and the RA Agreement, the Clearway Renew BESS Companies posted approximately $1,435,000 of security to the Company in 2024 to guarantee the financial obligations of the BESS Companies. The value of such security may increase in the future if certain milestones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2024, the Company paid approximately $7,799,000 to CEG, consisting primarily of reimbursements of insurance premiums and employee-related benefits that CEG paid on behalf of the Company. The Company also received $3,910,000 from CEG, consisting primarily of employee-related expenses that the Company paid on behalf of CEG.</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2024, the Company also paid approximately $5,995,000 consisting of annual property insurance premiums to TotalEnergies’ captive insurance affiliate and reimbursement for professional fees that TotalEnergies’ incurred on behalf of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Fourth Amended and Restated Limited Liability Company Agreement of Clearway Energy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following is a description of the material terms of the Company’s Fourth Amended and Restated Limited Liability Company Agreement. For the year ended December 31, 2024, the Company made approximately $140,451,000 in distributions to Clearway, Inc. (the holder of Class A and Class C units) and $193,993,000 to CEG (the holder of Class B and Class D units). In addition to the quarterly distributions, the Company distributed an additional $1,087,000 to Clearway, Inc. and $789,000 to CEG during the year ended December 31, 2024 in order for Clearway, Inc. to make certain tax payments.</w:t>
      </w:r>
    </w:p>
    <w:p>
      <w:pPr>
        <w:sectPr>
          <w:pgSz w:w="11900" w:h="16838" w:orient="portrait"/>
          <w:cols w:equalWidth="0" w:num="1">
            <w:col w:w="11280"/>
          </w:cols>
          <w:pgMar w:left="300" w:top="123" w:right="319" w:bottom="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 serves as the sole managing member of the Company. As such, Clearway, Inc. and effectively Clearway, Inc.’s Board of Directors, control the business and affairs of the Company and are responsible for the management of the business.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Voting and Economic Rights of Members</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The Company has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and each Class D unit is exchangeable for a share of Clearway, Inc.’s Class D common stock, in each case subject to equitable adjustments for stock splits, dividends and reclassifications in accordance with the terms of the Exchange Agreement (as described below).</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Net profits and net losses and distributions by the Company are allocated and made to holders of units in accordance with the respective number of membership units of the Company held.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Generally, the Company will make distributions to holders of units for the purpose of funding tax obligations in respect of income of the Company that is allocated to the members of the Company.</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Clearway, Inc.’s Coordination with Clearway Energy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time Clearway, Inc. issues a share of Class A common stock or a share of Class C common stock for cash, the net proceeds therefrom will promptly be transferred to the Company, and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will either:</w:t>
      </w:r>
    </w:p>
    <w:p>
      <w:pPr>
        <w:spacing w:after="0" w:line="37" w:lineRule="exact"/>
        <w:rPr>
          <w:sz w:val="20"/>
          <w:szCs w:val="20"/>
          <w:color w:val="auto"/>
        </w:rPr>
      </w:pPr>
    </w:p>
    <w:p>
      <w:pPr>
        <w:ind w:left="760" w:hanging="246"/>
        <w:spacing w:after="0" w:line="284" w:lineRule="auto"/>
        <w:tabs>
          <w:tab w:leader="none" w:pos="709"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ind w:left="760" w:hanging="246"/>
        <w:spacing w:after="0" w:line="270" w:lineRule="auto"/>
        <w:tabs>
          <w:tab w:leader="none" w:pos="70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Agreement</w:t>
      </w:r>
    </w:p>
    <w:p>
      <w:pPr>
        <w:spacing w:after="0" w:line="138" w:lineRule="exact"/>
        <w:rPr>
          <w:sz w:val="20"/>
          <w:szCs w:val="20"/>
          <w:color w:val="auto"/>
        </w:rPr>
      </w:pPr>
    </w:p>
    <w:p>
      <w:pPr>
        <w:jc w:val="both"/>
        <w:ind w:firstLine="318"/>
        <w:spacing w:after="0" w:line="179" w:lineRule="exact"/>
        <w:rPr>
          <w:sz w:val="20"/>
          <w:szCs w:val="20"/>
          <w:color w:val="auto"/>
        </w:rPr>
      </w:pPr>
      <w:r>
        <w:rPr>
          <w:rFonts w:ascii="Times New Roman" w:cs="Times New Roman" w:eastAsia="Times New Roman" w:hAnsi="Times New Roman"/>
          <w:sz w:val="14"/>
          <w:szCs w:val="14"/>
          <w:color w:val="auto"/>
        </w:rPr>
        <w:t>The Company is party to a Second Amended and Restated Exchange Agreement with CEG and Clearway, Inc., or the Exchange Agreement. Under the Exchange Agreement, CEG (and certain permitted assignees and permitted transferees who acquire Class B units or Class D units of the Company, collectively with CEG, the CEG Unitholders) may from time to time cause the Company to exchange their Class B units for shares of Clearway, Inc.’s Class A common stock on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one basis, subject to equitable adjustments for stock splits, stock dividends and reclassifications.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When a CEG Unitholder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a CEG Unitholder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CEG Unitholder exchanges its Class B units for shares of Clearway, Inc.’s Class A common stock, or its Class D units for shares of Clearway, Inc.’s Class C common stock, Clearway, Inc.’s interest in the Company will be correspondingly increased.</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Additionally, when a CEG Unitholder exchanges a Class B unit or Class D unit of the Company, the CEG Unitholder will pay Clearway, Inc. an equitable cash settlement on the applicable exchange date for the value of certain of Clearway, Inc.’s assets that are not held through the Company. The amount of any such payment will be calculated based on the net present value of the projected discounted cash flow of such assets, using a discount rate equal to the weighted average cost of capital for such assets, and the daily volume-weighted average closing price of Clearway, Inc.’s Class A common stock or Class C common stock, as applicable, for the trailing 30 trading days ending on the second trading day prior to the applicable exchange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of Officers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 has entered into indemnification agreements with each of its executive officers. The indemnification agreements provide the executive officers with contractual rights to indemnification, expense advancement and reimbursement to the fullest extent permitted under Delaware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Inc. is party to an Amended and Restated Registration Rights Agreement with CEG, or the Registration Rights Agreement.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Procedures for Review, Approval and Ratification of Related Person Transactions; Conflicts of Interest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does not have a separate policy regarding related party transactions, as all of its officers are subject to the written Related Person Policy of Clearway, Inc., which provides that the Corporate Governance, Conflicts and Nominating Committee of Clearway, Inc.’s Board of Directors will periodically review all related person transactions that are required to be disclosed under SEC rules and, when appropriate, initially authorize or ratify all such transactions.</w:t>
      </w:r>
    </w:p>
    <w:p>
      <w:pPr>
        <w:spacing w:after="0" w:line="93"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color w:val="auto"/>
        </w:rPr>
        <w:t>The Related Person Policy operates in conjunction with Clearway, Inc.’s Code of Conduct and is applicable to all “Related Person Transactions”, which are all transactions, arrangements or relationships in which:</w:t>
      </w:r>
    </w:p>
    <w:p>
      <w:pPr>
        <w:spacing w:after="0" w:line="1" w:lineRule="exact"/>
        <w:rPr>
          <w:sz w:val="20"/>
          <w:szCs w:val="20"/>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involved will or may be expected to exceed $50,000 in any calendar year;</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Clearway, Inc. is a participant; and</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Person (as that term is defined below) has or will have a direct or indirect interest.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“Related Person” is:</w:t>
      </w:r>
    </w:p>
    <w:p>
      <w:pPr>
        <w:spacing w:after="0" w:line="51" w:lineRule="exact"/>
        <w:rPr>
          <w:sz w:val="20"/>
          <w:szCs w:val="20"/>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a director of the Company or a nominee for director or an executive officer;</w:t>
      </w:r>
    </w:p>
    <w:p>
      <w:pPr>
        <w:spacing w:after="0" w:line="9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to Clearway, Inc. to be the beneficial owner of more than 5% of any class of Clearway, Inc.’s voting stock;</w:t>
      </w:r>
    </w:p>
    <w:p>
      <w:pPr>
        <w:spacing w:after="0" w:line="62" w:lineRule="exact"/>
        <w:rPr>
          <w:rFonts w:ascii="Times New Roman" w:cs="Times New Roman" w:eastAsia="Times New Roman" w:hAnsi="Times New Roman"/>
          <w:sz w:val="14"/>
          <w:szCs w:val="14"/>
          <w:color w:val="auto"/>
        </w:rPr>
      </w:pPr>
    </w:p>
    <w:p>
      <w:pPr>
        <w:jc w:val="both"/>
        <w:ind w:left="1020" w:hanging="506"/>
        <w:spacing w:after="0" w:line="182" w:lineRule="exact"/>
        <w:tabs>
          <w:tab w:leader="none" w:pos="10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father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son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daughter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brother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or sister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spacing w:after="0" w:line="70" w:lineRule="exact"/>
        <w:rPr>
          <w:rFonts w:ascii="Times New Roman" w:cs="Times New Roman" w:eastAsia="Times New Roman" w:hAnsi="Times New Roman"/>
          <w:sz w:val="14"/>
          <w:szCs w:val="14"/>
          <w:color w:val="auto"/>
        </w:rPr>
      </w:pPr>
    </w:p>
    <w:p>
      <w:pPr>
        <w:ind w:left="1020" w:hanging="506"/>
        <w:spacing w:after="0" w:line="287" w:lineRule="auto"/>
        <w:tabs>
          <w:tab w:leader="none" w:pos="10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firm, corporation or other entity in which any of the foregoing persons is a partner or principal or in a similar position or in which such person has a 10% or greater beneficial ownership interest.</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If the aggregate amount involved is expected to be less than $500,000, the transaction may be approved or ratified by the Chair of the Corporate Governance, Conflicts and Nominating Committee.</w:t>
      </w:r>
    </w:p>
    <w:p>
      <w:pPr>
        <w:spacing w:after="0" w:line="82" w:lineRule="exact"/>
        <w:rPr>
          <w:sz w:val="20"/>
          <w:szCs w:val="20"/>
          <w:color w:val="auto"/>
        </w:rPr>
      </w:pPr>
    </w:p>
    <w:p>
      <w:pPr>
        <w:jc w:val="both"/>
        <w:ind w:firstLine="318"/>
        <w:spacing w:after="0" w:line="174" w:lineRule="exact"/>
        <w:rPr>
          <w:sz w:val="20"/>
          <w:szCs w:val="20"/>
          <w:color w:val="auto"/>
        </w:rPr>
      </w:pPr>
      <w:r>
        <w:rPr>
          <w:rFonts w:ascii="Times New Roman" w:cs="Times New Roman" w:eastAsia="Times New Roman" w:hAnsi="Times New Roman"/>
          <w:sz w:val="14"/>
          <w:szCs w:val="14"/>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approved or ratified by the Corporate Governance, Conflicts and Nominating Committee and do not require separate approval or ratification.</w:t>
      </w:r>
    </w:p>
    <w:p>
      <w:pPr>
        <w:spacing w:after="0" w:line="11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ectPr>
          <w:pgSz w:w="11900" w:h="16838" w:orient="portrait"/>
          <w:cols w:equalWidth="0" w:num="1">
            <w:col w:w="11280"/>
          </w:cols>
          <w:pgMar w:left="300" w:top="123" w:right="319" w:bottom="0" w:gutter="0" w:footer="0" w:header="0"/>
        </w:sectPr>
      </w:pPr>
    </w:p>
    <w:bookmarkStart w:id="85" w:name="page86"/>
    <w:bookmarkEnd w:id="85"/>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Committee’s activities with respect to the review and approval or ratification of all Related Person Transactions are reported periodically to Clearway, Inc.’s Board of Directors. Any transaction between us and any Related Person, including CEG, will be subject to the prior review and approval of the Company’s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and Nonaudit Fees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fees for professional services rendered by (i) Ernst &amp; Young LLP, the Company’s former principal independent registered public accounting firm, and (ii)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PricewaterhouseCoopers LLP, the Company’s current principal independent registered public accounting firm:</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2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ind w:left="240"/>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320" w:type="dxa"/>
            <w:vAlign w:val="bottom"/>
          </w:tcPr>
          <w:p>
            <w:pPr>
              <w:spacing w:after="0"/>
              <w:rPr>
                <w:sz w:val="14"/>
                <w:szCs w:val="14"/>
                <w:color w:val="auto"/>
              </w:rPr>
            </w:pPr>
          </w:p>
        </w:tc>
        <w:tc>
          <w:tcPr>
            <w:tcW w:w="1240" w:type="dxa"/>
            <w:vAlign w:val="bottom"/>
          </w:tcPr>
          <w:p>
            <w:pPr>
              <w:jc w:val="right"/>
              <w:ind w:right="48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8"/>
                <w:szCs w:val="18"/>
                <w:b w:val="1"/>
                <w:bCs w:val="1"/>
                <w:color w:val="auto"/>
                <w:vertAlign w:val="superscript"/>
              </w:rPr>
              <w:t>(b)</w:t>
            </w:r>
          </w:p>
        </w:tc>
      </w:tr>
      <w:tr>
        <w:trPr>
          <w:trHeight w:val="171"/>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4,479,259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4,665,386</w:t>
            </w:r>
          </w:p>
        </w:tc>
      </w:tr>
      <w:tr>
        <w:trPr>
          <w:trHeight w:val="18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1,565,229</w:t>
            </w:r>
          </w:p>
        </w:tc>
      </w:tr>
      <w:tr>
        <w:trPr>
          <w:trHeight w:val="18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71"/>
        </w:trPr>
        <w:tc>
          <w:tcPr>
            <w:tcW w:w="8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4,999,831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6,240,615</w:t>
            </w:r>
          </w:p>
        </w:tc>
      </w:tr>
      <w:tr>
        <w:trPr>
          <w:trHeight w:val="20"/>
        </w:trPr>
        <w:tc>
          <w:tcPr>
            <w:tcW w:w="2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5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(a)</w:t>
      </w:r>
      <w:r>
        <w:rPr>
          <w:rFonts w:ascii="Times New Roman" w:cs="Times New Roman" w:eastAsia="Times New Roman" w:hAnsi="Times New Roman"/>
          <w:sz w:val="11"/>
          <w:szCs w:val="11"/>
          <w:color w:val="auto"/>
        </w:rPr>
        <w:t xml:space="preserve"> PricewaterhouseCoopers LLP was the principal independent registered public accounting firm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(b)</w:t>
      </w:r>
      <w:r>
        <w:rPr>
          <w:rFonts w:ascii="Times New Roman" w:cs="Times New Roman" w:eastAsia="Times New Roman" w:hAnsi="Times New Roman"/>
          <w:sz w:val="11"/>
          <w:szCs w:val="11"/>
          <w:color w:val="auto"/>
        </w:rPr>
        <w:t xml:space="preserve"> Ernst &amp; Young LLP was the principal independent registered public accounting firm for the year ended December 31,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was billed approximately $4,479,259 and $4,665,386 in 2024 and 2023,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Audit-Related Fees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There were no audit-related fees billed to the Company in 2024 or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was billed approximately $518,572 and $1,565,229 in 2024 and 2023, respectively, relating mainly to compliance work.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Other Fees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was billed approximately $2,000 and $10,000 in 2024 and 2023, respectively, in other fees relating to online subscription fees.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on Audit Committee Pre-approval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is responsible for appointing, setting compensation for, and overseeing the work of the independent registered public accounting firm of the Company. The Audit Committee of Clearway, Inc. has established a policy regarding pre-approval of all audit and permissible nonaudit services provided by the independent registered public accounting firm of the Company.</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will annually review and pre-approve services that are expected to be provided by the independent registered public accounting firm. The term of the pre-approval will be 12 months from the date of the pre-approval, unless the Audit Committee of Clearway, Inc. approves a shorter time period. The Audit Committee may periodically amend and/or supplement the pre-approved services based on subsequent determinations.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Unless the Audit Committee of Clearway, Inc. has pre-approved Audit Services or a specified category of nonaudit services, any engagement to provide such services must be pre-approved by the Audit Committee of Clearway, Inc. if it is to be provided by the independent registered public accounting firm. The Audit Committee of Clearway, Inc. must also pre-approve any proposed services exceeding the pre-approved budgeted fee levels for a specified type of service.</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Audit Committee of Clearway, Inc. has authorized its Chair to pre-approve services in amounts up to $100,000 per engagement. Engagements exceeding $100,000 must be approved by the full Audit Committee of Clearway, Inc. Engagements pre-approved by the Chair are reported to the Audit Committee of Clearway, Inc. at its next scheduled meeting. The Audit Committee of Clearway, Inc. approved all of the audit-related fees, tax fees and all other fees disclosed above.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consolidated financial statements of Clearway Energy LLC and related notes thereto, together with the Report of Independent Registered Public Accounting Firm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PricewaterhouseCoopers LLP (PCAOB ID: 238) and Report of Independent Registered Public Accounting Firm of Ernst &amp; Young LLP (PCAOB ID: 42) thereon, are included herein:</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Income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Balance Sheets — As of December 31, 2024 and 2023</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Members’ Equity — Years ended December 31, 2024, 2023 and 2022</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schedules of Clearway Energy LLC are filed as part of Item 15 of this report and should be read in conjunction with the Consolidated Financial Statements:</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Schedule I — Clearway Energy LLC (Parent) Condensed Financial Statements as of December 31, 2024 and 2023 and for the years ended December 31, 2024, 2023 and 2022, are included in Clearway Energy LLC’s Annual Report on Form 10-K pursuant to the requirements of Rule 5-04(c) of Regulation S-X</w:t>
      </w:r>
    </w:p>
    <w:p>
      <w:pPr>
        <w:spacing w:after="0" w:line="82"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6"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Members of Clearway Energy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Clearway Energy LLC and its subsidiaries (the “Company”) as of December 31, 2024, and the related consolidated statements of income, of comprehensive income, of members’ equity and of cash flows for the year then ended, including the related notes and the schedule of Clearway Energy LLC (Parent) condensed financial information of registrant as of December 31, 2024 and for the year then ended appearing under Item 15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Level 3 Long-Term Power Commodity Contracts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described in Notes 2 and 6 to the consolidated financial statements, the Company uses energy-related derivative financial instruments to mitigate variability in earnings due to fluctuations in power market prices or natural gas market prices. As disclosed by management, the fair value of the Company’s financial instruments is determined using discounted cash flow models. 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As of December 31, 2024, the fair value of the Company’s Level 3 long-term power commodity contracts was $366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9" w:name="page90"/>
    <w:bookmarkEnd w:id="89"/>
    <w:p>
      <w:pPr>
        <w:jc w:val="both"/>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Level 3 long-term power commodity contracts is a critical audit matter are (i) the significant judgment by management when developing the fair value estimate of the Level 3 long-term power commodity contracts; (ii) a high degree of auditor judgment, subjectivity, and effort in performing procedures and evaluating audit evidence related to (a) management’s significant unobservable inputs related to illiquid power tenors and (b) the discounted cash flow models used in developing the fair value estimate of the Level 3 long-term power commodity contracts; and (iii) the audit effort involved the use of professionals with specialized skill and knowledge.</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Level 3 long-term power commodity contracts, including controls over the discounted cash flow models and illiquid power tenors. These procedures also included, among others (i) testing the completeness and accuracy of underlying data used by management and (ii) the involvement of professionals with specialized skill and knowledge to assist in evaluating the reasonableness of management’s estimate by (a) evaluating the reasonableness of the illiquid power tenors, (b) evaluating the appropriateness of the discounted cash flow models used in developing the fair value estimate of the Level 3 long-term power commodity contracts and (c) developing an independent estimate of the Level 3 long-term power commodity contracts using independently determined illiquid power tenors and comparing the independent estimate to management’s estimate.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Hypothetical Liquidation at Book Value (HLBV) Calculation of Net Loss Attributable to Noncontrolling Interests in Tax Equity Arrangements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noncontrolling interests represent substantive profit-sharing arrangements, for which management uses a balance sheet approach utilizing the HLBV method to calculate the noncontrolling interest. Under the HLBV method, the amounts reported as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2024, the net loss attributable to noncontrolling interests and redeemable noncontrolling interests was $236 million, of which a majority represents third-party interests in the net assets under tax equity arrangements.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HLBV calculation of net loss attributable to noncontrolling interests in tax equity arrangements is a critical audit matter are (i) the significant judgment by management in applying the HLBV method to determine the income or loss each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noncontrolling interests in tax equity arrangements; and (iii) the audit effort involved the use of professionals with specialized skill and knowledge.</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HLBV calculation of the noncontrolling interests in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noncontrolling interests based on the terms of the contractual agreements and comparing the independent calculations to management's calculations.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Baltimore, Maryland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Members of Clearway Energy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Clearway Energy LLC (the Company) as of December 31, 2023, the related consolidated statements of income, comprehensive income, members’ equity and cash flows for each of the two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2021 to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6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Development costs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r>
      <w:tr>
        <w:trPr>
          <w:trHeight w:val="171"/>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business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71"/>
        </w:trPr>
        <w:tc>
          <w:tcPr>
            <w:tcW w:w="7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Before Income Taxes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71"/>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and redeemable noncontrolling interests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0"/>
        </w:trPr>
        <w:tc>
          <w:tcPr>
            <w:tcW w:w="79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9"/>
        </w:trPr>
        <w:tc>
          <w:tcPr>
            <w:tcW w:w="79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6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(loss) gain on derivatives and changes in accumulated OCI/OCL</w:t>
            </w:r>
          </w:p>
        </w:tc>
        <w:tc>
          <w:tcPr>
            <w:tcW w:w="6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r>
      <w:tr>
        <w:trPr>
          <w:trHeight w:val="18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noncontrolling interests</w:t>
            </w: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Clearway Energy LLC</w:t>
            </w:r>
          </w:p>
        </w:tc>
        <w:tc>
          <w:tcPr>
            <w:tcW w:w="68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0"/>
        </w:trPr>
        <w:tc>
          <w:tcPr>
            <w:tcW w:w="766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Note receivable — affiliate</w:t>
            </w: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0" w:type="dxa"/>
            <w:vAlign w:val="bottom"/>
          </w:tcPr>
          <w:p>
            <w:pPr>
              <w:spacing w:after="0"/>
              <w:rPr>
                <w:sz w:val="1"/>
                <w:szCs w:val="1"/>
                <w:color w:val="auto"/>
              </w:rPr>
            </w:pPr>
          </w:p>
        </w:tc>
      </w:tr>
      <w:tr>
        <w:trPr>
          <w:trHeight w:val="158"/>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Right-of-use assets, net</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0" w:type="dxa"/>
            <w:vAlign w:val="bottom"/>
          </w:tcPr>
          <w:p>
            <w:pPr>
              <w:spacing w:after="0"/>
              <w:rPr>
                <w:sz w:val="1"/>
                <w:szCs w:val="1"/>
                <w:color w:val="auto"/>
              </w:rPr>
            </w:pPr>
          </w:p>
        </w:tc>
      </w:tr>
      <w:tr>
        <w:trPr>
          <w:trHeight w:val="188"/>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 — affiliate</w:t>
            </w: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 — trade</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49"/>
        </w:trPr>
        <w:tc>
          <w:tcPr>
            <w:tcW w:w="76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 external</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Derivative instruments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0" w:type="dxa"/>
            <w:vAlign w:val="bottom"/>
          </w:tcPr>
          <w:p>
            <w:pPr>
              <w:spacing w:after="0"/>
              <w:rPr>
                <w:sz w:val="1"/>
                <w:szCs w:val="1"/>
                <w:color w:val="auto"/>
              </w:rPr>
            </w:pPr>
          </w:p>
        </w:tc>
      </w:tr>
      <w:tr>
        <w:trPr>
          <w:trHeight w:val="16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9,582</w:t>
            </w:r>
          </w:p>
        </w:tc>
        <w:tc>
          <w:tcPr>
            <w:tcW w:w="0" w:type="dxa"/>
            <w:vAlign w:val="bottom"/>
          </w:tcPr>
          <w:p>
            <w:pPr>
              <w:spacing w:after="0"/>
              <w:rPr>
                <w:sz w:val="1"/>
                <w:szCs w:val="1"/>
                <w:color w:val="auto"/>
              </w:rPr>
            </w:pPr>
          </w:p>
        </w:tc>
      </w:tr>
      <w:tr>
        <w:trPr>
          <w:trHeight w:val="15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Contributed capital</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0" w:type="dxa"/>
            <w:vAlign w:val="bottom"/>
          </w:tcPr>
          <w:p>
            <w:pPr>
              <w:spacing w:after="0"/>
              <w:rPr>
                <w:sz w:val="1"/>
                <w:szCs w:val="1"/>
                <w:color w:val="auto"/>
              </w:rPr>
            </w:pPr>
          </w:p>
        </w:tc>
      </w:tr>
      <w:tr>
        <w:trPr>
          <w:trHeight w:val="168"/>
        </w:trPr>
        <w:tc>
          <w:tcPr>
            <w:tcW w:w="7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172"/>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Noncontrolling interest</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5,105</w:t>
            </w:r>
          </w:p>
        </w:tc>
        <w:tc>
          <w:tcPr>
            <w:tcW w:w="0" w:type="dxa"/>
            <w:vAlign w:val="bottom"/>
          </w:tcPr>
          <w:p>
            <w:pPr>
              <w:spacing w:after="0"/>
              <w:rPr>
                <w:sz w:val="1"/>
                <w:szCs w:val="1"/>
                <w:color w:val="auto"/>
              </w:rPr>
            </w:pPr>
          </w:p>
        </w:tc>
      </w:tr>
      <w:tr>
        <w:trPr>
          <w:trHeight w:val="163"/>
        </w:trPr>
        <w:tc>
          <w:tcPr>
            <w:tcW w:w="7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cente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r>
      <w:tr>
        <w:trPr>
          <w:trHeight w:val="150"/>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9"/>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(In millions)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w:t>
            </w:r>
          </w:p>
        </w:tc>
      </w:tr>
      <w:tr>
        <w:trPr>
          <w:trHeight w:val="157"/>
        </w:trPr>
        <w:tc>
          <w:tcPr>
            <w:tcW w:w="82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(loss) income to net cash provided by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Equity in earnings of unconsolidated affiliates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Distributions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Amortization of financing costs and debt discounts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Reduction in carrying amount of right-of-use assets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Gain on sale of business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Impairment losses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 in deferred income taxes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Changes in derivative instruments and amortization of accumulated OCI/OCL</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r>
      <w:tr>
        <w:trPr>
          <w:trHeight w:val="157"/>
        </w:trPr>
        <w:tc>
          <w:tcPr>
            <w:tcW w:w="8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Changes in other working capital</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797</w:t>
            </w:r>
          </w:p>
        </w:tc>
      </w:tr>
      <w:tr>
        <w:trPr>
          <w:trHeight w:val="139"/>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9"/>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 of Drop Down Assets, net of cash acquired</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Acquisition of Capistrano Wind Portfolio, net of cash acquired</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Capital expenditures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 for equipment deposit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 for equipment deposit and asset purchase from affiliate</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Return of investments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Decrease (increase) in note receivable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sale of business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w:t>
            </w:r>
          </w:p>
        </w:tc>
      </w:tr>
      <w:tr>
        <w:trPr>
          <w:trHeight w:val="157"/>
        </w:trPr>
        <w:tc>
          <w:tcPr>
            <w:tcW w:w="8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Provided by Investing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w:t>
            </w:r>
          </w:p>
        </w:tc>
      </w:tr>
      <w:tr>
        <w:trPr>
          <w:trHeight w:val="139"/>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9"/>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Contributions from noncontrolling interests, net of distributions</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Contributions from (distributions to) CEG, net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of distributions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Distributions to CEG of escrowed amounts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Tax-related distributions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Buyouts of noncontrolling interest and redeemable noncontrolling interest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the revolving credit facility</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for the revolving credit facility</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issuance of long-term debt — external</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issuance of long-term debt — affiliate</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of debt issuance costs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7"/>
        </w:trPr>
        <w:tc>
          <w:tcPr>
            <w:tcW w:w="8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for long-term debt — external</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(1,198)</w:t>
            </w:r>
          </w:p>
        </w:tc>
      </w:tr>
      <w:tr>
        <w:trPr>
          <w:trHeight w:val="161"/>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for long-term debt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7"/>
        </w:trPr>
        <w:tc>
          <w:tcPr>
            <w:tcW w:w="8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w:t>
            </w:r>
          </w:p>
        </w:tc>
      </w:tr>
      <w:tr>
        <w:trPr>
          <w:trHeight w:val="148"/>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(Decrease) Increase in Cash, Cash Equivalents and Restricted Cash</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6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50"/>
        </w:trPr>
        <w:tc>
          <w:tcPr>
            <w:tcW w:w="8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Period</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996</w:t>
            </w:r>
          </w:p>
        </w:tc>
      </w:tr>
      <w:tr>
        <w:trPr>
          <w:trHeight w:val="71"/>
        </w:trPr>
        <w:tc>
          <w:tcPr>
            <w:tcW w:w="8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59"/>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w:t>
            </w:r>
          </w:p>
        </w:tc>
        <w:tc>
          <w:tcPr>
            <w:tcW w:w="2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r>
      <w:tr>
        <w:trPr>
          <w:trHeight w:val="15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paid, net of amount capitalized</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48"/>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ind w:left="168"/>
              <w:spacing w:after="0" w:line="101" w:lineRule="exact"/>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Contributed Capital</w:t>
            </w:r>
          </w:p>
        </w:tc>
        <w:tc>
          <w:tcPr>
            <w:tcW w:w="12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920" w:type="dxa"/>
            <w:vAlign w:val="bottom"/>
          </w:tcPr>
          <w:p>
            <w:pPr>
              <w:jc w:val="center"/>
              <w:ind w:left="168"/>
              <w:spacing w:after="0" w:line="9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20" w:type="dxa"/>
            <w:vAlign w:val="bottom"/>
          </w:tcPr>
          <w:p>
            <w:pPr>
              <w:jc w:val="center"/>
              <w:ind w:left="168"/>
              <w:spacing w:after="0"/>
              <w:rPr>
                <w:sz w:val="20"/>
                <w:szCs w:val="20"/>
                <w:color w:val="auto"/>
              </w:rPr>
            </w:pPr>
            <w:r>
              <w:rPr>
                <w:rFonts w:ascii="Times New Roman" w:cs="Times New Roman" w:eastAsia="Times New Roman" w:hAnsi="Times New Roman"/>
                <w:sz w:val="10"/>
                <w:szCs w:val="10"/>
                <w:b w:val="1"/>
                <w:bCs w:val="1"/>
                <w:color w:val="auto"/>
                <w:w w:val="96"/>
              </w:rPr>
              <w:t>(Loss) Income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Members’ Equity</w:t>
            </w:r>
          </w:p>
        </w:tc>
        <w:tc>
          <w:tcPr>
            <w:tcW w:w="0" w:type="dxa"/>
            <w:vAlign w:val="bottom"/>
          </w:tcPr>
          <w:p>
            <w:pPr>
              <w:spacing w:after="0"/>
              <w:rPr>
                <w:sz w:val="1"/>
                <w:szCs w:val="1"/>
                <w:color w:val="auto"/>
              </w:rPr>
            </w:pPr>
          </w:p>
        </w:tc>
      </w:tr>
      <w:tr>
        <w:trPr>
          <w:trHeight w:val="15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1,495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(13)</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gain on derivatives and changes in accumulated OCL</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contributions from CEG, non-cash</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(distributions to) CEG, 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Capistrano Wind Portfolio Acquisition</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Kawailoa Sale to Clearway Renew</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5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1,308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1,240</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4,160</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loss on derivatives and changes in accumulated OCI</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CEG, cash</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Clearway, Inc., non-cash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144"/>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1,299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5,105</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Unrealized (loss) gain on derivatives and changes in accumulated OCI</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CEG, 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Transfer of assets under common control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Buyout of noncontrolling interest</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Buyout of redeemable noncontrolling interest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paid to Clearway, Inc.</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paid to CEG Class B and Class D unit holders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0" w:type="dxa"/>
            <w:vAlign w:val="bottom"/>
          </w:tcPr>
          <w:p>
            <w:pPr>
              <w:spacing w:after="0"/>
              <w:rPr>
                <w:sz w:val="1"/>
                <w:szCs w:val="1"/>
                <w:color w:val="auto"/>
              </w:rPr>
            </w:pPr>
          </w:p>
        </w:tc>
      </w:tr>
      <w:tr>
        <w:trPr>
          <w:trHeight w:val="153"/>
        </w:trPr>
        <w:tc>
          <w:tcPr>
            <w:tcW w:w="5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81"/>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r>
        <w:rPr>
          <w:rFonts w:ascii="Times New Roman" w:cs="Times New Roman" w:eastAsia="Times New Roman" w:hAnsi="Times New Roman"/>
          <w:sz w:val="11"/>
          <w:szCs w:val="11"/>
          <w:i w:val="1"/>
          <w:iCs w:val="1"/>
          <w:color w:val="auto"/>
        </w:rPr>
        <w: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Clearway, Inc. owned 58.10% of the economic interests of the Company, with CEG owning 41.90% of the economic interests of the Company. For further discussion, see Note 11, </w:t>
      </w:r>
      <w:r>
        <w:rPr>
          <w:rFonts w:ascii="Times New Roman" w:cs="Times New Roman" w:eastAsia="Times New Roman" w:hAnsi="Times New Roman"/>
          <w:sz w:val="14"/>
          <w:szCs w:val="14"/>
          <w:i w:val="1"/>
          <w:iCs w:val="1"/>
          <w:color w:val="auto"/>
        </w:rPr>
        <w:t>Members’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35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08195" cy="343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FASB ASC is the source of authoritative GAAP to be applied by nongovernmental entities.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rules and interpretative releases of the SEC under authority of federal securities laws are also sources of authoritative GAAP for SEC registrants.</w:t>
      </w:r>
    </w:p>
    <w:p>
      <w:pPr>
        <w:spacing w:after="0" w:line="12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xml:space="preserve"> to determine when an entity that is insufficiently capitalized or not controlled through its voting interests, referred to as a variable interest entity, or VIE, should be consolidated.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subsidiary facilities was $194 million and $125 million as of December 31, 2024 and 2023,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8" w:name="page99"/>
    <w:bookmarkEnd w:id="98"/>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4"/>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3"/>
                <w:szCs w:val="13"/>
                <w:color w:val="auto"/>
              </w:rPr>
            </w:pPr>
          </w:p>
        </w:tc>
      </w:tr>
      <w:tr>
        <w:trPr>
          <w:trHeight w:val="18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facilities that are restricted in their use.</w:t>
      </w:r>
    </w:p>
    <w:p>
      <w:pPr>
        <w:spacing w:after="0" w:line="136"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is held in distribution reserve accounts.</w:t>
      </w:r>
    </w:p>
    <w:p>
      <w:pPr>
        <w:spacing w:after="0" w:line="261"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As of December 31, 2023, these restricted funds were comprised of $176 million designated to fund operating expenses, $178 million designated for current debt service payments and $85 million restricted for reserves, including debt service, performance obligations and other reserves as well as capital expenditures. The remaining $77 million was held in distribution reserve accounts.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Cash Flow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a disaggregation of the amounts classified as Acquisition of Drop Down Assets, net of cash acquired, shown in the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4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6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to acquire Drop Down Assets</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acquired from the acquisition of Drop Down Assets</w:t>
            </w:r>
          </w:p>
        </w:tc>
        <w:tc>
          <w:tcPr>
            <w:tcW w:w="10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833"/>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Drop Down Assets, net of cash acquired</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4"/>
                <w:szCs w:val="14"/>
                <w:color w:val="auto"/>
              </w:rPr>
              <w:t>(71)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 Trade and Allowance for Credit Losses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2024 and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Interest incurred on funds borrowed to finance capital projects is capitalized until the project under construction is ready for its intended use. The amount of interest capitalized for the years ended December 31, 2024, 2023 and 2022 was $28 million, $36 million and $2 million,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4"/>
          <w:szCs w:val="14"/>
          <w:i w:val="1"/>
          <w:iCs w:val="1"/>
          <w:color w:val="auto"/>
        </w:rPr>
        <w:t>Intangible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is classified as a partnership for federal and state income tax purposes. Therefore, federal and most state income taxes are assessed at the partner level. The franchise tax imposed by the state of Texas, however, is being assessed at the level of certain operating subsidiaries of the Company, and therefore reflected as an income tax expense or benefit of the Company.</w:t>
      </w:r>
    </w:p>
    <w:p>
      <w:pPr>
        <w:spacing w:after="0" w:line="82"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For the year ended December 31, 2024, the Company recorded a deferred tax expense of $1 million, which resulted in a cumulative deferred tax liability of $3 million with respect to future years. For the year ended December 31, 2023, the Company recorded a deferred tax benefit of $2 million, which resulted in a cumulative deferred tax liability of $2 million with respect to future years.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Flexible Generation Segment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0" w:name="page101"/>
    <w:bookmarkEnd w:id="100"/>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2024, 2023 and 2022 was $831 million, $780 million and $850 million, respectively. See Note 15,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 related to the Company’s PPAs accounted for as leases.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1, 2022, the Company completed the sale of 100% of its interests in the Thermal Business to KKR.</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Prior to the sale, steam and chilled water revenue was recognized as the Company transferred the product to the customer, based on customer usage as determined by meter readings taken at month-end. Some locations read customer meters throughout the month and recognized estimated revenue for the period between meter read date and month-end. For thermal contracts, the Company’s performance obligation to deliver steam and chilled water was satisfied over time and revenue was recognized based on the invoiced amount. The Thermal Business subsidiaries collected and remitted state and local taxes associated with sales to their customers, as required by governmental authorities. These taxes were presented on a net basis in the consolidated statements of income.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1" w:name="page102"/>
    <w:bookmarkEnd w:id="101"/>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480" w:type="dxa"/>
            <w:vAlign w:val="bottom"/>
            <w:tcBorders>
              <w:top w:val="single" w:sz="8" w:color="CCEEFF"/>
            </w:tcBorders>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r>
      <w:tr>
        <w:trPr>
          <w:trHeight w:val="170"/>
        </w:trPr>
        <w:tc>
          <w:tcPr>
            <w:tcW w:w="64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r>
      <w:tr>
        <w:trPr>
          <w:trHeight w:val="1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68"/>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60"/>
        </w:trPr>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r>
      <w:tr>
        <w:trPr>
          <w:trHeight w:val="20"/>
        </w:trPr>
        <w:tc>
          <w:tcPr>
            <w:tcW w:w="2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37" w:lineRule="exact"/>
        <w:rPr>
          <w:sz w:val="20"/>
          <w:szCs w:val="20"/>
          <w:color w:val="auto"/>
        </w:rPr>
      </w:pPr>
    </w:p>
    <w:p>
      <w:pPr>
        <w:ind w:left="200" w:hanging="131"/>
        <w:spacing w:after="0"/>
        <w:tabs>
          <w:tab w:leader="none" w:pos="200" w:val="left"/>
        </w:tabs>
        <w:numPr>
          <w:ilvl w:val="0"/>
          <w:numId w:val="5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for the</w:t>
      </w:r>
      <w:r>
        <w:rPr>
          <w:rFonts w:ascii="Times New Roman" w:cs="Times New Roman" w:eastAsia="Times New Roman" w:hAnsi="Times New Roman"/>
          <w:sz w:val="12"/>
          <w:szCs w:val="12"/>
          <w:color w:val="auto"/>
        </w:rPr>
        <w:t xml:space="preserve"> amounts of energy and capacity revenues that relate to leases and are accounted for under ASC 842.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34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40" w:type="dxa"/>
            <w:vAlign w:val="bottom"/>
          </w:tcPr>
          <w:p>
            <w:pPr>
              <w:spacing w:after="0"/>
              <w:rPr>
                <w:sz w:val="13"/>
                <w:szCs w:val="13"/>
                <w:color w:val="auto"/>
              </w:rPr>
            </w:pPr>
          </w:p>
        </w:tc>
        <w:tc>
          <w:tcPr>
            <w:tcW w:w="112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580" w:type="dxa"/>
            <w:vAlign w:val="bottom"/>
            <w:tcBorders>
              <w:top w:val="single" w:sz="8" w:color="CCEEFF"/>
            </w:tcBorders>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r>
      <w:tr>
        <w:trPr>
          <w:trHeight w:val="170"/>
        </w:trPr>
        <w:tc>
          <w:tcPr>
            <w:tcW w:w="658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70"/>
        </w:trPr>
        <w:tc>
          <w:tcPr>
            <w:tcW w:w="658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Other revenues </w:t>
            </w:r>
            <w:r>
              <w:rPr>
                <w:rFonts w:ascii="Times New Roman" w:cs="Times New Roman" w:eastAsia="Times New Roman" w:hAnsi="Times New Roman"/>
                <w:sz w:val="16"/>
                <w:szCs w:val="16"/>
                <w:color w:val="auto"/>
                <w:vertAlign w:val="superscript"/>
              </w:rPr>
              <w:t>(a)</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r>
      <w:tr>
        <w:trPr>
          <w:trHeight w:val="16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160"/>
        </w:trPr>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20"/>
        </w:trPr>
        <w:tc>
          <w:tcPr>
            <w:tcW w:w="2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9"/>
        </w:trPr>
        <w:tc>
          <w:tcPr>
            <w:tcW w:w="22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33" w:lineRule="exact"/>
        <w:rPr>
          <w:sz w:val="20"/>
          <w:szCs w:val="20"/>
          <w:color w:val="auto"/>
        </w:rPr>
      </w:pPr>
    </w:p>
    <w:p>
      <w:pPr>
        <w:ind w:left="200" w:hanging="131"/>
        <w:spacing w:after="0"/>
        <w:tabs>
          <w:tab w:leader="none" w:pos="20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the amounts of energy, capacity and other revenues that relate to leases and are accounted for under ASC 842.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6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50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r>
      <w:tr>
        <w:trPr>
          <w:trHeight w:val="170"/>
        </w:trPr>
        <w:tc>
          <w:tcPr>
            <w:tcW w:w="65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7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6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160"/>
        </w:trPr>
        <w:tc>
          <w:tcPr>
            <w:tcW w:w="6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20"/>
        </w:trPr>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15,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for the amounts of energy and capacity revenues that relate to leases and are accounted for under ASC 842.</w:t>
      </w:r>
    </w:p>
    <w:p>
      <w:pPr>
        <w:spacing w:after="0" w:line="200" w:lineRule="exact"/>
        <w:rPr>
          <w:rFonts w:ascii="Times New Roman" w:cs="Times New Roman" w:eastAsia="Times New Roman" w:hAnsi="Times New Roman"/>
          <w:sz w:val="17"/>
          <w:szCs w:val="17"/>
          <w:color w:val="auto"/>
          <w:vertAlign w:val="superscript"/>
        </w:rPr>
      </w:pPr>
    </w:p>
    <w:p>
      <w:pPr>
        <w:spacing w:after="0" w:line="352"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included on the Company’s 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Pr>
          <w:p>
            <w:pPr>
              <w:spacing w:after="0"/>
              <w:rPr>
                <w:sz w:val="13"/>
                <w:szCs w:val="13"/>
                <w:color w:val="auto"/>
              </w:rPr>
            </w:pPr>
          </w:p>
        </w:tc>
        <w:tc>
          <w:tcPr>
            <w:tcW w:w="1420" w:type="dxa"/>
            <w:vAlign w:val="bottom"/>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 - Contracts with customers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receivable, net - Leases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88"/>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 until the hedged transactions occur and are recognized in earnings.</w:t>
      </w:r>
    </w:p>
    <w:p>
      <w:pPr>
        <w:spacing w:after="0" w:line="51"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financial instrument is terminated, the effective portion of this derivative deferred in accumulated OCI will be frozen until the underlying hedged item is delivered.</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 See Note 6,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for a further discussion of derivative concentrations and Note 12,</w:t>
      </w:r>
      <w:r>
        <w:rPr>
          <w:rFonts w:ascii="Times New Roman" w:cs="Times New Roman" w:eastAsia="Times New Roman" w:hAnsi="Times New Roman"/>
          <w:sz w:val="14"/>
          <w:szCs w:val="14"/>
          <w:i w:val="1"/>
          <w:iCs w:val="1"/>
          <w:color w:val="auto"/>
        </w:rPr>
        <w:t xml:space="preserve"> Segment Reporting, </w:t>
      </w:r>
      <w:r>
        <w:rPr>
          <w:rFonts w:ascii="Times New Roman" w:cs="Times New Roman" w:eastAsia="Times New Roman" w:hAnsi="Times New Roman"/>
          <w:sz w:val="14"/>
          <w:szCs w:val="14"/>
          <w:color w:val="auto"/>
        </w:rPr>
        <w:t>for concentration of counterparties.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 trade, accounts payable — trade, account payable — affiliates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9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balance of AROs, along with the related activity: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facilities accounted for by the equity method, several of which are VIEs, where the Company is not a primary beneficiary,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Arrangements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third-party and simultaneous leaseback to the Company. In accordance with ASC 842-40,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acquisitions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contributed capital.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Certain portions of the Company’s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noncontrolling interests represent substantive profit sharing arrangements. Further, the Company has determined that the appropriate methodology for calculating the noncontrolling interest that reflects the substantive profit sharing arrangements is a balance sheet approach utilizing the hypothetical liquidation at book value, or HLBV, method. Under the HLBV method, the amounts reported as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income using a systematic and rational method over the period during which the investor is expected to achieve its target return.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During the fourth quarter of 2024, the Company repurchased the remaining partner’s equity interest,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following table reflects the changes in the Company’s redeemable noncontrolling interest balance: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4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4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4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Repurchase of redeemable noncontrolling interest</w:t>
            </w:r>
          </w:p>
        </w:tc>
        <w:tc>
          <w:tcPr>
            <w:tcW w:w="4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 improves reportable segment disclosure requirements, primarily through enhanced disclosures about significant segment expense categories and details regarding information utilized to assess segment performance. Additionally, the amendment increases the frequency of disclosures by requiring Topic 280 to be applied to interim financial statements. This guidance must be applied retrospectively and is effective for annual reporting periods in fiscal years beginning after December 15, 2023, and interim reporting periods in fiscal years beginning after December 31, 2024. As of December 31, 2024, the Company has adopted ASU 2023-07 and has enhanced its reportable segment disclosures in Note 12,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to comply with the requirements. The adoption did not have an impact on the Company’s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Standards Not Yet Adopted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In November 2024, the FASB issued ASU No 2024-03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 Reporting Comprehensive Income-Expense Disaggregation Disclosures (Subtopic 220-40).</w:t>
      </w:r>
      <w:r>
        <w:rPr>
          <w:rFonts w:ascii="Times New Roman" w:cs="Times New Roman" w:eastAsia="Times New Roman" w:hAnsi="Times New Roman"/>
          <w:sz w:val="14"/>
          <w:szCs w:val="14"/>
          <w:color w:val="auto"/>
        </w:rPr>
        <w:t xml:space="preserve"> The amendment requires certain expenses presented on the face of the income 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2024, the Company has not elected to early adopt the standard and is evaluating the effect of the new guidance on its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Note 3 — Acquisitions</w:t>
      </w:r>
    </w:p>
    <w:p>
      <w:pPr>
        <w:spacing w:after="0" w:line="13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records the assets acquired and liabilities assumed at acquisition-date fair value, except for acquisitions under common control by CEG, in which assets acquired and liabilities assumed are recorded at historical cost at the acquisition date, which for certain transactions represent the acquired cost.</w:t>
      </w:r>
    </w:p>
    <w:p>
      <w:pPr>
        <w:spacing w:after="0" w:line="25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Dan’s Mountain Drop Down — </w:t>
      </w:r>
      <w:r>
        <w:rPr>
          <w:rFonts w:ascii="Times New Roman" w:cs="Times New Roman" w:eastAsia="Times New Roman" w:hAnsi="Times New Roman"/>
          <w:sz w:val="14"/>
          <w:szCs w:val="14"/>
          <w:color w:val="auto"/>
        </w:rPr>
        <w:t>On November 18, 2024, the Company, through its indirect subsidiary, Dan’s Mountain Parent Holdco LLC, acquired the Class A membership interests in Dan’s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Mountain TargetCo LLC, the indirect owner of Dan’s Mountain, a 55 MW wind facility that is currently under construction in Allegany County, Maryland, from Clearway Renew for initial cash consideration of $7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Dan’s Mountain has a 12-year PPA with an investment-grade utility that will commence when the underlying operating assets reach commercial operations, which is expected to occur in the first half of 2025. The Dan’s Mountain operations are reflected in the Company’s Renewables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$7 million and the historical cost of the Company’s net liabilities assumed of $2 million, less Clearway Renew’s investment of $1 million in Dan’s Mountain TargetCo LLC, was recorded as an adjustment to contributed capital. In addition, the Company reflected the entire $7 million purchase price, which was contributed back to the Company by CEG to pay down the acquired long-term debt, in the line item contributions from CEG, net of distributions, in the consolidated statements of members’ equity.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November 18,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Dan’s Mountain</w:t>
            </w:r>
          </w:p>
        </w:tc>
      </w:tr>
      <w:tr>
        <w:trPr>
          <w:trHeight w:val="173"/>
        </w:trPr>
        <w:tc>
          <w:tcPr>
            <w:tcW w:w="924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12"/>
        </w:trPr>
        <w:tc>
          <w:tcPr>
            <w:tcW w:w="9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3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$150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$77 million cash equity bridge loan and a $49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7" w:name="page108"/>
    <w:bookmarkEnd w:id="107"/>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Rosamond Central BESS Drop Down </w:t>
      </w:r>
      <w:r>
        <w:rPr>
          <w:rFonts w:ascii="Times New Roman" w:cs="Times New Roman" w:eastAsia="Times New Roman" w:hAnsi="Times New Roman"/>
          <w:sz w:val="14"/>
          <w:szCs w:val="14"/>
          <w:color w:val="auto"/>
        </w:rPr>
        <w:t>— On December 1, 2023, the Rosamond Central solar facility acquired a 147 MW co-located BESS facility from Clearway Renew for initial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consideration of $70 million, $16 million of which was funded by the Company, with the remaining $54 million funded through contributions from the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discussed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and also made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contributions to Rosie BESS Devco LLC, or Rosie Central BESS, which were accounted for as investments under the equity method of accounting, as further discussed in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Investments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Accounted for by the Equity Method and Variable Interest Entities</w:t>
      </w:r>
      <w:r>
        <w:rPr>
          <w:rFonts w:ascii="Times New Roman" w:cs="Times New Roman" w:eastAsia="Times New Roman" w:hAnsi="Times New Roman"/>
          <w:sz w:val="14"/>
          <w:szCs w:val="14"/>
          <w:color w:val="000000"/>
        </w:rPr>
        <w:t>. The BESS facility has a 15-year PPA for capacity with an investment-grade utility that commenced in July 2024. The Rosamond</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 xml:space="preserve">Central BESS operations are reflected in the Company’s Renewables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000000"/>
        </w:rPr>
        <w:t>Business Combinations - Related Issues</w:t>
      </w:r>
      <w:r>
        <w:rPr>
          <w:rFonts w:ascii="Times New Roman" w:cs="Times New Roman" w:eastAsia="Times New Roman" w:hAnsi="Times New Roman"/>
          <w:sz w:val="14"/>
          <w:szCs w:val="14"/>
          <w:color w:val="000000"/>
        </w:rPr>
        <w:t>. The difference between the historical cost of the Company’s net assets acquired of $266 million and the Company’s initial cash consideration of $70 million was recorded as an adjustment to contributed capital. The $279 million additional purchase price was also recorded as an adjustment to contributed capital.</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Rosamond Central BESS</w:t>
            </w:r>
          </w:p>
        </w:tc>
      </w:tr>
      <w:tr>
        <w:trPr>
          <w:trHeight w:val="173"/>
        </w:trPr>
        <w:tc>
          <w:tcPr>
            <w:tcW w:w="90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12"/>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9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$272 million.</w:t>
      </w:r>
    </w:p>
    <w:p>
      <w:pPr>
        <w:spacing w:after="0" w:line="119" w:lineRule="exact"/>
        <w:rPr>
          <w:sz w:val="20"/>
          <w:szCs w:val="20"/>
          <w:color w:val="auto"/>
        </w:rPr>
      </w:pPr>
    </w:p>
    <w:p>
      <w:pPr>
        <w:jc w:val="both"/>
        <w:ind w:left="60"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Victory Pass and Arica Drop Down </w:t>
      </w:r>
      <w:r>
        <w:rPr>
          <w:rFonts w:ascii="Times New Roman" w:cs="Times New Roman" w:eastAsia="Times New Roman" w:hAnsi="Times New Roman"/>
          <w:sz w:val="14"/>
          <w:szCs w:val="14"/>
          <w:color w:val="auto"/>
        </w:rPr>
        <w:t xml:space="preserve">— 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cash equity investor contributed an additional $347 million. VP-Arica TargetCo LLC consolidates as primary beneficiary, VP-Arica TE Holdco LLC, a tax equity fund that owns the Victory Pass and Arica solar and BESS facilities, as further described in Note 5, </w:t>
      </w:r>
      <w:r>
        <w:rPr>
          <w:rFonts w:ascii="Times New Roman" w:cs="Times New Roman" w:eastAsia="Times New Roman" w:hAnsi="Times New Roman"/>
          <w:sz w:val="14"/>
          <w:szCs w:val="14"/>
          <w:i w:val="1"/>
          <w:iCs w:val="1"/>
          <w:color w:val="auto"/>
        </w:rPr>
        <w:t>Investments Accounted for by the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Method and Variable Interest Entities</w:t>
      </w:r>
      <w:r>
        <w:rPr>
          <w:rFonts w:ascii="Times New Roman" w:cs="Times New Roman" w:eastAsia="Times New Roman" w:hAnsi="Times New Roman"/>
          <w:sz w:val="14"/>
          <w:szCs w:val="14"/>
          <w:color w:val="auto"/>
        </w:rPr>
        <w:t>. Victory Pass and Arica each have PPAs with investment-grade counterparties that have a 15-year and 14-year weighted average contract duration, respectively,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that commenced between March 2024 and April 2024. The Victory Pass and Arica operations are reflected in the Company’s Renewables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initial cash consideration of $46 million and the historical cost of the Company’s net liabilities assumed of $1 million was recorded as an adjustment to contributed capital. The $165 million additional purchase price was also recorded as an adjustment to contributed capital. In addition, the Company reflected the entire $46 million of the Company’s initial purchase price, which was contributed back to the Company by CEG to pay down the acquired long-term debt, in the line item distributions to CEG, net of contributions, in the consolidated statements of members’ equity. The Company also reflected the entire $165 million of the Company’s additional purchase price, which was contributed back to the Company by CEG to pay down long-term debt, in the line item contributions to CEG, net of distributions, in the consolidated statements of members’ equity.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31,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Victory Pass and Arica</w:t>
            </w:r>
          </w:p>
        </w:tc>
      </w:tr>
      <w:tr>
        <w:trPr>
          <w:trHeight w:val="173"/>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(a)</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212"/>
        </w:trPr>
        <w:tc>
          <w:tcPr>
            <w:tcW w:w="9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180"/>
        </w:trPr>
        <w:tc>
          <w:tcPr>
            <w:tcW w:w="920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2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0"/>
        </w:trPr>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9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24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71"/>
        </w:trPr>
        <w:tc>
          <w:tcPr>
            <w:tcW w:w="9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9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Construction in progress of $893 million.</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206"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 $483 million cash equity bridge loan and $385 million tax equity bridge loan, offset by $4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9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Cedar Creek Drop Down — </w:t>
      </w:r>
      <w:r>
        <w:rPr>
          <w:rFonts w:ascii="Times New Roman" w:cs="Times New Roman" w:eastAsia="Times New Roman" w:hAnsi="Times New Roman"/>
          <w:sz w:val="14"/>
          <w:szCs w:val="14"/>
          <w:color w:val="auto"/>
        </w:rPr>
        <w:t>On April 16, 2024, the Company, through its indirect subsidiary, Cedar Creek Wind Holdco LLC, acquired Cedar Creek Holdco LLC, the indirect owner of Cedar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Creek, a 160 MW wind facility that is located in Bingham County, Idaho, from Clearway Renew for cash consideration of $117 million. Cedar Creek Holdco LLC consolidates as primary beneficiary, Cedar Creek TE Holdco LLC, a tax equity fund that owns the Cedar Creek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Cedar Creek has a 25-year PPA with an investment-grade utility that commenced in March 2024. The Cedar Creek operations are reflected in the Company’s Renewables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Issues</w:t>
      </w:r>
      <w:r>
        <w:rPr>
          <w:rFonts w:ascii="Times New Roman" w:cs="Times New Roman" w:eastAsia="Times New Roman" w:hAnsi="Times New Roman"/>
          <w:sz w:val="14"/>
          <w:szCs w:val="14"/>
          <w:color w:val="auto"/>
        </w:rPr>
        <w:t>. The difference between the Company’s cash paid of $117 million and the historical cost of the Company’s net assets acquired of $17 million was recorded as an adjustment to contributed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In addition, the Company reflected the entire $117 million purchase price, which was contributed back to the Company by CEG to pay down the acquired long-term debt, in the line item contributions from CEG, net of distributions, in the consolidated statements of members’ equity.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April 16,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Cedar Creek</w:t>
            </w:r>
          </w:p>
        </w:tc>
      </w:tr>
      <w:tr>
        <w:trPr>
          <w:trHeight w:val="173"/>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2"/>
        </w:trPr>
        <w:tc>
          <w:tcPr>
            <w:tcW w:w="2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80"/>
        </w:trPr>
        <w:tc>
          <w:tcPr>
            <w:tcW w:w="92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80"/>
        </w:trPr>
        <w:tc>
          <w:tcPr>
            <w:tcW w:w="9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9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9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71"/>
        </w:trPr>
        <w:tc>
          <w:tcPr>
            <w:tcW w:w="9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22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7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tcPr>
          <w:p>
            <w:pPr>
              <w:spacing w:after="0"/>
              <w:rPr>
                <w:sz w:val="9"/>
                <w:szCs w:val="9"/>
                <w:color w:val="auto"/>
              </w:rPr>
            </w:pPr>
          </w:p>
        </w:tc>
      </w:tr>
    </w:tbl>
    <w:p>
      <w:pPr>
        <w:spacing w:after="0" w:line="87" w:lineRule="exact"/>
        <w:rPr>
          <w:sz w:val="20"/>
          <w:szCs w:val="20"/>
          <w:color w:val="auto"/>
        </w:rPr>
      </w:pPr>
    </w:p>
    <w:p>
      <w:pPr>
        <w:ind w:left="60" w:firstLine="9"/>
        <w:spacing w:after="0" w:line="230" w:lineRule="auto"/>
        <w:tabs>
          <w:tab w:leader="none" w:pos="190" w:val="left"/>
        </w:tabs>
        <w:numPr>
          <w:ilvl w:val="0"/>
          <w:numId w:val="6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$112 million construction loan, a $91 million cash equity bridge loan, and a $109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9" w:name="page110"/>
    <w:bookmarkEnd w:id="109"/>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2 Drop Down — </w:t>
      </w:r>
      <w:r>
        <w:rPr>
          <w:rFonts w:ascii="Times New Roman" w:cs="Times New Roman" w:eastAsia="Times New Roman" w:hAnsi="Times New Roman"/>
          <w:sz w:val="14"/>
          <w:szCs w:val="14"/>
          <w:color w:val="auto"/>
        </w:rPr>
        <w:t>On March 15, 2024, the Company, through its indirect subsidiary, TSN1 TE Holdco LLC, acquired Texas Solar Nova 2, a 200 MW solar facility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located in Kent County, Texas, from Clearway Renew for cash consideration of $112 million, of which $17 million was funded by the Company, with the remaining $95 million funded through a contribution from the cash equity investor in Lighthouse Renewable Holdco 2 LLC, a partnership. Lighthouse Renewable Holdco 2 LLC indirectly consolidates as primary beneficiary, TSN1 TE Holdco LLC, a tax equity fund that owns Texas Solar Nova 1 and Texas Solar Nova 2,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Texas Solar Nova 2 has an 18-year PPA with an investment-grade counterparty that commenced in February 2024. The Texas Solar Nova 2 operations are reflected in the Company’s Renewables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Company’s cash paid of $112 million and the historical cost of the Company’s net assets acquired of $72 million was recorded as an adjustment to contributed capital. In addition, the Company reflected $9 million of the Company’s purchase price, which was contributed back to the Company by CEG to pay down the acquired long-term debt, in the line item contributions from CEG, net of distributions, in the consolidated statements of members’ equity.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15,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an $80 million term loan and a $115 million tax equity bridge loan, offset by $1 million in unamortized debt issuance costs. See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Texas Solar Nova 1 Drop Down </w:t>
      </w:r>
      <w:r>
        <w:rPr>
          <w:rFonts w:ascii="Times New Roman" w:cs="Times New Roman" w:eastAsia="Times New Roman" w:hAnsi="Times New Roman"/>
          <w:sz w:val="14"/>
          <w:szCs w:val="14"/>
          <w:color w:val="auto"/>
        </w:rPr>
        <w:t>— On December 28, 2023, the Company, through its indirect subsidiary, Lighthouse Renewable Holdco 2 LLC, acquired TSN1 BL Borrower Holdco LLC,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indirect owner of Texas Solar Nova 1, a 252 MW solar facility that is located in Kent County, Texas, from Clearway Renew for cash consideration of $23 million. Lighthouse Renewable Holdco 2 LLC is a partnership between the Company and a cash equity investor. The cash equity investor contributed cash consideration of $109 million to acquire their portion of the acquired entity. TSN1 BL Borrower Holdco LLC consolidates as primary beneficiary, TSN1 TE Holdco LLC, a tax equity fund that owns the Texas Solar Nova 1 solar facility, as further described in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Accounted for by the Equity Method and Variable Interest Entities</w:t>
      </w:r>
      <w:r>
        <w:rPr>
          <w:rFonts w:ascii="Times New Roman" w:cs="Times New Roman" w:eastAsia="Times New Roman" w:hAnsi="Times New Roman"/>
          <w:sz w:val="14"/>
          <w:szCs w:val="14"/>
          <w:color w:val="auto"/>
        </w:rPr>
        <w:t>. Texas Solar Nova 1 has an 18-year PPA with an investment-grade counterparty that commenced in January 2024. The Texas Solar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Nova 1 operations are reflected in the Company’s Renewables segment and the acquisition was funded with existing sources of liquidity. The acquisition was determined to be an asset acquisition and the Company consolidates Texas Solar Nova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Company’s cash paid of $23 million and the historical cost of the Company’s net liabilities assumed of $6 million was recorded as an adjustment to contributed capital. In addition, the Company reflected the entire $23 million of the Company’s purchase price, which was contributed back to the Company by CEG to pay down the acquired long-term debt, in the line item distributions to CEG, net of contributions, in the consolidated statements of members’ equity.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28,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Texas Solar Nova 1</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212"/>
        </w:trPr>
        <w:tc>
          <w:tcPr>
            <w:tcW w:w="9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60" w:firstLine="9"/>
        <w:spacing w:after="0" w:line="230" w:lineRule="auto"/>
        <w:tabs>
          <w:tab w:leader="none" w:pos="190" w:val="left"/>
        </w:tabs>
        <w:numPr>
          <w:ilvl w:val="0"/>
          <w:numId w:val="6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$90 million construction loan, $109 million cash equity bridge loan and $151 million tax equity bridge loan, offset by $1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xml:space="preserve"> for further discussion of the long-term debt assumed in the acquisition.</w:t>
      </w:r>
    </w:p>
    <w:p>
      <w:pPr>
        <w:spacing w:after="0" w:line="11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2 Drop Down </w:t>
      </w:r>
      <w:r>
        <w:rPr>
          <w:rFonts w:ascii="Times New Roman" w:cs="Times New Roman" w:eastAsia="Times New Roman" w:hAnsi="Times New Roman"/>
          <w:sz w:val="14"/>
          <w:szCs w:val="14"/>
          <w:color w:val="auto"/>
        </w:rPr>
        <w:t>— On August 30, 2023, the Company, through its indirect subsidiary, Daggett Solar Investment LLC, acquired the Class A membership interests in Daggett 2 TargetCo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LLC, a partnership and the indirect owner of Daggett 2, a 182 MW solar facility that is paired with a 131 MW BESS facility located in San Bernardino, California, from CEG for cash consideration of $13 million. Daggett 2 TargetCo LLC consolidates as primary beneficiary, Daggett 2 TE Holdco LLC, a tax equity fund that owns the Daggett 2 solar facility, as further described in Note 5, </w:t>
      </w:r>
      <w:r>
        <w:rPr>
          <w:rFonts w:ascii="Times New Roman" w:cs="Times New Roman" w:eastAsia="Times New Roman" w:hAnsi="Times New Roman"/>
          <w:sz w:val="14"/>
          <w:szCs w:val="14"/>
          <w:i w:val="1"/>
          <w:iCs w:val="1"/>
          <w:color w:val="auto"/>
        </w:rPr>
        <w:t xml:space="preserve">Investments Accounted for by the Equity Method and Variable Interest Entities. </w:t>
      </w:r>
      <w:r>
        <w:rPr>
          <w:rFonts w:ascii="Times New Roman" w:cs="Times New Roman" w:eastAsia="Times New Roman" w:hAnsi="Times New Roman"/>
          <w:sz w:val="14"/>
          <w:szCs w:val="14"/>
          <w:color w:val="auto"/>
        </w:rPr>
        <w:t>Daggett 2 has PPAs with investment-grade counterparties that have a 15-year weighted average contract duration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commenced in December 2023. The Daggett 2 operations are reflected in the Company’s Renewables segment and the acquisition was funded with existing sources of liquidity. The acquisition was determined to be an asset acquisition and the Company consolidates Daggett 2 on a prospective basis in its financial statements. The assets, liabilities and noncontrolling interests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historical cost of the Company’s acquired interests of $29 million and the cash paid of $13 million was recorded as an adjustment to contributed capital.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1" w:name="page112"/>
    <w:bookmarkEnd w:id="111"/>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August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Daggett 2</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(a)</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9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12"/>
        </w:trPr>
        <w:tc>
          <w:tcPr>
            <w:tcW w:w="9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80"/>
        </w:trPr>
        <w:tc>
          <w:tcPr>
            <w:tcW w:w="924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71"/>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 less noncontrolling interests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60" w:firstLine="9"/>
        <w:spacing w:after="0" w:line="212" w:lineRule="auto"/>
        <w:tabs>
          <w:tab w:leader="none" w:pos="201"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Includes funds that were contributed by the cash equity investor and tax equity investor, which were primarily used to pay off the tax equity bridge loan when the facility reached substantial completion on December 22, 2023, as further discussed in Note 10, </w:t>
      </w:r>
      <w:r>
        <w:rPr>
          <w:rFonts w:ascii="Times New Roman" w:cs="Times New Roman" w:eastAsia="Times New Roman" w:hAnsi="Times New Roman"/>
          <w:sz w:val="11"/>
          <w:szCs w:val="11"/>
          <w:i w:val="1"/>
          <w:iCs w:val="1"/>
          <w:color w:val="auto"/>
        </w:rPr>
        <w:t>Long-term Debt</w:t>
      </w:r>
      <w:r>
        <w:rPr>
          <w:rFonts w:ascii="Times New Roman" w:cs="Times New Roman" w:eastAsia="Times New Roman" w:hAnsi="Times New Roman"/>
          <w:sz w:val="11"/>
          <w:szCs w:val="11"/>
          <w:color w:val="auto"/>
        </w:rPr>
        <w:t>.</w:t>
      </w:r>
    </w:p>
    <w:p>
      <w:pPr>
        <w:spacing w:after="0" w:line="28" w:lineRule="exact"/>
        <w:rPr>
          <w:rFonts w:ascii="Times New Roman" w:cs="Times New Roman" w:eastAsia="Times New Roman" w:hAnsi="Times New Roman"/>
          <w:sz w:val="17"/>
          <w:szCs w:val="17"/>
          <w:color w:val="auto"/>
          <w:vertAlign w:val="superscript"/>
        </w:rPr>
      </w:pPr>
    </w:p>
    <w:p>
      <w:pPr>
        <w:ind w:left="200" w:hanging="131"/>
        <w:spacing w:after="0"/>
        <w:tabs>
          <w:tab w:leader="none" w:pos="200"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$107 million construction loan and $204 million tax equity bridge loan, offset by $3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11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3 Drop Down </w:t>
      </w:r>
      <w:r>
        <w:rPr>
          <w:rFonts w:ascii="Times New Roman" w:cs="Times New Roman" w:eastAsia="Times New Roman" w:hAnsi="Times New Roman"/>
          <w:sz w:val="14"/>
          <w:szCs w:val="14"/>
          <w:color w:val="auto"/>
        </w:rPr>
        <w:t>— On February 17, 2023, the Company, through its indirect subsidiary, Daggett Solar Investment LLC, acquired the Class A membership interests in Daggett TargetCo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LLC, the indirect owner of Daggett 3, a 300 MW solar facility that is paired with a 149 MW BESS facility located in San Bernardino, California, from Clearway Renew for cash consideration of $21 million. Simultaneously, a cash equity investor acquired the Class B membership interests in Daggett TargetCo LLC from Clearway Renew for cash consideration of $129 million. The Company and the cash equity investor contributed their Class A and B membership interests, respectively, into Daggett Renewable Holdco LLC, a partnership that consolidates Daggett TargetCo LLC. Daggett TargetCo LLC consolidates as primary beneficiary, Daggett TE Holdco LLC, a tax equity fund that owns the Daggett 3 solar facility, as further described in Note 5, </w:t>
      </w:r>
      <w:r>
        <w:rPr>
          <w:rFonts w:ascii="Times New Roman" w:cs="Times New Roman" w:eastAsia="Times New Roman" w:hAnsi="Times New Roman"/>
          <w:sz w:val="14"/>
          <w:szCs w:val="14"/>
          <w:i w:val="1"/>
          <w:iCs w:val="1"/>
          <w:color w:val="auto"/>
        </w:rPr>
        <w:t>Investments Accounted for by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Equity Method and Variable Interest Entities. </w:t>
      </w:r>
      <w:r>
        <w:rPr>
          <w:rFonts w:ascii="Times New Roman" w:cs="Times New Roman" w:eastAsia="Times New Roman" w:hAnsi="Times New Roman"/>
          <w:sz w:val="14"/>
          <w:szCs w:val="14"/>
          <w:color w:val="auto"/>
        </w:rPr>
        <w:t>Daggett 3 has PPAs with investment-grade counterparties that have a 15-year weighted average contract duration that commenced between July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November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$21 million and the historical cost of the Company’s net assets acquired of $15 million was recorded as an adjustment to contributed capital. In addition, the Company reflected the entire $21 million of the Company’s purchase price, which was contributed back to the Company by CEG to pay down the acquired long-term debt, in the line item distributions to CEG, net of contributions, in the consolidated statements of members’ equity.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February 17,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Daggett 3</w:t>
            </w:r>
          </w:p>
        </w:tc>
      </w:tr>
      <w:tr>
        <w:trPr>
          <w:trHeight w:val="17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80"/>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net</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Derivative assets</w:t>
            </w: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9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212"/>
        </w:trPr>
        <w:tc>
          <w:tcPr>
            <w:tcW w:w="9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4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9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924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current and non-current liabilities </w:t>
            </w:r>
            <w:r>
              <w:rPr>
                <w:rFonts w:ascii="Times New Roman" w:cs="Times New Roman" w:eastAsia="Times New Roman" w:hAnsi="Times New Roman"/>
                <w:sz w:val="18"/>
                <w:szCs w:val="18"/>
                <w:color w:val="auto"/>
                <w:vertAlign w:val="superscript"/>
              </w:rPr>
              <w:t>(b)</w:t>
            </w:r>
          </w:p>
        </w:tc>
        <w:tc>
          <w:tcPr>
            <w:tcW w:w="4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9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196"/>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60" w:firstLine="9"/>
        <w:spacing w:after="0" w:line="230" w:lineRule="auto"/>
        <w:tabs>
          <w:tab w:leader="none" w:pos="190" w:val="left"/>
        </w:tabs>
        <w:numPr>
          <w:ilvl w:val="0"/>
          <w:numId w:val="6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 xml:space="preserve">Includes a $181 million construction loan, $75 million cash equity bridge loan and $229 million tax equity bridge loan, offset by $5 million in unamortized debt issuance costs. See Note 10, </w:t>
      </w:r>
      <w:r>
        <w:rPr>
          <w:rFonts w:ascii="Times New Roman" w:cs="Times New Roman" w:eastAsia="Times New Roman" w:hAnsi="Times New Roman"/>
          <w:sz w:val="10"/>
          <w:szCs w:val="10"/>
          <w:i w:val="1"/>
          <w:iCs w:val="1"/>
          <w:color w:val="auto"/>
        </w:rPr>
        <w:t>Long-term Debt</w:t>
      </w:r>
      <w:r>
        <w:rPr>
          <w:rFonts w:ascii="Times New Roman" w:cs="Times New Roman" w:eastAsia="Times New Roman" w:hAnsi="Times New Roman"/>
          <w:sz w:val="10"/>
          <w:szCs w:val="10"/>
          <w:color w:val="auto"/>
        </w:rPr>
        <w:t>, for further discussion of the long-term debt assumed in the acquisition.</w:t>
      </w:r>
    </w:p>
    <w:p>
      <w:pPr>
        <w:spacing w:after="0" w:line="33" w:lineRule="exact"/>
        <w:rPr>
          <w:rFonts w:ascii="Times New Roman" w:cs="Times New Roman" w:eastAsia="Times New Roman" w:hAnsi="Times New Roman"/>
          <w:sz w:val="16"/>
          <w:szCs w:val="16"/>
          <w:color w:val="auto"/>
          <w:vertAlign w:val="superscript"/>
        </w:rPr>
      </w:pPr>
    </w:p>
    <w:p>
      <w:pPr>
        <w:ind w:left="60" w:firstLine="9"/>
        <w:spacing w:after="0"/>
        <w:tabs>
          <w:tab w:leader="none" w:pos="195" w:val="left"/>
        </w:tabs>
        <w:numPr>
          <w:ilvl w:val="0"/>
          <w:numId w:val="6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$32 million of facility costs that were subsequently funded by CEG. Subsequent to the acquisition date, CEG funded an additional $22 million in facility costs. The combined $54 million funded by CEG was repaid to CEG in October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154"/>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3 - 40 Years</w:t>
            </w:r>
          </w:p>
        </w:tc>
      </w:tr>
      <w:tr>
        <w:trPr>
          <w:trHeight w:val="18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0"/>
        </w:trPr>
        <w:tc>
          <w:tcPr>
            <w:tcW w:w="62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(a) (b)</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13,011</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10"/>
        </w:trPr>
        <w:tc>
          <w:tcPr>
            <w:tcW w:w="22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r>
    </w:tbl>
    <w:p>
      <w:pPr>
        <w:spacing w:after="0" w:line="64" w:lineRule="exact"/>
        <w:rPr>
          <w:sz w:val="20"/>
          <w:szCs w:val="20"/>
          <w:color w:val="auto"/>
        </w:rPr>
      </w:pPr>
    </w:p>
    <w:p>
      <w:pPr>
        <w:ind w:left="60" w:firstLine="9"/>
        <w:spacing w:after="0" w:line="234" w:lineRule="auto"/>
        <w:tabs>
          <w:tab w:leader="none" w:pos="187"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2024 and 2023, construction in progress included $23 million and $21 million, respectively, of capital expenditures that relate to prepaid long-term service agreements for facilities in the Flexible Generation segment.</w:t>
      </w:r>
    </w:p>
    <w:p>
      <w:pPr>
        <w:spacing w:after="0" w:line="17" w:lineRule="exact"/>
        <w:rPr>
          <w:rFonts w:ascii="Times New Roman" w:cs="Times New Roman" w:eastAsia="Times New Roman" w:hAnsi="Times New Roman"/>
          <w:sz w:val="16"/>
          <w:szCs w:val="16"/>
          <w:color w:val="auto"/>
          <w:vertAlign w:val="superscript"/>
        </w:rPr>
      </w:pPr>
    </w:p>
    <w:p>
      <w:pPr>
        <w:ind w:left="200" w:hanging="131"/>
        <w:spacing w:after="0"/>
        <w:tabs>
          <w:tab w:leader="none" w:pos="200" w:val="left"/>
        </w:tabs>
        <w:numPr>
          <w:ilvl w:val="0"/>
          <w:numId w:val="6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2024 and 2023, construction in progress included $9 million and $72 million, respectively, of accrued non-cash capital expenditures.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expense related to property, plant and equipment during the years ended December 31, 2024, 2023 and 2022 was $610 million, $514 million and $502 million, respectively.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 recorded long-lived asset impairments during the years ended December 31, 2023 and 2022, as further described in Note 9, </w:t>
      </w:r>
      <w:r>
        <w:rPr>
          <w:rFonts w:ascii="Times New Roman" w:cs="Times New Roman" w:eastAsia="Times New Roman" w:hAnsi="Times New Roman"/>
          <w:sz w:val="14"/>
          <w:szCs w:val="14"/>
          <w:i w:val="1"/>
          <w:iCs w:val="1"/>
          <w:color w:val="auto"/>
        </w:rPr>
        <w:t>Asset Impairments.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Company’s equity investments in unconsolidated affiliates as of December 31,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414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20" w:type="dxa"/>
            <w:vAlign w:val="bottom"/>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360" w:type="dxa"/>
            <w:vAlign w:val="bottom"/>
          </w:tcPr>
          <w:p>
            <w:pPr>
              <w:spacing w:after="0"/>
              <w:rPr>
                <w:sz w:val="16"/>
                <w:szCs w:val="16"/>
                <w:color w:val="auto"/>
              </w:rPr>
            </w:pPr>
          </w:p>
        </w:tc>
        <w:tc>
          <w:tcPr>
            <w:tcW w:w="206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 xml:space="preserve">Investment Balance </w:t>
            </w:r>
            <w:r>
              <w:rPr>
                <w:rFonts w:ascii="Times New Roman" w:cs="Times New Roman" w:eastAsia="Times New Roman" w:hAnsi="Times New Roman"/>
                <w:sz w:val="16"/>
                <w:szCs w:val="16"/>
                <w:b w:val="1"/>
                <w:bCs w:val="1"/>
                <w:color w:val="auto"/>
                <w:vertAlign w:val="superscript"/>
              </w:rPr>
              <w:t>(a)</w:t>
            </w:r>
          </w:p>
        </w:tc>
      </w:tr>
      <w:tr>
        <w:trPr>
          <w:trHeight w:val="159"/>
        </w:trPr>
        <w:tc>
          <w:tcPr>
            <w:tcW w:w="2200" w:type="dxa"/>
            <w:vAlign w:val="bottom"/>
            <w:tcBorders>
              <w:top w:val="single" w:sz="8" w:color="auto"/>
            </w:tcBorders>
          </w:tcPr>
          <w:p>
            <w:pPr>
              <w:spacing w:after="0"/>
              <w:rPr>
                <w:sz w:val="13"/>
                <w:szCs w:val="13"/>
                <w:color w:val="auto"/>
              </w:rPr>
            </w:pPr>
          </w:p>
        </w:tc>
        <w:tc>
          <w:tcPr>
            <w:tcW w:w="4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Desert Sunlight</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340" w:type="dxa"/>
            <w:vAlign w:val="bottom"/>
            <w:gridSpan w:val="3"/>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(b)</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6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
        </w:trPr>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4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60" w:type="dxa"/>
            <w:vAlign w:val="bottom"/>
          </w:tcPr>
          <w:p>
            <w:pPr>
              <w:spacing w:after="0"/>
              <w:rPr>
                <w:sz w:val="10"/>
                <w:szCs w:val="10"/>
                <w:color w:val="auto"/>
              </w:rPr>
            </w:pPr>
          </w:p>
        </w:tc>
      </w:tr>
    </w:tbl>
    <w:p>
      <w:pPr>
        <w:spacing w:after="0" w:line="23" w:lineRule="exact"/>
        <w:rPr>
          <w:sz w:val="20"/>
          <w:szCs w:val="20"/>
          <w:color w:val="auto"/>
        </w:rPr>
      </w:pPr>
    </w:p>
    <w:p>
      <w:pPr>
        <w:ind w:left="200" w:hanging="131"/>
        <w:spacing w:after="0"/>
        <w:tabs>
          <w:tab w:leader="none" w:pos="200" w:val="left"/>
        </w:tabs>
        <w:numPr>
          <w:ilvl w:val="0"/>
          <w:numId w:val="7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Company’s maximum exposure to loss is limited to its investment balances.</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GenConn is a VIE.</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December 31, 2024 and 2023, the Company had $20 million and $17 million, respectively, of undistributed earnings from its equity method investments.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2024, the carrying value of the basis difference is $115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$282 million as of December 31, 2024.</w:t>
      </w:r>
    </w:p>
    <w:p>
      <w:pPr>
        <w:spacing w:after="0" w:line="134"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Rosie Central BESS </w:t>
      </w:r>
      <w:r>
        <w:rPr>
          <w:rFonts w:ascii="Times New Roman" w:cs="Times New Roman" w:eastAsia="Times New Roman" w:hAnsi="Times New Roman"/>
          <w:sz w:val="14"/>
          <w:szCs w:val="14"/>
          <w:color w:val="auto"/>
        </w:rPr>
        <w:t>— On June 30, 2023, the Company, through its indirect subsidiary, Rosie Class B LLC, the indirect owner of the Rosamond Central solar facility, became the owner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Class B membership interests of Rosie Central BESS in order to facilitate and fund the construction of a BESS facility that is co-located at the Rosamond Central solar facility. Clearway Renew indirectly owns the Class A membership interests and controls Rosie Central BESS. The Company accounted for its investment in Rosie Central BESS as an equity method investment. On June 13, 2024, when the Rosamond Central BESS facility reached substantial completion, Clearway Renew redeemed Rosie Class B LLC’s entire investment of $28 million in Rosie Central BESS utilizing the additional purchase price paid by the Company,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Rosie Class B LLC’s equity investment in Rosie Central BESS was comprised of contributions from the Company and the cash equity investor in Rosie TargetCo LLC during the year ended December 31, 2023.</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equity method investments: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6500" w:type="dxa"/>
            <w:vAlign w:val="bottom"/>
          </w:tcPr>
          <w:p>
            <w:pPr>
              <w:spacing w:after="0"/>
              <w:rPr>
                <w:sz w:val="13"/>
                <w:szCs w:val="13"/>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202</w:t>
            </w:r>
          </w:p>
        </w:tc>
        <w:tc>
          <w:tcPr>
            <w:tcW w:w="62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144</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108</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72"/>
        </w:trPr>
        <w:tc>
          <w:tcPr>
            <w:tcW w:w="65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94</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2"/>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8"/>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50"/>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3"/>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81</w:t>
            </w:r>
          </w:p>
        </w:tc>
        <w:tc>
          <w:tcPr>
            <w:tcW w:w="62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1,086</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w:t>
            </w:r>
          </w:p>
        </w:tc>
      </w:tr>
      <w:tr>
        <w:trPr>
          <w:trHeight w:val="178"/>
        </w:trPr>
        <w:tc>
          <w:tcPr>
            <w:tcW w:w="6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63</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726</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r>
      <w:tr>
        <w:trPr>
          <w:trHeight w:val="170"/>
        </w:trPr>
        <w:tc>
          <w:tcPr>
            <w:tcW w:w="65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(b)</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63</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391</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27</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84"/>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225</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4" w:lineRule="exact"/>
        <w:rPr>
          <w:sz w:val="20"/>
          <w:szCs w:val="20"/>
          <w:color w:val="auto"/>
        </w:rPr>
      </w:pPr>
    </w:p>
    <w:p>
      <w:pPr>
        <w:ind w:left="200" w:hanging="131"/>
        <w:spacing w:after="0"/>
        <w:tabs>
          <w:tab w:leader="none" w:pos="200" w:val="left"/>
        </w:tabs>
        <w:numPr>
          <w:ilvl w:val="0"/>
          <w:numId w:val="7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Avenal, Elkhorn Ridge, GenConn and San Juan Mesa.</w:t>
      </w:r>
    </w:p>
    <w:p>
      <w:pPr>
        <w:spacing w:after="0" w:line="45" w:lineRule="exact"/>
        <w:rPr>
          <w:rFonts w:ascii="Times New Roman" w:cs="Times New Roman" w:eastAsia="Times New Roman" w:hAnsi="Times New Roman"/>
          <w:sz w:val="17"/>
          <w:szCs w:val="17"/>
          <w:color w:val="auto"/>
          <w:vertAlign w:val="superscript"/>
        </w:rPr>
      </w:pPr>
    </w:p>
    <w:p>
      <w:pPr>
        <w:ind w:left="60" w:firstLine="9"/>
        <w:spacing w:after="0"/>
        <w:tabs>
          <w:tab w:leader="none" w:pos="195" w:val="left"/>
        </w:tabs>
        <w:numPr>
          <w:ilvl w:val="0"/>
          <w:numId w:val="7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Avenal, Elkhorn Ridge, GenConn and San Juan Mesa as of December 31, 2024 and 2023. Includes Rosie Central BESS only as of December 31, 2023 since the equity investment was redeemed on June 13, 2024, as further described above.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2024 related to the Company’s consolidated VIEs: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DGPV Funds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December 31, 2024, Chestnut Fund Class B LLC, an indirect subsidiary of the Company, acquired 100% of the Class A membership interests in Chestnut Fund LLC, a tax equity fund that owns several distributed solar facilities, from the tax equity investor for $5 million. Prior to the acquisition, the Company consolidated Chestnut Fund LLC through its ownership of the Class B membership interests and role as managing member, and the Class A membership interests were reflected as redeemable noncontrolling interest on the Company’s consolidated balance sheet. The difference between the historical cost of the Company’s redeemable noncontrolling interest of $12 million and the cash paid of $5 million was recorded as an adjustment to contributed capital.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5" w:name="page116"/>
    <w:bookmarkEnd w:id="115"/>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Cedro Hill TE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The Company, through its indirect subsidiary, Cedro Hill Class B Member LLC, consolidates as primary beneficiary, Cedro Hill TE Holdco LLC, a tax equity fund that owns the Cedro Hill wind facility. The Class A membership interests in Cedro Hill TE Holdco LLC are reflected as noncontrolling interest on the Company’s consolidated balance sheet.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Spring Canyon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December 17, 2024, Spring Canyon TE Holdco LLC, an indirect subsidiary of the Company, acquired 100% of the Class A membership interests in Spring Canyon Expansion Holdings LLC, a tax equity fund that owns the Spring Canyon wind facilities, from the tax equity investor for $7 million. Prior to the acquisition, the Company consolidated Spring Canyon Expansion Holdings LLC through its controlling interest in Spring Canyon Expansion Class B Holdings LLC, a partnership, which owns the Class B membership interests, and role as managing member, and the Class A membership interests were reflected as noncontrolling interest on the Company’s consolidated balance sheet. The difference between the cash paid of $7 million and the historical cost of the Company’s noncontrolling interest of $3 million was recorded as an adjustment to contributed capital.</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Dan’s Mountain TargetCo LLC</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November 18, 2024, Dan’s Mountain Parent Holdco LLC, an indirect subsidiary of the Company, acquired the Class A membership interests in Dan’s Mountain TargetCo LLC, which is a partnership between the Company and Clearway Renew. The Company consolidates Dan’s Mountain TargetCo LLC as a VIE as the Company is the primary beneficiary through its role as managing member. Through its membership interests in Dan’s Mountain TargetCo LLC, the Company receives 50% of distributable cash. The Company recorded the noncontrolling interest of Clearway Renew’s Class B membership interests in Dan’s Mountain TargetCo LLC at historical carrying amount, with the offset to contributed capital. Dan’s Mountain TargetCo LLC consolidates as primary beneficiary and through its ownership of the Class B membership interests, Dan’s Mountain Tax Credit Holdco LLC, a tax equity fund that owns the Dan’s Mountain wind facility. The Class A membership interests in Dan’s Mountain Tax Credit Holdco LLC are held by a tax equity investor and are reflected as noncontrolling interest on the Company’s consolidated balance sheet.</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Cedar Creek TE Holdco LLC</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April 16, 2024, the Company, through its indirect subsidiary, Cedar Creek Wind Holdco LLC, acquired Cedar Creek Holdco LLC. Cedar Creek Holdco LLC consolidates as primary beneficiary, Cedar Creek TE Holdco LLC, a tax equity fund that owns the Cedar Creek wind facility. The Class A membership interests in Cedar Creek TE Holdco LLC are held by a tax equity investor and are reflected as noncontrolling interest on the Company’s consolidated balance sheet.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Lighthouse Renewable Holdco 2 LLC</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March 15, 2024, TSN1 TE Holdco LLC, an indirect subsidiary of the Company, acquired Texas Solar Nova 2. The Company, through Lighthouse Renewable Holdco 2 LLC, a partnership, consolidates TSN1 TE Holdco LLC, a tax equity fund that owns Texas Solar Nova 1 and Texas Solar Nova 2. The Company recorded the noncontrolling interest of the cash equity investor in Lighthouse Renewable Holdco 2 LLC at historical carrying amount, with the offset to contributed capital. The Class A membership interests in TSN1 TE Holdco LLC are held by a tax equity investor and are reflected as noncontrolling interest on the Company’s consolidated balance sheet.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Daggett Renewable Holdco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Effective January 1, 2024, the Company and the cash equity investor in Daggett Renewable HoldCo LLC and Daggett 2 TargetCo LLC, the indirect owner of the Daggett 2 solar and BESS facility, agreed to transfer Daggett 2 TargetCo LLC to Daggett Renewable Holdco LLC. As the transfer was among entities under common control, the transaction was recognized at historical cost and no gain or loss was recognized.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December 31,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Buckthorn Holdings,</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Cedar Creek TE Holdco</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Cedro Hill TE Holdco</w:t>
            </w:r>
          </w:p>
        </w:tc>
        <w:tc>
          <w:tcPr>
            <w:tcW w:w="10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Daggett Renewable</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Lighthouse Renewable</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LLC</w:t>
            </w:r>
          </w:p>
        </w:tc>
        <w:tc>
          <w:tcPr>
            <w:tcW w:w="26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LLC</w:t>
            </w:r>
          </w:p>
        </w:tc>
        <w:tc>
          <w:tcPr>
            <w:tcW w:w="2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 xml:space="preserve">Holdco LLC </w:t>
            </w:r>
            <w:r>
              <w:rPr>
                <w:rFonts w:ascii="Times New Roman" w:cs="Times New Roman" w:eastAsia="Times New Roman" w:hAnsi="Times New Roman"/>
                <w:sz w:val="12"/>
                <w:szCs w:val="12"/>
                <w:b w:val="1"/>
                <w:bCs w:val="1"/>
                <w:color w:val="auto"/>
                <w:w w:val="97"/>
                <w:vertAlign w:val="superscript"/>
              </w:rPr>
              <w:t>(a)</w:t>
            </w:r>
          </w:p>
        </w:tc>
        <w:tc>
          <w:tcPr>
            <w:tcW w:w="1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2"/>
                <w:szCs w:val="12"/>
                <w:b w:val="1"/>
                <w:bCs w:val="1"/>
                <w:color w:val="auto"/>
                <w:vertAlign w:val="superscript"/>
              </w:rPr>
              <w:t>(b)</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 xml:space="preserve">Holdco LLC </w:t>
            </w:r>
            <w:r>
              <w:rPr>
                <w:rFonts w:ascii="Times New Roman" w:cs="Times New Roman" w:eastAsia="Times New Roman" w:hAnsi="Times New Roman"/>
                <w:sz w:val="12"/>
                <w:szCs w:val="12"/>
                <w:b w:val="1"/>
                <w:bCs w:val="1"/>
                <w:color w:val="auto"/>
                <w:w w:val="98"/>
                <w:vertAlign w:val="superscript"/>
              </w:rPr>
              <w:t>(c)</w:t>
            </w:r>
          </w:p>
        </w:tc>
        <w:tc>
          <w:tcPr>
            <w:tcW w:w="140" w:type="dxa"/>
            <w:vAlign w:val="bottom"/>
          </w:tcPr>
          <w:p>
            <w:pPr>
              <w:spacing w:after="0"/>
              <w:rPr>
                <w:sz w:val="12"/>
                <w:szCs w:val="12"/>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 xml:space="preserve">Holdco 2 LLC </w:t>
            </w:r>
            <w:r>
              <w:rPr>
                <w:rFonts w:ascii="Times New Roman" w:cs="Times New Roman" w:eastAsia="Times New Roman" w:hAnsi="Times New Roman"/>
                <w:sz w:val="12"/>
                <w:szCs w:val="12"/>
                <w:b w:val="1"/>
                <w:bCs w:val="1"/>
                <w:color w:val="auto"/>
                <w:vertAlign w:val="superscript"/>
              </w:rPr>
              <w:t>(d)</w:t>
            </w: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7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Daggett Renewable Holdco LLC consolidates Daggett TE Holdco LLC and Daggett 2 TE Holdco LLC, which are consolidated VIEs.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DGPV Funds is comprised of Clearway &amp; EFS Distributed Solar LLC, Golden Puma Fund LLC and Renew Solar CS4 Fund LLC, which are all tax equity funds.</w:t>
      </w:r>
    </w:p>
    <w:p>
      <w:pPr>
        <w:spacing w:after="0" w:line="24"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Black Rock TE Holdco LLC and Mililani TE Holdco LLC, which are consolidated VIEs.</w:t>
      </w:r>
    </w:p>
    <w:p>
      <w:pPr>
        <w:spacing w:after="0" w:line="35"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7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Mesquite Star Tax Equity Holdco LLC and TSN1 TE Holdco LLC, which are consolidated VIEs.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VP-Arica TargetCo LLC </w:t>
            </w:r>
            <w:r>
              <w:rPr>
                <w:rFonts w:ascii="Times New Roman" w:cs="Times New Roman" w:eastAsia="Times New Roman" w:hAnsi="Times New Roman"/>
                <w:sz w:val="12"/>
                <w:szCs w:val="12"/>
                <w:b w:val="1"/>
                <w:bCs w:val="1"/>
                <w:color w:val="auto"/>
                <w:vertAlign w:val="superscript"/>
              </w:rPr>
              <w:t>(a)</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Wildorado TE Holdco LLC</w:t>
            </w:r>
          </w:p>
        </w:tc>
        <w:tc>
          <w:tcPr>
            <w:tcW w:w="28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2"/>
                <w:szCs w:val="12"/>
                <w:b w:val="1"/>
                <w:bCs w:val="1"/>
                <w:color w:val="auto"/>
                <w:vertAlign w:val="superscript"/>
              </w:rPr>
              <w:t>(b)</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3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assets less noncontrolling interest</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6" w:lineRule="exact"/>
        <w:rPr>
          <w:sz w:val="20"/>
          <w:szCs w:val="20"/>
          <w:color w:val="auto"/>
        </w:rPr>
      </w:pPr>
    </w:p>
    <w:p>
      <w:pPr>
        <w:ind w:left="200" w:hanging="131"/>
        <w:spacing w:after="0"/>
        <w:tabs>
          <w:tab w:leader="none" w:pos="200" w:val="left"/>
        </w:tabs>
        <w:numPr>
          <w:ilvl w:val="0"/>
          <w:numId w:val="7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VP-Arica TargetCo LLC consolidates VP-Arica TE Holdco LLC, a consolidated VIE that owns the Victory Pass and Arica solar and BESS facilities.</w:t>
      </w:r>
    </w:p>
    <w:p>
      <w:pPr>
        <w:spacing w:after="0" w:line="24" w:lineRule="exact"/>
        <w:rPr>
          <w:rFonts w:ascii="Times New Roman" w:cs="Times New Roman" w:eastAsia="Times New Roman" w:hAnsi="Times New Roman"/>
          <w:sz w:val="17"/>
          <w:szCs w:val="17"/>
          <w:color w:val="auto"/>
          <w:vertAlign w:val="superscript"/>
        </w:rPr>
      </w:pPr>
    </w:p>
    <w:p>
      <w:pPr>
        <w:ind w:left="60" w:firstLine="9"/>
        <w:spacing w:after="0"/>
        <w:tabs>
          <w:tab w:leader="none" w:pos="195" w:val="left"/>
        </w:tabs>
        <w:numPr>
          <w:ilvl w:val="0"/>
          <w:numId w:val="7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Other is comprised of Dan’s Mountain TargetCo LLC, which consolidates Dan’s Mountain Tax Credit Holdco LLC, Elbow Creek TE Holdco LLC, Langford TE Partnership LLC, Pinnacle Repowering TE Holdco LLC and the Spring Canyon facilities.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7" w:name="page118"/>
    <w:bookmarkEnd w:id="117"/>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amounts and estimated fair values of the Company’s recorded financial instruments not carried at fair market value or that do not approximate fair value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360" w:type="dxa"/>
            <w:vAlign w:val="bottom"/>
            <w:gridSpan w:val="3"/>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00" w:type="dxa"/>
            <w:vAlign w:val="bottom"/>
            <w:gridSpan w:val="4"/>
          </w:tcPr>
          <w:p>
            <w:pPr>
              <w:jc w:val="right"/>
              <w:ind w:right="9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6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1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including current portion — external </w:t>
            </w:r>
            <w:r>
              <w:rPr>
                <w:rFonts w:ascii="Times New Roman" w:cs="Times New Roman" w:eastAsia="Times New Roman" w:hAnsi="Times New Roman"/>
                <w:sz w:val="18"/>
                <w:szCs w:val="18"/>
                <w:color w:val="auto"/>
                <w:vertAlign w:val="superscript"/>
              </w:rPr>
              <w:t>(a)</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color w:val="auto"/>
              </w:rPr>
              <w:t>7,237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8,102</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1" w:lineRule="exact"/>
        <w:rPr>
          <w:sz w:val="20"/>
          <w:szCs w:val="20"/>
          <w:color w:val="auto"/>
        </w:rPr>
      </w:pPr>
    </w:p>
    <w:p>
      <w:pPr>
        <w:ind w:left="200" w:hanging="131"/>
        <w:spacing w:after="0"/>
        <w:tabs>
          <w:tab w:leader="none" w:pos="200" w:val="left"/>
        </w:tabs>
        <w:numPr>
          <w:ilvl w:val="0"/>
          <w:numId w:val="7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Excludes net debt issuance costs, which are recorded as a reduction to long-term debt on the Company’s consolidated balance sheets.</w:t>
      </w:r>
    </w:p>
    <w:p>
      <w:pPr>
        <w:spacing w:after="0" w:line="1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340" w:type="dxa"/>
            <w:vAlign w:val="bottom"/>
          </w:tcPr>
          <w:p>
            <w:pPr>
              <w:spacing w:after="0"/>
              <w:rPr>
                <w:sz w:val="13"/>
                <w:szCs w:val="13"/>
                <w:color w:val="auto"/>
              </w:rPr>
            </w:pPr>
          </w:p>
        </w:tc>
        <w:tc>
          <w:tcPr>
            <w:tcW w:w="214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r>
      <w:tr>
        <w:trPr>
          <w:trHeight w:val="154"/>
        </w:trPr>
        <w:tc>
          <w:tcPr>
            <w:tcW w:w="6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1,922</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1,940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7"/>
                <w:szCs w:val="7"/>
                <w:b w:val="1"/>
                <w:bCs w:val="1"/>
                <w:color w:val="auto"/>
              </w:rPr>
              <w:t>(a)</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7"/>
                <w:szCs w:val="7"/>
                <w:b w:val="1"/>
                <w:bCs w:val="1"/>
                <w:color w:val="auto"/>
              </w:rPr>
              <w:t>(a)</w:t>
            </w: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3"/>
                <w:szCs w:val="13"/>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7"/>
                <w:szCs w:val="7"/>
                <w:b w:val="1"/>
                <w:bCs w:val="1"/>
                <w:color w:val="auto"/>
              </w:rPr>
              <w:t>(b)</w:t>
            </w:r>
          </w:p>
        </w:tc>
        <w:tc>
          <w:tcPr>
            <w:tcW w:w="640" w:type="dxa"/>
            <w:vAlign w:val="bottom"/>
          </w:tcPr>
          <w:p>
            <w:pPr>
              <w:spacing w:after="0"/>
              <w:rPr>
                <w:sz w:val="13"/>
                <w:szCs w:val="13"/>
                <w:color w:val="auto"/>
              </w:rPr>
            </w:pPr>
          </w:p>
        </w:tc>
        <w:tc>
          <w:tcPr>
            <w:tcW w:w="1140" w:type="dxa"/>
            <w:vAlign w:val="bottom"/>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7"/>
                <w:szCs w:val="7"/>
                <w:b w:val="1"/>
                <w:bCs w:val="1"/>
                <w:color w:val="auto"/>
              </w:rPr>
              <w:t>(b)</w:t>
            </w:r>
          </w:p>
        </w:tc>
        <w:tc>
          <w:tcPr>
            <w:tcW w:w="640" w:type="dxa"/>
            <w:vAlign w:val="bottom"/>
          </w:tcPr>
          <w:p>
            <w:pPr>
              <w:spacing w:after="0"/>
              <w:rPr>
                <w:sz w:val="13"/>
                <w:szCs w:val="13"/>
                <w:color w:val="auto"/>
              </w:rPr>
            </w:pPr>
          </w:p>
        </w:tc>
        <w:tc>
          <w:tcPr>
            <w:tcW w:w="1140" w:type="dxa"/>
            <w:vAlign w:val="bottom"/>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8"/>
                <w:szCs w:val="8"/>
                <w:b w:val="1"/>
                <w:bCs w:val="1"/>
                <w:color w:val="auto"/>
              </w:rPr>
              <w:t>(d)</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88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w:t>
            </w:r>
            <w:r>
              <w:rPr>
                <w:rFonts w:ascii="Times New Roman" w:cs="Times New Roman" w:eastAsia="Times New Roman" w:hAnsi="Times New Roman"/>
                <w:sz w:val="18"/>
                <w:szCs w:val="18"/>
                <w:color w:val="auto"/>
                <w:vertAlign w:val="superscript"/>
              </w:rPr>
              <w:t>(e)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8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00" w:hanging="131"/>
        <w:spacing w:after="0"/>
        <w:tabs>
          <w:tab w:leader="none" w:pos="200" w:val="left"/>
        </w:tabs>
        <w:numPr>
          <w:ilvl w:val="0"/>
          <w:numId w:val="7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no derivative assets or liabilities classified as Level 1 as of December 31, 2024 and 2023.</w:t>
      </w:r>
    </w:p>
    <w:p>
      <w:pPr>
        <w:spacing w:after="0" w:line="39"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Company’s interest rate swaps are measured at fair value using an income approach, which use readily observable inputs, such as forward interest rates (e.g., SOFR) and contractual terms to estimate fair value.</w:t>
      </w:r>
    </w:p>
    <w:p>
      <w:pPr>
        <w:spacing w:after="0" w:line="39" w:lineRule="exact"/>
        <w:rPr>
          <w:rFonts w:ascii="Times New Roman" w:cs="Times New Roman" w:eastAsia="Times New Roman" w:hAnsi="Times New Roman"/>
          <w:sz w:val="16"/>
          <w:szCs w:val="16"/>
          <w:color w:val="auto"/>
          <w:vertAlign w:val="superscript"/>
        </w:rPr>
      </w:pPr>
    </w:p>
    <w:p>
      <w:pPr>
        <w:ind w:left="200" w:hanging="131"/>
        <w:spacing w:after="0" w:line="185" w:lineRule="auto"/>
        <w:tabs>
          <w:tab w:leader="none" w:pos="200" w:val="left"/>
        </w:tabs>
        <w:numPr>
          <w:ilvl w:val="0"/>
          <w:numId w:val="7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long-term backbone transportation service contracts classified as Level 2 and heat rate call option contracts classified as Level 3.</w:t>
      </w:r>
    </w:p>
    <w:p>
      <w:pPr>
        <w:spacing w:after="0" w:line="50" w:lineRule="exact"/>
        <w:rPr>
          <w:rFonts w:ascii="Times New Roman" w:cs="Times New Roman" w:eastAsia="Times New Roman" w:hAnsi="Times New Roman"/>
          <w:sz w:val="17"/>
          <w:szCs w:val="17"/>
          <w:color w:val="auto"/>
          <w:vertAlign w:val="superscript"/>
        </w:rPr>
      </w:pPr>
    </w:p>
    <w:p>
      <w:pPr>
        <w:ind w:left="200" w:hanging="131"/>
        <w:spacing w:after="0" w:line="197" w:lineRule="auto"/>
        <w:tabs>
          <w:tab w:leader="none" w:pos="20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SREC contract.</w:t>
      </w:r>
    </w:p>
    <w:p>
      <w:pPr>
        <w:spacing w:after="0" w:line="39" w:lineRule="exact"/>
        <w:rPr>
          <w:rFonts w:ascii="Times New Roman" w:cs="Times New Roman" w:eastAsia="Times New Roman" w:hAnsi="Times New Roman"/>
          <w:sz w:val="16"/>
          <w:szCs w:val="16"/>
          <w:color w:val="auto"/>
          <w:vertAlign w:val="superscript"/>
        </w:rPr>
      </w:pPr>
    </w:p>
    <w:p>
      <w:pPr>
        <w:ind w:left="60" w:firstLine="9"/>
        <w:spacing w:after="0" w:line="231" w:lineRule="auto"/>
        <w:tabs>
          <w:tab w:leader="none" w:pos="194"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long-term power commodity contracts and heat rate call option contracts classified as Level 3. As of December 31, 2024 and 2023, $366 million and $325 million related to long-term power commodity contracts, respectively, and $5 million related to heat rate call option contracts.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8" w:name="page119"/>
    <w:bookmarkEnd w:id="118"/>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r>
      <w:tr>
        <w:trPr>
          <w:trHeight w:val="171"/>
        </w:trPr>
        <w:tc>
          <w:tcPr>
            <w:tcW w:w="6940" w:type="dxa"/>
            <w:vAlign w:val="bottom"/>
          </w:tcPr>
          <w:p>
            <w:pPr>
              <w:spacing w:after="0"/>
              <w:rPr>
                <w:sz w:val="14"/>
                <w:szCs w:val="14"/>
                <w:color w:val="auto"/>
              </w:rPr>
            </w:pPr>
          </w:p>
        </w:tc>
        <w:tc>
          <w:tcPr>
            <w:tcW w:w="13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9"/>
        </w:trPr>
        <w:tc>
          <w:tcPr>
            <w:tcW w:w="6940" w:type="dxa"/>
            <w:vAlign w:val="bottom"/>
          </w:tcPr>
          <w:p>
            <w:pPr>
              <w:spacing w:after="0"/>
              <w:rPr>
                <w:sz w:val="11"/>
                <w:szCs w:val="11"/>
                <w:color w:val="auto"/>
              </w:rPr>
            </w:pPr>
          </w:p>
        </w:tc>
        <w:tc>
          <w:tcPr>
            <w:tcW w:w="4340" w:type="dxa"/>
            <w:vAlign w:val="bottom"/>
            <w:gridSpan w:val="6"/>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 Inputs (Level</w:t>
            </w:r>
          </w:p>
        </w:tc>
      </w:tr>
      <w:tr>
        <w:trPr>
          <w:trHeight w:val="188"/>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3)</w:t>
            </w:r>
          </w:p>
        </w:tc>
        <w:tc>
          <w:tcPr>
            <w:tcW w:w="1300" w:type="dxa"/>
            <w:vAlign w:val="bottom"/>
            <w:tcBorders>
              <w:bottom w:val="single" w:sz="8" w:color="auto"/>
            </w:tcBorders>
          </w:tcPr>
          <w:p>
            <w:pPr>
              <w:spacing w:after="0"/>
              <w:rPr>
                <w:sz w:val="16"/>
                <w:szCs w:val="16"/>
                <w:color w:val="auto"/>
              </w:rPr>
            </w:pPr>
          </w:p>
        </w:tc>
      </w:tr>
      <w:tr>
        <w:trPr>
          <w:trHeight w:val="17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3"/>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1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1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9"/>
        </w:trPr>
        <w:tc>
          <w:tcPr>
            <w:tcW w:w="6940" w:type="dxa"/>
            <w:vAlign w:val="bottom"/>
            <w:shd w:val="clear" w:color="auto" w:fill="CCEEFF"/>
          </w:tcPr>
          <w:p>
            <w:pPr>
              <w:ind w:left="120"/>
              <w:spacing w:after="0" w:line="100" w:lineRule="exact"/>
              <w:rPr>
                <w:sz w:val="20"/>
                <w:szCs w:val="20"/>
                <w:color w:val="auto"/>
              </w:rPr>
            </w:pPr>
            <w:r>
              <w:rPr>
                <w:rFonts w:ascii="Times New Roman" w:cs="Times New Roman" w:eastAsia="Times New Roman" w:hAnsi="Times New Roman"/>
                <w:sz w:val="11"/>
                <w:szCs w:val="11"/>
                <w:color w:val="auto"/>
              </w:rPr>
              <w:t>Change in unrealized losses included in earnings for derivatives and other financial instruments held as of December</w:t>
            </w:r>
          </w:p>
        </w:tc>
        <w:tc>
          <w:tcPr>
            <w:tcW w:w="13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191"/>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31,</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940" w:type="dxa"/>
            <w:vAlign w:val="bottom"/>
            <w:gridSpan w:val="3"/>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2024, contracts valued with prices provided by models and other valuation techniques make up 5% of derivative assets, 100% of derivative liabilities and 100% of other financial instruments.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significant positions classified as Level 3 relate to physical and financial energy-related commodity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quantify the significant unobservable inputs used in developing the fair value of the Company’s Level 3 positions: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ind w:right="1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00" w:type="dxa"/>
            <w:vAlign w:val="bottom"/>
          </w:tcPr>
          <w:p>
            <w:pPr>
              <w:spacing w:after="0"/>
              <w:rPr>
                <w:sz w:val="11"/>
                <w:szCs w:val="11"/>
                <w:color w:val="auto"/>
              </w:rPr>
            </w:pPr>
          </w:p>
        </w:tc>
        <w:tc>
          <w:tcPr>
            <w:tcW w:w="102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Pr>
          <w:p>
            <w:pPr>
              <w:spacing w:after="0"/>
              <w:rPr>
                <w:sz w:val="11"/>
                <w:szCs w:val="11"/>
                <w:color w:val="auto"/>
              </w:rPr>
            </w:pPr>
          </w:p>
        </w:tc>
        <w:tc>
          <w:tcPr>
            <w:tcW w:w="11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1"/>
                <w:szCs w:val="11"/>
                <w:color w:val="auto"/>
              </w:rPr>
            </w:pPr>
          </w:p>
        </w:tc>
        <w:tc>
          <w:tcPr>
            <w:tcW w:w="12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Long-term Power Commodity</w:t>
            </w:r>
          </w:p>
        </w:tc>
        <w:tc>
          <w:tcPr>
            <w:tcW w:w="2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 $</w:t>
            </w:r>
          </w:p>
        </w:tc>
        <w:tc>
          <w:tcPr>
            <w:tcW w:w="7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w w:val="99"/>
              </w:rPr>
              <w:t>366 Discounted Cash Flow</w:t>
            </w:r>
          </w:p>
        </w:tc>
        <w:tc>
          <w:tcPr>
            <w:tcW w:w="14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2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rPr>
              <w:t>9</w:t>
            </w:r>
          </w:p>
        </w:tc>
        <w:tc>
          <w:tcPr>
            <w:tcW w:w="700" w:type="dxa"/>
            <w:vAlign w:val="bottom"/>
          </w:tcPr>
          <w:p>
            <w:pPr>
              <w:spacing w:after="0"/>
              <w:rPr>
                <w:sz w:val="13"/>
                <w:szCs w:val="13"/>
                <w:color w:val="auto"/>
              </w:rPr>
            </w:pPr>
          </w:p>
        </w:tc>
        <w:tc>
          <w:tcPr>
            <w:tcW w:w="1680" w:type="dxa"/>
            <w:vAlign w:val="bottom"/>
            <w:vMerge w:val="restart"/>
          </w:tcPr>
          <w:p>
            <w:pPr>
              <w:jc w:val="right"/>
              <w:ind w:right="635"/>
              <w:spacing w:after="0"/>
              <w:rPr>
                <w:sz w:val="20"/>
                <w:szCs w:val="20"/>
                <w:color w:val="auto"/>
              </w:rPr>
            </w:pPr>
            <w:r>
              <w:rPr>
                <w:rFonts w:ascii="Times New Roman" w:cs="Times New Roman" w:eastAsia="Times New Roman" w:hAnsi="Times New Roman"/>
                <w:sz w:val="13"/>
                <w:szCs w:val="13"/>
                <w:color w:val="auto"/>
              </w:rPr>
              <w:t>5 Option Model</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1,011.79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0" w:type="dxa"/>
            <w:vAlign w:val="bottom"/>
          </w:tcPr>
          <w:p>
            <w:pPr>
              <w:spacing w:after="0"/>
              <w:rPr>
                <w:sz w:val="1"/>
                <w:szCs w:val="1"/>
                <w:color w:val="auto"/>
              </w:rPr>
            </w:pPr>
          </w:p>
        </w:tc>
      </w:tr>
      <w:tr>
        <w:trPr>
          <w:trHeight w:val="165"/>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restart"/>
          </w:tcPr>
          <w:p>
            <w:pPr>
              <w:jc w:val="right"/>
              <w:ind w:right="635"/>
              <w:spacing w:after="0"/>
              <w:rPr>
                <w:sz w:val="20"/>
                <w:szCs w:val="20"/>
                <w:color w:val="auto"/>
              </w:rPr>
            </w:pPr>
            <w:r>
              <w:rPr>
                <w:rFonts w:ascii="Times New Roman" w:cs="Times New Roman" w:eastAsia="Times New Roman" w:hAnsi="Times New Roman"/>
                <w:sz w:val="13"/>
                <w:szCs w:val="13"/>
                <w:color w:val="auto"/>
              </w:rPr>
              <w:t>Option Model</w:t>
            </w:r>
          </w:p>
        </w:tc>
        <w:tc>
          <w:tcPr>
            <w:tcW w:w="1480" w:type="dxa"/>
            <w:vAlign w:val="bottom"/>
            <w:vMerge w:val="continue"/>
          </w:tcPr>
          <w:p>
            <w:pPr>
              <w:spacing w:after="0"/>
              <w:rPr>
                <w:sz w:val="6"/>
                <w:szCs w:val="6"/>
                <w:color w:val="auto"/>
              </w:rPr>
            </w:pPr>
          </w:p>
        </w:tc>
        <w:tc>
          <w:tcPr>
            <w:tcW w:w="30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1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MMBtu)</w:t>
            </w: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2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3"/>
                <w:szCs w:val="13"/>
                <w:color w:val="auto"/>
              </w:rPr>
              <w:t>— Discounted Cash Flow</w:t>
            </w:r>
          </w:p>
        </w:tc>
        <w:tc>
          <w:tcPr>
            <w:tcW w:w="148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59,425 MWh</w:t>
            </w:r>
          </w:p>
        </w:tc>
        <w:tc>
          <w:tcPr>
            <w:tcW w:w="16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118,850 MWh</w:t>
            </w:r>
          </w:p>
        </w:tc>
        <w:tc>
          <w:tcPr>
            <w:tcW w:w="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111,091 MWh</w:t>
            </w:r>
          </w:p>
        </w:tc>
        <w:tc>
          <w:tcPr>
            <w:tcW w:w="0" w:type="dxa"/>
            <w:vAlign w:val="bottom"/>
          </w:tcPr>
          <w:p>
            <w:pPr>
              <w:spacing w:after="0"/>
              <w:rPr>
                <w:sz w:val="1"/>
                <w:szCs w:val="1"/>
                <w:color w:val="auto"/>
              </w:rPr>
            </w:pPr>
          </w:p>
        </w:tc>
      </w:tr>
      <w:tr>
        <w:trPr>
          <w:trHeight w:val="170"/>
        </w:trPr>
        <w:tc>
          <w:tcPr>
            <w:tcW w:w="22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9" w:name="page120"/>
    <w:bookmarkEnd w:id="119"/>
    <w:p>
      <w:pPr>
        <w:ind w:left="626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340" w:type="dxa"/>
            <w:vAlign w:val="bottom"/>
            <w:tcBorders>
              <w:top w:val="single" w:sz="8" w:color="auto"/>
              <w:bottom w:val="single" w:sz="8" w:color="auto"/>
            </w:tcBorders>
            <w:gridSpan w:val="2"/>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Input/Range</w:t>
            </w: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6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2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Low</w:t>
            </w:r>
          </w:p>
        </w:tc>
        <w:tc>
          <w:tcPr>
            <w:tcW w:w="200" w:type="dxa"/>
            <w:vAlign w:val="bottom"/>
          </w:tcPr>
          <w:p>
            <w:pPr>
              <w:spacing w:after="0"/>
              <w:rPr>
                <w:sz w:val="10"/>
                <w:szCs w:val="10"/>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High</w:t>
            </w:r>
          </w:p>
        </w:tc>
        <w:tc>
          <w:tcPr>
            <w:tcW w:w="12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Long-term Power Commodity Contracts </w:t>
            </w: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325 Discounted Cash Flow</w:t>
            </w:r>
          </w:p>
        </w:tc>
        <w:tc>
          <w:tcPr>
            <w:tcW w:w="15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5 Option Model</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(43.96)</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343.61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64.34</w:t>
            </w:r>
          </w:p>
        </w:tc>
        <w:tc>
          <w:tcPr>
            <w:tcW w:w="0" w:type="dxa"/>
            <w:vAlign w:val="bottom"/>
          </w:tcPr>
          <w:p>
            <w:pPr>
              <w:spacing w:after="0"/>
              <w:rPr>
                <w:sz w:val="1"/>
                <w:szCs w:val="1"/>
                <w:color w:val="auto"/>
              </w:rPr>
            </w:pPr>
          </w:p>
        </w:tc>
      </w:tr>
      <w:tr>
        <w:trPr>
          <w:trHeight w:val="16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Heat Rate Call Option Commodity</w:t>
            </w:r>
          </w:p>
        </w:tc>
        <w:tc>
          <w:tcPr>
            <w:tcW w:w="10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8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color w:val="auto"/>
              </w:rPr>
              <w:t>Option Model</w:t>
            </w:r>
          </w:p>
        </w:tc>
        <w:tc>
          <w:tcPr>
            <w:tcW w:w="1500" w:type="dxa"/>
            <w:vAlign w:val="bottom"/>
            <w:vMerge w:val="continue"/>
          </w:tcPr>
          <w:p>
            <w:pPr>
              <w:spacing w:after="0"/>
              <w:rPr>
                <w:sz w:val="6"/>
                <w:szCs w:val="6"/>
                <w:color w:val="auto"/>
              </w:rPr>
            </w:pP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5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9"/>
              </w:rPr>
              <w:t>MMBtu)</w:t>
            </w:r>
          </w:p>
        </w:tc>
        <w:tc>
          <w:tcPr>
            <w:tcW w:w="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500" w:type="dxa"/>
            <w:vAlign w:val="bottom"/>
            <w:shd w:val="clear" w:color="auto" w:fill="CCEEFF"/>
          </w:tcPr>
          <w:p>
            <w:pPr>
              <w:jc w:val="center"/>
              <w:ind w:left="16"/>
              <w:spacing w:after="0" w:line="129"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104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13</w:t>
            </w:r>
          </w:p>
        </w:tc>
        <w:tc>
          <w:tcPr>
            <w:tcW w:w="660" w:type="dxa"/>
            <w:vAlign w:val="bottom"/>
            <w:shd w:val="clear" w:color="auto" w:fill="CCEEFF"/>
          </w:tcPr>
          <w:p>
            <w:pPr>
              <w:spacing w:after="0"/>
              <w:rPr>
                <w:sz w:val="11"/>
                <w:szCs w:val="11"/>
                <w:color w:val="auto"/>
              </w:rPr>
            </w:pPr>
          </w:p>
        </w:tc>
        <w:tc>
          <w:tcPr>
            <w:tcW w:w="168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 Discounted Cash Flow</w:t>
            </w:r>
          </w:p>
        </w:tc>
        <w:tc>
          <w:tcPr>
            <w:tcW w:w="1500" w:type="dxa"/>
            <w:vAlign w:val="bottom"/>
            <w:shd w:val="clear" w:color="auto" w:fill="CCEEFF"/>
          </w:tcPr>
          <w:p>
            <w:pPr>
              <w:jc w:val="center"/>
              <w:ind w:left="16"/>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60,801 MWh</w:t>
            </w: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121,602 MWh</w:t>
            </w: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115,622 MWh</w:t>
            </w:r>
          </w:p>
        </w:tc>
        <w:tc>
          <w:tcPr>
            <w:tcW w:w="0" w:type="dxa"/>
            <w:vAlign w:val="bottom"/>
          </w:tcPr>
          <w:p>
            <w:pPr>
              <w:spacing w:after="0"/>
              <w:rPr>
                <w:sz w:val="1"/>
                <w:szCs w:val="1"/>
                <w:color w:val="auto"/>
              </w:rPr>
            </w:pPr>
          </w:p>
        </w:tc>
      </w:tr>
      <w:tr>
        <w:trPr>
          <w:trHeight w:val="170"/>
        </w:trPr>
        <w:tc>
          <w:tcPr>
            <w:tcW w:w="24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2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provides the impact on the fair value measurements to increases/(decreases) in significant unobservable inputs as of December 31, 2024 and </w:t>
      </w:r>
      <w:r>
        <w:rPr>
          <w:rFonts w:ascii="Times New Roman" w:cs="Times New Roman" w:eastAsia="Times New Roman" w:hAnsi="Times New Roman"/>
          <w:sz w:val="12"/>
          <w:szCs w:val="12"/>
          <w:color w:val="auto"/>
        </w:rPr>
        <w:t>2023</w:t>
      </w:r>
      <w:r>
        <w:rPr>
          <w:rFonts w:ascii="Times New Roman" w:cs="Times New Roman" w:eastAsia="Times New Roman" w:hAnsi="Times New Roman"/>
          <w:sz w:val="14"/>
          <w:szCs w:val="14"/>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272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Significant Observable Input</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Change In Input</w:t>
            </w:r>
          </w:p>
        </w:tc>
        <w:tc>
          <w:tcPr>
            <w:tcW w:w="272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7"/>
              </w:rPr>
              <w:t>Impact on Fair Value Measurement</w:t>
            </w:r>
          </w:p>
        </w:tc>
      </w:tr>
      <w:tr>
        <w:trPr>
          <w:trHeight w:val="16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Forward Market Price Power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Lower/(Higher)</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Energy-Related Commodity Contracts</w:t>
            </w:r>
          </w:p>
        </w:tc>
        <w:tc>
          <w:tcPr>
            <w:tcW w:w="27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Forward Market Price Gas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Higher/(Lower)</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27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7"/>
              </w:rPr>
              <w:t>Forecast Generation Levels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Sell</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72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Higher/(Lower)</w:t>
            </w: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2024, the non-performance reserve was a $16 million gain recorded primarily to total operating revenues in the consolidated statements of income.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20" w:name="page121"/>
    <w:bookmarkEnd w:id="120"/>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December 31, 2024, the Company had interest rate derivative instruments on non-recourse debt extending through 2033,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Commodity Contracts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energy-related derivative instruments extending through 2033. At December 31, 2024, these contracts were not designated as cash flow or fair value hedges.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17"/>
        </w:trPr>
        <w:tc>
          <w:tcPr>
            <w:tcW w:w="20" w:type="dxa"/>
            <w:vAlign w:val="bottom"/>
          </w:tcPr>
          <w:p>
            <w:pPr>
              <w:spacing w:after="0"/>
              <w:rPr>
                <w:sz w:val="10"/>
                <w:szCs w:val="10"/>
                <w:color w:val="auto"/>
              </w:rPr>
            </w:pPr>
          </w:p>
        </w:tc>
        <w:tc>
          <w:tcPr>
            <w:tcW w:w="10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2640" w:type="dxa"/>
            <w:vAlign w:val="bottom"/>
            <w:gridSpan w:val="3"/>
          </w:tcPr>
          <w:p>
            <w:pPr>
              <w:ind w:left="340"/>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3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Power</w:t>
            </w:r>
          </w:p>
        </w:tc>
        <w:tc>
          <w:tcPr>
            <w:tcW w:w="2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MWh</w:t>
            </w:r>
          </w:p>
        </w:tc>
        <w:tc>
          <w:tcPr>
            <w:tcW w:w="38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0"/>
        </w:trPr>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MMBtu</w:t>
            </w:r>
          </w:p>
        </w:tc>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2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Dollars</w:t>
            </w:r>
          </w:p>
        </w:tc>
        <w:tc>
          <w:tcPr>
            <w:tcW w:w="5260" w:type="dxa"/>
            <w:vAlign w:val="bottom"/>
            <w:gridSpan w:val="2"/>
            <w:shd w:val="clear" w:color="auto" w:fill="CCEEFF"/>
          </w:tcPr>
          <w:p>
            <w:pPr>
              <w:jc w:val="right"/>
              <w:ind w:right="126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1,769</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r>
      <w:tr>
        <w:trPr>
          <w:trHeight w:val="8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6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117</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91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80" w:type="dxa"/>
            <w:vAlign w:val="bottom"/>
          </w:tcPr>
          <w:p>
            <w:pPr>
              <w:spacing w:after="0"/>
              <w:rPr>
                <w:sz w:val="13"/>
                <w:szCs w:val="13"/>
                <w:color w:val="auto"/>
              </w:rPr>
            </w:pPr>
          </w:p>
        </w:tc>
        <w:tc>
          <w:tcPr>
            <w:tcW w:w="2500" w:type="dxa"/>
            <w:vAlign w:val="bottom"/>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5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current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Energy-related commodity contracts long-term</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1"/>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9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December 31, 2024 and 2023,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gridSpan w:val="5"/>
          </w:tcPr>
          <w:p>
            <w:pPr>
              <w:jc w:val="center"/>
              <w:ind w:left="1592"/>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5"/>
          </w:tcPr>
          <w:p>
            <w:pPr>
              <w:jc w:val="center"/>
              <w:ind w:left="1592"/>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Energy-related 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5"/>
                <w:szCs w:val="15"/>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energy-related commodity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jc w:val="right"/>
              <w:ind w:right="1112"/>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(OCL) balance attributable to interest rate swaps designated as cash flow hedge derivatives: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tcPr>
          <w:p>
            <w:pPr>
              <w:spacing w:after="0"/>
              <w:rPr>
                <w:sz w:val="13"/>
                <w:szCs w:val="13"/>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0"/>
        </w:trPr>
        <w:tc>
          <w:tcPr>
            <w:tcW w:w="7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(OCL) beginning balance</w:t>
            </w: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Reclassified from accumulated OCI (OCL) to income due to realization of previously deferred amounts</w:t>
            </w:r>
          </w:p>
        </w:tc>
        <w:tc>
          <w:tcPr>
            <w:tcW w:w="8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Capistrano Wind Portfolio Acquisition</w:t>
            </w: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ending balance</w:t>
            </w:r>
          </w:p>
        </w:tc>
        <w:tc>
          <w:tcPr>
            <w:tcW w:w="80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noncontrolling interests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attributable to Clearway Energy LLC</w:t>
            </w:r>
          </w:p>
        </w:tc>
        <w:tc>
          <w:tcPr>
            <w:tcW w:w="80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Income expected to be realized from OCI during the next 12 months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vMerge w:val="continue"/>
          </w:tcPr>
          <w:p>
            <w:pPr>
              <w:spacing w:after="0"/>
              <w:rPr>
                <w:sz w:val="12"/>
                <w:szCs w:val="12"/>
                <w:color w:val="auto"/>
              </w:rPr>
            </w:pPr>
          </w:p>
        </w:tc>
        <w:tc>
          <w:tcPr>
            <w:tcW w:w="800" w:type="dxa"/>
            <w:vAlign w:val="bottom"/>
          </w:tcPr>
          <w:p>
            <w:pPr>
              <w:jc w:val="right"/>
              <w:ind w:right="652"/>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 (OCL) into income are recorded to 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income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77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Total operating revenues) </w:t>
            </w:r>
            <w:r>
              <w:rPr>
                <w:rFonts w:ascii="Times New Roman" w:cs="Times New Roman" w:eastAsia="Times New Roman" w:hAnsi="Times New Roman"/>
                <w:sz w:val="18"/>
                <w:szCs w:val="18"/>
                <w:color w:val="auto"/>
                <w:vertAlign w:val="superscript"/>
              </w:rPr>
              <w:t>(a)</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242424"/>
              </w:rPr>
              <w:t>23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7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Energy-Related Commodity Contracts (Mark-to-market for economic hedging activities included in Cost of operations) </w:t>
            </w:r>
            <w:r>
              <w:rPr>
                <w:rFonts w:ascii="Times New Roman" w:cs="Times New Roman" w:eastAsia="Times New Roman" w:hAnsi="Times New Roman"/>
                <w:sz w:val="18"/>
                <w:szCs w:val="18"/>
                <w:color w:val="auto"/>
                <w:vertAlign w:val="superscript"/>
              </w:rPr>
              <w:t>(b)</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242424"/>
              </w:rPr>
              <w:t>2</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7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Relates to long-term energy-related commodity contracts at Elbow Creek, Mesquite Star, Mt. Storm, Langford and Mesquite Sky and heat rate call option energy-related commodity contracts at El Segundo, Marsh Landing and Walnut Creek.</w:t>
      </w:r>
    </w:p>
    <w:p>
      <w:pPr>
        <w:spacing w:after="0" w:line="45"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7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backbone transportation service energy-related commodity contracts at El Segundo and Walnut Creek.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2024 and 2023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78" w:lineRule="exact"/>
        <w:rPr>
          <w:sz w:val="20"/>
          <w:szCs w:val="20"/>
          <w:color w:val="auto"/>
        </w:rPr>
      </w:pPr>
    </w:p>
    <w:p>
      <w:pPr>
        <w:ind w:left="520" w:hanging="260"/>
        <w:spacing w:after="0" w:line="290" w:lineRule="auto"/>
        <w:tabs>
          <w:tab w:leader="none" w:pos="516"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Tapestry, Laredo Ridge, Carlsbad Energy Center, Agua Caliente, the Utah Solar Portfolio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Capistrano Wind Portfolio. These represent the fair value of the PPAs acquired. These are amortized on a straight-line basis, over the term of the PPA.</w:t>
      </w:r>
    </w:p>
    <w:p>
      <w:pPr>
        <w:spacing w:after="0" w:line="35" w:lineRule="exact"/>
        <w:rPr>
          <w:rFonts w:ascii="Times New Roman" w:cs="Times New Roman" w:eastAsia="Times New Roman" w:hAnsi="Times New Roman"/>
          <w:sz w:val="14"/>
          <w:szCs w:val="14"/>
          <w:i w:val="1"/>
          <w:iCs w:val="1"/>
          <w:color w:val="auto"/>
        </w:rPr>
      </w:pPr>
    </w:p>
    <w:p>
      <w:pPr>
        <w:ind w:left="520" w:right="140" w:hanging="260"/>
        <w:spacing w:after="0" w:line="284" w:lineRule="auto"/>
        <w:tabs>
          <w:tab w:leader="none" w:pos="516"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facilities. These are amortized as a reduction to operating revenue on a straight-line basis over the term of the PPAs.</w:t>
      </w:r>
    </w:p>
    <w:p>
      <w:pPr>
        <w:jc w:val="both"/>
        <w:ind w:left="520" w:hanging="260"/>
        <w:spacing w:after="0" w:line="271" w:lineRule="auto"/>
        <w:tabs>
          <w:tab w:leader="none" w:pos="516"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Walnut Creek and Carlsbad Energy Center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emission allowances 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 xml:space="preserve"> allowances amortized based on units of production.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jc w:val="both"/>
        <w:ind w:left="520" w:hanging="260"/>
        <w:spacing w:after="0" w:line="271" w:lineRule="auto"/>
        <w:tabs>
          <w:tab w:leader="none" w:pos="516"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 Consists of a) the acquisition date fair value of the contractual rights to a ground lease for South Trent and to utilize certain interconnection facilities for Blythe as well as land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Star Portfolio.</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00" w:type="dxa"/>
            <w:vAlign w:val="bottom"/>
          </w:tcPr>
          <w:p>
            <w:pPr>
              <w:spacing w:after="0"/>
              <w:rPr>
                <w:sz w:val="11"/>
                <w:szCs w:val="11"/>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2024</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837"/>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w w:val="91"/>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0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2023</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Walnut Creek PPA expiration</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2023</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w w:val="91"/>
              </w:rPr>
              <w:t>48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of $184 million, $186 million and $174 million during the years ended December 31, 2024, 2023 and 2022, respectively. Of these amounts, $178 million, $181 million and $168 million during the years ended December 31, 2024, 2023 and 2022, respectively, were related to the amortization of intangible assets for PPAs and were recorded to contract amortization expense, which reduced operating revenues in the consolidated statements of income. The Company estimates the future amortization expense for its intangibles for the next five years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2025</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2026</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2027</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2028</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2029</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Impairment Losses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i w:val="1"/>
          <w:iCs w:val="1"/>
          <w:color w:val="auto"/>
        </w:rPr>
        <w:t>2022 Impairment Losses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impairment analysis indicated that the projected future cash flows for certain facilities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short-term and long-term portions,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 xml:space="preserve">Interest rate % </w:t>
            </w:r>
            <w:r>
              <w:rPr>
                <w:rFonts w:ascii="Times New Roman" w:cs="Times New Roman" w:eastAsia="Times New Roman" w:hAnsi="Times New Roman"/>
                <w:sz w:val="14"/>
                <w:szCs w:val="14"/>
                <w:b w:val="1"/>
                <w:bCs w:val="1"/>
                <w:color w:val="auto"/>
                <w:vertAlign w:val="superscript"/>
              </w:rPr>
              <w:t>(a)(b)</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Letters of Credit Outstanding at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45"/>
        </w:trPr>
        <w:tc>
          <w:tcPr>
            <w:tcW w:w="5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Note with Clearway,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2028 </w:t>
            </w:r>
            <w:r>
              <w:rPr>
                <w:rFonts w:ascii="Times New Roman" w:cs="Times New Roman" w:eastAsia="Times New Roman" w:hAnsi="Times New Roman"/>
                <w:sz w:val="16"/>
                <w:szCs w:val="16"/>
                <w:color w:val="auto"/>
                <w:vertAlign w:val="superscript"/>
              </w:rPr>
              <w:t>(b)</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S+1.500</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facility level debt: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14</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S+2.775</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67</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 due 2038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w:t>
            </w:r>
          </w:p>
        </w:tc>
        <w:tc>
          <w:tcPr>
            <w:tcW w:w="0" w:type="dxa"/>
            <w:vAlign w:val="bottom"/>
          </w:tcPr>
          <w:p>
            <w:pPr>
              <w:spacing w:after="0"/>
              <w:rPr>
                <w:sz w:val="1"/>
                <w:szCs w:val="1"/>
                <w:color w:val="auto"/>
              </w:rPr>
            </w:pPr>
          </w:p>
        </w:tc>
      </w:tr>
      <w:tr>
        <w:trPr>
          <w:trHeight w:val="170"/>
        </w:trPr>
        <w:tc>
          <w:tcPr>
            <w:tcW w:w="5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Broken Bow, due 2031 </w:t>
            </w:r>
            <w:r>
              <w:rPr>
                <w:rFonts w:ascii="Times New Roman" w:cs="Times New Roman" w:eastAsia="Times New Roman" w:hAnsi="Times New Roman"/>
                <w:sz w:val="16"/>
                <w:szCs w:val="16"/>
                <w:color w:val="auto"/>
                <w:vertAlign w:val="superscript"/>
              </w:rPr>
              <w:t>(d)</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S+2.100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20</w:t>
            </w:r>
          </w:p>
        </w:tc>
        <w:tc>
          <w:tcPr>
            <w:tcW w:w="0" w:type="dxa"/>
            <w:vAlign w:val="bottom"/>
          </w:tcPr>
          <w:p>
            <w:pPr>
              <w:spacing w:after="0"/>
              <w:rPr>
                <w:sz w:val="1"/>
                <w:szCs w:val="1"/>
                <w:color w:val="auto"/>
              </w:rPr>
            </w:pPr>
          </w:p>
        </w:tc>
      </w:tr>
      <w:tr>
        <w:trPr>
          <w:trHeight w:val="170"/>
        </w:trPr>
        <w:tc>
          <w:tcPr>
            <w:tcW w:w="5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Capistrano Portfolio Holdco LLC, due 2033 </w:t>
            </w:r>
            <w:r>
              <w:rPr>
                <w:rFonts w:ascii="Times New Roman" w:cs="Times New Roman" w:eastAsia="Times New Roman" w:hAnsi="Times New Roman"/>
                <w:sz w:val="16"/>
                <w:szCs w:val="16"/>
                <w:color w:val="auto"/>
                <w:vertAlign w:val="superscript"/>
              </w:rPr>
              <w:t>(d)</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S+1.625</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42</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S+1.900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63</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Cedar Creek, due 2029</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S+1.625</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19</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 due 2029</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70"/>
        </w:trPr>
        <w:tc>
          <w:tcPr>
            <w:tcW w:w="5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Crofton Bluffs, due 2031 </w:t>
            </w:r>
            <w:r>
              <w:rPr>
                <w:rFonts w:ascii="Times New Roman" w:cs="Times New Roman" w:eastAsia="Times New Roman" w:hAnsi="Times New Roman"/>
                <w:sz w:val="16"/>
                <w:szCs w:val="16"/>
                <w:color w:val="auto"/>
                <w:vertAlign w:val="superscript"/>
              </w:rPr>
              <w:t>(d)</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2, due 2028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32</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3, due 2028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S+1.762</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44</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Dan’s Mountain, due 2025</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S+1.250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30</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Class B Member Holdco LLC, due 2028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S+1.600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18</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Holdco LC Facility, due 2027</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105</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 due 2031 and 2033</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S+2.000-2.125</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11</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S+1.775</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 LLC, due 2029</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28</w:t>
            </w:r>
          </w:p>
        </w:tc>
        <w:tc>
          <w:tcPr>
            <w:tcW w:w="0" w:type="dxa"/>
            <w:vAlign w:val="bottom"/>
          </w:tcPr>
          <w:p>
            <w:pPr>
              <w:spacing w:after="0"/>
              <w:rPr>
                <w:sz w:val="1"/>
                <w:szCs w:val="1"/>
                <w:color w:val="auto"/>
              </w:rPr>
            </w:pPr>
          </w:p>
        </w:tc>
      </w:tr>
      <w:tr>
        <w:trPr>
          <w:trHeight w:val="170"/>
        </w:trPr>
        <w:tc>
          <w:tcPr>
            <w:tcW w:w="5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Texas Solar Nova 1, due 2028 </w:t>
            </w:r>
            <w:r>
              <w:rPr>
                <w:rFonts w:ascii="Times New Roman" w:cs="Times New Roman" w:eastAsia="Times New Roman" w:hAnsi="Times New Roman"/>
                <w:sz w:val="16"/>
                <w:szCs w:val="16"/>
                <w:color w:val="auto"/>
                <w:vertAlign w:val="superscript"/>
              </w:rPr>
              <w:t>(c)</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TSN1 Class B Member LLC, due 2029 </w:t>
            </w:r>
            <w:r>
              <w:rPr>
                <w:rFonts w:ascii="Times New Roman" w:cs="Times New Roman" w:eastAsia="Times New Roman" w:hAnsi="Times New Roman"/>
                <w:sz w:val="16"/>
                <w:szCs w:val="16"/>
                <w:color w:val="auto"/>
                <w:vertAlign w:val="superscript"/>
              </w:rPr>
              <w:t>(c)</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S+1.750</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52</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154</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29</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Victory Pass and Arica, due 2024</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Various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49</w:t>
            </w:r>
          </w:p>
        </w:tc>
        <w:tc>
          <w:tcPr>
            <w:tcW w:w="0" w:type="dxa"/>
            <w:vAlign w:val="bottom"/>
          </w:tcPr>
          <w:p>
            <w:pPr>
              <w:spacing w:after="0"/>
              <w:rPr>
                <w:sz w:val="1"/>
                <w:szCs w:val="1"/>
                <w:color w:val="auto"/>
              </w:rPr>
            </w:pPr>
          </w:p>
        </w:tc>
      </w:tr>
      <w:tr>
        <w:trPr>
          <w:trHeight w:val="158"/>
        </w:trPr>
        <w:tc>
          <w:tcPr>
            <w:tcW w:w="5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Subtotal non-recourse facility-level debt</w:t>
            </w: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5,974</w:t>
            </w:r>
          </w:p>
        </w:tc>
        <w:tc>
          <w:tcPr>
            <w:tcW w:w="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w:t>
            </w: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80" w:hanging="111"/>
        <w:spacing w:after="0"/>
        <w:tabs>
          <w:tab w:leader="none" w:pos="180" w:val="left"/>
        </w:tabs>
        <w:numPr>
          <w:ilvl w:val="0"/>
          <w:numId w:val="8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As of December 31, 2024, S+ equals SOFR plus x%.</w:t>
      </w:r>
    </w:p>
    <w:p>
      <w:pPr>
        <w:spacing w:after="0" w:line="29"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8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Applicable rate is determined by the borrower leverage ratio, as defined in the credit agreement, and only applies to outstanding borrowings.</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tabs>
          <w:tab w:leader="none" w:pos="180" w:val="left"/>
        </w:tabs>
        <w:numPr>
          <w:ilvl w:val="0"/>
          <w:numId w:val="8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On March 15, 2024, Texas Solar Nova 1’s financing agreement was amended to merge the facility-level debt of Texas Solar Nova 1 and Texas Solar Nova 2 as a combined term loan under TSN1 Class B Member LLC.</w:t>
      </w:r>
    </w:p>
    <w:p>
      <w:pPr>
        <w:spacing w:after="0" w:line="17" w:lineRule="exact"/>
        <w:rPr>
          <w:rFonts w:ascii="Times New Roman" w:cs="Times New Roman" w:eastAsia="Times New Roman" w:hAnsi="Times New Roman"/>
          <w:sz w:val="7"/>
          <w:szCs w:val="7"/>
          <w:color w:val="auto"/>
        </w:rPr>
      </w:pPr>
    </w:p>
    <w:p>
      <w:pPr>
        <w:ind w:left="180" w:hanging="111"/>
        <w:spacing w:after="0"/>
        <w:tabs>
          <w:tab w:leader="none" w:pos="180" w:val="left"/>
        </w:tabs>
        <w:numPr>
          <w:ilvl w:val="0"/>
          <w:numId w:val="8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On October 23, 2024, the outstanding debt of Broken Bow and Crofton Bluffs was paid off utilizing the proceeds from the Capistrano Portfolio Holdco LLC term loan that was issued on the same day.</w:t>
      </w:r>
    </w:p>
    <w:p>
      <w:pPr>
        <w:spacing w:after="0" w:line="24"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8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Premiums relate to the 2028 Senior Notes.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6" w:name="page127"/>
    <w:bookmarkEnd w:id="126"/>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of its financing arrangement, then the related lender could demand repayment of the facility or enforce their security interests with respect to the pledged collateral.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all of the required covenants.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Cedro Hill Repowering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is now included in property, plant and equipment, net on the Company’s consolidated balance sheet as of December 31, 2024.</w:t>
      </w:r>
    </w:p>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as further described in Note 5, </w:t>
      </w:r>
      <w:r>
        <w:rPr>
          <w:rFonts w:ascii="Times New Roman" w:cs="Times New Roman" w:eastAsia="Times New Roman" w:hAnsi="Times New Roman"/>
          <w:sz w:val="14"/>
          <w:szCs w:val="14"/>
          <w:i w:val="1"/>
          <w:iCs w:val="1"/>
          <w:color w:val="auto"/>
        </w:rPr>
        <w:t>Investments Accounted for by the Equity Method and Variable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Entities</w:t>
      </w:r>
      <w:r>
        <w:rPr>
          <w:rFonts w:ascii="Times New Roman" w:cs="Times New Roman" w:eastAsia="Times New Roman" w:hAnsi="Times New Roman"/>
          <w:sz w:val="14"/>
          <w:szCs w:val="14"/>
          <w:color w:val="auto"/>
        </w:rPr>
        <w:t>. The tax equity proceeds were utilized, along with $54 million in construction loan proceeds, to repay the $138 million tax equity bridge loan, the $16 million cash equity bridge loan, to fund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$38 million in construction completion and related reserves, which is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Dan’s Mountain</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November 18, 2024, as part of the acquisition of Dan’s Mountain,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the Company assumed the facility’s financing agreement, which included a $77 million cash equity bridge loan 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 The tax equity bridge loan and the remaining cash equity bridge loan will be repaid with the final proceeds received from the tax equity investor and the Company’s additional purchase price upon Dan’s Mountain reaching substantial completion, which is expected to occur in the first half of 2025, along with the $18 million that was contributed into escrow by the tax equity investor at acquisition date, which is included in restricted cash on the Company’s consolidated balance sheet. Subsequent to the acquisition, the Company borrowed an additional $24 million in tax equity bridge loans.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7" w:name="page128"/>
    <w:bookmarkEnd w:id="127"/>
    <w:p>
      <w:pPr>
        <w:ind w:left="320"/>
        <w:spacing w:after="0"/>
        <w:rPr>
          <w:sz w:val="20"/>
          <w:szCs w:val="20"/>
          <w:color w:val="auto"/>
        </w:rPr>
      </w:pPr>
      <w:r>
        <w:rPr>
          <w:rFonts w:ascii="Times New Roman" w:cs="Times New Roman" w:eastAsia="Times New Roman" w:hAnsi="Times New Roman"/>
          <w:sz w:val="14"/>
          <w:szCs w:val="14"/>
          <w:i w:val="1"/>
          <w:iCs w:val="1"/>
          <w:color w:val="auto"/>
        </w:rPr>
        <w:t>Capistrano Portfolio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Natural Gas Holdco LC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Rosamond Central (Rosie Class B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discussed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and Clearway Renew utilized the funds to partially repay the loan.</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NIMH Solar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On June 11, 2024, the Company, through its indirect subsidiary, NIMH Solar LLC, </w:t>
      </w:r>
      <w:r>
        <w:rPr>
          <w:rFonts w:ascii="Times New Roman" w:cs="Times New Roman" w:eastAsia="Times New Roman" w:hAnsi="Times New Roman"/>
          <w:sz w:val="14"/>
          <w:szCs w:val="14"/>
          <w:color w:val="212529"/>
        </w:rPr>
        <w:t>refinanced its amended and restated credit agreement, which was scheduled to mature in September 2024,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resulting in the issuance of a $137 million term loan facility, as well as $17 million in letters of credit in support of debt service and facility obligations. </w:t>
      </w:r>
      <w:r>
        <w:rPr>
          <w:rFonts w:ascii="Times New Roman" w:cs="Times New Roman" w:eastAsia="Times New Roman" w:hAnsi="Times New Roman"/>
          <w:sz w:val="14"/>
          <w:szCs w:val="14"/>
          <w:color w:val="000000"/>
        </w:rPr>
        <w:t>The obligations under the new financing</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Victory Pass and Arica</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October 31, 2023, as part of the acquisition of Victory Pass and Arica,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the Company assumed the facility’s financing agreement, which included a $483 million cash equity bridge loan 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cash equity investor.</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On May 1, 2024, when the facilities reached substantial completion, the Company paid $165 million to Clearway Renew as additional purchase price,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cash equity investor contributed an additional $347 million, the tax equity investor contributed an additional $410 million and CEG contributed $52 million, which were utilized,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Subsequent to the acquisition, the Company borrowed an additional $22 million during 2023 and $62 million during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8" w:name="page129"/>
    <w:bookmarkEnd w:id="128"/>
    <w:p>
      <w:pPr>
        <w:ind w:left="320"/>
        <w:spacing w:after="0"/>
        <w:rPr>
          <w:sz w:val="20"/>
          <w:szCs w:val="20"/>
          <w:color w:val="auto"/>
        </w:rPr>
      </w:pPr>
      <w:r>
        <w:rPr>
          <w:rFonts w:ascii="Times New Roman" w:cs="Times New Roman" w:eastAsia="Times New Roman" w:hAnsi="Times New Roman"/>
          <w:sz w:val="14"/>
          <w:szCs w:val="14"/>
          <w:i w:val="1"/>
          <w:iCs w:val="1"/>
          <w:color w:val="auto"/>
        </w:rPr>
        <w:t>Cedar Creek</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April 16, 2024, as part of the acquisition of Cedar Creek,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is included in restricted cash on the Company’s consolidated balance sheet, and to pay $6 million in associated fees. Also at acquisition date, the outstanding construction loans were converted to a term loan in the amount of $110 million.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Texas Solar Nova 1 and Texas Solar Nova 2</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December 28, 2023, as part of the acquisition of Texas Solar Nova 1,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9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On March 15, 2024, as part of the acquisition of Texas Solar Nova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an $80 million term loan and a $115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is included in restricted cash on the Company’s consolidated balance sheet, and to pay $4 million in associated fees.</w:t>
      </w:r>
    </w:p>
    <w:p>
      <w:pPr>
        <w:spacing w:after="0" w:line="9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Additionally, on March 15, 2024, Texas Solar Nova 1’s financing agreement was amended to merge the Texas Solar Nova 1 and Texas Solar Nova 2 term loans as a combined term loan under TSN1 Class B Member LLC.</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2</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August 30, 2023, as part of the acquisition of Daggett 2,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$107 million construction loan and a $204 million tax equity bridge loan, offset by $3 million in unamortized debt issuance costs. On December 22, 2023, when the facility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which was included in restricted cash on the Company’s consolidated balance sheet, and to pay $1 million in associated fees with the remaining $91 million distributed to CEG. Subsequent to the acquisition, the Company borrowed an additional $49 million in construction loans and the total outstanding construction loans were converted to a term loan in the amount of $156 million on December 22, 2023.</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Daggett 3</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February 17, 2023, as part of the acquisition of Daggett 3, as further described in Note 3,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the Company assumed the facility’s financing agreement, which included a $181 million construction loan, a $229 million tax equity bridge loan and a $75 million cash equity bridge loan, offset by $5 million in unamortized debt issuance costs. The cash equity bridge loan was repaid at acquisition date, along with $8 million in associated fees, utilizing all of the proceeds from the Company, which were contributed back to the Company by CEG, and the contribution from the cash equity investor. On December 1, 2023, when the facility reached substantial completion, the tax equity investor contributed an additional $252 million, which was utilized along with the $69 million in escrow, to repay the $229 million tax equity bridge loan, to fund $40 million in construction completion reserves, which was included in restricted cash on the Company’s consolidated balance sheet, and to pay $7 million in associated fees with the remaining $45 million distributed to CEG. Subsequent to the acquisition, the Company borrowed an additional $36 million in construction loans and the total outstanding construction loans were converted to a term loan in the amount of $217 million on December 1, 2023.</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Facility Financings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Many of the Company’s subsidiaries entered into interest rate swaps, intended to hedge the risks associated with interest rates on non-recourse facility level debt. These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facility level debt: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Fixed Interest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Notional Amount at</w:t>
            </w: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of Principal</w:t>
            </w:r>
          </w:p>
        </w:tc>
        <w:tc>
          <w:tcPr>
            <w:tcW w:w="1000" w:type="dxa"/>
            <w:vAlign w:val="bottom"/>
            <w:gridSpan w:val="2"/>
            <w:vMerge w:val="continue"/>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Floating Interest Rate</w:t>
            </w:r>
          </w:p>
        </w:tc>
        <w:tc>
          <w:tcPr>
            <w:tcW w:w="160" w:type="dxa"/>
            <w:vAlign w:val="bottom"/>
          </w:tcPr>
          <w:p>
            <w:pPr>
              <w:spacing w:after="0"/>
              <w:rPr>
                <w:sz w:val="11"/>
                <w:szCs w:val="11"/>
                <w:color w:val="auto"/>
              </w:rPr>
            </w:pPr>
          </w:p>
        </w:tc>
        <w:tc>
          <w:tcPr>
            <w:tcW w:w="152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 2024 (In</w:t>
            </w:r>
          </w:p>
        </w:tc>
        <w:tc>
          <w:tcPr>
            <w:tcW w:w="80" w:type="dxa"/>
            <w:vAlign w:val="bottom"/>
          </w:tcPr>
          <w:p>
            <w:pPr>
              <w:spacing w:after="0"/>
              <w:rPr>
                <w:sz w:val="11"/>
                <w:szCs w:val="11"/>
                <w:color w:val="auto"/>
              </w:rPr>
            </w:pPr>
          </w:p>
        </w:tc>
        <w:tc>
          <w:tcPr>
            <w:tcW w:w="1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7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Avra Valley</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2.20 %</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March 31, 2023</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31, 2031</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May 22, 2013</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May 15, 2031</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February 28, 2018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2041</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Capistrano Portfolio Holdco</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October 23,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September 28, 2033</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2027</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Cedar Creek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3.02 %</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April 30,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2049</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Cedro Hill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2044</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Daggett 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31, 2043</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Dan’s Mountain</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4.97 %</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February 28, 2025</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 South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31, 2030</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Class B</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3.25 %</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June 11,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31, 2033</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November 30, 2019</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October 31, 2040</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Trent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June 30, 2028</w:t>
            </w:r>
          </w:p>
        </w:tc>
        <w:tc>
          <w:tcPr>
            <w:tcW w:w="0" w:type="dxa"/>
            <w:vAlign w:val="bottom"/>
          </w:tcPr>
          <w:p>
            <w:pPr>
              <w:spacing w:after="0"/>
              <w:rPr>
                <w:sz w:val="1"/>
                <w:szCs w:val="1"/>
                <w:color w:val="auto"/>
              </w:rPr>
            </w:pPr>
          </w:p>
        </w:tc>
      </w:tr>
      <w:tr>
        <w:trPr>
          <w:trHeight w:val="17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TSN1 Class B</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March 29,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September 30, 2043</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Viento Funding II</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December 31, 2032</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2024,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2025 </w:t>
            </w:r>
            <w:r>
              <w:rPr>
                <w:rFonts w:ascii="Times New Roman" w:cs="Times New Roman" w:eastAsia="Times New Roman" w:hAnsi="Times New Roman"/>
                <w:sz w:val="16"/>
                <w:szCs w:val="16"/>
                <w:color w:val="auto"/>
                <w:vertAlign w:val="superscript"/>
              </w:rPr>
              <w:t>(a)</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r>
      <w:tr>
        <w:trPr>
          <w:trHeight w:val="168"/>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3,507</w:t>
            </w:r>
          </w:p>
        </w:tc>
      </w:tr>
      <w:tr>
        <w:trPr>
          <w:trHeight w:val="18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7,235</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8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At December 31, 2024, amount includes $125 million of construction-related financings recorded in long-term debt on the Company’s consolidated balance sheet that is being funded through long-term equity contributions.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Note 11 — Members’ Equity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list the distributions paid on the Company’s Class A, Class B, Class C and Class D units during the years ended December 31, 2024, 2023 and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2024</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2024</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2024</w:t>
            </w:r>
          </w:p>
        </w:tc>
        <w:tc>
          <w:tcPr>
            <w:tcW w:w="16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2024</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0.4033</w:t>
            </w:r>
          </w:p>
        </w:tc>
      </w:tr>
      <w:tr>
        <w:trPr>
          <w:trHeight w:val="367"/>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2023</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2023</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2023</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2023</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0.3745</w:t>
            </w:r>
          </w:p>
        </w:tc>
      </w:tr>
      <w:tr>
        <w:trPr>
          <w:trHeight w:val="356"/>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60" w:type="dxa"/>
            <w:vAlign w:val="bottom"/>
          </w:tcPr>
          <w:p>
            <w:pPr>
              <w:spacing w:after="0"/>
              <w:rPr>
                <w:sz w:val="24"/>
                <w:szCs w:val="24"/>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A and Class B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C and Class D units</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17, 2025, the Company declared a quarterly distribution on its Class A, Class B, Class C and Class D units of $0.4312 per unit payable on March 17, 2025.</w:t>
      </w:r>
    </w:p>
    <w:p>
      <w:pPr>
        <w:spacing w:after="0" w:line="1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quarterly distributions, the Company paid $51 million in additional distributions, $30 million of which was distributed to Clearway, Inc. and $21 million of which was distributed to CEG, during the year ended December 31, 2023, in order for Clearway, Inc. to make certain additional tax payments primarily associated with the sale of the Thermal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Segment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Flexible Generation and Renewables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Approximately 60% of the Company’s operating revenues and 50% of the Company’s assets relate to operations located in California. Also, the Company generated more than 10% of its revenues from the following customers for the years ended December 31, 2024, 2023 and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7"/>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13"/>
                <w:szCs w:val="13"/>
                <w:color w:val="auto"/>
              </w:rPr>
            </w:pPr>
          </w:p>
        </w:tc>
        <w:tc>
          <w:tcPr>
            <w:tcW w:w="1520" w:type="dxa"/>
            <w:vAlign w:val="bottom"/>
            <w:gridSpan w:val="3"/>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 w:type="dxa"/>
            <w:vAlign w:val="bottom"/>
          </w:tcPr>
          <w:p>
            <w:pPr>
              <w:spacing w:after="0"/>
              <w:rPr>
                <w:sz w:val="13"/>
                <w:szCs w:val="13"/>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Renewables</w:t>
            </w:r>
          </w:p>
        </w:tc>
      </w:tr>
      <w:tr>
        <w:trPr>
          <w:trHeight w:val="16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r>
      <w:tr>
        <w:trPr>
          <w:trHeight w:val="165"/>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220" w:type="dxa"/>
            <w:vAlign w:val="bottom"/>
          </w:tcPr>
          <w:p>
            <w:pPr>
              <w:jc w:val="right"/>
              <w:ind w:right="46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14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gridSpan w:val="3"/>
          </w:tcPr>
          <w:p>
            <w:pPr>
              <w:jc w:val="center"/>
              <w:ind w:left="140"/>
              <w:spacing w:after="0"/>
              <w:rPr>
                <w:sz w:val="20"/>
                <w:szCs w:val="20"/>
                <w:color w:val="auto"/>
              </w:rPr>
            </w:pPr>
            <w:r>
              <w:rPr>
                <w:rFonts w:ascii="Times New Roman" w:cs="Times New Roman" w:eastAsia="Times New Roman" w:hAnsi="Times New Roman"/>
                <w:sz w:val="13"/>
                <w:szCs w:val="13"/>
                <w:color w:val="auto"/>
                <w:w w:val="92"/>
              </w:rPr>
              <w:t>15%</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6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88"/>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LLC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70"/>
        </w:trPr>
        <w:tc>
          <w:tcPr>
            <w:tcW w:w="57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7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0" w:type="dxa"/>
            <w:vAlign w:val="bottom"/>
          </w:tcPr>
          <w:p>
            <w:pPr>
              <w:spacing w:after="0"/>
              <w:rPr>
                <w:sz w:val="1"/>
                <w:szCs w:val="1"/>
                <w:color w:val="auto"/>
              </w:rPr>
            </w:pPr>
          </w:p>
        </w:tc>
      </w:tr>
      <w:tr>
        <w:trPr>
          <w:trHeight w:val="138"/>
        </w:trPr>
        <w:tc>
          <w:tcPr>
            <w:tcW w:w="2200" w:type="dxa"/>
            <w:vAlign w:val="bottom"/>
            <w:tcBorders>
              <w:bottom w:val="single" w:sz="8" w:color="auto"/>
            </w:tcBorders>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74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3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8"/>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5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benefit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0"/>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loss attributable to noncontrolling interests and redeemable noncontrolling interests</w:t>
            </w: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6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LLC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4"/>
                <w:szCs w:val="14"/>
                <w:color w:val="auto"/>
              </w:rPr>
            </w:pPr>
          </w:p>
        </w:tc>
        <w:tc>
          <w:tcPr>
            <w:tcW w:w="980" w:type="dxa"/>
            <w:vAlign w:val="bottom"/>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574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6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100" w:type="dxa"/>
            <w:vAlign w:val="bottom"/>
          </w:tcPr>
          <w:p>
            <w:pPr>
              <w:spacing w:after="0"/>
              <w:rPr>
                <w:sz w:val="14"/>
                <w:szCs w:val="14"/>
                <w:color w:val="auto"/>
              </w:rPr>
            </w:pPr>
          </w:p>
        </w:tc>
        <w:tc>
          <w:tcPr>
            <w:tcW w:w="980" w:type="dxa"/>
            <w:vAlign w:val="bottom"/>
          </w:tcPr>
          <w:p>
            <w:pPr>
              <w:jc w:val="right"/>
              <w:ind w:right="83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13881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58"/>
        </w:trPr>
        <w:tc>
          <w:tcPr>
            <w:tcW w:w="5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center"/>
              <w:ind w:left="57"/>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Flexible Generation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80" w:type="dxa"/>
            <w:vAlign w:val="bottom"/>
          </w:tcPr>
          <w:p>
            <w:pPr>
              <w:spacing w:after="0"/>
              <w:rPr>
                <w:sz w:val="13"/>
                <w:szCs w:val="13"/>
                <w:color w:val="auto"/>
              </w:rPr>
            </w:pPr>
          </w:p>
        </w:tc>
        <w:tc>
          <w:tcPr>
            <w:tcW w:w="108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260" w:type="dxa"/>
            <w:vAlign w:val="bottom"/>
          </w:tcPr>
          <w:p>
            <w:pPr>
              <w:spacing w:after="0"/>
              <w:rPr>
                <w:sz w:val="13"/>
                <w:szCs w:val="13"/>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27"/>
        </w:trPr>
        <w:tc>
          <w:tcPr>
            <w:tcW w:w="50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68"/>
        </w:trPr>
        <w:tc>
          <w:tcPr>
            <w:tcW w:w="5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below</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8"/>
        </w:trPr>
        <w:tc>
          <w:tcPr>
            <w:tcW w:w="5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8"/>
        </w:trPr>
        <w:tc>
          <w:tcPr>
            <w:tcW w:w="5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 of business</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158"/>
        </w:trPr>
        <w:tc>
          <w:tcPr>
            <w:tcW w:w="5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0" w:type="dxa"/>
            <w:vAlign w:val="bottom"/>
          </w:tcPr>
          <w:p>
            <w:pPr>
              <w:spacing w:after="0"/>
              <w:rPr>
                <w:sz w:val="1"/>
                <w:szCs w:val="1"/>
                <w:color w:val="auto"/>
              </w:rPr>
            </w:pPr>
          </w:p>
        </w:tc>
      </w:tr>
      <w:tr>
        <w:trPr>
          <w:trHeight w:val="168"/>
        </w:trPr>
        <w:tc>
          <w:tcPr>
            <w:tcW w:w="5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0" w:type="dxa"/>
            <w:vAlign w:val="bottom"/>
          </w:tcPr>
          <w:p>
            <w:pPr>
              <w:spacing w:after="0"/>
              <w:rPr>
                <w:sz w:val="1"/>
                <w:szCs w:val="1"/>
                <w:color w:val="auto"/>
              </w:rPr>
            </w:pPr>
          </w:p>
        </w:tc>
      </w:tr>
      <w:tr>
        <w:trPr>
          <w:trHeight w:val="107"/>
        </w:trPr>
        <w:tc>
          <w:tcPr>
            <w:tcW w:w="5060" w:type="dxa"/>
            <w:vAlign w:val="bottom"/>
          </w:tcPr>
          <w:p>
            <w:pPr>
              <w:ind w:left="120"/>
              <w:spacing w:after="0" w:line="107" w:lineRule="exact"/>
              <w:rPr>
                <w:sz w:val="20"/>
                <w:szCs w:val="20"/>
                <w:color w:val="auto"/>
              </w:rPr>
            </w:pPr>
            <w:r>
              <w:rPr>
                <w:rFonts w:ascii="Times New Roman" w:cs="Times New Roman" w:eastAsia="Times New Roman" w:hAnsi="Times New Roman"/>
                <w:sz w:val="12"/>
                <w:szCs w:val="12"/>
                <w:color w:val="auto"/>
              </w:rPr>
              <w:t>Less: Net (loss) income attributable to noncontrolling interests and redeemable noncontrolling</w:t>
            </w:r>
          </w:p>
        </w:tc>
        <w:tc>
          <w:tcPr>
            <w:tcW w:w="100" w:type="dxa"/>
            <w:vAlign w:val="bottom"/>
          </w:tcPr>
          <w:p>
            <w:pPr>
              <w:spacing w:after="0"/>
              <w:rPr>
                <w:sz w:val="9"/>
                <w:szCs w:val="9"/>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(107)</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68"/>
        </w:trPr>
        <w:tc>
          <w:tcPr>
            <w:tcW w:w="5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LLC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6" w:lineRule="exact"/>
        <w:rPr>
          <w:sz w:val="20"/>
          <w:szCs w:val="20"/>
          <w:color w:val="auto"/>
        </w:rPr>
      </w:pPr>
    </w:p>
    <w:p>
      <w:pPr>
        <w:ind w:left="200" w:hanging="131"/>
        <w:spacing w:after="0"/>
        <w:tabs>
          <w:tab w:leader="none" w:pos="200" w:val="left"/>
        </w:tabs>
        <w:numPr>
          <w:ilvl w:val="0"/>
          <w:numId w:val="8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eliminations.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Related Party Transactions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affiliates in the Company’s consolidated balance sheets. The disclosures below summarize the Company’s material related party transactions with CEG and its subsidiaries that are included in the Company’s operating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$73 million and $71 million for the years ended December 31, 2024, 2023 and 2022, respectively, included in cost of operations in the consolidated statements of income. There was a balance of $12 million and $13 million due to RENOM as of December 31, 2024 and 2023,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$22 million, $20 million and $16 million for the years ended December 31, 2024, 2023 and 2022, respectively, included in cost of operations in the consolidated statements of income. There was a balance of $3 million and $2 million due to CEG as of December 31, 2024 and 2023,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along with Clearway, Inc. and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On April 30, 2024, the CEG Master Services Agreement was amended and restated as a result of a reorganization effected by the Company pursuant to which all of the employees of the Company transferred to CEG as of January 1, 2025. On February 13, 2025, but effective as of January 1, 2025, the CEG Master Services Agreement was amended and restated again to engage CEG in a payroll sharing agreement, such that the Company directly bears all labor costs for certain employees of CEG who perform work on behalf of the Company. Under the amended and restated agreement, CEG and certain of its affiliates or third-party service providers continued providing the operational and administrative services outlined above, and, effective January 1, 2025, also began providing accounting, internal audit, tax, legal and treasury services to the Company, in exchange for the payment of fees in respect of such services. Certain independent functions of the Company are directed by the Corporate Governance, Conflicts and Nominating Committee of Clearway, Inc.’s Board of Directors and paid for by the Company, while being administered by CEG.</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incurred net expenses of $6 million under the CEG Master Services Agreement for the year ended December 31, 2024 and $5 million under this agreement for each of the years ended December 31, 2023 and 2022, included in cost of operations in the consolidated statements of income. There was a balance of $5 million and zero due to CEG as of December 31,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Gas and Transportation Commitments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previously entered into contractual arrangements to procure power, fuel and associated transportation services for the Thermal Business, which was sold to KKR on May 1,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these arrangements, the Company purchased $20 million for the year ended 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7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Note 15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Leases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evaluates each arrangement at inception to determine if it contains a lease. Substantially all of the Company’s leases are operating leases.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i w:val="1"/>
          <w:iCs w:val="1"/>
          <w:color w:val="auto"/>
        </w:rPr>
        <w:t>Lessee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Lease expense was comprised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cost - Fixed</w:t>
            </w:r>
          </w:p>
        </w:tc>
        <w:tc>
          <w:tcPr>
            <w:tcW w:w="48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cost - Variable</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w w:val="99"/>
              </w:rPr>
              <w:t>11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480" w:type="dxa"/>
            <w:vAlign w:val="bottom"/>
            <w:tcBorders>
              <w:bottom w:val="single" w:sz="8" w:color="auto"/>
            </w:tcBorders>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Operating lease information was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512"/>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term and rate)</w:t>
            </w: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 operating leases, net</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547</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Short-term lease liability - operating leases </w:t>
            </w:r>
            <w:r>
              <w:rPr>
                <w:rFonts w:ascii="Times New Roman" w:cs="Times New Roman" w:eastAsia="Times New Roman" w:hAnsi="Times New Roman"/>
                <w:sz w:val="18"/>
                <w:szCs w:val="18"/>
                <w:color w:val="auto"/>
                <w:vertAlign w:val="superscript"/>
              </w:rPr>
              <w:t>(a)</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Long-term lease liability - operating leases</w:t>
            </w: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569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627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634</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2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4"/>
        </w:trPr>
        <w:tc>
          <w:tcPr>
            <w:tcW w:w="5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3" w:lineRule="exact"/>
        <w:rPr>
          <w:sz w:val="20"/>
          <w:szCs w:val="20"/>
          <w:color w:val="auto"/>
        </w:rPr>
      </w:pPr>
    </w:p>
    <w:p>
      <w:pPr>
        <w:ind w:left="200" w:hanging="131"/>
        <w:spacing w:after="0"/>
        <w:tabs>
          <w:tab w:leader="none" w:pos="200" w:val="left"/>
        </w:tabs>
        <w:numPr>
          <w:ilvl w:val="0"/>
          <w:numId w:val="8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Short-term lease liability balances are included within the accrued expenses and other current liabilities line item of the consolidated balance sheets as of December 31, 2024 and 2023.</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Minimum future rental payments of operating lease liabilities as of December 31, 2024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3"/>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5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5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5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Less imputed interest</w:t>
            </w:r>
          </w:p>
        </w:tc>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liability - operating leases</w:t>
            </w:r>
          </w:p>
        </w:tc>
        <w:tc>
          <w:tcPr>
            <w:tcW w:w="5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249"/>
              <w:spacing w:after="0"/>
              <w:rPr>
                <w:sz w:val="20"/>
                <w:szCs w:val="20"/>
                <w:color w:val="auto"/>
              </w:rPr>
            </w:pPr>
            <w:r>
              <w:rPr>
                <w:rFonts w:ascii="Times New Roman" w:cs="Times New Roman" w:eastAsia="Times New Roman" w:hAnsi="Times New Roman"/>
                <w:sz w:val="14"/>
                <w:szCs w:val="14"/>
                <w:color w:val="auto"/>
              </w:rPr>
              <w:t>131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9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5" w:name="page136"/>
    <w:bookmarkEnd w:id="135"/>
    <w:p>
      <w:pPr>
        <w:ind w:right="440" w:firstLine="318"/>
        <w:spacing w:after="0" w:line="287" w:lineRule="auto"/>
        <w:rPr>
          <w:sz w:val="20"/>
          <w:szCs w:val="20"/>
          <w:color w:val="auto"/>
        </w:rPr>
      </w:pPr>
      <w:r>
        <w:rPr>
          <w:rFonts w:ascii="Times New Roman" w:cs="Times New Roman" w:eastAsia="Times New Roman" w:hAnsi="Times New Roman"/>
          <w:sz w:val="14"/>
          <w:szCs w:val="14"/>
          <w:color w:val="auto"/>
        </w:rPr>
        <w:t>The Company is party to various land lease agreements with wholly-owned subsidiaries of CEG that are accounted for as operating leases. The following table summarizes the land lease agreements: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Right-of-use assets, net</w:t>
            </w:r>
          </w:p>
        </w:tc>
        <w:tc>
          <w:tcPr>
            <w:tcW w:w="2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 lease liabilities</w:t>
            </w:r>
          </w:p>
        </w:tc>
        <w:tc>
          <w:tcPr>
            <w:tcW w:w="2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Lease expiration</w:t>
            </w:r>
          </w:p>
        </w:tc>
      </w:tr>
      <w:tr>
        <w:trPr>
          <w:trHeight w:val="16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180"/>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23</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34</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21</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19</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180"/>
        </w:trPr>
        <w:tc>
          <w:tcPr>
            <w:tcW w:w="556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r>
        <w:trPr>
          <w:trHeight w:val="18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80"/>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Daggett 2</w:t>
            </w:r>
          </w:p>
        </w:tc>
        <w:tc>
          <w:tcPr>
            <w:tcW w:w="1600" w:type="dxa"/>
            <w:vAlign w:val="bottom"/>
          </w:tcPr>
          <w:p>
            <w:pPr>
              <w:jc w:val="right"/>
              <w:ind w:right="145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1640" w:type="dxa"/>
            <w:vAlign w:val="bottom"/>
          </w:tcPr>
          <w:p>
            <w:pPr>
              <w:jc w:val="right"/>
              <w:ind w:right="149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23</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2058</w:t>
            </w:r>
          </w:p>
        </w:tc>
      </w:tr>
      <w:tr>
        <w:trPr>
          <w:trHeight w:val="18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Daggett 3</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33</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18, 2062</w:t>
            </w:r>
          </w:p>
        </w:tc>
      </w:tr>
      <w:tr>
        <w:trPr>
          <w:trHeight w:val="180"/>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Mililani I</w:t>
            </w:r>
          </w:p>
        </w:tc>
        <w:tc>
          <w:tcPr>
            <w:tcW w:w="16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20</w:t>
            </w: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2057</w:t>
            </w:r>
          </w:p>
        </w:tc>
      </w:tr>
      <w:tr>
        <w:trPr>
          <w:trHeight w:val="180"/>
        </w:trPr>
        <w:tc>
          <w:tcPr>
            <w:tcW w:w="5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18"/>
                <w:szCs w:val="18"/>
                <w:color w:val="auto"/>
                <w:vertAlign w:val="superscript"/>
              </w:rPr>
              <w:t>(a)</w:t>
            </w: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20</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1, 2057</w:t>
            </w:r>
          </w:p>
        </w:tc>
      </w:tr>
      <w:tr>
        <w:trPr>
          <w:trHeight w:val="243"/>
        </w:trPr>
        <w:tc>
          <w:tcPr>
            <w:tcW w:w="5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18"/>
                <w:szCs w:val="18"/>
                <w:color w:val="auto"/>
                <w:vertAlign w:val="superscript"/>
              </w:rPr>
              <w:t>(a)</w:t>
            </w:r>
          </w:p>
        </w:tc>
        <w:tc>
          <w:tcPr>
            <w:tcW w:w="16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12</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 2056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13881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64" w:lineRule="exact"/>
        <w:rPr>
          <w:sz w:val="20"/>
          <w:szCs w:val="20"/>
          <w:color w:val="auto"/>
        </w:rPr>
      </w:pPr>
    </w:p>
    <w:p>
      <w:pPr>
        <w:ind w:left="200" w:hanging="131"/>
        <w:spacing w:after="0"/>
        <w:tabs>
          <w:tab w:leader="none" w:pos="200" w:val="left"/>
        </w:tabs>
        <w:numPr>
          <w:ilvl w:val="0"/>
          <w:numId w:val="8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Company has the ability to extend each of these leases for two additional five-year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majority of the Company’s revenue is obtained through PPAs or other contractual agreements that are accounted for as leases. These leases are comprised of both fixed payments and variable payments contingent upon volumes or performance metrics.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amounts of energy, capacity and other revenues are related to the Company’s 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0" w:type="dxa"/>
            <w:vAlign w:val="bottom"/>
          </w:tcPr>
          <w:p>
            <w:pPr>
              <w:spacing w:after="0"/>
              <w:rPr>
                <w:sz w:val="15"/>
                <w:szCs w:val="15"/>
                <w:color w:val="auto"/>
              </w:rPr>
            </w:pPr>
          </w:p>
        </w:tc>
        <w:tc>
          <w:tcPr>
            <w:tcW w:w="1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18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6"/>
        </w:trPr>
        <w:tc>
          <w:tcPr>
            <w:tcW w:w="4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58"/>
        </w:trPr>
        <w:tc>
          <w:tcPr>
            <w:tcW w:w="4600" w:type="dxa"/>
            <w:vAlign w:val="bottom"/>
          </w:tcPr>
          <w:p>
            <w:pPr>
              <w:spacing w:after="0"/>
              <w:rPr>
                <w:sz w:val="13"/>
                <w:szCs w:val="13"/>
                <w:color w:val="auto"/>
              </w:rPr>
            </w:pPr>
          </w:p>
        </w:tc>
        <w:tc>
          <w:tcPr>
            <w:tcW w:w="1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r>
      <w:tr>
        <w:trPr>
          <w:trHeight w:val="18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7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r>
      <w:tr>
        <w:trPr>
          <w:trHeight w:val="180"/>
        </w:trPr>
        <w:tc>
          <w:tcPr>
            <w:tcW w:w="4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revenues </w:t>
            </w:r>
            <w:r>
              <w:rPr>
                <w:rFonts w:ascii="Times New Roman" w:cs="Times New Roman" w:eastAsia="Times New Roman" w:hAnsi="Times New Roman"/>
                <w:sz w:val="18"/>
                <w:szCs w:val="18"/>
                <w:color w:val="auto"/>
                <w:vertAlign w:val="superscript"/>
              </w:rPr>
              <w:t>(a)</w:t>
            </w:r>
          </w:p>
        </w:tc>
        <w:tc>
          <w:tcPr>
            <w:tcW w:w="1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0"/>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w:t>
            </w:r>
          </w:p>
        </w:tc>
      </w:tr>
      <w:tr>
        <w:trPr>
          <w:trHeight w:val="20"/>
        </w:trPr>
        <w:tc>
          <w:tcPr>
            <w:tcW w:w="4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92" w:lineRule="exact"/>
        <w:rPr>
          <w:sz w:val="20"/>
          <w:szCs w:val="20"/>
          <w:color w:val="auto"/>
        </w:rPr>
      </w:pPr>
    </w:p>
    <w:p>
      <w:pPr>
        <w:jc w:val="both"/>
        <w:ind w:left="60" w:firstLine="9"/>
        <w:spacing w:after="0" w:line="278" w:lineRule="auto"/>
        <w:tabs>
          <w:tab w:leader="none" w:pos="185" w:val="left"/>
        </w:tabs>
        <w:numPr>
          <w:ilvl w:val="0"/>
          <w:numId w:val="8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May 31, 2023, the Marsh Landing Black Start addition reached commercial operations and the Company will receive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Flexible Generation</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58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5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r>
      <w:tr>
        <w:trPr>
          <w:trHeight w:val="185"/>
        </w:trPr>
        <w:tc>
          <w:tcPr>
            <w:tcW w:w="45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revenues</w:t>
            </w:r>
          </w:p>
        </w:tc>
        <w:tc>
          <w:tcPr>
            <w:tcW w:w="1580" w:type="dxa"/>
            <w:vAlign w:val="bottom"/>
            <w:tcBorders>
              <w:top w:val="single" w:sz="8" w:color="auto"/>
              <w:bottom w:val="single" w:sz="8" w:color="auto"/>
            </w:tcBorders>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 payments the Company expects to receive for the remaining periods related to various facility operating leases as of December 31, 2024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net related to the Company’s operating leases were as follows: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20"/>
                <w:szCs w:val="20"/>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7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6,284</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4"/>
                <w:szCs w:val="14"/>
                <w:color w:val="auto"/>
              </w:rPr>
              <w:t>5,720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1011"/>
              <w:spacing w:after="0"/>
              <w:rPr>
                <w:sz w:val="20"/>
                <w:szCs w:val="20"/>
                <w:color w:val="auto"/>
              </w:rPr>
            </w:pPr>
            <w:r>
              <w:rPr>
                <w:rFonts w:ascii="Times New Roman" w:cs="Times New Roman" w:eastAsia="Times New Roman" w:hAnsi="Times New Roman"/>
                <w:sz w:val="14"/>
                <w:szCs w:val="14"/>
                <w:color w:val="auto"/>
                <w:w w:val="97"/>
              </w:rPr>
              <w:t>(2,276)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4"/>
                <w:szCs w:val="14"/>
                <w:color w:val="auto"/>
              </w:rPr>
              <w:t>(1,991)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4,008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4"/>
                <w:szCs w:val="14"/>
                <w:color w:val="auto"/>
              </w:rPr>
              <w:t>3,729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97"/>
        </w:trPr>
        <w:tc>
          <w:tcPr>
            <w:tcW w:w="3640" w:type="dxa"/>
            <w:vAlign w:val="bottom"/>
          </w:tcPr>
          <w:p>
            <w:pPr>
              <w:spacing w:after="0"/>
              <w:rPr>
                <w:sz w:val="24"/>
                <w:szCs w:val="24"/>
                <w:color w:val="auto"/>
              </w:rPr>
            </w:pPr>
          </w:p>
        </w:tc>
        <w:tc>
          <w:tcPr>
            <w:tcW w:w="38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4"/>
        </w:trPr>
        <w:tc>
          <w:tcPr>
            <w:tcW w:w="3640" w:type="dxa"/>
            <w:vAlign w:val="bottom"/>
          </w:tcPr>
          <w:p>
            <w:pPr>
              <w:spacing w:after="0"/>
              <w:rPr>
                <w:sz w:val="21"/>
                <w:szCs w:val="21"/>
                <w:color w:val="auto"/>
              </w:rPr>
            </w:pPr>
          </w:p>
        </w:tc>
        <w:tc>
          <w:tcPr>
            <w:tcW w:w="382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Condensed Financial Information of Registrant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3"/>
        </w:trPr>
        <w:tc>
          <w:tcPr>
            <w:tcW w:w="3640" w:type="dxa"/>
            <w:vAlign w:val="bottom"/>
          </w:tcPr>
          <w:p>
            <w:pPr>
              <w:spacing w:after="0"/>
              <w:rPr>
                <w:sz w:val="20"/>
                <w:szCs w:val="20"/>
                <w:color w:val="auto"/>
              </w:rPr>
            </w:pPr>
          </w:p>
        </w:tc>
        <w:tc>
          <w:tcPr>
            <w:tcW w:w="382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6"/>
        </w:trPr>
        <w:tc>
          <w:tcPr>
            <w:tcW w:w="36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15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5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5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consolidated subsidiaries</w:t>
            </w:r>
          </w:p>
        </w:tc>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180"/>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5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income</w:t>
            </w:r>
          </w:p>
        </w:tc>
        <w:tc>
          <w:tcPr>
            <w:tcW w:w="35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w:t>
            </w:r>
          </w:p>
        </w:tc>
      </w:tr>
      <w:tr>
        <w:trPr>
          <w:trHeight w:val="196"/>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LLC</w:t>
            </w:r>
          </w:p>
        </w:tc>
        <w:tc>
          <w:tcPr>
            <w:tcW w:w="35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c>
          <w:tcPr>
            <w:tcW w:w="0" w:type="dxa"/>
            <w:vAlign w:val="bottom"/>
          </w:tcPr>
          <w:p>
            <w:pPr>
              <w:spacing w:after="0"/>
              <w:rPr>
                <w:sz w:val="1"/>
                <w:szCs w:val="1"/>
                <w:color w:val="auto"/>
              </w:rPr>
            </w:pPr>
          </w:p>
        </w:tc>
      </w:tr>
      <w:tr>
        <w:trPr>
          <w:trHeight w:val="297"/>
        </w:trPr>
        <w:tc>
          <w:tcPr>
            <w:tcW w:w="840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00" w:type="dxa"/>
            <w:vAlign w:val="bottom"/>
          </w:tcPr>
          <w:p>
            <w:pPr>
              <w:spacing w:after="0"/>
              <w:rPr>
                <w:sz w:val="19"/>
                <w:szCs w:val="19"/>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4"/>
        </w:trPr>
        <w:tc>
          <w:tcPr>
            <w:tcW w:w="840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0"/>
        </w:trPr>
        <w:tc>
          <w:tcPr>
            <w:tcW w:w="8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Investment in consolidated subsidiaries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LIABILITIES AND MEMBERS’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 affiliates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Contributed capital</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Members’ Equity</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w w:val="95"/>
              </w:rPr>
              <w:t>Schedule I</w:t>
            </w:r>
          </w:p>
        </w:tc>
      </w:tr>
      <w:tr>
        <w:trPr>
          <w:trHeight w:val="297"/>
        </w:trPr>
        <w:tc>
          <w:tcPr>
            <w:tcW w:w="75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7520" w:type="dxa"/>
            <w:vAlign w:val="bottom"/>
          </w:tcPr>
          <w:p>
            <w:pPr>
              <w:ind w:left="4440"/>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5"/>
        </w:trPr>
        <w:tc>
          <w:tcPr>
            <w:tcW w:w="7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4"/>
        </w:trPr>
        <w:tc>
          <w:tcPr>
            <w:tcW w:w="75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r>
      <w:tr>
        <w:trPr>
          <w:trHeight w:val="150"/>
        </w:trPr>
        <w:tc>
          <w:tcPr>
            <w:tcW w:w="7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Investments in consolidated affiliates</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5"/>
                <w:szCs w:val="15"/>
                <w:color w:val="auto"/>
              </w:rPr>
            </w:pPr>
          </w:p>
        </w:tc>
      </w:tr>
      <w:tr>
        <w:trPr>
          <w:trHeight w:val="17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4"/>
                <w:szCs w:val="14"/>
                <w:color w:val="auto"/>
              </w:rPr>
            </w:pP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Receipt (transfer) of funds under intercompany cash management arrangement</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r>
      <w:tr>
        <w:trPr>
          <w:trHeight w:val="180"/>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Tax-related distributions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r>
      <w:tr>
        <w:trPr>
          <w:trHeight w:val="18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distributions</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5"/>
                <w:szCs w:val="15"/>
                <w:color w:val="auto"/>
              </w:rPr>
            </w:pPr>
          </w:p>
        </w:tc>
      </w:tr>
      <w:tr>
        <w:trPr>
          <w:trHeight w:val="17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4"/>
                <w:szCs w:val="14"/>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5"/>
                <w:szCs w:val="15"/>
                <w:color w:val="auto"/>
              </w:rPr>
            </w:pPr>
          </w:p>
        </w:tc>
      </w:tr>
      <w:tr>
        <w:trPr>
          <w:trHeight w:val="18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r>
      <w:tr>
        <w:trPr>
          <w:trHeight w:val="19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74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80" w:top="727"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 (Parent)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Background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 On October 1, 2024, BlackRock acquired 100% of the business and assets of GIM, which is the investment manager of the GIP funds that own an interest in CEG.</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is one of the largest owners of clean energy generation assets in the U.S. and a leading contributor to the transition to a world powered by clean energy. The Company’s portfolio comprises approximately 11.8 GW of gross capacity in 26 states, including approximately 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unit holders with stable and growing distributions.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2024, Clearway, Inc. owned 58.10% of the economic interests of the Company, with CEG owning 41.90% of the economic interests of the Company. For further discussion, see Note 11, </w:t>
      </w:r>
      <w:r>
        <w:rPr>
          <w:rFonts w:ascii="Times New Roman" w:cs="Times New Roman" w:eastAsia="Times New Roman" w:hAnsi="Times New Roman"/>
          <w:sz w:val="14"/>
          <w:szCs w:val="14"/>
          <w:i w:val="1"/>
          <w:iCs w:val="1"/>
          <w:color w:val="auto"/>
        </w:rPr>
        <w:t>Members’ Equity.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Clearway Energy LLC’s financing arrangements,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Commitments, Contingencies and Guarantees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Company’s consolidated financial statements for a detailed discussion of Clearway Energy LLC’s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Distributions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distributions paid on the Company’s Class A, Class B, Class C and Class D units, were $334 million, $311 million, and $289 million for the years ended December 31, 2024, 2023, and 2022,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gridSpan w:val="14"/>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0" w:type="dxa"/>
            <w:vAlign w:val="bottom"/>
            <w:gridSpan w:val="2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3.1</w:t>
            </w:r>
          </w:p>
        </w:tc>
        <w:tc>
          <w:tcPr>
            <w:tcW w:w="2840" w:type="dxa"/>
            <w:vAlign w:val="bottom"/>
            <w:tcBorders>
              <w:bottom w:val="single" w:sz="8" w:color="0000FF"/>
            </w:tcBorders>
            <w:gridSpan w:val="6"/>
          </w:tcPr>
          <w:p>
            <w:pPr>
              <w:spacing w:after="0" w:line="143" w:lineRule="exact"/>
              <w:rPr>
                <w:rFonts w:ascii="Times New Roman" w:cs="Times New Roman" w:eastAsia="Times New Roman" w:hAnsi="Times New Roman"/>
                <w:sz w:val="13"/>
                <w:szCs w:val="13"/>
                <w:color w:val="0000FF"/>
                <w:w w:val="97"/>
              </w:rPr>
            </w:pPr>
            <w:hyperlink r:id="rId222">
              <w:r>
                <w:rPr>
                  <w:rFonts w:ascii="Times New Roman" w:cs="Times New Roman" w:eastAsia="Times New Roman" w:hAnsi="Times New Roman"/>
                  <w:sz w:val="13"/>
                  <w:szCs w:val="13"/>
                  <w:color w:val="0000FF"/>
                  <w:w w:val="97"/>
                </w:rPr>
                <w:t>Certificate of Formation of NRG Yield Operating LLC.</w:t>
              </w:r>
            </w:hyperlink>
          </w:p>
        </w:tc>
        <w:tc>
          <w:tcPr>
            <w:tcW w:w="3160" w:type="dxa"/>
            <w:vAlign w:val="bottom"/>
            <w:gridSpan w:val="17"/>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23">
              <w:r>
                <w:rPr>
                  <w:rFonts w:ascii="Times New Roman" w:cs="Times New Roman" w:eastAsia="Times New Roman" w:hAnsi="Times New Roman"/>
                  <w:sz w:val="13"/>
                  <w:szCs w:val="13"/>
                  <w:color w:val="0000FF"/>
                </w:rPr>
                <w:t>Certificate of Amendment of Certificate of Formation of NRG Yield Operating LLC.</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3.3</w:t>
            </w:r>
          </w:p>
        </w:tc>
        <w:tc>
          <w:tcPr>
            <w:tcW w:w="544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224">
              <w:r>
                <w:rPr>
                  <w:rFonts w:ascii="Times New Roman" w:cs="Times New Roman" w:eastAsia="Times New Roman" w:hAnsi="Times New Roman"/>
                  <w:sz w:val="13"/>
                  <w:szCs w:val="13"/>
                  <w:color w:val="0000FF"/>
                  <w:w w:val="97"/>
                </w:rPr>
                <w:t>Third Amended and Restated Limited Liability Company Agreement of Clearway Energy Operating LLC.</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230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w w:val="97"/>
              </w:rPr>
            </w:pPr>
            <w:hyperlink r:id="rId225">
              <w:r>
                <w:rPr>
                  <w:rFonts w:ascii="Times New Roman" w:cs="Times New Roman" w:eastAsia="Times New Roman" w:hAnsi="Times New Roman"/>
                  <w:sz w:val="13"/>
                  <w:szCs w:val="13"/>
                  <w:color w:val="0000FF"/>
                  <w:w w:val="97"/>
                </w:rPr>
                <w:t>Certificate of Formation of NRG Yield LLC.</w:t>
              </w:r>
            </w:hyperlink>
          </w:p>
        </w:tc>
        <w:tc>
          <w:tcPr>
            <w:tcW w:w="37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Certificate of Amendment of Certificate of Formation of NRG Yield LLC.</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3.6</w:t>
            </w: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00" w:type="dxa"/>
            <w:vAlign w:val="bottom"/>
            <w:vMerge w:val="continue"/>
          </w:tcPr>
          <w:p>
            <w:pPr>
              <w:spacing w:after="0"/>
              <w:rPr>
                <w:sz w:val="24"/>
                <w:szCs w:val="24"/>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Fourth Amended and Restated Limited Liability Company Agreement of NRG Yield LLC, dated as of August</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27">
              <w:r>
                <w:rPr>
                  <w:rFonts w:ascii="Times New Roman" w:cs="Times New Roman" w:eastAsia="Times New Roman" w:hAnsi="Times New Roman"/>
                  <w:sz w:val="12"/>
                  <w:szCs w:val="12"/>
                  <w:color w:val="0000FF"/>
                </w:rPr>
                <w:t>31, 2018, by and between NRG Yield, Inc. and Zephyr Renewables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4.1</w:t>
            </w: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Indenture, dated December 11, 2019, among Clearway Energy Operating LLC, the guarantors named therein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4.2</w:t>
            </w: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6000" w:type="dxa"/>
            <w:vAlign w:val="bottom"/>
            <w:gridSpan w:val="23"/>
            <w:vMerge w:val="restart"/>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Form of 4.750% Senior Note due 2028.</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First Supplemental Indenture, dated as of January 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Second Supplemental Indenture, dated as of February 26,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Third Supplemental Indenture, dated as of July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guarantors named therein and Delaware Trust Company.</w:t>
              </w:r>
            </w:hyperlink>
          </w:p>
        </w:tc>
        <w:tc>
          <w:tcPr>
            <w:tcW w:w="298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2">
              <w:r>
                <w:rPr>
                  <w:rFonts w:ascii="Times New Roman" w:cs="Times New Roman" w:eastAsia="Times New Roman" w:hAnsi="Times New Roman"/>
                  <w:sz w:val="13"/>
                  <w:szCs w:val="13"/>
                  <w:color w:val="0000FF"/>
                </w:rPr>
                <w:t>Fourth Supplemental Indenture, dated as of August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guarantors named therein and Delaware Trust Company.</w:t>
              </w:r>
            </w:hyperlink>
          </w:p>
        </w:tc>
        <w:tc>
          <w:tcPr>
            <w:tcW w:w="3000" w:type="dxa"/>
            <w:vAlign w:val="bottom"/>
            <w:tcBorders>
              <w:top w:val="single" w:sz="8" w:color="0000FF"/>
            </w:tcBorders>
            <w:gridSpan w:val="10"/>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Fifth Supplemental Indenture, dated as of November 18,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4">
              <w:r>
                <w:rPr>
                  <w:rFonts w:ascii="Times New Roman" w:cs="Times New Roman" w:eastAsia="Times New Roman" w:hAnsi="Times New Roman"/>
                  <w:sz w:val="13"/>
                  <w:szCs w:val="13"/>
                  <w:color w:val="0000FF"/>
                </w:rPr>
                <w:t>Sixth Supplemental Indenture, dated as of December 1,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4">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5">
              <w:r>
                <w:rPr>
                  <w:rFonts w:ascii="Times New Roman" w:cs="Times New Roman" w:eastAsia="Times New Roman" w:hAnsi="Times New Roman"/>
                  <w:sz w:val="13"/>
                  <w:szCs w:val="13"/>
                  <w:color w:val="0000FF"/>
                </w:rPr>
                <w:t>Seventh Supplemental Indenture, dated as of December 23,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35">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Eighth Supplemental Indenture, dated as of February 3,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6">
              <w:r>
                <w:rPr>
                  <w:rFonts w:ascii="Times New Roman" w:cs="Times New Roman" w:eastAsia="Times New Roman" w:hAnsi="Times New Roman"/>
                  <w:sz w:val="12"/>
                  <w:szCs w:val="12"/>
                  <w:color w:val="0000FF"/>
                </w:rPr>
                <w:t>guarantors named therein and Delaware Trust Company.</w:t>
              </w:r>
            </w:hyperlink>
          </w:p>
        </w:tc>
        <w:tc>
          <w:tcPr>
            <w:tcW w:w="290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7">
              <w:r>
                <w:rPr>
                  <w:rFonts w:ascii="Times New Roman" w:cs="Times New Roman" w:eastAsia="Times New Roman" w:hAnsi="Times New Roman"/>
                  <w:sz w:val="13"/>
                  <w:szCs w:val="13"/>
                  <w:color w:val="0000FF"/>
                </w:rPr>
                <w:t>Indenture, dated March 9,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Delaware Trust Company, as trustee.</w:t>
              </w:r>
            </w:hyperlink>
          </w:p>
        </w:tc>
        <w:tc>
          <w:tcPr>
            <w:tcW w:w="10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20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237">
              <w:r>
                <w:rPr>
                  <w:rFonts w:ascii="Times New Roman" w:cs="Times New Roman" w:eastAsia="Times New Roman" w:hAnsi="Times New Roman"/>
                  <w:sz w:val="13"/>
                  <w:szCs w:val="13"/>
                  <w:color w:val="0000FF"/>
                  <w:w w:val="97"/>
                </w:rPr>
                <w:t>Form of 3.750% Senior Notes due 2031.</w:t>
              </w:r>
            </w:hyperlink>
          </w:p>
        </w:tc>
        <w:tc>
          <w:tcPr>
            <w:tcW w:w="392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Ninth Supplemental Indenture, dated as of May 14,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38">
              <w:r>
                <w:rPr>
                  <w:rFonts w:ascii="Times New Roman" w:cs="Times New Roman" w:eastAsia="Times New Roman" w:hAnsi="Times New Roman"/>
                  <w:sz w:val="12"/>
                  <w:szCs w:val="12"/>
                  <w:color w:val="0000FF"/>
                </w:rPr>
                <w:t>guarantors named therein and Delaware Trust Company.</w:t>
              </w:r>
            </w:hyperlink>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39">
              <w:r>
                <w:rPr>
                  <w:rFonts w:ascii="Times New Roman" w:cs="Times New Roman" w:eastAsia="Times New Roman" w:hAnsi="Times New Roman"/>
                  <w:sz w:val="13"/>
                  <w:szCs w:val="13"/>
                  <w:color w:val="0000FF"/>
                </w:rPr>
                <w:t>First Supplemental Indenture, dated as of May 14, 2021, among Clearway Energy Operating LLC, the guarantors</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9">
              <w:r>
                <w:rPr>
                  <w:rFonts w:ascii="Times New Roman" w:cs="Times New Roman" w:eastAsia="Times New Roman" w:hAnsi="Times New Roman"/>
                  <w:sz w:val="12"/>
                  <w:szCs w:val="12"/>
                  <w:color w:val="0000FF"/>
                </w:rPr>
                <w:t>named therein and Delaware Trust Company.</w:t>
              </w:r>
            </w:hyperlink>
          </w:p>
        </w:tc>
        <w:tc>
          <w:tcPr>
            <w:tcW w:w="3540" w:type="dxa"/>
            <w:vAlign w:val="bottom"/>
            <w:tcBorders>
              <w:top w:val="single" w:sz="8" w:color="0000FF"/>
            </w:tcBorders>
            <w:gridSpan w:val="11"/>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6000" w:type="dxa"/>
            <w:vAlign w:val="bottom"/>
            <w:gridSpan w:val="23"/>
          </w:tcPr>
          <w:p>
            <w:pPr>
              <w:spacing w:after="0"/>
              <w:rPr>
                <w:rFonts w:ascii="Times New Roman" w:cs="Times New Roman" w:eastAsia="Times New Roman" w:hAnsi="Times New Roman"/>
                <w:sz w:val="13"/>
                <w:szCs w:val="13"/>
                <w:color w:val="0000FF"/>
              </w:rPr>
            </w:pPr>
            <w:hyperlink r:id="rId240">
              <w:r>
                <w:rPr>
                  <w:rFonts w:ascii="Times New Roman" w:cs="Times New Roman" w:eastAsia="Times New Roman" w:hAnsi="Times New Roman"/>
                  <w:sz w:val="13"/>
                  <w:szCs w:val="13"/>
                  <w:color w:val="0000FF"/>
                </w:rPr>
                <w:t>Indenture, dated October 1,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40">
              <w:r>
                <w:rPr>
                  <w:rFonts w:ascii="Times New Roman" w:cs="Times New Roman" w:eastAsia="Times New Roman" w:hAnsi="Times New Roman"/>
                  <w:sz w:val="12"/>
                  <w:szCs w:val="12"/>
                  <w:color w:val="0000FF"/>
                </w:rPr>
                <w:t>Delaware Trust Company, as trustee.</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3.01(a) to the Company’s Registration Statement on Form S-4 filed on April 13, 2015.</w:t>
      </w:r>
    </w:p>
    <w:p>
      <w:pPr>
        <w:spacing w:after="0" w:line="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3.01(b)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3.3.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3.03(a)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3.03(b) to the Company’s Registration Statement on Form S-4 filed on April 13,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Clearway Energy, Inc.’s Current Report on Form 8-K filed on September 5, 2018.</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December 12,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December 12,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January 8,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March 3,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July 21,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August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November 19,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29,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5,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October 1, 2021.</w:t>
      </w:r>
    </w:p>
    <w:p>
      <w:pPr>
        <w:spacing w:after="0" w:line="200" w:lineRule="exact"/>
        <w:rPr>
          <w:sz w:val="20"/>
          <w:szCs w:val="20"/>
          <w:color w:val="auto"/>
        </w:rPr>
      </w:pPr>
    </w:p>
    <w:p>
      <w:pPr>
        <w:sectPr>
          <w:pgSz w:w="11900" w:h="16838" w:orient="portrait"/>
          <w:cols w:equalWidth="0" w:num="2">
            <w:col w:w="6780" w:space="120"/>
            <w:col w:w="4300"/>
          </w:cols>
          <w:pgMar w:left="340" w:top="727"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27" w:right="35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100" w:type="dxa"/>
            <w:vAlign w:val="bottom"/>
            <w:gridSpan w:val="2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4.16</w:t>
            </w:r>
          </w:p>
        </w:tc>
        <w:tc>
          <w:tcPr>
            <w:tcW w:w="2080" w:type="dxa"/>
            <w:vAlign w:val="bottom"/>
            <w:tcBorders>
              <w:bottom w:val="single" w:sz="8" w:color="0000FF"/>
            </w:tcBorders>
            <w:gridSpan w:val="2"/>
          </w:tcPr>
          <w:p>
            <w:pPr>
              <w:spacing w:after="0" w:line="143" w:lineRule="exact"/>
              <w:rPr>
                <w:rFonts w:ascii="Times New Roman" w:cs="Times New Roman" w:eastAsia="Times New Roman" w:hAnsi="Times New Roman"/>
                <w:sz w:val="13"/>
                <w:szCs w:val="13"/>
                <w:color w:val="0000FF"/>
                <w:w w:val="97"/>
              </w:rPr>
            </w:pPr>
            <w:hyperlink r:id="rId240">
              <w:r>
                <w:rPr>
                  <w:rFonts w:ascii="Times New Roman" w:cs="Times New Roman" w:eastAsia="Times New Roman" w:hAnsi="Times New Roman"/>
                  <w:sz w:val="13"/>
                  <w:szCs w:val="13"/>
                  <w:color w:val="0000FF"/>
                  <w:w w:val="97"/>
                </w:rPr>
                <w:t>Form of 3.750% Senior Notes due 2032.</w:t>
              </w:r>
            </w:hyperlink>
          </w:p>
        </w:tc>
        <w:tc>
          <w:tcPr>
            <w:tcW w:w="4020" w:type="dxa"/>
            <w:vAlign w:val="bottom"/>
            <w:gridSpan w:val="2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2">
              <w:r>
                <w:rPr>
                  <w:rFonts w:ascii="Times New Roman" w:cs="Times New Roman" w:eastAsia="Times New Roman" w:hAnsi="Times New Roman"/>
                  <w:sz w:val="13"/>
                  <w:szCs w:val="13"/>
                  <w:color w:val="0000FF"/>
                </w:rPr>
                <w:t>Tenth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guarantors named therein and Delaware Trust Company.</w:t>
              </w:r>
            </w:hyperlink>
          </w:p>
        </w:tc>
        <w:tc>
          <w:tcPr>
            <w:tcW w:w="306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3">
              <w:r>
                <w:rPr>
                  <w:rFonts w:ascii="Times New Roman" w:cs="Times New Roman" w:eastAsia="Times New Roman" w:hAnsi="Times New Roman"/>
                  <w:sz w:val="13"/>
                  <w:szCs w:val="13"/>
                  <w:color w:val="0000FF"/>
                </w:rPr>
                <w:t>Second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guarantors named therein and Delaware Trust Company.</w:t>
              </w:r>
            </w:hyperlink>
          </w:p>
        </w:tc>
        <w:tc>
          <w:tcPr>
            <w:tcW w:w="316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4">
              <w:r>
                <w:rPr>
                  <w:rFonts w:ascii="Times New Roman" w:cs="Times New Roman" w:eastAsia="Times New Roman" w:hAnsi="Times New Roman"/>
                  <w:sz w:val="13"/>
                  <w:szCs w:val="13"/>
                  <w:color w:val="0000FF"/>
                </w:rPr>
                <w:t>First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guarantors named therein and Delaware Trust Company.</w:t>
              </w:r>
            </w:hyperlink>
          </w:p>
        </w:tc>
        <w:tc>
          <w:tcPr>
            <w:tcW w:w="304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4.20</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Eleventh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guarantors named therein and Delaware Trust Company.</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6">
              <w:r>
                <w:rPr>
                  <w:rFonts w:ascii="Times New Roman" w:cs="Times New Roman" w:eastAsia="Times New Roman" w:hAnsi="Times New Roman"/>
                  <w:sz w:val="13"/>
                  <w:szCs w:val="13"/>
                  <w:color w:val="0000FF"/>
                </w:rPr>
                <w:t>Third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guarantors named therein and Delaware Trust Company.</w:t>
              </w:r>
            </w:hyperlink>
          </w:p>
        </w:tc>
        <w:tc>
          <w:tcPr>
            <w:tcW w:w="3040" w:type="dxa"/>
            <w:vAlign w:val="bottom"/>
            <w:tcBorders>
              <w:top w:val="single" w:sz="8" w:color="0000FF"/>
            </w:tcBorders>
            <w:gridSpan w:val="1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7">
              <w:r>
                <w:rPr>
                  <w:rFonts w:ascii="Times New Roman" w:cs="Times New Roman" w:eastAsia="Times New Roman" w:hAnsi="Times New Roman"/>
                  <w:sz w:val="13"/>
                  <w:szCs w:val="13"/>
                  <w:color w:val="0000FF"/>
                </w:rPr>
                <w:t>Second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7">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Twelfth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guarantors named therein and Delaware Trust Company.</w:t>
              </w:r>
            </w:hyperlink>
          </w:p>
        </w:tc>
        <w:tc>
          <w:tcPr>
            <w:tcW w:w="296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Fourth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guarantors named therein and Delaware Trust Company.</w:t>
              </w:r>
            </w:hyperlink>
          </w:p>
        </w:tc>
        <w:tc>
          <w:tcPr>
            <w:tcW w:w="2940" w:type="dxa"/>
            <w:vAlign w:val="bottom"/>
            <w:tcBorders>
              <w:top w:val="single" w:sz="8" w:color="0000FF"/>
            </w:tcBorders>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Third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6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w:t>
            </w:r>
          </w:p>
        </w:tc>
        <w:tc>
          <w:tcPr>
            <w:tcW w:w="1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100" w:type="dxa"/>
            <w:vAlign w:val="bottom"/>
            <w:gridSpan w:val="26"/>
            <w:vMerge w:val="restart"/>
          </w:tcPr>
          <w:p>
            <w:pPr>
              <w:spacing w:after="0"/>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Termination Agreement, dated as of August 31, 2018, by and among NRG Yield, Inc., NRG Yield LLC,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Yield Operating LLC and NRG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Amended and Restated Credit Agreement, dated April 25, 2014, by and among NRG Yield Operating LLC,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NRG Yield LLC, Royal Bank of Canada, as Administrative Agent, the lenders party thereto, Royal Bank of</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Canada, Goldman Sachs Bank USA and Bank of America, N.A., as L/C Issuers and RBC Capital Markets as</w:t>
              </w:r>
            </w:hyperlink>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0" w:type="dxa"/>
            <w:vAlign w:val="bottom"/>
            <w:tcBorders>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Sole Left Lead Arranger and Sole Left Lead Book Runner.</w:t>
              </w:r>
            </w:hyperlink>
          </w:p>
        </w:tc>
        <w:tc>
          <w:tcPr>
            <w:tcW w:w="28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100" w:type="dxa"/>
            <w:vAlign w:val="bottom"/>
            <w:gridSpan w:val="26"/>
            <w:vMerge w:val="restart"/>
          </w:tcPr>
          <w:p>
            <w:pPr>
              <w:spacing w:after="0"/>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First Amendment to Amended &amp; Restated Credit Agreement, dated June 26, 2015, by and among NRG Yield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48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Operating LLC, NRG Yield LLC, Royal Bank of Canada and the Lenders party thereto.</w:t>
              </w:r>
            </w:hyperlink>
          </w:p>
        </w:tc>
        <w:tc>
          <w:tcPr>
            <w:tcW w:w="1340" w:type="dxa"/>
            <w:vAlign w:val="bottom"/>
            <w:tcBorders>
              <w:top w:val="single" w:sz="8" w:color="0000FF"/>
            </w:tcBorders>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Second Amendment to Amended &amp; Restated Credit Agreement, dated February 6, 2018, by and among NRG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0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Yield Operating LLC, NRG Yield LLC, the guarantors party thereto, Royal Bank of Canada,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10.2.4</w:t>
            </w:r>
          </w:p>
        </w:tc>
        <w:tc>
          <w:tcPr>
            <w:tcW w:w="1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6100" w:type="dxa"/>
            <w:vAlign w:val="bottom"/>
            <w:gridSpan w:val="26"/>
            <w:vMerge w:val="restart"/>
          </w:tcPr>
          <w:p>
            <w:pPr>
              <w:spacing w:after="0"/>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Third Amendment to Amended and Restated Credit Agreement and Administrative Agent Resignation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00" w:type="dxa"/>
            <w:vAlign w:val="bottom"/>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bottom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Appointment Agreement, dated as of April 30, 2018, by and among NRG Yield Operating LLC, NRG Yield</w:t>
              </w:r>
            </w:hyperlink>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40" w:type="dxa"/>
            <w:vAlign w:val="bottom"/>
            <w:tcBorders>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LLC, the guarantors party thereto, Royal Bank of Canada, as Resigning Administrative Agent, JPMorgan Chase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80" w:type="dxa"/>
            <w:vAlign w:val="bottom"/>
            <w:gridSpan w:val="25"/>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Bank, N.A., as Successor Administrative Agent, and the lenders party thereto.</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gridSpan w:val="7"/>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56">
              <w:r>
                <w:rPr>
                  <w:rFonts w:ascii="Times New Roman" w:cs="Times New Roman" w:eastAsia="Times New Roman" w:hAnsi="Times New Roman"/>
                  <w:sz w:val="13"/>
                  <w:szCs w:val="13"/>
                  <w:color w:val="0000FF"/>
                </w:rPr>
                <w:t>Fourth Amendment to Amended and Restated Credit Agreement, dated as of November 30, 2018,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60" w:type="dxa"/>
            <w:vAlign w:val="bottom"/>
            <w:tcBorders>
              <w:bottom w:val="single" w:sz="8" w:color="0000FF"/>
            </w:tcBorders>
            <w:gridSpan w:val="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N.A., as administrative agent, and the lenders party thereto.</w:t>
              </w:r>
            </w:hyperlink>
          </w:p>
        </w:tc>
        <w:tc>
          <w:tcPr>
            <w:tcW w:w="2940" w:type="dxa"/>
            <w:vAlign w:val="bottom"/>
            <w:gridSpan w:val="1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6100" w:type="dxa"/>
            <w:vAlign w:val="bottom"/>
            <w:gridSpan w:val="26"/>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Fifth Amendment to Amended and Restated Credit Agreement, dated as of December 20, 2019,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N.A., as administrative agent, and the lenders party thereto.</w:t>
              </w:r>
            </w:hyperlink>
          </w:p>
        </w:tc>
        <w:tc>
          <w:tcPr>
            <w:tcW w:w="2940" w:type="dxa"/>
            <w:vAlign w:val="bottom"/>
            <w:tcBorders>
              <w:top w:val="single" w:sz="8" w:color="0000FF"/>
            </w:tcBorders>
            <w:gridSpan w:val="13"/>
          </w:tcPr>
          <w:p>
            <w:pPr>
              <w:spacing w:after="0"/>
              <w:rPr>
                <w:sz w:val="9"/>
                <w:szCs w:val="9"/>
                <w:color w:val="auto"/>
              </w:rPr>
            </w:pPr>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1,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4.4 to the Company’s Current Report on Form 8-K filed on October 8,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June 1,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February 21,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21, 2023.</w:t>
      </w:r>
    </w:p>
    <w:p>
      <w:pPr>
        <w:spacing w:after="0" w:line="7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Clearway Energy, Inc.’s Current Report on Form 8-K filed on September 5, 2018.</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Clearway Energy, Inc.’s Current Report on Form 8-K filed on April 28, 2014.</w:t>
      </w:r>
    </w:p>
    <w:p>
      <w:pPr>
        <w:spacing w:after="0" w:line="25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Clearway Energy, Inc.’s Quarterly Report on Form 10-Q filed on August 4,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12,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May 3, 2018.</w:t>
      </w:r>
    </w:p>
    <w:p>
      <w:pPr>
        <w:spacing w:after="0" w:line="39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6,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23, 2019.</w:t>
      </w:r>
    </w:p>
    <w:p>
      <w:pPr>
        <w:spacing w:after="0" w:line="31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120" w:type="dxa"/>
            <w:vAlign w:val="bottom"/>
            <w:gridSpan w:val="3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10.2.7</w:t>
            </w:r>
          </w:p>
        </w:tc>
        <w:tc>
          <w:tcPr>
            <w:tcW w:w="6120" w:type="dxa"/>
            <w:vAlign w:val="bottom"/>
            <w:gridSpan w:val="31"/>
          </w:tcPr>
          <w:p>
            <w:pPr>
              <w:spacing w:after="0" w:line="143" w:lineRule="exact"/>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Sixth Amendment to Amended and Restated Credit Agreement, effective as of November 30, 2021,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10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Seventh Amendment to Amended and Restated Credit Agreement, entered into as of August 15, 2022,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10.2.9</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Eighth Amendment to Amended and Restated Credit Agreement, entered into as of March 15, 2023, by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among Clearway Energy Operating LLC, Clearway Energy LLC, the guarantors party thereto, JPMorgan Chase</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38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Bank, N.A., as administrative agent, and the lenders party thereto.</w:t>
              </w:r>
            </w:hyperlink>
          </w:p>
        </w:tc>
        <w:tc>
          <w:tcPr>
            <w:tcW w:w="24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6120" w:type="dxa"/>
            <w:vAlign w:val="bottom"/>
            <w:gridSpan w:val="31"/>
            <w:vMerge w:val="restart"/>
          </w:tcPr>
          <w:p>
            <w:pPr>
              <w:spacing w:after="0"/>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Amended and Restated Limited Liability Company Agreement of NRG RPV Holdco 1 LLC, dated as of April 9,</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2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62">
              <w:r>
                <w:rPr>
                  <w:rFonts w:ascii="Times New Roman" w:cs="Times New Roman" w:eastAsia="Times New Roman" w:hAnsi="Times New Roman"/>
                  <w:sz w:val="12"/>
                  <w:szCs w:val="12"/>
                  <w:color w:val="0000FF"/>
                </w:rPr>
                <w:t>2015.</w:t>
              </w:r>
            </w:hyperlink>
          </w:p>
        </w:tc>
        <w:tc>
          <w:tcPr>
            <w:tcW w:w="1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24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120" w:type="dxa"/>
            <w:vAlign w:val="bottom"/>
            <w:gridSpan w:val="31"/>
            <w:vMerge w:val="restart"/>
          </w:tcPr>
          <w:p>
            <w:pPr>
              <w:spacing w:after="0"/>
              <w:rPr>
                <w:rFonts w:ascii="Times New Roman" w:cs="Times New Roman" w:eastAsia="Times New Roman" w:hAnsi="Times New Roman"/>
                <w:sz w:val="13"/>
                <w:szCs w:val="13"/>
                <w:color w:val="0000FF"/>
              </w:rPr>
            </w:pPr>
            <w:hyperlink r:id="rId263">
              <w:r>
                <w:rPr>
                  <w:rFonts w:ascii="Times New Roman" w:cs="Times New Roman" w:eastAsia="Times New Roman" w:hAnsi="Times New Roman"/>
                  <w:sz w:val="13"/>
                  <w:szCs w:val="13"/>
                  <w:color w:val="0000FF"/>
                </w:rPr>
                <w:t>Amended and Restated Limited Liability Company Agreement of NRG DGPV Holdco 1 LLC, dated as of May</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2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8, 2015.</w:t>
              </w:r>
            </w:hyperlink>
          </w:p>
        </w:tc>
        <w:tc>
          <w:tcPr>
            <w:tcW w:w="2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24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Amendment No. 1 to Amended and Restated Limited Liability Company Agreement of NRG RPV Holdco 1</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LLC, dated as of March 1, 2016, by and between NRG Yield RPV Holding LLC and NRG Residential Solar</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800" w:type="dxa"/>
            <w:vAlign w:val="bottom"/>
            <w:tcBorders>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Solutions LLC.</w:t>
              </w:r>
            </w:hyperlink>
          </w:p>
        </w:tc>
        <w:tc>
          <w:tcPr>
            <w:tcW w:w="5180" w:type="dxa"/>
            <w:vAlign w:val="bottom"/>
            <w:gridSpan w:val="20"/>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6120" w:type="dxa"/>
            <w:vAlign w:val="bottom"/>
            <w:gridSpan w:val="31"/>
            <w:vMerge w:val="restart"/>
          </w:tcPr>
          <w:p>
            <w:pPr>
              <w:spacing w:after="0"/>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Amendment No. 2 to Amended and Restated Limited Liability Company Agreement of NRG DGPV Holdco 1</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2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4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LLC, dated as of March 1, 2016, by and among NRG Yield DGPV Holding LLC, NRG Renew DG Holdings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4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LLC and NRG Renew LLC.</w:t>
              </w:r>
            </w:hyperlink>
          </w:p>
        </w:tc>
        <w:tc>
          <w:tcPr>
            <w:tcW w:w="454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6120" w:type="dxa"/>
            <w:vAlign w:val="bottom"/>
            <w:gridSpan w:val="31"/>
            <w:vMerge w:val="restart"/>
          </w:tcPr>
          <w:p>
            <w:pPr>
              <w:spacing w:after="0"/>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Amended and Restated Limited Liability Company Agreement of NRG DGPV Holdco 2 LLC, dated as of</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2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March 1, 2016, by and among NRG Yield DGPV Holding LLC, NRG Renew DG Holdings LLC, and NRG</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60" w:type="dxa"/>
            <w:vAlign w:val="bottom"/>
            <w:gridSpan w:val="18"/>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10.8</w:t>
            </w: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6120" w:type="dxa"/>
            <w:vAlign w:val="bottom"/>
            <w:gridSpan w:val="31"/>
            <w:vMerge w:val="restart"/>
          </w:tcPr>
          <w:p>
            <w:pPr>
              <w:spacing w:after="0"/>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Amendment No. 2 to Amended and Restated Limited Liability Company Agreement of NRG RPV Holdco 1</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12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LLC, dated as of August 5, 2016, by and between NRG Yield RPV Holding LLC and NRG Residential Solar</w:t>
              </w:r>
            </w:hyperlink>
          </w:p>
        </w:tc>
        <w:tc>
          <w:tcPr>
            <w:tcW w:w="60" w:type="dxa"/>
            <w:vAlign w:val="bottom"/>
            <w:tcBorders>
              <w:bottom w:val="single" w:sz="8" w:color="0000FF"/>
            </w:tcBorders>
            <w:gridSpan w:val="3"/>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800" w:type="dxa"/>
            <w:vAlign w:val="bottom"/>
            <w:tcBorders>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Solutions LLC.</w:t>
              </w:r>
            </w:hyperlink>
          </w:p>
        </w:tc>
        <w:tc>
          <w:tcPr>
            <w:tcW w:w="5260" w:type="dxa"/>
            <w:vAlign w:val="bottom"/>
            <w:gridSpan w:val="2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Purchase and Sale Agreement, dated as of April 17, 2020, by and between Clearway Energy Operating LLC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Clearway Renew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Membership Interest Purchase Agreement, dated as of April 17, 2020,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8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Operating LLC and SP Wind Holdings, LLC.</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Membership Interest Purchase Agreement, dated as of April 17, 2020, by and between CWSP Wildorado Elbow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8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Holding LLC and Wind TE Holdco LLC.</w:t>
              </w:r>
            </w:hyperlink>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Membership Interest Purchase Agreement, dated as of December 21, 2020, by and between Renew Development</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68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HoldCo LLC and Rosamond Solar Investment LLC.</w:t>
              </w:r>
            </w:hyperlink>
          </w:p>
        </w:tc>
        <w:tc>
          <w:tcPr>
            <w:tcW w:w="3220" w:type="dxa"/>
            <w:vAlign w:val="bottom"/>
            <w:tcBorders>
              <w:top w:val="single" w:sz="8" w:color="0000FF"/>
            </w:tcBorders>
            <w:gridSpan w:val="8"/>
          </w:tcPr>
          <w:p>
            <w:pPr>
              <w:spacing w:after="0"/>
              <w:rPr>
                <w:sz w:val="9"/>
                <w:szCs w:val="9"/>
                <w:color w:val="auto"/>
              </w:rPr>
            </w:pPr>
          </w:p>
        </w:tc>
        <w:tc>
          <w:tcPr>
            <w:tcW w:w="120" w:type="dxa"/>
            <w:vAlign w:val="bottom"/>
            <w:gridSpan w:val="6"/>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2">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LLC and Lighthouse Renewable Class A LLC.</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3">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602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LLC and Lighthouse Renewable Class A LLC.</w:t>
              </w:r>
            </w:hyperlink>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4">
              <w:r>
                <w:rPr>
                  <w:rFonts w:ascii="Times New Roman" w:cs="Times New Roman" w:eastAsia="Times New Roman" w:hAnsi="Times New Roman"/>
                  <w:sz w:val="13"/>
                  <w:szCs w:val="13"/>
                  <w:color w:val="0000FF"/>
                </w:rPr>
                <w:t>Second Amended and Restated Limited Liability Company Agreement of Pinnacle Repowering Partnership</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0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LLC, dated as of February 26, 2021.</w:t>
              </w:r>
            </w:hyperlink>
          </w:p>
        </w:tc>
        <w:tc>
          <w:tcPr>
            <w:tcW w:w="320" w:type="dxa"/>
            <w:vAlign w:val="bottom"/>
            <w:gridSpan w:val="1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5">
              <w:r>
                <w:rPr>
                  <w:rFonts w:ascii="Times New Roman" w:cs="Times New Roman" w:eastAsia="Times New Roman" w:hAnsi="Times New Roman"/>
                  <w:sz w:val="13"/>
                  <w:szCs w:val="13"/>
                  <w:color w:val="0000FF"/>
                </w:rPr>
                <w:t>Purchase and Sale Agreement, dated as of August 20, 2021, by and between Dominion Solar Projects III,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and Utah Solar Holdings II LLC.</w:t>
              </w:r>
            </w:hyperlink>
          </w:p>
        </w:tc>
        <w:tc>
          <w:tcPr>
            <w:tcW w:w="4100" w:type="dxa"/>
            <w:vAlign w:val="bottom"/>
            <w:tcBorders>
              <w:top w:val="single" w:sz="8" w:color="0000FF"/>
            </w:tcBorders>
            <w:gridSpan w:val="8"/>
          </w:tcPr>
          <w:p>
            <w:pPr>
              <w:spacing w:after="0"/>
              <w:rPr>
                <w:sz w:val="9"/>
                <w:szCs w:val="9"/>
                <w:color w:val="auto"/>
              </w:rPr>
            </w:pPr>
          </w:p>
        </w:tc>
        <w:tc>
          <w:tcPr>
            <w:tcW w:w="320" w:type="dxa"/>
            <w:vAlign w:val="bottom"/>
            <w:gridSpan w:val="16"/>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6120" w:type="dxa"/>
            <w:vAlign w:val="bottom"/>
            <w:gridSpan w:val="31"/>
          </w:tcPr>
          <w:p>
            <w:pPr>
              <w:spacing w:after="0"/>
              <w:rPr>
                <w:rFonts w:ascii="Times New Roman" w:cs="Times New Roman" w:eastAsia="Times New Roman" w:hAnsi="Times New Roman"/>
                <w:sz w:val="13"/>
                <w:szCs w:val="13"/>
                <w:color w:val="0000FF"/>
              </w:rPr>
            </w:pPr>
            <w:hyperlink r:id="rId276">
              <w:r>
                <w:rPr>
                  <w:rFonts w:ascii="Times New Roman" w:cs="Times New Roman" w:eastAsia="Times New Roman" w:hAnsi="Times New Roman"/>
                  <w:sz w:val="13"/>
                  <w:szCs w:val="13"/>
                  <w:color w:val="0000FF"/>
                </w:rPr>
                <w:t>Membership Interest Purchase Agreement, dated as of October 22, 2021,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Operating LLC and KKR Thor Bidco, LLC.</w:t>
              </w:r>
            </w:hyperlink>
          </w:p>
        </w:tc>
        <w:tc>
          <w:tcPr>
            <w:tcW w:w="3520" w:type="dxa"/>
            <w:vAlign w:val="bottom"/>
            <w:tcBorders>
              <w:top w:val="single" w:sz="8" w:color="0000FF"/>
            </w:tcBorders>
            <w:gridSpan w:val="7"/>
          </w:tcPr>
          <w:p>
            <w:pPr>
              <w:spacing w:after="0"/>
              <w:rPr>
                <w:sz w:val="9"/>
                <w:szCs w:val="9"/>
                <w:color w:val="auto"/>
              </w:rPr>
            </w:pPr>
          </w:p>
        </w:tc>
        <w:tc>
          <w:tcPr>
            <w:tcW w:w="28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19, 2022.</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March 20, 2023.</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Clearway Energy, Inc.’s Quarterly Report on Form 10-Q filed on August 4,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Clearway Energy, Inc.’s Quarterly Report on Form 10-Q filed on August 4, 2015.</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Clearway Energy, Inc.’s Quarterly Report on Form 10-Q filed on May 5, 2016.</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Clearway Energy, Inc.’s Quarterly Report on Form 10-Q filed on May 5, 2016.</w:t>
      </w:r>
    </w:p>
    <w:p>
      <w:pPr>
        <w:spacing w:after="0" w:line="34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Clearway Energy, Inc.’s Quarterly Report on Form 10-Q filed on May 5, 2016.</w:t>
      </w:r>
    </w:p>
    <w:p>
      <w:pPr>
        <w:spacing w:after="0" w:line="19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Clearway Energy, Inc.’s Quarterly Report on Form 10-Q, filed on August 9, 2016.</w:t>
      </w:r>
    </w:p>
    <w:p>
      <w:pPr>
        <w:spacing w:after="0" w:line="2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April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22,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December 22,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December 22, 2020.</w:t>
      </w:r>
    </w:p>
    <w:p>
      <w:pPr>
        <w:spacing w:after="0" w:line="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Incorporated by reference to Exhibit 10.31 to the Company’s Annual Report on Form 10-K, filed on March 1, 2021.</w:t>
      </w:r>
    </w:p>
    <w:p>
      <w:pPr>
        <w:spacing w:after="0" w:line="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August 23,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October 26, 2021.</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6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20" w:type="dxa"/>
            <w:vAlign w:val="bottom"/>
            <w:gridSpan w:val="3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10.18</w:t>
            </w:r>
          </w:p>
        </w:tc>
        <w:tc>
          <w:tcPr>
            <w:tcW w:w="6020" w:type="dxa"/>
            <w:vAlign w:val="bottom"/>
            <w:gridSpan w:val="34"/>
          </w:tcPr>
          <w:p>
            <w:pPr>
              <w:spacing w:after="0" w:line="143" w:lineRule="exact"/>
              <w:rPr>
                <w:rFonts w:ascii="Times New Roman" w:cs="Times New Roman" w:eastAsia="Times New Roman" w:hAnsi="Times New Roman"/>
                <w:sz w:val="13"/>
                <w:szCs w:val="13"/>
                <w:color w:val="0000FF"/>
              </w:rPr>
            </w:pPr>
            <w:hyperlink r:id="rId278">
              <w:r>
                <w:rPr>
                  <w:rFonts w:ascii="Times New Roman" w:cs="Times New Roman" w:eastAsia="Times New Roman" w:hAnsi="Times New Roman"/>
                  <w:sz w:val="13"/>
                  <w:szCs w:val="13"/>
                  <w:color w:val="0000FF"/>
                </w:rPr>
                <w:t>Senior Secured Bridge Credit Agreement, dated as of November 30, 2021, by and among Clearway Energy</w:t>
              </w:r>
            </w:hyperlink>
          </w:p>
        </w:tc>
      </w:tr>
      <w:tr>
        <w:trPr>
          <w:trHeight w:val="107"/>
        </w:trPr>
        <w:tc>
          <w:tcPr>
            <w:tcW w:w="1000" w:type="dxa"/>
            <w:vAlign w:val="bottom"/>
          </w:tcPr>
          <w:p>
            <w:pPr>
              <w:spacing w:after="0"/>
              <w:rPr>
                <w:sz w:val="9"/>
                <w:szCs w:val="9"/>
                <w:color w:val="auto"/>
              </w:rPr>
            </w:pPr>
          </w:p>
        </w:tc>
        <w:tc>
          <w:tcPr>
            <w:tcW w:w="5940" w:type="dxa"/>
            <w:vAlign w:val="bottom"/>
            <w:tcBorders>
              <w:top w:val="single" w:sz="8" w:color="0000FF"/>
            </w:tcBorders>
            <w:gridSpan w:val="30"/>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Operating LLC, Clearway Energy LLC, the guarantors party thereto, Bank of America, N.A., as administrative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82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79">
              <w:r>
                <w:rPr>
                  <w:rFonts w:ascii="Times New Roman" w:cs="Times New Roman" w:eastAsia="Times New Roman" w:hAnsi="Times New Roman"/>
                  <w:sz w:val="13"/>
                  <w:szCs w:val="13"/>
                  <w:color w:val="0000FF"/>
                </w:rPr>
                <w:t>First Amendment to Membership Interest Purchase Agreement, dated as of December 17, 2021, by and among</w:t>
              </w:r>
            </w:hyperlink>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79">
              <w:r>
                <w:rPr>
                  <w:rFonts w:ascii="Times New Roman" w:cs="Times New Roman" w:eastAsia="Times New Roman" w:hAnsi="Times New Roman"/>
                  <w:sz w:val="12"/>
                  <w:szCs w:val="12"/>
                  <w:color w:val="0000FF"/>
                </w:rPr>
                <w:t>Lighthouse Renewable Class A LLC, Clearway Renew LLC and Clearway Energy Operating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0">
              <w:r>
                <w:rPr>
                  <w:rFonts w:ascii="Times New Roman" w:cs="Times New Roman" w:eastAsia="Times New Roman" w:hAnsi="Times New Roman"/>
                  <w:sz w:val="13"/>
                  <w:szCs w:val="13"/>
                  <w:color w:val="0000FF"/>
                </w:rPr>
                <w:t>First Amendment to Membership Interest Purchase Agreement, dated as of December 29, 2021, by and among</w:t>
              </w:r>
            </w:hyperlink>
          </w:p>
        </w:tc>
      </w:tr>
      <w:tr>
        <w:trPr>
          <w:trHeight w:val="107"/>
        </w:trPr>
        <w:tc>
          <w:tcPr>
            <w:tcW w:w="1000" w:type="dxa"/>
            <w:vAlign w:val="bottom"/>
          </w:tcPr>
          <w:p>
            <w:pPr>
              <w:spacing w:after="0"/>
              <w:rPr>
                <w:sz w:val="9"/>
                <w:szCs w:val="9"/>
                <w:color w:val="auto"/>
              </w:rPr>
            </w:pPr>
          </w:p>
        </w:tc>
        <w:tc>
          <w:tcPr>
            <w:tcW w:w="598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80">
              <w:r>
                <w:rPr>
                  <w:rFonts w:ascii="Times New Roman" w:cs="Times New Roman" w:eastAsia="Times New Roman" w:hAnsi="Times New Roman"/>
                  <w:sz w:val="12"/>
                  <w:szCs w:val="12"/>
                  <w:color w:val="0000FF"/>
                </w:rPr>
                <w:t>Lighthouse Renewable Class A LLC and Clearway 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424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w w:val="97"/>
              </w:rPr>
            </w:pPr>
            <w:hyperlink r:id="rId281">
              <w:r>
                <w:rPr>
                  <w:rFonts w:ascii="Times New Roman" w:cs="Times New Roman" w:eastAsia="Times New Roman" w:hAnsi="Times New Roman"/>
                  <w:sz w:val="13"/>
                  <w:szCs w:val="13"/>
                  <w:color w:val="0000FF"/>
                  <w:w w:val="97"/>
                </w:rPr>
                <w:t>Clearway Energy, Inc. Involuntary Severance Plan, effective as of January 1, 2022.</w:t>
              </w:r>
            </w:hyperlink>
          </w:p>
        </w:tc>
        <w:tc>
          <w:tcPr>
            <w:tcW w:w="1780" w:type="dxa"/>
            <w:vAlign w:val="bottom"/>
            <w:gridSpan w:val="16"/>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6020" w:type="dxa"/>
            <w:vAlign w:val="bottom"/>
            <w:tcBorders>
              <w:bottom w:val="single" w:sz="8" w:color="0000FF"/>
            </w:tcBorders>
            <w:gridSpan w:val="34"/>
          </w:tcPr>
          <w:p>
            <w:pPr>
              <w:spacing w:after="0"/>
              <w:rPr>
                <w:rFonts w:ascii="Times New Roman" w:cs="Times New Roman" w:eastAsia="Times New Roman" w:hAnsi="Times New Roman"/>
                <w:sz w:val="13"/>
                <w:szCs w:val="13"/>
                <w:color w:val="0000FF"/>
              </w:rPr>
            </w:pPr>
            <w:hyperlink r:id="rId282">
              <w:r>
                <w:rPr>
                  <w:rFonts w:ascii="Times New Roman" w:cs="Times New Roman" w:eastAsia="Times New Roman" w:hAnsi="Times New Roman"/>
                  <w:sz w:val="13"/>
                  <w:szCs w:val="13"/>
                  <w:color w:val="0000FF"/>
                </w:rPr>
                <w:t>Clearway Energy, Inc. Key Management Change-in-Control and General Severance Plan, effective as of January</w:t>
              </w:r>
            </w:hyperlink>
          </w:p>
        </w:tc>
      </w:tr>
      <w:tr>
        <w:trPr>
          <w:trHeight w:val="107"/>
        </w:trPr>
        <w:tc>
          <w:tcPr>
            <w:tcW w:w="1000" w:type="dxa"/>
            <w:vAlign w:val="bottom"/>
          </w:tcPr>
          <w:p>
            <w:pPr>
              <w:spacing w:after="0"/>
              <w:rPr>
                <w:sz w:val="9"/>
                <w:szCs w:val="9"/>
                <w:color w:val="auto"/>
              </w:rPr>
            </w:pPr>
          </w:p>
        </w:tc>
        <w:tc>
          <w:tcPr>
            <w:tcW w:w="42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82">
              <w:r>
                <w:rPr>
                  <w:rFonts w:ascii="Times New Roman" w:cs="Times New Roman" w:eastAsia="Times New Roman" w:hAnsi="Times New Roman"/>
                  <w:sz w:val="12"/>
                  <w:szCs w:val="12"/>
                  <w:color w:val="0000FF"/>
                </w:rPr>
                <w:t>1, 2022.</w:t>
              </w:r>
            </w:hyperlink>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3">
              <w:r>
                <w:rPr>
                  <w:rFonts w:ascii="Times New Roman" w:cs="Times New Roman" w:eastAsia="Times New Roman" w:hAnsi="Times New Roman"/>
                  <w:sz w:val="13"/>
                  <w:szCs w:val="13"/>
                  <w:color w:val="0000FF"/>
                </w:rPr>
                <w:t>Clearway Energy, Inc. Executive Change-in-Control and General Severance Plan, effective as of January 1,</w:t>
              </w:r>
            </w:hyperlink>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83">
              <w:r>
                <w:rPr>
                  <w:rFonts w:ascii="Times New Roman" w:cs="Times New Roman" w:eastAsia="Times New Roman" w:hAnsi="Times New Roman"/>
                  <w:sz w:val="12"/>
                  <w:szCs w:val="12"/>
                  <w:color w:val="0000FF"/>
                </w:rPr>
                <w:t>2022.</w:t>
              </w:r>
            </w:hyperlink>
          </w:p>
        </w:tc>
        <w:tc>
          <w:tcPr>
            <w:tcW w:w="120" w:type="dxa"/>
            <w:vAlign w:val="bottom"/>
            <w:tcBorders>
              <w:top w:val="single" w:sz="8" w:color="0000FF"/>
            </w:tcBorders>
          </w:tcPr>
          <w:p>
            <w:pPr>
              <w:spacing w:after="0"/>
              <w:rPr>
                <w:sz w:val="9"/>
                <w:szCs w:val="9"/>
                <w:color w:val="auto"/>
              </w:rPr>
            </w:pPr>
          </w:p>
        </w:tc>
        <w:tc>
          <w:tcPr>
            <w:tcW w:w="4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4">
              <w:r>
                <w:rPr>
                  <w:rFonts w:ascii="Times New Roman" w:cs="Times New Roman" w:eastAsia="Times New Roman" w:hAnsi="Times New Roman"/>
                  <w:sz w:val="13"/>
                  <w:szCs w:val="13"/>
                  <w:color w:val="0000FF"/>
                </w:rPr>
                <w:t>Membership Interest Purchase Agreement, dated as of December 23, 2022, by and between VP-Arica CE Seller</w:t>
              </w:r>
            </w:hyperlink>
          </w:p>
        </w:tc>
      </w:tr>
      <w:tr>
        <w:trPr>
          <w:trHeight w:val="107"/>
        </w:trPr>
        <w:tc>
          <w:tcPr>
            <w:tcW w:w="1000" w:type="dxa"/>
            <w:vAlign w:val="bottom"/>
          </w:tcPr>
          <w:p>
            <w:pPr>
              <w:spacing w:after="0"/>
              <w:rPr>
                <w:sz w:val="9"/>
                <w:szCs w:val="9"/>
                <w:color w:val="auto"/>
              </w:rPr>
            </w:pPr>
          </w:p>
        </w:tc>
        <w:tc>
          <w:tcPr>
            <w:tcW w:w="206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84">
              <w:r>
                <w:rPr>
                  <w:rFonts w:ascii="Times New Roman" w:cs="Times New Roman" w:eastAsia="Times New Roman" w:hAnsi="Times New Roman"/>
                  <w:sz w:val="12"/>
                  <w:szCs w:val="12"/>
                  <w:color w:val="0000FF"/>
                </w:rPr>
                <w:t>LLC and VP-Arica Parent Holdco LLC.</w:t>
              </w:r>
            </w:hyperlink>
          </w:p>
        </w:tc>
        <w:tc>
          <w:tcPr>
            <w:tcW w:w="3900" w:type="dxa"/>
            <w:vAlign w:val="bottom"/>
            <w:tcBorders>
              <w:top w:val="single" w:sz="8" w:color="0000FF"/>
            </w:tcBorders>
            <w:gridSpan w:val="21"/>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5">
              <w:r>
                <w:rPr>
                  <w:rFonts w:ascii="Times New Roman" w:cs="Times New Roman" w:eastAsia="Times New Roman" w:hAnsi="Times New Roman"/>
                  <w:sz w:val="13"/>
                  <w:szCs w:val="13"/>
                  <w:color w:val="0000FF"/>
                </w:rPr>
                <w:t>Membership Interest Purchase Agreement, dated as of May 19, 2023, by and between Renew Development</w:t>
              </w:r>
            </w:hyperlink>
          </w:p>
        </w:tc>
      </w:tr>
      <w:tr>
        <w:trPr>
          <w:trHeight w:val="107"/>
        </w:trPr>
        <w:tc>
          <w:tcPr>
            <w:tcW w:w="1000" w:type="dxa"/>
            <w:vAlign w:val="bottom"/>
          </w:tcPr>
          <w:p>
            <w:pPr>
              <w:spacing w:after="0"/>
              <w:rPr>
                <w:sz w:val="9"/>
                <w:szCs w:val="9"/>
                <w:color w:val="auto"/>
              </w:rPr>
            </w:pPr>
          </w:p>
        </w:tc>
        <w:tc>
          <w:tcPr>
            <w:tcW w:w="26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85">
              <w:r>
                <w:rPr>
                  <w:rFonts w:ascii="Times New Roman" w:cs="Times New Roman" w:eastAsia="Times New Roman" w:hAnsi="Times New Roman"/>
                  <w:sz w:val="12"/>
                  <w:szCs w:val="12"/>
                  <w:color w:val="0000FF"/>
                </w:rPr>
                <w:t>HoldCo LLC and Cedar Creek Wind Holdco LLC.</w:t>
              </w:r>
            </w:hyperlink>
          </w:p>
        </w:tc>
        <w:tc>
          <w:tcPr>
            <w:tcW w:w="3200" w:type="dxa"/>
            <w:vAlign w:val="bottom"/>
            <w:tcBorders>
              <w:top w:val="single" w:sz="8" w:color="0000FF"/>
            </w:tcBorders>
            <w:gridSpan w:val="1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6">
              <w:r>
                <w:rPr>
                  <w:rFonts w:ascii="Times New Roman" w:cs="Times New Roman" w:eastAsia="Times New Roman" w:hAnsi="Times New Roman"/>
                  <w:sz w:val="13"/>
                  <w:szCs w:val="13"/>
                  <w:color w:val="0000FF"/>
                </w:rPr>
                <w:t>Clearway Energy, Inc. Amended and Restated 2013 Equity Incentive Plan, as amended and restated effective</w:t>
              </w:r>
            </w:hyperlink>
          </w:p>
        </w:tc>
      </w:tr>
      <w:tr>
        <w:trPr>
          <w:trHeight w:val="107"/>
        </w:trPr>
        <w:tc>
          <w:tcPr>
            <w:tcW w:w="1000" w:type="dxa"/>
            <w:vAlign w:val="bottom"/>
          </w:tcPr>
          <w:p>
            <w:pPr>
              <w:spacing w:after="0"/>
              <w:rPr>
                <w:sz w:val="9"/>
                <w:szCs w:val="9"/>
                <w:color w:val="auto"/>
              </w:rPr>
            </w:pPr>
          </w:p>
        </w:tc>
        <w:tc>
          <w:tcPr>
            <w:tcW w:w="592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86">
              <w:r>
                <w:rPr>
                  <w:rFonts w:ascii="Times New Roman" w:cs="Times New Roman" w:eastAsia="Times New Roman" w:hAnsi="Times New Roman"/>
                  <w:sz w:val="12"/>
                  <w:szCs w:val="12"/>
                  <w:color w:val="0000FF"/>
                </w:rPr>
                <w:t>January 1, 2024.</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7">
              <w:r>
                <w:rPr>
                  <w:rFonts w:ascii="Times New Roman" w:cs="Times New Roman" w:eastAsia="Times New Roman" w:hAnsi="Times New Roman"/>
                  <w:sz w:val="13"/>
                  <w:szCs w:val="13"/>
                  <w:color w:val="0000FF"/>
                </w:rPr>
                <w:t>Clearway Energy, Inc. Annual Incentive Plan, as amended and restated effective January 1, 2024.</w:t>
              </w:r>
            </w:hyperlink>
          </w:p>
        </w:tc>
      </w:tr>
      <w:tr>
        <w:trPr>
          <w:trHeight w:val="20"/>
        </w:trPr>
        <w:tc>
          <w:tcPr>
            <w:tcW w:w="10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Separation Agreement and General Release, dated as of April 30, 2024, by and between Clearway Energy, Inc.</w:t>
              </w:r>
            </w:hyperlink>
          </w:p>
        </w:tc>
      </w:tr>
      <w:tr>
        <w:trPr>
          <w:trHeight w:val="107"/>
        </w:trPr>
        <w:tc>
          <w:tcPr>
            <w:tcW w:w="1000" w:type="dxa"/>
            <w:vAlign w:val="bottom"/>
          </w:tcPr>
          <w:p>
            <w:pPr>
              <w:spacing w:after="0"/>
              <w:rPr>
                <w:sz w:val="9"/>
                <w:szCs w:val="9"/>
                <w:color w:val="auto"/>
              </w:rPr>
            </w:pPr>
          </w:p>
        </w:tc>
        <w:tc>
          <w:tcPr>
            <w:tcW w:w="118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88">
              <w:r>
                <w:rPr>
                  <w:rFonts w:ascii="Times New Roman" w:cs="Times New Roman" w:eastAsia="Times New Roman" w:hAnsi="Times New Roman"/>
                  <w:sz w:val="12"/>
                  <w:szCs w:val="12"/>
                  <w:color w:val="0000FF"/>
                </w:rPr>
                <w:t>and Christopher Sotos.</w:t>
              </w:r>
            </w:hyperlink>
          </w:p>
        </w:tc>
        <w:tc>
          <w:tcPr>
            <w:tcW w:w="470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10.29</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89">
              <w:r>
                <w:rPr>
                  <w:rFonts w:ascii="Times New Roman" w:cs="Times New Roman" w:eastAsia="Times New Roman" w:hAnsi="Times New Roman"/>
                  <w:sz w:val="13"/>
                  <w:szCs w:val="13"/>
                  <w:color w:val="0000FF"/>
                </w:rPr>
                <w:t>Amended and Restated Employment Agreement, dated as of April 30, 2024, by and between Clearway Energy</w:t>
              </w:r>
            </w:hyperlink>
          </w:p>
        </w:tc>
      </w:tr>
      <w:tr>
        <w:trPr>
          <w:trHeight w:val="107"/>
        </w:trPr>
        <w:tc>
          <w:tcPr>
            <w:tcW w:w="1000" w:type="dxa"/>
            <w:vAlign w:val="bottom"/>
          </w:tcPr>
          <w:p>
            <w:pPr>
              <w:spacing w:after="0"/>
              <w:rPr>
                <w:sz w:val="9"/>
                <w:szCs w:val="9"/>
                <w:color w:val="auto"/>
              </w:rPr>
            </w:pPr>
          </w:p>
        </w:tc>
        <w:tc>
          <w:tcPr>
            <w:tcW w:w="5840" w:type="dxa"/>
            <w:vAlign w:val="bottom"/>
            <w:tcBorders>
              <w:top w:val="single" w:sz="8" w:color="0000FF"/>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Group LLC, Clearway Energy, Inc., GIP III Zephyr Management Partners, L.P., GIP III Zephyr Midco Holdings,</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100" w:type="dxa"/>
            <w:vAlign w:val="bottom"/>
            <w:tcBorders>
              <w:bottom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1300" w:type="dxa"/>
            <w:vAlign w:val="bottom"/>
            <w:tcBorders>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89">
              <w:r>
                <w:rPr>
                  <w:rFonts w:ascii="Times New Roman" w:cs="Times New Roman" w:eastAsia="Times New Roman" w:hAnsi="Times New Roman"/>
                  <w:sz w:val="12"/>
                  <w:szCs w:val="12"/>
                  <w:color w:val="0000FF"/>
                </w:rPr>
                <w:t>L.P. and Craig Cornelius.</w:t>
              </w:r>
            </w:hyperlink>
          </w:p>
        </w:tc>
        <w:tc>
          <w:tcPr>
            <w:tcW w:w="4700" w:type="dxa"/>
            <w:vAlign w:val="bottom"/>
            <w:gridSpan w:val="27"/>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10.30</w:t>
            </w:r>
          </w:p>
        </w:tc>
        <w:tc>
          <w:tcPr>
            <w:tcW w:w="6020" w:type="dxa"/>
            <w:vAlign w:val="bottom"/>
            <w:gridSpan w:val="34"/>
          </w:tcPr>
          <w:p>
            <w:pPr>
              <w:spacing w:after="0"/>
              <w:rPr>
                <w:sz w:val="20"/>
                <w:szCs w:val="20"/>
                <w:color w:val="auto"/>
              </w:rPr>
            </w:pPr>
            <w:r>
              <w:rPr>
                <w:rFonts w:ascii="Times New Roman" w:cs="Times New Roman" w:eastAsia="Times New Roman" w:hAnsi="Times New Roman"/>
                <w:sz w:val="13"/>
                <w:szCs w:val="13"/>
                <w:color w:val="0000FF"/>
              </w:rPr>
              <w:t>Third Amended and Restated Master Services Agreement and Payroll Sharing Agreement, dated as of February</w:t>
            </w:r>
          </w:p>
        </w:tc>
      </w:tr>
      <w:tr>
        <w:trPr>
          <w:trHeight w:val="107"/>
        </w:trPr>
        <w:tc>
          <w:tcPr>
            <w:tcW w:w="1000" w:type="dxa"/>
            <w:vAlign w:val="bottom"/>
          </w:tcPr>
          <w:p>
            <w:pPr>
              <w:spacing w:after="0"/>
              <w:rPr>
                <w:sz w:val="9"/>
                <w:szCs w:val="9"/>
                <w:color w:val="auto"/>
              </w:rPr>
            </w:pPr>
          </w:p>
        </w:tc>
        <w:tc>
          <w:tcPr>
            <w:tcW w:w="5960" w:type="dxa"/>
            <w:vAlign w:val="bottom"/>
            <w:tcBorders>
              <w:top w:val="single" w:sz="8" w:color="0000FF"/>
            </w:tcBorders>
            <w:gridSpan w:val="31"/>
          </w:tcPr>
          <w:p>
            <w:pPr>
              <w:spacing w:after="0" w:line="107" w:lineRule="exact"/>
              <w:rPr>
                <w:sz w:val="20"/>
                <w:szCs w:val="20"/>
                <w:color w:val="auto"/>
              </w:rPr>
            </w:pPr>
            <w:r>
              <w:rPr>
                <w:rFonts w:ascii="Times New Roman" w:cs="Times New Roman" w:eastAsia="Times New Roman" w:hAnsi="Times New Roman"/>
                <w:sz w:val="12"/>
                <w:szCs w:val="12"/>
                <w:color w:val="0000FF"/>
              </w:rPr>
              <w:t>13, 2025, by and among Clearway Energy, Inc., Clearway Energy Finance Inc., Clearway Energy LLC,</w:t>
            </w:r>
          </w:p>
        </w:tc>
        <w:tc>
          <w:tcPr>
            <w:tcW w:w="60" w:type="dxa"/>
            <w:vAlign w:val="bottom"/>
            <w:gridSpan w:val="3"/>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860" w:type="dxa"/>
            <w:vAlign w:val="bottom"/>
            <w:tcBorders>
              <w:top w:val="single" w:sz="8" w:color="0000FF"/>
            </w:tcBorders>
            <w:gridSpan w:val="26"/>
          </w:tcPr>
          <w:p>
            <w:pPr>
              <w:spacing w:after="0" w:line="107" w:lineRule="exact"/>
              <w:rPr>
                <w:sz w:val="20"/>
                <w:szCs w:val="20"/>
                <w:color w:val="auto"/>
              </w:rPr>
            </w:pPr>
            <w:r>
              <w:rPr>
                <w:rFonts w:ascii="Times New Roman" w:cs="Times New Roman" w:eastAsia="Times New Roman" w:hAnsi="Times New Roman"/>
                <w:sz w:val="12"/>
                <w:szCs w:val="12"/>
                <w:color w:val="0000FF"/>
              </w:rPr>
              <w:t>Clearway Energy Operating LLC and Clearway Energy Group LLC.</w:t>
            </w: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10.31</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90">
              <w:r>
                <w:rPr>
                  <w:rFonts w:ascii="Times New Roman" w:cs="Times New Roman" w:eastAsia="Times New Roman" w:hAnsi="Times New Roman"/>
                  <w:sz w:val="13"/>
                  <w:szCs w:val="13"/>
                  <w:color w:val="0000FF"/>
                </w:rPr>
                <w:t>Consulting Agreement, dated as of June 20, 2024, by and between Clearway Energy, Inc. and Christopher Sotos.</w:t>
              </w:r>
            </w:hyperlink>
          </w:p>
        </w:tc>
      </w:tr>
      <w:tr>
        <w:trPr>
          <w:trHeight w:val="20"/>
        </w:trPr>
        <w:tc>
          <w:tcPr>
            <w:tcW w:w="10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10.32*^</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91">
              <w:r>
                <w:rPr>
                  <w:rFonts w:ascii="Times New Roman" w:cs="Times New Roman" w:eastAsia="Times New Roman" w:hAnsi="Times New Roman"/>
                  <w:sz w:val="13"/>
                  <w:szCs w:val="13"/>
                  <w:color w:val="0000FF"/>
                </w:rPr>
                <w:t>Membership Interest Purchase Agreement, dated as of June 27, 2024, by and between D1-LV CE Seller LLC and</w:t>
              </w:r>
            </w:hyperlink>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LV-Daggett Parent Holdco LLC.</w:t>
              </w:r>
            </w:hyperlink>
          </w:p>
        </w:tc>
        <w:tc>
          <w:tcPr>
            <w:tcW w:w="120" w:type="dxa"/>
            <w:vAlign w:val="bottom"/>
            <w:gridSpan w:val="6"/>
          </w:tcPr>
          <w:p>
            <w:pPr>
              <w:spacing w:after="0"/>
              <w:rPr>
                <w:sz w:val="9"/>
                <w:szCs w:val="9"/>
                <w:color w:val="auto"/>
              </w:rPr>
            </w:pPr>
          </w:p>
        </w:tc>
        <w:tc>
          <w:tcPr>
            <w:tcW w:w="120" w:type="dxa"/>
            <w:vAlign w:val="bottom"/>
            <w:gridSpan w:val="6"/>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10.33</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92">
              <w:r>
                <w:rPr>
                  <w:rFonts w:ascii="Times New Roman" w:cs="Times New Roman" w:eastAsia="Times New Roman" w:hAnsi="Times New Roman"/>
                  <w:sz w:val="13"/>
                  <w:szCs w:val="13"/>
                  <w:color w:val="0000FF"/>
                </w:rPr>
                <w:t>Second Amended and Restated Exchange Agreement, dated as of October 28, 2024, by and among Clearway</w:t>
              </w:r>
            </w:hyperlink>
          </w:p>
        </w:tc>
      </w:tr>
      <w:tr>
        <w:trPr>
          <w:trHeight w:val="107"/>
        </w:trPr>
        <w:tc>
          <w:tcPr>
            <w:tcW w:w="1000" w:type="dxa"/>
            <w:vAlign w:val="bottom"/>
          </w:tcPr>
          <w:p>
            <w:pPr>
              <w:spacing w:after="0"/>
              <w:rPr>
                <w:sz w:val="9"/>
                <w:szCs w:val="9"/>
                <w:color w:val="auto"/>
              </w:rPr>
            </w:pPr>
          </w:p>
        </w:tc>
        <w:tc>
          <w:tcPr>
            <w:tcW w:w="364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Energy, Inc., Clearway Energy LLC and Clearway Energy Group LLC.</w:t>
              </w:r>
            </w:hyperlink>
          </w:p>
        </w:tc>
        <w:tc>
          <w:tcPr>
            <w:tcW w:w="2260" w:type="dxa"/>
            <w:vAlign w:val="bottom"/>
            <w:tcBorders>
              <w:top w:val="single" w:sz="8" w:color="0000FF"/>
            </w:tcBorders>
            <w:gridSpan w:val="11"/>
          </w:tcPr>
          <w:p>
            <w:pPr>
              <w:spacing w:after="0"/>
              <w:rPr>
                <w:sz w:val="9"/>
                <w:szCs w:val="9"/>
                <w:color w:val="auto"/>
              </w:rPr>
            </w:pPr>
          </w:p>
        </w:tc>
        <w:tc>
          <w:tcPr>
            <w:tcW w:w="120" w:type="dxa"/>
            <w:vAlign w:val="bottom"/>
            <w:gridSpan w:val="6"/>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16.1</w:t>
            </w:r>
          </w:p>
        </w:tc>
        <w:tc>
          <w:tcPr>
            <w:tcW w:w="6020" w:type="dxa"/>
            <w:vAlign w:val="bottom"/>
            <w:gridSpan w:val="34"/>
          </w:tcPr>
          <w:p>
            <w:pPr>
              <w:spacing w:after="0"/>
              <w:rPr>
                <w:rFonts w:ascii="Times New Roman" w:cs="Times New Roman" w:eastAsia="Times New Roman" w:hAnsi="Times New Roman"/>
                <w:sz w:val="13"/>
                <w:szCs w:val="13"/>
                <w:color w:val="0000FF"/>
              </w:rPr>
            </w:pPr>
            <w:hyperlink r:id="rId293">
              <w:r>
                <w:rPr>
                  <w:rFonts w:ascii="Times New Roman" w:cs="Times New Roman" w:eastAsia="Times New Roman" w:hAnsi="Times New Roman"/>
                  <w:sz w:val="13"/>
                  <w:szCs w:val="13"/>
                  <w:color w:val="0000FF"/>
                </w:rPr>
                <w:t>Letter from Ernst &amp; Young LLP, dated May 10, 2024.</w:t>
              </w:r>
            </w:hyperlink>
          </w:p>
        </w:tc>
      </w:tr>
      <w:tr>
        <w:trPr>
          <w:trHeight w:val="20"/>
        </w:trPr>
        <w:tc>
          <w:tcPr>
            <w:tcW w:w="100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20" w:type="dxa"/>
            <w:vAlign w:val="bottom"/>
            <w:gridSpan w:val="18"/>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19.1</w:t>
            </w:r>
          </w:p>
        </w:tc>
        <w:tc>
          <w:tcPr>
            <w:tcW w:w="3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3"/>
                <w:szCs w:val="13"/>
                <w:color w:val="0000FF"/>
                <w:w w:val="97"/>
              </w:rPr>
              <w:t>Clearway Energy, Inc. Securities Trading and Nondisclosure Policy.</w:t>
            </w:r>
          </w:p>
        </w:tc>
        <w:tc>
          <w:tcPr>
            <w:tcW w:w="2520" w:type="dxa"/>
            <w:vAlign w:val="bottom"/>
            <w:gridSpan w:val="18"/>
          </w:tcPr>
          <w:p>
            <w:pPr>
              <w:spacing w:after="0"/>
              <w:rPr>
                <w:sz w:val="24"/>
                <w:szCs w:val="24"/>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6020" w:type="dxa"/>
            <w:vAlign w:val="bottom"/>
            <w:gridSpan w:val="34"/>
          </w:tcPr>
          <w:p>
            <w:pPr>
              <w:spacing w:after="0"/>
              <w:rPr>
                <w:sz w:val="20"/>
                <w:szCs w:val="20"/>
                <w:color w:val="auto"/>
              </w:rPr>
            </w:pPr>
            <w:r>
              <w:rPr>
                <w:rFonts w:ascii="Times New Roman" w:cs="Times New Roman" w:eastAsia="Times New Roman" w:hAnsi="Times New Roman"/>
                <w:sz w:val="13"/>
                <w:szCs w:val="13"/>
                <w:color w:val="0000FF"/>
              </w:rPr>
              <w:t>Subsidiaries of Clearway Energy LLC.</w:t>
            </w: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5"/>
              </w:rPr>
              <w:t>Power of Attorney.</w:t>
            </w:r>
          </w:p>
        </w:tc>
        <w:tc>
          <w:tcPr>
            <w:tcW w:w="1000" w:type="dxa"/>
            <w:vAlign w:val="bottom"/>
            <w:tcBorders>
              <w:top w:val="single" w:sz="8" w:color="0000FF"/>
            </w:tcBorders>
            <w:gridSpan w:val="5"/>
          </w:tcPr>
          <w:p>
            <w:pPr>
              <w:spacing w:after="0"/>
              <w:rPr>
                <w:sz w:val="13"/>
                <w:szCs w:val="13"/>
                <w:color w:val="auto"/>
              </w:rPr>
            </w:pPr>
          </w:p>
        </w:tc>
        <w:tc>
          <w:tcPr>
            <w:tcW w:w="4040" w:type="dxa"/>
            <w:vAlign w:val="bottom"/>
            <w:gridSpan w:val="25"/>
          </w:tcPr>
          <w:p>
            <w:pPr>
              <w:spacing w:after="0"/>
              <w:rPr>
                <w:sz w:val="13"/>
                <w:szCs w:val="13"/>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2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Craig Cornelius.</w:t>
            </w:r>
          </w:p>
        </w:tc>
        <w:tc>
          <w:tcPr>
            <w:tcW w:w="3040" w:type="dxa"/>
            <w:vAlign w:val="bottom"/>
            <w:gridSpan w:val="21"/>
          </w:tcPr>
          <w:p>
            <w:pPr>
              <w:spacing w:after="0"/>
              <w:rPr>
                <w:sz w:val="13"/>
                <w:szCs w:val="13"/>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3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960" w:type="dxa"/>
            <w:vAlign w:val="bottom"/>
            <w:gridSpan w:val="20"/>
          </w:tcPr>
          <w:p>
            <w:pPr>
              <w:spacing w:after="0"/>
              <w:rPr>
                <w:sz w:val="13"/>
                <w:szCs w:val="13"/>
                <w:color w:val="auto"/>
              </w:rPr>
            </w:pPr>
          </w:p>
        </w:tc>
      </w:tr>
    </w:tbl>
    <w:p>
      <w:pPr>
        <w:spacing w:after="0" w:line="21" w:lineRule="exact"/>
        <w:rPr>
          <w:sz w:val="20"/>
          <w:szCs w:val="20"/>
          <w:color w:val="auto"/>
        </w:rPr>
      </w:pPr>
    </w:p>
    <w:p>
      <w:pPr>
        <w:ind w:left="1000" w:hanging="1000"/>
        <w:spacing w:after="0"/>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0000FF"/>
        </w:rPr>
        <w:t>Section 1350 Certification.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10.2 to the Company’s Current Report on Form 8-K, filed on December 1, 2021.</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29,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24, 2023.</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10.31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10.32 to the Company’s Annual Report on Form 10-K filed on February 22,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30,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7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July 30, 2024.</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July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Quarterly Report on Form 10-Q filed on October 30, 2024.</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16.1 to the Company’s Current Report on Form 8-K filed on May 10,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Included on the signature page of this Annual Report on Form 10-K.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Furnished herewith.</w:t>
      </w:r>
    </w:p>
    <w:p>
      <w:pPr>
        <w:spacing w:after="0" w:line="200" w:lineRule="exact"/>
        <w:rPr>
          <w:sz w:val="20"/>
          <w:szCs w:val="20"/>
          <w:color w:val="auto"/>
        </w:rPr>
      </w:pPr>
    </w:p>
    <w:p>
      <w:pPr>
        <w:sectPr>
          <w:pgSz w:w="11900" w:h="16838" w:orient="portrait"/>
          <w:cols w:equalWidth="0" w:num="2">
            <w:col w:w="6780" w:space="120"/>
            <w:col w:w="4300"/>
          </w:cols>
          <w:pgMar w:left="340" w:top="763" w:right="359" w:bottom="1440"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3" w:right="359" w:bottom="1440" w:gutter="0" w:footer="0" w:header="0"/>
          <w:type w:val="continuous"/>
        </w:sectPr>
      </w:pPr>
    </w:p>
    <w:bookmarkStart w:id="145" w:name="page146"/>
    <w:bookmarkEnd w:id="145"/>
    <w:p>
      <w:pPr>
        <w:ind w:left="21"/>
        <w:spacing w:after="0"/>
        <w:tabs>
          <w:tab w:leader="none" w:pos="1001" w:val="left"/>
        </w:tabs>
        <w:rPr>
          <w:sz w:val="20"/>
          <w:szCs w:val="20"/>
          <w:color w:val="auto"/>
        </w:rPr>
      </w:pPr>
      <w:r>
        <w:rPr>
          <w:rFonts w:ascii="Times New Roman" w:cs="Times New Roman" w:eastAsia="Times New Roman" w:hAnsi="Times New Roman"/>
          <w:sz w:val="13"/>
          <w:szCs w:val="13"/>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2" w:lineRule="exact"/>
        <w:rPr>
          <w:sz w:val="20"/>
          <w:szCs w:val="20"/>
          <w:color w:val="auto"/>
        </w:rPr>
      </w:pPr>
    </w:p>
    <w:p>
      <w:pPr>
        <w:ind w:left="1021" w:hanging="1000"/>
        <w:spacing w:after="0"/>
        <w:tabs>
          <w:tab w:leader="none" w:pos="1021" w:val="left"/>
        </w:tabs>
        <w:numPr>
          <w:ilvl w:val="0"/>
          <w:numId w:val="88"/>
        </w:numPr>
        <w:rPr>
          <w:rFonts w:ascii="Times New Roman" w:cs="Times New Roman" w:eastAsia="Times New Roman" w:hAnsi="Times New Roman"/>
          <w:sz w:val="12"/>
          <w:szCs w:val="12"/>
          <w:u w:val="single" w:color="auto"/>
          <w:color w:val="0000FF"/>
        </w:rPr>
      </w:pPr>
      <w:hyperlink r:id="rId295">
        <w:r>
          <w:rPr>
            <w:rFonts w:ascii="Times New Roman" w:cs="Times New Roman" w:eastAsia="Times New Roman" w:hAnsi="Times New Roman"/>
            <w:sz w:val="12"/>
            <w:szCs w:val="12"/>
            <w:u w:val="single" w:color="auto"/>
            <w:color w:val="0000FF"/>
          </w:rPr>
          <w:t>Clearway Energy, Inc. Policy on Recoupment of Incentive Compensation.</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97 to the Company’s Annual Report on Form 10-K filed on February 22, 2024.</w:t>
      </w:r>
    </w:p>
    <w:p>
      <w:pPr>
        <w:spacing w:after="0" w:line="4" w:lineRule="exact"/>
        <w:rPr>
          <w:sz w:val="20"/>
          <w:szCs w:val="20"/>
          <w:color w:val="auto"/>
        </w:rPr>
      </w:pPr>
    </w:p>
    <w:p>
      <w:pPr>
        <w:sectPr>
          <w:pgSz w:w="11900" w:h="16838" w:orient="portrait"/>
          <w:cols w:equalWidth="0" w:num="2">
            <w:col w:w="6201" w:space="720"/>
            <w:col w:w="4300"/>
          </w:cols>
          <w:pgMar w:left="319" w:top="763" w:right="359" w:bottom="1440" w:gutter="0" w:footer="0" w:header="0"/>
        </w:sectPr>
      </w:pPr>
    </w:p>
    <w:tbl>
      <w:tblPr>
        <w:tblLayout w:type="fixed"/>
        <w:tblInd w:w="21" w:type="dxa"/>
        <w:tblCellMar>
          <w:top w:w="0" w:type="dxa"/>
          <w:left w:w="0" w:type="dxa"/>
          <w:bottom w:w="0" w:type="dxa"/>
          <w:right w:w="0" w:type="dxa"/>
        </w:tblCellMar>
      </w:tblPr>
      <w:tr>
        <w:trPr>
          <w:trHeight w:val="165"/>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CAL</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LAB</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70"/>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101</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w:t>
            </w:r>
          </w:p>
        </w:tc>
        <w:tc>
          <w:tcPr>
            <w:tcW w:w="4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224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6"/>
              </w:rPr>
              <w:t>Filed herewith.</w:t>
            </w:r>
          </w:p>
        </w:tc>
      </w:tr>
    </w:tbl>
    <w:p>
      <w:pPr>
        <w:spacing w:after="0" w:line="4" w:lineRule="exact"/>
        <w:rPr>
          <w:sz w:val="20"/>
          <w:szCs w:val="20"/>
          <w:color w:val="auto"/>
        </w:rPr>
      </w:pPr>
    </w:p>
    <w:p>
      <w:pPr>
        <w:ind w:left="1021" w:right="4420" w:hanging="1000"/>
        <w:spacing w:after="0" w:line="235" w:lineRule="auto"/>
        <w:tabs>
          <w:tab w:leader="none" w:pos="1021"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w:t>
      </w:r>
      <w:r>
        <w:rPr>
          <w:rFonts w:ascii="Times New Roman" w:cs="Times New Roman" w:eastAsia="Times New Roman" w:hAnsi="Times New Roman"/>
          <w:sz w:val="13"/>
          <w:szCs w:val="13"/>
          <w:color w:val="212529"/>
        </w:rPr>
        <w:t>the cover page interactive data file does not appear in Exhibit 104 because 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12529"/>
        </w:rPr>
        <w:t>Inline XBRL tags are embedded within the Inline XBRL document)</w:t>
      </w:r>
    </w:p>
    <w:p>
      <w:pPr>
        <w:spacing w:after="0" w:line="142" w:lineRule="exact"/>
        <w:rPr>
          <w:rFonts w:ascii="Times New Roman" w:cs="Times New Roman" w:eastAsia="Times New Roman" w:hAnsi="Times New Roman"/>
          <w:sz w:val="13"/>
          <w:szCs w:val="13"/>
          <w:color w:val="auto"/>
        </w:rPr>
      </w:pPr>
    </w:p>
    <w:p>
      <w:pPr>
        <w:ind w:left="661" w:hanging="661"/>
        <w:spacing w:after="0"/>
        <w:tabs>
          <w:tab w:leader="none" w:pos="66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 w:lineRule="exact"/>
        <w:rPr>
          <w:sz w:val="20"/>
          <w:szCs w:val="20"/>
          <w:color w:val="auto"/>
        </w:rPr>
      </w:pPr>
    </w:p>
    <w:p>
      <w:pPr>
        <w:ind w:left="661" w:right="220" w:hanging="661"/>
        <w:spacing w:after="0" w:line="235" w:lineRule="auto"/>
        <w:tabs>
          <w:tab w:leader="none" w:pos="661"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4" w:lineRule="exact"/>
        <w:rPr>
          <w:sz w:val="20"/>
          <w:szCs w:val="20"/>
          <w:color w:val="auto"/>
        </w:rPr>
      </w:pPr>
    </w:p>
    <w:p>
      <w:pPr>
        <w:ind w:left="661" w:right="100" w:hanging="661"/>
        <w:spacing w:after="0" w:line="235" w:lineRule="auto"/>
        <w:tabs>
          <w:tab w:leader="none" w:pos="661"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1"/>
          </w:cols>
          <w:pgMar w:left="319" w:top="763" w:right="3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158"/>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CLEARWAY ENERGY LLC</w:t>
      </w:r>
    </w:p>
    <w:p>
      <w:pPr>
        <w:ind w:left="678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14605</wp:posOffset>
            </wp:positionV>
            <wp:extent cx="210185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8">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67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44" w:lineRule="exact"/>
        <w:rPr>
          <w:sz w:val="20"/>
          <w:szCs w:val="20"/>
          <w:color w:val="auto"/>
        </w:rPr>
      </w:pPr>
    </w:p>
    <w:p>
      <w:pPr>
        <w:jc w:val="both"/>
        <w:ind w:firstLine="158"/>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01" w:lineRule="exact"/>
        <w:rPr>
          <w:sz w:val="20"/>
          <w:szCs w:val="20"/>
          <w:color w:val="auto"/>
        </w:rPr>
      </w:pPr>
    </w:p>
    <w:p>
      <w:pPr>
        <w:jc w:val="both"/>
        <w:ind w:firstLine="166"/>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1940" w:type="dxa"/>
            <w:vAlign w:val="bottom"/>
          </w:tcPr>
          <w:p>
            <w:pPr>
              <w:spacing w:after="0"/>
              <w:rPr>
                <w:sz w:val="11"/>
                <w:szCs w:val="11"/>
                <w:color w:val="auto"/>
              </w:rPr>
            </w:pP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20"/>
        </w:trPr>
        <w:tc>
          <w:tcPr>
            <w:tcW w:w="2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67"/>
        </w:trPr>
        <w:tc>
          <w:tcPr>
            <w:tcW w:w="512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color w:val="auto"/>
              </w:rPr>
              <w:t>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w w:val="99"/>
              </w:rPr>
              <w:t>of Clearway Energy LLC (Principal Executive Officer)</w:t>
            </w:r>
          </w:p>
        </w:tc>
      </w:tr>
      <w:tr>
        <w:trPr>
          <w:trHeight w:val="184"/>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2025</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SARAH RUBENSTEIN</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tc>
      </w:tr>
      <w:tr>
        <w:trPr>
          <w:trHeight w:val="165"/>
        </w:trPr>
        <w:tc>
          <w:tcPr>
            <w:tcW w:w="512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Sarah Rubenstein</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of Clearway Energy LLC (Principal Financial and</w:t>
            </w:r>
          </w:p>
        </w:tc>
      </w:tr>
      <w:tr>
        <w:trPr>
          <w:trHeight w:val="186"/>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2025</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r>
      <w:tr>
        <w:trPr>
          <w:trHeight w:val="382"/>
        </w:trPr>
        <w:tc>
          <w:tcPr>
            <w:tcW w:w="5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Sole Managing Member</w:t>
            </w: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/s/ 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167"/>
        </w:trPr>
        <w:tc>
          <w:tcPr>
            <w:tcW w:w="5120" w:type="dxa"/>
            <w:vAlign w:val="bottom"/>
            <w:gridSpan w:val="3"/>
          </w:tcPr>
          <w:p>
            <w:pPr>
              <w:jc w:val="center"/>
              <w:ind w:left="669"/>
              <w:spacing w:after="0"/>
              <w:rPr>
                <w:sz w:val="20"/>
                <w:szCs w:val="20"/>
                <w:color w:val="auto"/>
              </w:rPr>
            </w:pPr>
            <w:r>
              <w:rPr>
                <w:rFonts w:ascii="Times New Roman" w:cs="Times New Roman" w:eastAsia="Times New Roman" w:hAnsi="Times New Roman"/>
                <w:sz w:val="14"/>
                <w:szCs w:val="14"/>
                <w:color w:val="auto"/>
              </w:rPr>
              <w:t>Craig Cornelius</w:t>
            </w:r>
          </w:p>
        </w:tc>
        <w:tc>
          <w:tcPr>
            <w:tcW w:w="36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of Clearway Energy, Inc.</w:t>
            </w:r>
          </w:p>
        </w:tc>
      </w:tr>
      <w:tr>
        <w:trPr>
          <w:trHeight w:val="184"/>
        </w:trPr>
        <w:tc>
          <w:tcPr>
            <w:tcW w:w="512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Date: February 24, 2025</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86"/>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2"/>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JONATHAN BRAM</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Jonathan Bram</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NATHANIEL ANSCHUETZ</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Nathaniel Anschuetz</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BRIAN FORD</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Ford</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BRUCE MACLENNAN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Bruce MacLennan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B. MORE</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B. More</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 STANLEY O’NEAL</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 Stanley O’Neal</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LOWRY</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Lowry</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EMMANUEL BARROIS</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Emmanuel Barrois</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MARC-ANTOINE PIGNON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Marc-Antoine Pignon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OLIVIER JOUNY</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Jouny</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CRAIG CORNELIUS</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 of Clearway Energy, Inc.</w:t>
            </w:r>
          </w:p>
        </w:tc>
      </w:tr>
      <w:tr>
        <w:trPr>
          <w:trHeight w:val="181"/>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Craig Cornelius</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Managing Member of Clearway Energy LLC</w:t>
            </w:r>
          </w:p>
        </w:tc>
      </w:tr>
      <w:tr>
        <w:trPr>
          <w:trHeight w:val="870"/>
        </w:trPr>
        <w:tc>
          <w:tcPr>
            <w:tcW w:w="3540" w:type="dxa"/>
            <w:vAlign w:val="bottom"/>
          </w:tcPr>
          <w:p>
            <w:pPr>
              <w:spacing w:after="0"/>
              <w:rPr>
                <w:sz w:val="24"/>
                <w:szCs w:val="24"/>
                <w:color w:val="auto"/>
              </w:rPr>
            </w:pPr>
          </w:p>
        </w:tc>
        <w:tc>
          <w:tcPr>
            <w:tcW w:w="5420" w:type="dxa"/>
            <w:vAlign w:val="bottom"/>
            <w:gridSpan w:val="2"/>
          </w:tcPr>
          <w:p>
            <w:pPr>
              <w:jc w:val="right"/>
              <w:ind w:right="3149"/>
              <w:spacing w:after="0"/>
              <w:rPr>
                <w:sz w:val="20"/>
                <w:szCs w:val="20"/>
                <w:color w:val="auto"/>
              </w:rPr>
            </w:pPr>
            <w:r>
              <w:rPr>
                <w:rFonts w:ascii="Times New Roman" w:cs="Times New Roman" w:eastAsia="Times New Roman" w:hAnsi="Times New Roman"/>
                <w:sz w:val="14"/>
                <w:szCs w:val="14"/>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15875</wp:posOffset>
            </wp:positionV>
            <wp:extent cx="138811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2">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2025</w:t>
      </w:r>
    </w:p>
    <w:p>
      <w:pPr>
        <w:sectPr>
          <w:pgSz w:w="11900" w:h="16838" w:orient="portrait"/>
          <w:cols w:equalWidth="0" w:num="2">
            <w:col w:w="8960" w:space="660"/>
            <w:col w:w="1040"/>
          </w:cols>
          <w:pgMar w:left="320" w:top="759" w:right="919"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4"/>
          <w:szCs w:val="14"/>
          <w:b w:val="1"/>
          <w:bCs w:val="1"/>
          <w:color w:val="auto"/>
        </w:rPr>
        <w:t>Supplemental Information to be Furnished with Reports Filed Pursuant to Section 15(d) of the Act by Registrants Which Have Not Registered Securities Pursuant to Section 12 of the Act</w:t>
      </w:r>
    </w:p>
    <w:p>
      <w:pPr>
        <w:spacing w:after="0" w:line="74" w:lineRule="exact"/>
        <w:rPr>
          <w:sz w:val="20"/>
          <w:szCs w:val="20"/>
          <w:color w:val="auto"/>
        </w:rPr>
      </w:pPr>
    </w:p>
    <w:p>
      <w:pPr>
        <w:ind w:firstLine="141"/>
        <w:spacing w:after="0" w:line="287" w:lineRule="auto"/>
        <w:rPr>
          <w:sz w:val="20"/>
          <w:szCs w:val="20"/>
          <w:color w:val="auto"/>
        </w:rPr>
      </w:pPr>
      <w:r>
        <w:rPr>
          <w:rFonts w:ascii="Times New Roman" w:cs="Times New Roman" w:eastAsia="Times New Roman" w:hAnsi="Times New Roman"/>
          <w:sz w:val="14"/>
          <w:szCs w:val="14"/>
          <w:color w:val="auto"/>
        </w:rPr>
        <w:t>No annual report or proxy material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1280"/>
          </w:cols>
          <w:pgMar w:left="300" w:top="802" w:right="319" w:bottom="1440"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77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480" w:type="dxa"/>
            <w:vAlign w:val="bottom"/>
            <w:tcBorders>
              <w:bottom w:val="single" w:sz="8" w:color="969696"/>
            </w:tcBorders>
          </w:tcPr>
          <w:p>
            <w:pPr>
              <w:spacing w:after="0"/>
              <w:rPr>
                <w:sz w:val="24"/>
                <w:szCs w:val="24"/>
                <w:color w:val="auto"/>
              </w:rPr>
            </w:pPr>
          </w:p>
        </w:tc>
        <w:tc>
          <w:tcPr>
            <w:tcW w:w="374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8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4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2011 Finance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 Solar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Borrower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Borrower 2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Solar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Solar,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Landco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Realty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Vista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Apple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Arica Solar Pledgor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Arica Solar,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Avenal Park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196" w:name="page197"/>
    <w:bookmarkEnd w:id="196"/>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80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240" w:type="dxa"/>
            <w:vAlign w:val="bottom"/>
            <w:tcBorders>
              <w:bottom w:val="single" w:sz="8" w:color="969696"/>
            </w:tcBorders>
          </w:tcPr>
          <w:p>
            <w:pPr>
              <w:spacing w:after="0"/>
              <w:rPr>
                <w:sz w:val="24"/>
                <w:szCs w:val="24"/>
                <w:color w:val="auto"/>
              </w:rPr>
            </w:pPr>
          </w:p>
        </w:tc>
        <w:tc>
          <w:tcPr>
            <w:tcW w:w="39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2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Bashaw Solar 1,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Big Lake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Cat Road Solar,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Class B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TE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Wind Force,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Wind Holding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Start Battery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Start Battery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Bluestone Solar,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BMP Wind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Broken Bow Wind,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Brook Street Solar 1,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Renewables,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Solar Portfolio,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Westex,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Buffalo Bear,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Bullock Road Solar 1,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BWC Swan Pond River,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Capistrano Portfolio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Capistrano Portfolio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Energy Center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Energy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Holdco II,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CBAD Holdings II,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CBAD Holdings,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Class B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TE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Holdco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Cedar Creek Wind Holdings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Cedar Creek Wind,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BL Borrower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Class B Member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Cedro Hill TE Holdco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Wind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Center St Solar 1,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Chestnut Class B LLC</w:t>
            </w:r>
          </w:p>
        </w:tc>
        <w:tc>
          <w:tcPr>
            <w:tcW w:w="39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Chestnut Fund Sub LLC</w:t>
            </w:r>
          </w:p>
        </w:tc>
        <w:tc>
          <w:tcPr>
            <w:tcW w:w="39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197" w:name="page198"/>
    <w:bookmarkEnd w:id="197"/>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78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440" w:type="dxa"/>
            <w:vAlign w:val="bottom"/>
            <w:tcBorders>
              <w:bottom w:val="single" w:sz="8" w:color="969696"/>
            </w:tcBorders>
          </w:tcPr>
          <w:p>
            <w:pPr>
              <w:spacing w:after="0"/>
              <w:rPr>
                <w:sz w:val="24"/>
                <w:szCs w:val="24"/>
                <w:color w:val="auto"/>
              </w:rPr>
            </w:pPr>
          </w:p>
        </w:tc>
        <w:tc>
          <w:tcPr>
            <w:tcW w:w="37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Chisago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Clara City Solar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&amp; EFS Distributed Solar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AC Solar Holdings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Chestnut Fund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DG Lakeland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Energy Finance Inc.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Solar Star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Walnut Creek II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West Holdings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CMR Solar,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Continental Energy,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Crofton Bluffs Wind,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CVSR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Holdings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Holdings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CWSP Rattlesnake Holding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Class B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Project Sub II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Project Sub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2 TargetCo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2 TE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3 Project Sub II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3 Project Sub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Class B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Renewable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Investment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Power 2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Power 3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TargetCo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TE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Class B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Parent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Parent Holdings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TargetCo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Tax Credit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Dan's Mountain Wind Force Pledgor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198" w:name="page199"/>
    <w:bookmarkEnd w:id="198"/>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78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400" w:type="dxa"/>
            <w:vAlign w:val="bottom"/>
            <w:tcBorders>
              <w:bottom w:val="single" w:sz="8" w:color="969696"/>
            </w:tcBorders>
          </w:tcPr>
          <w:p>
            <w:pPr>
              <w:spacing w:after="0"/>
              <w:rPr>
                <w:sz w:val="24"/>
                <w:szCs w:val="24"/>
                <w:color w:val="auto"/>
              </w:rPr>
            </w:pPr>
          </w:p>
        </w:tc>
        <w:tc>
          <w:tcPr>
            <w:tcW w:w="38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Dan's Mountain Wind Force,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250,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300,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Berkeley Rec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Berkeley Village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Central East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Central West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Contra Costa Operations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Contra Costa Waste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Crystal Spring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Dighton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Foxborough Elm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Foxborough Landfill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Grantland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Haverhill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Imperial Admin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Imperial Building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Lathrop Louise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Lincoln Middle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Marathon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Rosedale Elementary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Rosedale Middle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San Joaquin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SREC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SREC Holdings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Tufts Knoll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Tufts Science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Washington Middle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Webster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Master Borrower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2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3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4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HoldCo A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199" w:name="page200"/>
    <w:bookmarkEnd w:id="199"/>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76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640" w:type="dxa"/>
            <w:vAlign w:val="bottom"/>
            <w:tcBorders>
              <w:bottom w:val="single" w:sz="8" w:color="969696"/>
            </w:tcBorders>
          </w:tcPr>
          <w:p>
            <w:pPr>
              <w:spacing w:after="0"/>
              <w:rPr>
                <w:sz w:val="24"/>
                <w:szCs w:val="24"/>
                <w:color w:val="auto"/>
              </w:rPr>
            </w:pPr>
          </w:p>
        </w:tc>
        <w:tc>
          <w:tcPr>
            <w:tcW w:w="35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5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HoldCo B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4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4 Sub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Holding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Dodge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Eastman Street Solar 1,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 Mirage Energy,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Elbow Creek Repowering Tax Equity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Elkhorn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Elkhorn Ridge Wind,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Enterprise Solar,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II,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III,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ETCAP NES CS MN 02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ETCAP NES CS MN 06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Farmington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Forest Lake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Forward WindPower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Four Brothers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Four Brothers Solar,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Frontenac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FUSD Energy,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GCE Holding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Devon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Energy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Middletown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Goat Wind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Fields Solar III,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Puma Fund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Grabinski Solar,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Renewables,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Solar East,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Solar West,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 Plains Ranch II,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HLE Solar Holdings,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Honeycomb 1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200" w:name="page201"/>
    <w:bookmarkEnd w:id="200"/>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79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340" w:type="dxa"/>
            <w:vAlign w:val="bottom"/>
            <w:tcBorders>
              <w:bottom w:val="single" w:sz="8" w:color="969696"/>
            </w:tcBorders>
          </w:tcPr>
          <w:p>
            <w:pPr>
              <w:spacing w:after="0"/>
              <w:rPr>
                <w:sz w:val="24"/>
                <w:szCs w:val="24"/>
                <w:color w:val="auto"/>
              </w:rPr>
            </w:pPr>
          </w:p>
        </w:tc>
        <w:tc>
          <w:tcPr>
            <w:tcW w:w="38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3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Honeycomb 1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HSD Solar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Hwy 14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Renewables,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Solar,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Class B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Holding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Tax Equity Partnership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Wind Power,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Lanikuhana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Hawaii</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Laredo Ridge Wind,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Lenape II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Class A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Holdco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Holding Sub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Lindberg Field Solar 2,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Longhorn Energy,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Lookout WindPower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LV-Daggett Parent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LV-Daggett Parent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Mapleton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MC1 Solar Farm,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North Carolina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Class B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Holding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TE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Class B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Special,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Tax Equity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BL Borrower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Class B Member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I Solar,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TE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Minisink Solar 1,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Minisink Solar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Iowa Wind,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bl>
    <w:p>
      <w:pPr>
        <w:sectPr>
          <w:pgSz w:w="11900" w:h="16838" w:orient="portrait"/>
          <w:cols w:equalWidth="0" w:num="1">
            <w:col w:w="11240"/>
          </w:cols>
          <w:pgMar w:left="360" w:top="155" w:right="299" w:bottom="1440" w:gutter="0" w:footer="0" w:header="0"/>
        </w:sectPr>
      </w:pPr>
    </w:p>
    <w:bookmarkStart w:id="201" w:name="page202"/>
    <w:bookmarkEnd w:id="201"/>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8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160" w:type="dxa"/>
            <w:vAlign w:val="bottom"/>
            <w:tcBorders>
              <w:bottom w:val="single" w:sz="8" w:color="969696"/>
            </w:tcBorders>
          </w:tcPr>
          <w:p>
            <w:pPr>
              <w:spacing w:after="0"/>
              <w:rPr>
                <w:sz w:val="24"/>
                <w:szCs w:val="24"/>
                <w:color w:val="auto"/>
              </w:rPr>
            </w:pPr>
          </w:p>
        </w:tc>
        <w:tc>
          <w:tcPr>
            <w:tcW w:w="40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1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6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Broken Bow,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Cedro,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Crofton Bluffs,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Laredo,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One,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Two,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Utah,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Wyoming,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Monster Energy,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Montevideo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 Hope Solar 1,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Mountain Wind Power II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Wind Power,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CA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CA Holdings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NedPower Mount Storm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Munich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NIMH Solar Holdings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Northfield Holdco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NS Smith,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Renewables,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Oahu Solar Holdings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 Solar 2010,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Holdco 2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Holdco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Holdings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LP</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Old Westminster Solar 1,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Old Westminster Solar 2,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Olinda Trail Solar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Osakis Solar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Partridgeville Road Solar 1,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PC Dinuba LLC</w:t>
            </w:r>
          </w:p>
        </w:tc>
        <w:tc>
          <w:tcPr>
            <w:tcW w:w="40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PESD Energy, LLC</w:t>
            </w:r>
          </w:p>
        </w:tc>
        <w:tc>
          <w:tcPr>
            <w:tcW w:w="40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bl>
    <w:p>
      <w:pPr>
        <w:sectPr>
          <w:pgSz w:w="11900" w:h="16838" w:orient="portrait"/>
          <w:cols w:equalWidth="0" w:num="1">
            <w:col w:w="11240"/>
          </w:cols>
          <w:pgMar w:left="360" w:top="154" w:right="299" w:bottom="1440" w:gutter="0" w:footer="0" w:header="0"/>
        </w:sectPr>
      </w:pPr>
    </w:p>
    <w:bookmarkStart w:id="202" w:name="page203"/>
    <w:bookmarkEnd w:id="202"/>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77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500" w:type="dxa"/>
            <w:vAlign w:val="bottom"/>
            <w:tcBorders>
              <w:bottom w:val="single" w:sz="8" w:color="969696"/>
            </w:tcBorders>
          </w:tcPr>
          <w:p>
            <w:pPr>
              <w:spacing w:after="0"/>
              <w:rPr>
                <w:sz w:val="24"/>
                <w:szCs w:val="24"/>
                <w:color w:val="auto"/>
              </w:rPr>
            </w:pPr>
          </w:p>
        </w:tc>
        <w:tc>
          <w:tcPr>
            <w:tcW w:w="37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CE Class A Owner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Forest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Pine Forest TE Class A Owner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Island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Tax Equity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Wind,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PM Solar Holdings,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Pond Road Solar,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Portfolio Solar I,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Puma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Flat,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TE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Redbrook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Canal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Solar CS4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Solar CS4 Fund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Spark 2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Repowering Partnership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Repowering Partnership II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Rollingstone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Solar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Solar Investment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South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South Investment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Project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TargetCo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TE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Rounseville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RPV Holding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Sand Drag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Sartell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SCDA Solar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SCWFD Energy,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SJA Solar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Sleeping Bear,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203" w:name="page204"/>
    <w:bookmarkEnd w:id="203"/>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76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600" w:type="dxa"/>
            <w:vAlign w:val="bottom"/>
            <w:tcBorders>
              <w:bottom w:val="single" w:sz="8" w:color="969696"/>
            </w:tcBorders>
          </w:tcPr>
          <w:p>
            <w:pPr>
              <w:spacing w:after="0"/>
              <w:rPr>
                <w:sz w:val="24"/>
                <w:szCs w:val="24"/>
                <w:color w:val="auto"/>
              </w:rPr>
            </w:pPr>
          </w:p>
        </w:tc>
        <w:tc>
          <w:tcPr>
            <w:tcW w:w="36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Alpine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Apple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AV Holdco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Avra Valley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Blythe 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Blythe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Borrego Holdco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Borrego 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Community 1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Community Holdco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CVSR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Flagstaff One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Iguana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Kansas South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Kansas South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Las Vegas MB 1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Las Vegas MB 2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Mayfair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Mule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Oasis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Roadrunner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Roadrunner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Tabernacle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Warren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Wauwinet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West Shaft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Trent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Wind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Utah</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Asset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II-B,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Lease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P-IV Master Lessee,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204" w:name="page205"/>
    <w:bookmarkEnd w:id="204"/>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81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100" w:type="dxa"/>
            <w:vAlign w:val="bottom"/>
            <w:tcBorders>
              <w:bottom w:val="single" w:sz="8" w:color="969696"/>
            </w:tcBorders>
          </w:tcPr>
          <w:p>
            <w:pPr>
              <w:spacing w:after="0"/>
              <w:rPr>
                <w:sz w:val="24"/>
                <w:szCs w:val="24"/>
                <w:color w:val="auto"/>
              </w:rPr>
            </w:pPr>
          </w:p>
        </w:tc>
        <w:tc>
          <w:tcPr>
            <w:tcW w:w="41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1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1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TE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TE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Street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1,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Stafford St Solar 2,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3,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Stearns Solar I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Steel Bridge Solar,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 City Project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 - High Desert,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Taloga Wind,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Tapestry Wind,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Texas Solar Nova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 Solar Nova 2,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Topeka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1,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2,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4,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5,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BL Borrower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TSN1 Class B Member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TSN1 TE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Tully Farms Solar 1,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Underhill Solar,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Holdings II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Master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Master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Energy,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Victory Pass 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Victory Pass Pledgor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Viento Funding II,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Viento Funding,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Class B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Parent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Parent Holdings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TargetCo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TE Holdco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Holdco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II LLC</w:t>
            </w:r>
          </w:p>
        </w:tc>
        <w:tc>
          <w:tcPr>
            <w:tcW w:w="41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III LLC</w:t>
            </w:r>
          </w:p>
        </w:tc>
        <w:tc>
          <w:tcPr>
            <w:tcW w:w="41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4" w:right="299" w:bottom="1440" w:gutter="0" w:footer="0" w:header="0"/>
        </w:sectPr>
      </w:pPr>
    </w:p>
    <w:bookmarkStart w:id="205" w:name="page206"/>
    <w:bookmarkEnd w:id="205"/>
    <w:p>
      <w:pPr>
        <w:ind w:left="103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6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SUBSIDIARIES OF CLEARWAY ENERGY LLC</w:t>
            </w:r>
          </w:p>
        </w:tc>
      </w:tr>
      <w:tr>
        <w:trPr>
          <w:trHeight w:val="626"/>
        </w:trPr>
        <w:tc>
          <w:tcPr>
            <w:tcW w:w="3560" w:type="dxa"/>
            <w:vAlign w:val="bottom"/>
            <w:tcBorders>
              <w:bottom w:val="single" w:sz="8" w:color="969696"/>
            </w:tcBorders>
          </w:tcPr>
          <w:p>
            <w:pPr>
              <w:spacing w:after="0"/>
              <w:rPr>
                <w:sz w:val="24"/>
                <w:szCs w:val="24"/>
                <w:color w:val="auto"/>
              </w:rPr>
            </w:pPr>
          </w:p>
        </w:tc>
        <w:tc>
          <w:tcPr>
            <w:tcW w:w="36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6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Waiawa Solar Power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Waipio PV,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Walnut Creek Energy,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Washington Wind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Washington Wind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Waterford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WCEP Holdings,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Webster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WECAT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Wildcat Energy,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Interconnect,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Repowering Tax Equity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Wind,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Wilmarth Lane Solar 1,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Wind TE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Winona Solar 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Winona Solar II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WSD Solar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WV Wind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WV Wind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Zephyr Oahu Partnership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55" w:right="29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Craig Cornelius, certify that:</w:t>
      </w:r>
    </w:p>
    <w:p>
      <w:pPr>
        <w:spacing w:after="0" w:line="274" w:lineRule="exact"/>
        <w:rPr>
          <w:sz w:val="20"/>
          <w:szCs w:val="20"/>
          <w:color w:val="auto"/>
        </w:rPr>
      </w:pPr>
    </w:p>
    <w:p>
      <w:pPr>
        <w:ind w:left="520" w:hanging="515"/>
        <w:spacing w:after="0"/>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266128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5">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Craig Cornelius</w:t>
      </w:r>
    </w:p>
    <w:p>
      <w:pPr>
        <w:ind w:left="58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ectPr>
          <w:pgSz w:w="11900" w:h="16838" w:orient="portrait"/>
          <w:cols w:equalWidth="0" w:num="1">
            <w:col w:w="11280"/>
          </w:cols>
          <w:pgMar w:left="300" w:top="802" w:right="31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2"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14605</wp:posOffset>
            </wp:positionV>
            <wp:extent cx="283654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Sarah Rubenstein</w:t>
      </w:r>
    </w:p>
    <w:p>
      <w:pPr>
        <w:ind w:left="6080"/>
        <w:spacing w:after="0" w:line="210"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6080"/>
        <w:spacing w:after="0" w:line="206"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60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ectPr>
          <w:pgSz w:w="11900" w:h="16838" w:orient="portrait"/>
          <w:cols w:equalWidth="0" w:num="1">
            <w:col w:w="11280"/>
          </w:cols>
          <w:pgMar w:left="300" w:top="727" w:right="31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Clearway Energy LLC on Form 10-K for the year ended December 31, 2024,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24, 2025</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7">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Craig Cornelius</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8">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66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lowerLetter"/>
      <w:start w:val="1"/>
    </w:lvl>
  </w:abstractNum>
  <w:abstractNum w:abstractNumId="3">
    <w:nsid w:val="684A481A"/>
    <w:multiLevelType w:val="hybridMultilevel"/>
    <w:lvl w:ilvl="0">
      <w:lvlJc w:val="left"/>
      <w:lvlText w:val="(%1)"/>
      <w:numFmt w:val="lowerLetter"/>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lowerLetter"/>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
      <w:numFmt w:val="bullet"/>
      <w:start w:val="1"/>
    </w:lvl>
    <w:lvl w:ilvl="1">
      <w:lvlJc w:val="left"/>
      <w:lvlText w:val="(%2)"/>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lowerLetter"/>
      <w:start w:val="2"/>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emdash "/>
      <w:numFmt w:val="bullet"/>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32"/>
    </w:lvl>
  </w:abstractNum>
  <w:abstractNum w:abstractNumId="87">
    <w:nsid w:val="46B7D447"/>
    <w:multiLevelType w:val="hybridMultilevel"/>
    <w:lvl w:ilvl="0">
      <w:lvlJc w:val="left"/>
      <w:lvlText w:val="%1"/>
      <w:numFmt w:val="decimal"/>
      <w:start w:val="97"/>
    </w:lvl>
  </w:abstractNum>
  <w:abstractNum w:abstractNumId="88">
    <w:nsid w:val="4A2AC315"/>
    <w:multiLevelType w:val="hybridMultilevel"/>
    <w:lvl w:ilvl="0">
      <w:lvlJc w:val="left"/>
      <w:lvlText w:val="†"/>
      <w:numFmt w:val="bullet"/>
      <w:start w:val="1"/>
    </w:lvl>
    <w:lvl w:ilvl="1">
      <w:lvlJc w:val="left"/>
      <w:lvlText w:val="%2"/>
      <w:numFmt w:val="decimal"/>
      <w:start w:val="104"/>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41" Type="http://schemas.openxmlformats.org/officeDocument/2006/relationships/image" Target="media/image215.png"/><Relationship Id="rId258" Type="http://schemas.openxmlformats.org/officeDocument/2006/relationships/image" Target="media/image216.png"/><Relationship Id="rId277" Type="http://schemas.openxmlformats.org/officeDocument/2006/relationships/image" Target="media/image217.png"/><Relationship Id="rId294" Type="http://schemas.openxmlformats.org/officeDocument/2006/relationships/image" Target="media/image218.png"/><Relationship Id="rId296" Type="http://schemas.openxmlformats.org/officeDocument/2006/relationships/image" Target="media/image219.png"/><Relationship Id="rId297" Type="http://schemas.openxmlformats.org/officeDocument/2006/relationships/image" Target="media/image220.png"/><Relationship Id="rId298" Type="http://schemas.openxmlformats.org/officeDocument/2006/relationships/image" Target="media/image221.png"/><Relationship Id="rId299" Type="http://schemas.openxmlformats.org/officeDocument/2006/relationships/image" Target="media/image222.png"/><Relationship Id="rId300" Type="http://schemas.openxmlformats.org/officeDocument/2006/relationships/image" Target="media/image223.png"/><Relationship Id="rId301" Type="http://schemas.openxmlformats.org/officeDocument/2006/relationships/image" Target="media/image224.png"/><Relationship Id="rId302" Type="http://schemas.openxmlformats.org/officeDocument/2006/relationships/image" Target="media/image225.png"/><Relationship Id="rId303" Type="http://schemas.openxmlformats.org/officeDocument/2006/relationships/image" Target="media/image226.png"/><Relationship Id="rId304" Type="http://schemas.openxmlformats.org/officeDocument/2006/relationships/image" Target="media/image227.png"/><Relationship Id="rId305"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312" Type="http://schemas.openxmlformats.org/officeDocument/2006/relationships/image" Target="media/image235.png"/><Relationship Id="rId313" Type="http://schemas.openxmlformats.org/officeDocument/2006/relationships/image" Target="media/image236.png"/><Relationship Id="rId314" Type="http://schemas.openxmlformats.org/officeDocument/2006/relationships/image" Target="media/image237.png"/><Relationship Id="rId315" Type="http://schemas.openxmlformats.org/officeDocument/2006/relationships/image" Target="media/image238.png"/><Relationship Id="rId316" Type="http://schemas.openxmlformats.org/officeDocument/2006/relationships/image" Target="media/image239.png"/><Relationship Id="rId317" Type="http://schemas.openxmlformats.org/officeDocument/2006/relationships/image" Target="media/image240.png"/><Relationship Id="rId318" Type="http://schemas.openxmlformats.org/officeDocument/2006/relationships/image" Target="media/image241.png"/><Relationship Id="rId319" Type="http://schemas.openxmlformats.org/officeDocument/2006/relationships/image" Target="media/image242.png"/><Relationship Id="rId320" Type="http://schemas.openxmlformats.org/officeDocument/2006/relationships/image" Target="media/image243.png"/><Relationship Id="rId321" Type="http://schemas.openxmlformats.org/officeDocument/2006/relationships/image" Target="media/image244.png"/><Relationship Id="rId322" Type="http://schemas.openxmlformats.org/officeDocument/2006/relationships/image" Target="media/image245.png"/><Relationship Id="rId323" Type="http://schemas.openxmlformats.org/officeDocument/2006/relationships/image" Target="media/image246.png"/><Relationship Id="rId324" Type="http://schemas.openxmlformats.org/officeDocument/2006/relationships/image" Target="media/image247.png"/><Relationship Id="rId325" Type="http://schemas.openxmlformats.org/officeDocument/2006/relationships/image" Target="media/image248.png"/><Relationship Id="rId326" Type="http://schemas.openxmlformats.org/officeDocument/2006/relationships/image" Target="media/image249.png"/><Relationship Id="rId327" Type="http://schemas.openxmlformats.org/officeDocument/2006/relationships/image" Target="media/image250.png"/><Relationship Id="rId328" Type="http://schemas.openxmlformats.org/officeDocument/2006/relationships/image" Target="media/image251.png"/><Relationship Id="rId329" Type="http://schemas.openxmlformats.org/officeDocument/2006/relationships/image" Target="media/image252.png"/><Relationship Id="rId330" Type="http://schemas.openxmlformats.org/officeDocument/2006/relationships/image" Target="media/image253.png"/><Relationship Id="rId331" Type="http://schemas.openxmlformats.org/officeDocument/2006/relationships/image" Target="media/image254.png"/><Relationship Id="rId332" Type="http://schemas.openxmlformats.org/officeDocument/2006/relationships/image" Target="media/image255.png"/><Relationship Id="rId333" Type="http://schemas.openxmlformats.org/officeDocument/2006/relationships/image" Target="media/image256.png"/><Relationship Id="rId334" Type="http://schemas.openxmlformats.org/officeDocument/2006/relationships/image" Target="media/image257.png"/><Relationship Id="rId335" Type="http://schemas.openxmlformats.org/officeDocument/2006/relationships/image" Target="media/image258.png"/><Relationship Id="rId336" Type="http://schemas.openxmlformats.org/officeDocument/2006/relationships/image" Target="media/image259.png"/><Relationship Id="rId337" Type="http://schemas.openxmlformats.org/officeDocument/2006/relationships/image" Target="media/image260.png"/><Relationship Id="rId338" Type="http://schemas.openxmlformats.org/officeDocument/2006/relationships/image" Target="media/image261.png"/><Relationship Id="rId339" Type="http://schemas.openxmlformats.org/officeDocument/2006/relationships/image" Target="media/image262.png"/><Relationship Id="rId340" Type="http://schemas.openxmlformats.org/officeDocument/2006/relationships/image" Target="media/image263.png"/><Relationship Id="rId341" Type="http://schemas.openxmlformats.org/officeDocument/2006/relationships/image" Target="media/image264.png"/><Relationship Id="rId342" Type="http://schemas.openxmlformats.org/officeDocument/2006/relationships/image" Target="media/image265.png"/><Relationship Id="rId343" Type="http://schemas.openxmlformats.org/officeDocument/2006/relationships/image" Target="media/image266.png"/><Relationship Id="rId344" Type="http://schemas.openxmlformats.org/officeDocument/2006/relationships/image" Target="media/image267.png"/><Relationship Id="rId345" Type="http://schemas.openxmlformats.org/officeDocument/2006/relationships/image" Target="media/image268.png"/><Relationship Id="rId346" Type="http://schemas.openxmlformats.org/officeDocument/2006/relationships/image" Target="media/image269.png"/><Relationship Id="rId347" Type="http://schemas.openxmlformats.org/officeDocument/2006/relationships/image" Target="media/image270.png"/><Relationship Id="rId348" Type="http://schemas.openxmlformats.org/officeDocument/2006/relationships/image" Target="media/image271.png"/><Relationship Id="rId222" Type="http://schemas.openxmlformats.org/officeDocument/2006/relationships/hyperlink" Target="https://www.sec.gov/Archives/edgar/data/1637708/000104746915003411/a2224163zex-3_01a.htm" TargetMode="External"/><Relationship Id="rId223" Type="http://schemas.openxmlformats.org/officeDocument/2006/relationships/hyperlink" Target="https://www.sec.gov/Archives/edgar/data/1637708/000104746915003411/a2224163zex-3_01b.htm" TargetMode="External"/><Relationship Id="rId224" Type="http://schemas.openxmlformats.org/officeDocument/2006/relationships/hyperlink" Target="https://www.sec.gov/Archives/edgar/data/1637757/000163775719000002/clearwayllcex33201810-k.htm" TargetMode="External"/><Relationship Id="rId225" Type="http://schemas.openxmlformats.org/officeDocument/2006/relationships/hyperlink" Target="https://www.sec.gov/Archives/edgar/data/1637708/000104746915003411/a2224163zex-3_03a.htm" TargetMode="External"/><Relationship Id="rId226" Type="http://schemas.openxmlformats.org/officeDocument/2006/relationships/hyperlink" Target="https://www.sec.gov/Archives/edgar/data/1637708/000104746915003411/a2224163zex-3_03b.htm" TargetMode="External"/><Relationship Id="rId227" Type="http://schemas.openxmlformats.org/officeDocument/2006/relationships/hyperlink" Target="https://www.sec.gov/Archives/edgar/data/1567683/000110465918055334/a18-24111_1ex10d6.htm" TargetMode="External"/><Relationship Id="rId228" Type="http://schemas.openxmlformats.org/officeDocument/2006/relationships/hyperlink" Target="https://www.sec.gov/Archives/edgar/data/1637757/000110465919072222/tm1925067d1_ex4-1.htm" TargetMode="External"/><Relationship Id="rId229" Type="http://schemas.openxmlformats.org/officeDocument/2006/relationships/hyperlink" Target="https://www.sec.gov/Archives/edgar/data/1567683/000110465920002258/tm201233d1_ex4-3.htm" TargetMode="External"/><Relationship Id="rId230" Type="http://schemas.openxmlformats.org/officeDocument/2006/relationships/hyperlink" Target="https://www.sec.gov/Archives/edgar/data/1567683/000110465920028560/tm2011093d1_ex4-3.htm" TargetMode="External"/><Relationship Id="rId231" Type="http://schemas.openxmlformats.org/officeDocument/2006/relationships/hyperlink" Target="https://www.sec.gov/Archives/edgar/data/1637757/000110465920085307/tm2025128d1_ex4-3.htm" TargetMode="External"/><Relationship Id="rId232" Type="http://schemas.openxmlformats.org/officeDocument/2006/relationships/hyperlink" Target="https://www.sec.gov/Archives/edgar/data/1567683/000110465920097221/tm2025854d5_ex4-3.htm" TargetMode="External"/><Relationship Id="rId233" Type="http://schemas.openxmlformats.org/officeDocument/2006/relationships/hyperlink" Target="https://www.sec.gov/Archives/edgar/data/1637757/000110465920127378/tm2036456d1_ex4-3.htm" TargetMode="External"/><Relationship Id="rId234" Type="http://schemas.openxmlformats.org/officeDocument/2006/relationships/hyperlink" Target="https://www.sec.gov/Archives/edgar/data/1637757/000110465920132415/tm2037504d1_ex4-3.htm" TargetMode="External"/><Relationship Id="rId235" Type="http://schemas.openxmlformats.org/officeDocument/2006/relationships/hyperlink" Target="https://www.sec.gov/Archives/edgar/data/1637757/000110465920140150/tm2039386d1_ex4-3.htm" TargetMode="External"/><Relationship Id="rId236" Type="http://schemas.openxmlformats.org/officeDocument/2006/relationships/hyperlink" Target="https://www.sec.gov/Archives/edgar/data/1637757/000110465921012977/tm215222d2_ex4-3.htm" TargetMode="External"/><Relationship Id="rId237" Type="http://schemas.openxmlformats.org/officeDocument/2006/relationships/hyperlink" Target="https://www.sec.gov/Archives/edgar/data/1567683/000110465921033800/tm219068d1_ex4-1.htm" TargetMode="External"/><Relationship Id="rId238" Type="http://schemas.openxmlformats.org/officeDocument/2006/relationships/hyperlink" Target="https://www.sec.gov/Archives/edgar/data/1567683/000110465921069314/tm2116590d1_ex4-2.htm" TargetMode="External"/><Relationship Id="rId239" Type="http://schemas.openxmlformats.org/officeDocument/2006/relationships/hyperlink" Target="https://www.sec.gov/Archives/edgar/data/1567683/000110465921069314/tm2116590d1_ex4-3.htm" TargetMode="External"/><Relationship Id="rId240" Type="http://schemas.openxmlformats.org/officeDocument/2006/relationships/hyperlink" Target="https://www.sec.gov/Archives/edgar/data/1567683/000110465921122073/tm2128933d1_ex4-1.htm" TargetMode="External"/><Relationship Id="rId242" Type="http://schemas.openxmlformats.org/officeDocument/2006/relationships/hyperlink" Target="https://www.sec.gov/Archives/edgar/data/1567683/000110465921124595/tm2129471d1_ex4-2.htm" TargetMode="External"/><Relationship Id="rId243" Type="http://schemas.openxmlformats.org/officeDocument/2006/relationships/hyperlink" Target="https://www.sec.gov/Archives/edgar/data/1567683/000110465921124595/tm2129471d1_ex4-3.htm" TargetMode="External"/><Relationship Id="rId244" Type="http://schemas.openxmlformats.org/officeDocument/2006/relationships/hyperlink" Target="https://www.sec.gov/Archives/edgar/data/1567683/000110465921124595/tm2129471d1_ex4-4.htm" TargetMode="External"/><Relationship Id="rId245" Type="http://schemas.openxmlformats.org/officeDocument/2006/relationships/hyperlink" Target="https://www.sec.gov/Archives/edgar/data/1637757/000110465922066898/tm2217300d1_ex4-1.htm" TargetMode="External"/><Relationship Id="rId246" Type="http://schemas.openxmlformats.org/officeDocument/2006/relationships/hyperlink" Target="https://www.sec.gov/Archives/edgar/data/1637757/000110465922066898/tm2217300d1_ex4-2.htm" TargetMode="External"/><Relationship Id="rId247" Type="http://schemas.openxmlformats.org/officeDocument/2006/relationships/hyperlink" Target="https://www.sec.gov/Archives/edgar/data/1637757/000110465922066898/tm2217300d1_ex4-3.htm" TargetMode="External"/><Relationship Id="rId248" Type="http://schemas.openxmlformats.org/officeDocument/2006/relationships/hyperlink" Target="https://www.sec.gov/Archives/edgar/data/1567683/000110465923023548/tm237375d1_ex4-1.htm" TargetMode="External"/><Relationship Id="rId249" Type="http://schemas.openxmlformats.org/officeDocument/2006/relationships/hyperlink" Target="https://www.sec.gov/Archives/edgar/data/1567683/000110465923023548/tm237375d1_ex4-2.htm" TargetMode="External"/><Relationship Id="rId250" Type="http://schemas.openxmlformats.org/officeDocument/2006/relationships/hyperlink" Target="https://www.sec.gov/Archives/edgar/data/1567683/000110465923023548/tm237375d1_ex4-3.htm" TargetMode="External"/><Relationship Id="rId251" Type="http://schemas.openxmlformats.org/officeDocument/2006/relationships/hyperlink" Target="https://www.sec.gov/Archives/edgar/data/1567683/000110465918055334/a18-24111_1ex10d9.htm#EXHIBIT10_9_053225" TargetMode="External"/><Relationship Id="rId252" Type="http://schemas.openxmlformats.org/officeDocument/2006/relationships/hyperlink" Target="https://www.sec.gov/Archives/edgar/data/1567683/000110465914031308/a14-11252_1ex10d1.htm" TargetMode="External"/><Relationship Id="rId253" Type="http://schemas.openxmlformats.org/officeDocument/2006/relationships/hyperlink" Target="https://www.sec.gov/Archives/edgar/data/1567683/000156768315000022/yieldincex1092015q2opllcam.htm" TargetMode="External"/><Relationship Id="rId254" Type="http://schemas.openxmlformats.org/officeDocument/2006/relationships/hyperlink" Target="https://www.sec.gov/Archives/edgar/data/1637757/000110465918008197/a18-5571_1ex10d1.htm#Exhibit10_1_093100" TargetMode="External"/><Relationship Id="rId255" Type="http://schemas.openxmlformats.org/officeDocument/2006/relationships/hyperlink" Target="https://www.sec.gov/Archives/edgar/data/1637757/000163775718000013/a101llc.htm" TargetMode="External"/><Relationship Id="rId256" Type="http://schemas.openxmlformats.org/officeDocument/2006/relationships/hyperlink" Target="https://www.sec.gov/Archives/edgar/data/1637757/000110465918071713/a18-41172_1ex10d1.htm" TargetMode="External"/><Relationship Id="rId257" Type="http://schemas.openxmlformats.org/officeDocument/2006/relationships/hyperlink" Target="https://www.sec.gov/Archives/edgar/data/1637757/000110465919075303/tm1926823d1_ex10-1.htm" TargetMode="External"/><Relationship Id="rId259" Type="http://schemas.openxmlformats.org/officeDocument/2006/relationships/hyperlink" Target="https://www.sec.gov/Archives/edgar/data/1567683/000110465921145441/tm2134349d1_ex10-1.htm" TargetMode="External"/><Relationship Id="rId260" Type="http://schemas.openxmlformats.org/officeDocument/2006/relationships/hyperlink" Target="https://www.sec.gov/Archives/edgar/data/1637757/000110465922092738/tm2223752d1_ex10-1.htm" TargetMode="External"/><Relationship Id="rId261" Type="http://schemas.openxmlformats.org/officeDocument/2006/relationships/hyperlink" Target="https://www.sec.gov/Archives/edgar/data/1637757/000110465923034465/tm239757d1_ex10-1.htm" TargetMode="External"/><Relationship Id="rId262" Type="http://schemas.openxmlformats.org/officeDocument/2006/relationships/hyperlink" Target="https://www.sec.gov/Archives/edgar/data/1567683/000156768315000022/yieldincex1012015q2rpv.htm" TargetMode="External"/><Relationship Id="rId263" Type="http://schemas.openxmlformats.org/officeDocument/2006/relationships/hyperlink" Target="https://www.sec.gov/Archives/edgar/data/1567683/000156768315000022/yieldincex1022015q2dgpv.htm" TargetMode="External"/><Relationship Id="rId264" Type="http://schemas.openxmlformats.org/officeDocument/2006/relationships/hyperlink" Target="https://www.sec.gov/Archives/edgar/data/1567683/000156768316000043/yieldincex1012016q1.htm" TargetMode="External"/><Relationship Id="rId265" Type="http://schemas.openxmlformats.org/officeDocument/2006/relationships/hyperlink" Target="https://www.sec.gov/Archives/edgar/data/1567683/000156768316000043/yieldincex1022016q1.htm" TargetMode="External"/><Relationship Id="rId266" Type="http://schemas.openxmlformats.org/officeDocument/2006/relationships/hyperlink" Target="https://www.sec.gov/Archives/edgar/data/1567683/000156768316000043/yieldincex1032016q1.htm" TargetMode="External"/><Relationship Id="rId267" Type="http://schemas.openxmlformats.org/officeDocument/2006/relationships/hyperlink" Target="https://www.sec.gov/Archives/edgar/data/1567683/000156768316000055/yieldincex1012016q2-rpvame.htm" TargetMode="External"/><Relationship Id="rId268" Type="http://schemas.openxmlformats.org/officeDocument/2006/relationships/hyperlink" Target="https://www.sec.gov/Archives/edgar/data/1637757/000110465920048786/tm2016404d1_ex10-1.htm" TargetMode="External"/><Relationship Id="rId269" Type="http://schemas.openxmlformats.org/officeDocument/2006/relationships/hyperlink" Target="https://www.sec.gov/Archives/edgar/data/1637757/000110465920048786/tm2016404d1_ex10-2.htm" TargetMode="External"/><Relationship Id="rId270" Type="http://schemas.openxmlformats.org/officeDocument/2006/relationships/hyperlink" Target="https://www.sec.gov/Archives/edgar/data/1637757/000110465920048786/tm2016404d1_ex10-3.htm" TargetMode="External"/><Relationship Id="rId271" Type="http://schemas.openxmlformats.org/officeDocument/2006/relationships/hyperlink" Target="https://www.sec.gov/Archives/edgar/data/1637757/000110465920138637/tm2039056d1_ex10-1.htm" TargetMode="External"/><Relationship Id="rId272" Type="http://schemas.openxmlformats.org/officeDocument/2006/relationships/hyperlink" Target="https://www.sec.gov/Archives/edgar/data/1637757/000110465920138637/tm2039056d1_ex10-2.htm" TargetMode="External"/><Relationship Id="rId273" Type="http://schemas.openxmlformats.org/officeDocument/2006/relationships/hyperlink" Target="https://www.sec.gov/Archives/edgar/data/1637757/000110465920138637/tm2039056d1_ex10-3.htm" TargetMode="External"/><Relationship Id="rId274" Type="http://schemas.openxmlformats.org/officeDocument/2006/relationships/hyperlink" Target="https://www.sec.gov/Archives/edgar/data/1567683/000156768321000009/clearwayincex1031pinnaclel.htm" TargetMode="External"/><Relationship Id="rId275" Type="http://schemas.openxmlformats.org/officeDocument/2006/relationships/hyperlink" Target="https://www.sec.gov/Archives/edgar/data/1567683/000110465921108614/tm2125658d1_ex10-1.htm" TargetMode="External"/><Relationship Id="rId276" Type="http://schemas.openxmlformats.org/officeDocument/2006/relationships/hyperlink" Target="https://www.sec.gov/Archives/edgar/data/1567683/000110465921130024/tm2130927d1_ex10-1.htm" TargetMode="External"/><Relationship Id="rId278" Type="http://schemas.openxmlformats.org/officeDocument/2006/relationships/hyperlink" Target="https://www.sec.gov/Archives/edgar/data/1567683/000110465921145441/tm2134349d1_ex10-2.htm" TargetMode="External"/><Relationship Id="rId279" Type="http://schemas.openxmlformats.org/officeDocument/2006/relationships/hyperlink" Target="https://www.sec.gov/Archives/edgar/data/1567683/000110465922004681/tm222995d1_ex10-1.htm" TargetMode="External"/><Relationship Id="rId280" Type="http://schemas.openxmlformats.org/officeDocument/2006/relationships/hyperlink" Target="https://www.sec.gov/Archives/edgar/data/1567683/000110465922004681/tm222995d1_ex10-2.htm" TargetMode="External"/><Relationship Id="rId281" Type="http://schemas.openxmlformats.org/officeDocument/2006/relationships/hyperlink" Target="https://www.sec.gov/Archives/edgar/data/1567683/000156768322000016/clearwayincex10510-q2022.htm" TargetMode="External"/><Relationship Id="rId282" Type="http://schemas.openxmlformats.org/officeDocument/2006/relationships/hyperlink" Target="https://www.sec.gov/Archives/edgar/data/1567683/000156768322000016/clearwayincex10610-q2022.htm" TargetMode="External"/><Relationship Id="rId283" Type="http://schemas.openxmlformats.org/officeDocument/2006/relationships/hyperlink" Target="https://www.sec.gov/Archives/edgar/data/1567683/000156768322000016/clearwayincex10710-q2022.htm" TargetMode="External"/><Relationship Id="rId284" Type="http://schemas.openxmlformats.org/officeDocument/2006/relationships/hyperlink" Target="https://www.sec.gov/Archives/edgar/data/1567683/000110465922130953/tm2233662d1_ex10-1.htm" TargetMode="External"/><Relationship Id="rId285" Type="http://schemas.openxmlformats.org/officeDocument/2006/relationships/hyperlink" Target="https://www.sec.gov/Archives/edgar/data/1637757/000110465923064134/tm2316669d1_ex10-1.htm" TargetMode="External"/><Relationship Id="rId286" Type="http://schemas.openxmlformats.org/officeDocument/2006/relationships/hyperlink" Target="https://www.sec.gov/Archives/edgar/data/1637757/000163775724000003/ar2013equityincentivepla.htm" TargetMode="External"/><Relationship Id="rId287" Type="http://schemas.openxmlformats.org/officeDocument/2006/relationships/hyperlink" Target="https://www.sec.gov/Archives/edgar/data/1637757/000163775724000003/annualincentiveplan2024.htm" TargetMode="External"/><Relationship Id="rId288" Type="http://schemas.openxmlformats.org/officeDocument/2006/relationships/hyperlink" Target="https://www.sec.gov/Archives/edgar/data/1637757/000110465924054964/tm2413071d1_ex10-1.htm" TargetMode="External"/><Relationship Id="rId289" Type="http://schemas.openxmlformats.org/officeDocument/2006/relationships/hyperlink" Target="https://www.sec.gov/Archives/edgar/data/1637757/000110465924054964/tm2413071d1_ex10-2.htm" TargetMode="External"/><Relationship Id="rId290" Type="http://schemas.openxmlformats.org/officeDocument/2006/relationships/hyperlink" Target="https://www.sec.gov/Archives/edgar/data/1637757/000110465924083960/tm2420475d1_ex10-2.htm" TargetMode="External"/><Relationship Id="rId291" Type="http://schemas.openxmlformats.org/officeDocument/2006/relationships/hyperlink" Target="https://www.sec.gov/Archives/edgar/data/1637757/000110465924083960/tm2420475d1_ex10-1.htm" TargetMode="External"/><Relationship Id="rId292" Type="http://schemas.openxmlformats.org/officeDocument/2006/relationships/hyperlink" Target="https://www.sec.gov/Archives/edgar/data/1637757/000163775724000016/cwen-secondamendedandres.htm" TargetMode="External"/><Relationship Id="rId293" Type="http://schemas.openxmlformats.org/officeDocument/2006/relationships/hyperlink" Target="https://www.sec.gov/Archives/edgar/data/1637757/000110465924059891/tm2414021d1_ex16-1.htm" TargetMode="External"/><Relationship Id="rId295" Type="http://schemas.openxmlformats.org/officeDocument/2006/relationships/hyperlink" Target="https://www.sec.gov/Archives/edgar/data/1637757/000163775724000003/recoupmentofincentive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2025-02-25T05:14:43Z</dcterms:created>
  <dcterms:modified xsi:type="dcterms:W3CDTF">2025-02-25T05:14:43Z</dcterms:modified>
</cp:coreProperties>
</file>