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17,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Clearway Energy LLC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517" w:right="33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333-203369</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32-0407370</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40" w:space="720"/>
            <w:col w:w="2720" w:space="720"/>
            <w:col w:w="3040"/>
          </w:cols>
          <w:pgMar w:left="320" w:top="517" w:right="339" w:bottom="1440" w:gutter="0" w:footer="0" w:header="0"/>
          <w:type w:val="continuous"/>
        </w:sectPr>
      </w:pPr>
    </w:p>
    <w:p>
      <w:pPr>
        <w:ind w:left="140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240"/>
          </w:cols>
          <w:pgMar w:left="320" w:top="517" w:right="339" w:bottom="1440" w:gutter="0" w:footer="0" w:header="0"/>
          <w:type w:val="continuous"/>
        </w:sectPr>
      </w:pPr>
    </w:p>
    <w:p>
      <w:pPr>
        <w:spacing w:after="0" w:line="22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40" w:firstLine="8"/>
        <w:spacing w:after="0" w:line="498"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Title of each class</w:t>
            </w:r>
          </w:p>
        </w:tc>
        <w:tc>
          <w:tcPr>
            <w:tcW w:w="32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89"/>
              </w:rPr>
              <w:t>Trading Symbol(s)</w:t>
            </w:r>
          </w:p>
        </w:tc>
        <w:tc>
          <w:tcPr>
            <w:tcW w:w="41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840" w:type="dxa"/>
            <w:vAlign w:val="bottom"/>
          </w:tcPr>
          <w:p>
            <w:pPr>
              <w:jc w:val="center"/>
              <w:ind w:left="30"/>
              <w:spacing w:after="0"/>
              <w:rPr>
                <w:sz w:val="20"/>
                <w:szCs w:val="20"/>
                <w:color w:val="auto"/>
              </w:rPr>
            </w:pPr>
            <w:r>
              <w:rPr>
                <w:rFonts w:ascii="Arial" w:cs="Arial" w:eastAsia="Arial" w:hAnsi="Arial"/>
                <w:sz w:val="18"/>
                <w:szCs w:val="18"/>
                <w:color w:val="auto"/>
                <w:w w:val="92"/>
              </w:rPr>
              <w:t>None</w:t>
            </w:r>
          </w:p>
        </w:tc>
        <w:tc>
          <w:tcPr>
            <w:tcW w:w="3260" w:type="dxa"/>
            <w:vAlign w:val="bottom"/>
          </w:tcPr>
          <w:p>
            <w:pPr>
              <w:jc w:val="center"/>
              <w:ind w:left="470"/>
              <w:spacing w:after="0"/>
              <w:rPr>
                <w:sz w:val="20"/>
                <w:szCs w:val="20"/>
                <w:color w:val="auto"/>
              </w:rPr>
            </w:pPr>
            <w:r>
              <w:rPr>
                <w:rFonts w:ascii="Arial" w:cs="Arial" w:eastAsia="Arial" w:hAnsi="Arial"/>
                <w:sz w:val="18"/>
                <w:szCs w:val="18"/>
                <w:color w:val="auto"/>
                <w:w w:val="88"/>
              </w:rPr>
              <w:t>None</w:t>
            </w:r>
          </w:p>
        </w:tc>
        <w:tc>
          <w:tcPr>
            <w:tcW w:w="4140" w:type="dxa"/>
            <w:vAlign w:val="bottom"/>
          </w:tcPr>
          <w:p>
            <w:pPr>
              <w:jc w:val="center"/>
              <w:ind w:left="350"/>
              <w:spacing w:after="0"/>
              <w:rPr>
                <w:sz w:val="20"/>
                <w:szCs w:val="20"/>
                <w:color w:val="auto"/>
              </w:rPr>
            </w:pPr>
            <w:r>
              <w:rPr>
                <w:rFonts w:ascii="Arial" w:cs="Arial" w:eastAsia="Arial" w:hAnsi="Arial"/>
                <w:sz w:val="18"/>
                <w:szCs w:val="18"/>
                <w:color w:val="auto"/>
                <w:w w:val="88"/>
              </w:rPr>
              <w:t>None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7600"/>
        <w:spacing w:after="0" w:line="207" w:lineRule="exact"/>
        <w:tabs>
          <w:tab w:leader="none" w:pos="97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ind w:left="1300" w:right="106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July 17, 2020, Mary-Lee Stillwell informed Clearway Energy LLC (the “</w:t>
      </w:r>
      <w:r>
        <w:rPr>
          <w:rFonts w:ascii="Arial" w:cs="Arial" w:eastAsia="Arial" w:hAnsi="Arial"/>
          <w:sz w:val="18"/>
          <w:szCs w:val="18"/>
          <w:u w:val="single" w:color="auto"/>
          <w:color w:val="auto"/>
        </w:rPr>
        <w:t>Company</w:t>
      </w:r>
      <w:r>
        <w:rPr>
          <w:rFonts w:ascii="Arial" w:cs="Arial" w:eastAsia="Arial" w:hAnsi="Arial"/>
          <w:sz w:val="18"/>
          <w:szCs w:val="18"/>
          <w:color w:val="auto"/>
        </w:rPr>
        <w:t>”) of her intention to resign from her position as Vice President and Chief Accounting Officer of the Company to pursue another opportunity. Ms. Stillwell will continue to serve as the Company’s Vice President and Chief Accounting Officer through the date following the filing of the Company’s Quarterly Report on Form 10-Q for the three months ended June 30, 2020, which is anticipated to be filed by August 7, 2020. Ms. Stillwell’s resignation as Vice President and Chief Accounting Officer of the Company was not the result of any disagreement with the Company or its independent auditors.</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52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14605</wp:posOffset>
            </wp:positionV>
            <wp:extent cx="3368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General Counsel and 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July 23, 2020</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780"/>
      </w:cols>
      <w:pgMar w:left="320" w:top="112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2020-07-23T15:08:55Z</dcterms:created>
  <dcterms:modified xsi:type="dcterms:W3CDTF">2020-07-23T15:08:55Z</dcterms:modified>
</cp:coreProperties>
</file>