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BlackRock Portfolio Management LLC</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50 HUDSON YARDS</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10001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Clearway Energy, Inc.</w:t>
              </w:r>
            </w:hyperlink>
            <w:r>
              <w:rPr/>
              <w:t xml:space="preserve"> [ </w:t>
            </w:r>
            <w:r>
              <w:rPr>
                <w:rFonts w:ascii="Times;serif" w:hAnsi="Times;serif"/>
                <w:color w:val="0000FF"/>
                <w:sz w:val="24"/>
                <w:shd w:fill="FFFFFF" w:val="clear"/>
              </w:rPr>
              <w:t>CWEN</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04/18/2025</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31"/>
        <w:gridCol w:w="906"/>
        <w:gridCol w:w="776"/>
        <w:gridCol w:w="602"/>
        <w:gridCol w:w="348"/>
        <w:gridCol w:w="929"/>
        <w:gridCol w:w="451"/>
        <w:gridCol w:w="614"/>
        <w:gridCol w:w="1158"/>
        <w:gridCol w:w="995"/>
        <w:gridCol w:w="1095"/>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31"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0"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94"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5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0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3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2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1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58"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95"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31"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C Common Stock</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04/18/2025</w:t>
            </w:r>
          </w:p>
        </w:tc>
        <w:tc>
          <w:tcPr>
            <w:tcW w:w="7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J</w:t>
            </w:r>
            <w:r>
              <w:rPr>
                <w:rFonts w:ascii="Times;serif" w:hAnsi="Times;serif"/>
                <w:color w:val="008000"/>
                <w:position w:val="7"/>
                <w:sz w:val="16"/>
                <w:sz w:val="20"/>
                <w:shd w:fill="FFFFFF" w:val="clear"/>
              </w:rPr>
              <w:t>(1)</w:t>
            </w:r>
            <w:r>
              <w:rPr/>
              <w:t xml:space="preserve"> </w:t>
            </w:r>
          </w:p>
        </w:tc>
        <w:tc>
          <w:tcPr>
            <w:tcW w:w="34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11,886</w:t>
            </w:r>
          </w:p>
        </w:tc>
        <w:tc>
          <w:tcPr>
            <w:tcW w:w="45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1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115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89,196</w:t>
            </w:r>
          </w:p>
        </w:tc>
        <w:tc>
          <w:tcPr>
            <w:tcW w:w="99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9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footnotes</w:t>
            </w:r>
            <w:r>
              <w:rPr>
                <w:rFonts w:ascii="Times;serif" w:hAnsi="Times;serif"/>
                <w:color w:val="008000"/>
                <w:position w:val="7"/>
                <w:sz w:val="16"/>
                <w:sz w:val="20"/>
                <w:shd w:fill="FFFFFF" w:val="clear"/>
              </w:rPr>
              <w:t>(2)(3)(4)</w:t>
            </w:r>
            <w:r>
              <w:rPr/>
              <w:t xml:space="preserve"> </w:t>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Reflects the forfeiture of shares of restricted stock of the Issuer previously granted by Clearway Energy Group LLC ("Clearway Energy Group") under its Long Term Equity Incentive Program to one or more of its employees.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Reflects securities held directly by Clearway Energy Group. Zephyr Holdings GP, LLC ("Zephyr GP") is the general partner of GIP III Zephyr Acquisition Partners, L.P. ("Zephyr") which is the sole member of Clearway Energy Group. Zephyr GP is owned by GIP III Zephyr Midco Holdings, L.P. ("Midco") and TotalEnergies Renewables USA, LLC. Global Infrastructure Investors III, LLC ("Global Investors") is the sole general partner of Global Infrastructure GP III, L.P. ("Global GP"), which is the general partner of Midco. As a result, each of Zephyr GP, Zephyr, Midco, Global GP and Global Investors (the "GIP Entities") may be deemed to share beneficial ownership of the securities owned by Clearway Energy Group.</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Adebayo Ogunlesi, Michael McGhee, Rajaram Rao, Deepak Agrawal, Julie Ashworth, Jonathan Bram, William Brilliant, Matthew Harris, Tom Horton, Robert O'Brien and Salim Samaha, as the voting members of the Investment Committee of Global Investors, may be deemed to share beneficial ownership of the Issuer securities beneficially owned by Global Investors. Such individuals expressly disclaim any such beneficial ownership.</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BlackRock Portfolio Management LLC and the GIP Entities disclaim beneficial ownership of the securities reported herein, except to the extent of their respective pecuniary interest therein, if any, and, pursuant to Rule 16a-1(a)(4) under the Securities Exchange Act of 1934, as amended, BlackRock Portfolio Management LLC and the GIP Entities state that the inclusion of these securities in this report shall not be deemed an admission of beneficial ownership of the securities reported herein for purposes of Section 16 or for any other purpose.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In accordance with SEC Release No. 34-39538 (January 12, 1998), BlackRock Portfolio Management LLC is reporting Issuer securities beneficially owned, or deemed to be beneficially owned, by certain business units (collectively, the "Reporting Business Units") of BlackRock, Inc. and its subsidiaries and affiliates. This filing does not include Issuer securities, if any, beneficially owned by other business units whose beneficial ownership of securities is disaggregated from that of the Reporting Business Units in accordance with such release.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BlackRock Portfolio Management LLC By: /s/ Julie Ashworth, Authorized Signatory</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04/22/2025</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2052113" TargetMode="External"/><Relationship Id="rId5" Type="http://schemas.openxmlformats.org/officeDocument/2006/relationships/hyperlink" Target="http://www.sec.gov/cgi-bin/browse-edgar?action=getcompany&amp;CIK=0001567683"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938</Words>
  <Characters>5203</Characters>
  <CharactersWithSpaces>6077</CharactersWithSpaces>
  <Paragraphs>100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