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Zephyr Holdings GP,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4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Clearway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CWEN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1345 AVENUE OF THE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AMERICAS,</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30TH FLOOR</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10105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33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940"/>
              <w:spacing w:after="0"/>
              <w:rPr>
                <w:sz w:val="20"/>
                <w:szCs w:val="20"/>
                <w:color w:val="auto"/>
              </w:rPr>
            </w:pPr>
            <w:r>
              <w:rPr>
                <w:rFonts w:ascii="Times New Roman" w:cs="Times New Roman" w:eastAsia="Times New Roman" w:hAnsi="Times New Roman"/>
                <w:sz w:val="20"/>
                <w:szCs w:val="20"/>
                <w:color w:val="0000FF"/>
              </w:rPr>
              <w:t>21,841</w:t>
            </w:r>
          </w:p>
        </w:tc>
        <w:tc>
          <w:tcPr>
            <w:tcW w:w="10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C Common Stock</w:t>
            </w: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940"/>
              <w:spacing w:after="0"/>
              <w:rPr>
                <w:sz w:val="20"/>
                <w:szCs w:val="20"/>
                <w:color w:val="auto"/>
              </w:rPr>
            </w:pPr>
            <w:r>
              <w:rPr>
                <w:rFonts w:ascii="Times New Roman" w:cs="Times New Roman" w:eastAsia="Times New Roman" w:hAnsi="Times New Roman"/>
                <w:sz w:val="20"/>
                <w:szCs w:val="20"/>
                <w:color w:val="0000FF"/>
              </w:rPr>
              <w:t>65,787</w:t>
            </w:r>
          </w:p>
        </w:tc>
        <w:tc>
          <w:tcPr>
            <w:tcW w:w="10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(1)(2)(3)(4)</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380" w:type="dxa"/>
            <w:vAlign w:val="bottom"/>
            <w:tcBorders>
              <w:top w:val="single" w:sz="8" w:color="2C2C2C"/>
            </w:tcBorders>
            <w:gridSpan w:val="8"/>
          </w:tcPr>
          <w:p>
            <w:pPr>
              <w:ind w:left="4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4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140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6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6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4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2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7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240" w:type="dxa"/>
            <w:vAlign w:val="bottom"/>
          </w:tcPr>
          <w:p>
            <w:pPr>
              <w:spacing w:after="0"/>
              <w:rPr>
                <w:sz w:val="14"/>
                <w:szCs w:val="14"/>
                <w:color w:val="auto"/>
              </w:rPr>
            </w:pP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0000FF"/>
              </w:rPr>
              <w:t>Class B Units of Clearway</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60" w:type="dxa"/>
            <w:vAlign w:val="bottom"/>
          </w:tcPr>
          <w:p>
            <w:pPr>
              <w:spacing w:after="0"/>
              <w:rPr>
                <w:sz w:val="24"/>
                <w:szCs w:val="24"/>
                <w:color w:val="auto"/>
              </w:rPr>
            </w:pPr>
          </w:p>
        </w:tc>
        <w:tc>
          <w:tcPr>
            <w:tcW w:w="600" w:type="dxa"/>
            <w:vAlign w:val="bottom"/>
            <w:gridSpan w:val="2"/>
            <w:vMerge w:val="restart"/>
          </w:tcPr>
          <w:p>
            <w:pPr>
              <w:jc w:val="center"/>
              <w:ind w:left="231"/>
              <w:spacing w:after="0"/>
              <w:rPr>
                <w:sz w:val="20"/>
                <w:szCs w:val="20"/>
                <w:color w:val="auto"/>
              </w:rPr>
            </w:pPr>
            <w:r>
              <w:rPr>
                <w:rFonts w:ascii="Times New Roman" w:cs="Times New Roman" w:eastAsia="Times New Roman" w:hAnsi="Times New Roman"/>
                <w:sz w:val="13"/>
                <w:szCs w:val="13"/>
                <w:color w:val="008000"/>
                <w:w w:val="92"/>
              </w:rPr>
              <w:t>(5)</w:t>
            </w:r>
          </w:p>
        </w:tc>
        <w:tc>
          <w:tcPr>
            <w:tcW w:w="3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42,738,750</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2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0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Energy LLC</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0000FF"/>
              </w:rPr>
              <w:t>Class D Units of Clearway</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(6)</w:t>
            </w:r>
          </w:p>
        </w:tc>
        <w:tc>
          <w:tcPr>
            <w:tcW w:w="60" w:type="dxa"/>
            <w:vAlign w:val="bottom"/>
          </w:tcPr>
          <w:p>
            <w:pPr>
              <w:spacing w:after="0"/>
              <w:rPr>
                <w:sz w:val="24"/>
                <w:szCs w:val="24"/>
                <w:color w:val="auto"/>
              </w:rPr>
            </w:pPr>
          </w:p>
        </w:tc>
        <w:tc>
          <w:tcPr>
            <w:tcW w:w="600" w:type="dxa"/>
            <w:vAlign w:val="bottom"/>
            <w:gridSpan w:val="2"/>
            <w:vMerge w:val="restart"/>
          </w:tcPr>
          <w:p>
            <w:pPr>
              <w:jc w:val="center"/>
              <w:ind w:left="231"/>
              <w:spacing w:after="0"/>
              <w:rPr>
                <w:sz w:val="20"/>
                <w:szCs w:val="20"/>
                <w:color w:val="auto"/>
              </w:rPr>
            </w:pPr>
            <w:r>
              <w:rPr>
                <w:rFonts w:ascii="Times New Roman" w:cs="Times New Roman" w:eastAsia="Times New Roman" w:hAnsi="Times New Roman"/>
                <w:sz w:val="13"/>
                <w:szCs w:val="13"/>
                <w:color w:val="008000"/>
                <w:w w:val="92"/>
              </w:rPr>
              <w:t>(6)</w:t>
            </w:r>
          </w:p>
        </w:tc>
        <w:tc>
          <w:tcPr>
            <w:tcW w:w="3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C Common</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42,336,750</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(6)</w:t>
            </w:r>
          </w:p>
        </w:tc>
        <w:tc>
          <w:tcPr>
            <w:tcW w:w="2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0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Energy LLC</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gridSpan w:val="2"/>
          </w:tcPr>
          <w:p>
            <w:pPr>
              <w:spacing w:after="0"/>
              <w:rPr>
                <w:sz w:val="9"/>
                <w:szCs w:val="9"/>
                <w:color w:val="auto"/>
              </w:rPr>
            </w:pPr>
          </w:p>
        </w:tc>
        <w:tc>
          <w:tcPr>
            <w:tcW w:w="102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74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Zephyr Holdings GP, LLC</w:t>
              </w:r>
            </w:hyperlink>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1345 AVENUE OF THE AMERICAS,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30TH FLOOR</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NY</w:t>
            </w:r>
          </w:p>
        </w:tc>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10105</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(State)</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2"/>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7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20" w:type="dxa"/>
            <w:vAlign w:val="bottom"/>
            <w:gridSpan w:val="5"/>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GIP III Zephyr Midco Holdings, L.P.</w:t>
              </w:r>
            </w:hyperlink>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(First)</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1345 AVENUE OF THE AMERICAS,</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30TH FLOOR</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10105</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813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81343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200" w:firstLine="5"/>
        <w:spacing w:after="0" w:line="236"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12, 2022 GIP III Zephyr Midco Holdings, L.P. ("Midco") completed the sale of fifty percent (50%) of the equity interests in Zephyr Holdings, L.P. (formerly known as GIP III Zephyr Holdings, LLC) to TotalEnergies Renewables USA, LLC, an indirect subsidiary of TotalEnergies SE (the "Transaction"). In the Transaction, Midco received approximately $1.6 billion in cash and an interest of 50% minus one share in the TotalEnergies SE subsidiary that holds its 50.6% ownership in SunPower Corporation (NASDAQ: SPWR). The Transaction takes into account valuations of $35.10 per share for the Issuer's common stock and $18 per share for SunPower Corporation. Zephyr Holdings, L.P. owns all of the limited partnership interests in GIP III Zephyr Acquisition Partners, L.P. GIP III Zephyr Acquisition Partners, L.P. is the sole member of Clearway Energy Group LLC ("Clearway Energy Group").</w:t>
      </w:r>
    </w:p>
    <w:p>
      <w:pPr>
        <w:spacing w:after="0" w:line="32" w:lineRule="exact"/>
        <w:rPr>
          <w:rFonts w:ascii="Times New Roman" w:cs="Times New Roman" w:eastAsia="Times New Roman" w:hAnsi="Times New Roman"/>
          <w:sz w:val="15"/>
          <w:szCs w:val="15"/>
          <w:color w:val="008000"/>
        </w:rPr>
      </w:pPr>
    </w:p>
    <w:p>
      <w:pPr>
        <w:ind w:right="120"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securities held directly by Clearway Energy Group. Zephyr Holdings GP, LLC is the general partner of GIP III Zephyr Acquisition Partners, L.P., which is the sole member of Clearway Energy Group. Zephyr Holdings GP, LLC is owned by Midco and TotalEnergies Renewables USA, LLC. Global Infrastructure Investors III, LLC is the sole general partner of Global Infrastructure GP III, L.P., which is the general partner of Midco. As a result, each of Zephyr Holdings GP, LLC, GIP III Zephyr Acquisition Partners, L.P., Midco, Global Infrastructure GP III, L.P. and Global Infrastructure Investors III, LLC, may be deemed to share beneficial ownership of the Clearway Energy, Inc. (the "Issuer") securities owned by Clearway Energy Group.</w:t>
      </w:r>
    </w:p>
    <w:p>
      <w:pPr>
        <w:spacing w:after="0" w:line="33" w:lineRule="exact"/>
        <w:rPr>
          <w:rFonts w:ascii="Times New Roman" w:cs="Times New Roman" w:eastAsia="Times New Roman" w:hAnsi="Times New Roman"/>
          <w:sz w:val="15"/>
          <w:szCs w:val="15"/>
          <w:color w:val="008000"/>
        </w:rPr>
      </w:pPr>
    </w:p>
    <w:p>
      <w:pPr>
        <w:jc w:val="both"/>
        <w:ind w:right="30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Adebayo Ogunlesi, Jonathan Bram, William Brilliant, Tufan Erginbilgic, Matthew Harris, Michael McGhee, Rajaram Rao, Salim Samaha and Robert O'Brien, as the voting members of the Investment Committee of Global Infrastructure Investors III, LLC, may be deemed to share beneficial ownership of the Issuer securities beneficially owned by Global Infrastructure Investors III, LLC. Such individuals expressly disclaim any such beneficial ownership. Each of GIP III Zephyr Acquisition Partners, L.P., Global Infrastructure GP III, L.P. and Global Infrastructure Investors III, LLC have previously filed a Form 3 reporting beneficial ownership of Issuer securities.</w:t>
      </w:r>
    </w:p>
    <w:p>
      <w:pPr>
        <w:spacing w:after="0" w:line="33" w:lineRule="exact"/>
        <w:rPr>
          <w:rFonts w:ascii="Times New Roman" w:cs="Times New Roman" w:eastAsia="Times New Roman" w:hAnsi="Times New Roman"/>
          <w:sz w:val="15"/>
          <w:szCs w:val="15"/>
          <w:color w:val="008000"/>
        </w:rPr>
      </w:pPr>
    </w:p>
    <w:p>
      <w:pPr>
        <w:ind w:right="2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9" w:lineRule="exact"/>
        <w:rPr>
          <w:rFonts w:ascii="Times New Roman" w:cs="Times New Roman" w:eastAsia="Times New Roman" w:hAnsi="Times New Roman"/>
          <w:sz w:val="15"/>
          <w:szCs w:val="15"/>
          <w:color w:val="008000"/>
        </w:rPr>
      </w:pPr>
    </w:p>
    <w:p>
      <w:pPr>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an Amended and Restated Exchange Agreement, dated as of May 14, 2015, among the Issuer, Clearway Energy LLC ("Clearway LLC") and other parties thereto (the "Exchange Agreement"), the Class B Units of Clearway LLC are exchangeable at any time for shares of Class A common stock of the Issuer ("Class A Common Stock") on a one-for-one basis, subject to equitable adjustments for stock splits, stock dividends and reclassifications. As the holder exchanges the Class B Units for shares of Class A Common Stock pursuant to the Exchange Agreement, an equivalent number of shares of Class B Common Stock issued to the holder will automatically be canceled.</w:t>
      </w:r>
    </w:p>
    <w:p>
      <w:pPr>
        <w:spacing w:after="0" w:line="33" w:lineRule="exact"/>
        <w:rPr>
          <w:rFonts w:ascii="Times New Roman" w:cs="Times New Roman" w:eastAsia="Times New Roman" w:hAnsi="Times New Roman"/>
          <w:sz w:val="15"/>
          <w:szCs w:val="15"/>
          <w:color w:val="008000"/>
        </w:rPr>
      </w:pPr>
    </w:p>
    <w:p>
      <w:pPr>
        <w:ind w:right="2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Exchange Agreement, the Class D Units of Clearway LLC are exchangeable at any time for shares of Class C common stock of the Issuer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ectPr>
          <w:pgSz w:w="11900" w:h="16838" w:orient="portrait"/>
          <w:cols w:equalWidth="0" w:num="1">
            <w:col w:w="10820"/>
          </w:cols>
          <w:pgMar w:left="520" w:top="275" w:right="559" w:bottom="144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Zephyr Holdings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445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42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Name: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744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074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Title: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5024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65024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127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79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979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Global Infrastructure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126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312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477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222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Investors 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394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0839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426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Gregg Myers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790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179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Gregg Myers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793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2579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4709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84709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1167" w:lineRule="exact"/>
        <w:rPr>
          <w:sz w:val="20"/>
          <w:szCs w:val="20"/>
          <w:color w:val="auto"/>
        </w:rPr>
      </w:pPr>
    </w:p>
    <w:p>
      <w:pPr>
        <w:sectPr>
          <w:pgSz w:w="11900" w:h="16838" w:orient="portrait"/>
          <w:cols w:equalWidth="0" w:num="2">
            <w:col w:w="8640" w:space="80"/>
            <w:col w:w="2100"/>
          </w:cols>
          <w:pgMar w:left="520" w:top="275"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27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0" Type="http://schemas.openxmlformats.org/officeDocument/2006/relationships/hyperlink" Target="http://www.sec.gov/cgi-bin/browse-edgar?action=getcompany&amp;CIK=0001942977" TargetMode="External"/><Relationship Id="rId11" Type="http://schemas.openxmlformats.org/officeDocument/2006/relationships/hyperlink" Target="http://www.sec.gov/cgi-bin/browse-edgar?action=getcompany&amp;CIK=0001567683" TargetMode="External"/><Relationship Id="rId12" Type="http://schemas.openxmlformats.org/officeDocument/2006/relationships/hyperlink" Target="http://www.sec.gov/cgi-bin/browse-edgar?action=getcompany&amp;CIK=00019458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2022-09-14T15:42:32Z</dcterms:created>
  <dcterms:modified xsi:type="dcterms:W3CDTF">2022-09-14T15:42:32Z</dcterms:modified>
</cp:coreProperties>
</file>