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73" w:lineRule="exact"/>
        <w:rPr>
          <w:sz w:val="24"/>
          <w:szCs w:val="24"/>
          <w:color w:val="auto"/>
        </w:rPr>
      </w:pPr>
    </w:p>
    <w:p>
      <w:pPr>
        <w:ind w:left="4120" w:right="3640" w:hanging="3896"/>
        <w:spacing w:after="0" w:line="505" w:lineRule="auto"/>
        <w:tabs>
          <w:tab w:leader="none" w:pos="599" w:val="left"/>
        </w:tabs>
        <w:numPr>
          <w:ilvl w:val="1"/>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2020</w:t>
      </w:r>
    </w:p>
    <w:p>
      <w:pPr>
        <w:spacing w:after="0" w:line="62" w:lineRule="exact"/>
        <w:rPr>
          <w:rFonts w:ascii="MS PGothic" w:cs="MS PGothic" w:eastAsia="MS PGothic" w:hAnsi="MS PGothic"/>
          <w:sz w:val="16"/>
          <w:szCs w:val="16"/>
          <w:color w:val="auto"/>
        </w:rPr>
      </w:pPr>
    </w:p>
    <w:p>
      <w:pPr>
        <w:ind w:left="560" w:hanging="356"/>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001-36002</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Clearway Energy, Inc.</w:t>
      </w:r>
    </w:p>
    <w:p>
      <w:pPr>
        <w:spacing w:after="0" w:line="50" w:lineRule="exact"/>
        <w:rPr>
          <w:sz w:val="24"/>
          <w:szCs w:val="24"/>
          <w:color w:val="auto"/>
        </w:rPr>
      </w:pPr>
    </w:p>
    <w:tbl>
      <w:tblPr>
        <w:tblLayout w:type="fixed"/>
        <w:tblInd w:w="700"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p>
        </w:tc>
        <w:tc>
          <w:tcPr>
            <w:tcW w:w="4560" w:type="dxa"/>
            <w:vAlign w:val="bottom"/>
            <w:gridSpan w:val="2"/>
          </w:tcPr>
          <w:p>
            <w:pPr>
              <w:ind w:left="340"/>
              <w:spacing w:after="0"/>
              <w:rPr>
                <w:sz w:val="20"/>
                <w:szCs w:val="20"/>
                <w:color w:val="auto"/>
              </w:rPr>
            </w:pPr>
            <w:r>
              <w:rPr>
                <w:rFonts w:ascii="Arial" w:cs="Arial" w:eastAsia="Arial" w:hAnsi="Arial"/>
                <w:sz w:val="18"/>
                <w:szCs w:val="18"/>
                <w:color w:val="auto"/>
              </w:rPr>
              <w:t>(Exact name of registrant as specified in its charter)</w:t>
            </w:r>
          </w:p>
        </w:tc>
        <w:tc>
          <w:tcPr>
            <w:tcW w:w="1840" w:type="dxa"/>
            <w:vAlign w:val="bottom"/>
          </w:tcPr>
          <w:p>
            <w:pPr>
              <w:spacing w:after="0"/>
              <w:rPr>
                <w:sz w:val="20"/>
                <w:szCs w:val="20"/>
                <w:color w:val="auto"/>
              </w:rPr>
            </w:pPr>
          </w:p>
        </w:tc>
      </w:tr>
      <w:tr>
        <w:trPr>
          <w:trHeight w:val="254"/>
        </w:trPr>
        <w:tc>
          <w:tcPr>
            <w:tcW w:w="2720" w:type="dxa"/>
            <w:vAlign w:val="bottom"/>
          </w:tcPr>
          <w:p>
            <w:pPr>
              <w:jc w:val="center"/>
              <w:ind w:right="270"/>
              <w:spacing w:after="0"/>
              <w:rPr>
                <w:sz w:val="20"/>
                <w:szCs w:val="20"/>
                <w:color w:val="auto"/>
              </w:rPr>
            </w:pPr>
            <w:r>
              <w:rPr>
                <w:rFonts w:ascii="Arial" w:cs="Arial" w:eastAsia="Arial" w:hAnsi="Arial"/>
                <w:sz w:val="18"/>
                <w:szCs w:val="18"/>
                <w:b w:val="1"/>
                <w:bCs w:val="1"/>
                <w:color w:val="auto"/>
                <w:w w:val="91"/>
              </w:rPr>
              <w:t>Delaware</w:t>
            </w:r>
          </w:p>
        </w:tc>
        <w:tc>
          <w:tcPr>
            <w:tcW w:w="20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40" w:type="dxa"/>
            <w:vAlign w:val="bottom"/>
          </w:tcPr>
          <w:p>
            <w:pPr>
              <w:jc w:val="right"/>
              <w:ind w:right="150"/>
              <w:spacing w:after="0"/>
              <w:rPr>
                <w:sz w:val="20"/>
                <w:szCs w:val="20"/>
                <w:color w:val="auto"/>
              </w:rPr>
            </w:pPr>
            <w:r>
              <w:rPr>
                <w:rFonts w:ascii="Arial" w:cs="Arial" w:eastAsia="Arial" w:hAnsi="Arial"/>
                <w:sz w:val="18"/>
                <w:szCs w:val="18"/>
                <w:b w:val="1"/>
                <w:bCs w:val="1"/>
                <w:color w:val="auto"/>
              </w:rPr>
              <w:t>46-1777204</w:t>
            </w:r>
          </w:p>
        </w:tc>
      </w:tr>
      <w:tr>
        <w:trPr>
          <w:trHeight w:val="256"/>
        </w:trPr>
        <w:tc>
          <w:tcPr>
            <w:tcW w:w="2720" w:type="dxa"/>
            <w:vAlign w:val="bottom"/>
          </w:tcPr>
          <w:p>
            <w:pPr>
              <w:jc w:val="center"/>
              <w:ind w:right="250"/>
              <w:spacing w:after="0"/>
              <w:rPr>
                <w:sz w:val="20"/>
                <w:szCs w:val="20"/>
                <w:color w:val="auto"/>
              </w:rPr>
            </w:pPr>
            <w:r>
              <w:rPr>
                <w:rFonts w:ascii="Arial" w:cs="Arial" w:eastAsia="Arial" w:hAnsi="Arial"/>
                <w:sz w:val="18"/>
                <w:szCs w:val="18"/>
                <w:color w:val="auto"/>
                <w:w w:val="92"/>
              </w:rPr>
              <w:t>(State or other jurisdiction</w:t>
            </w:r>
          </w:p>
        </w:tc>
        <w:tc>
          <w:tcPr>
            <w:tcW w:w="20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40" w:type="dxa"/>
            <w:vAlign w:val="bottom"/>
          </w:tcPr>
          <w:p>
            <w:pPr>
              <w:jc w:val="center"/>
              <w:ind w:left="410"/>
              <w:spacing w:after="0"/>
              <w:rPr>
                <w:sz w:val="20"/>
                <w:szCs w:val="20"/>
                <w:color w:val="auto"/>
              </w:rPr>
            </w:pPr>
            <w:r>
              <w:rPr>
                <w:rFonts w:ascii="Arial" w:cs="Arial" w:eastAsia="Arial" w:hAnsi="Arial"/>
                <w:sz w:val="18"/>
                <w:szCs w:val="18"/>
                <w:color w:val="auto"/>
                <w:w w:val="92"/>
              </w:rPr>
              <w:t>(I.R.S. Employer</w:t>
            </w:r>
          </w:p>
        </w:tc>
      </w:tr>
      <w:tr>
        <w:trPr>
          <w:trHeight w:val="230"/>
        </w:trPr>
        <w:tc>
          <w:tcPr>
            <w:tcW w:w="2720" w:type="dxa"/>
            <w:vAlign w:val="bottom"/>
          </w:tcPr>
          <w:p>
            <w:pPr>
              <w:jc w:val="center"/>
              <w:ind w:right="270"/>
              <w:spacing w:after="0"/>
              <w:rPr>
                <w:sz w:val="20"/>
                <w:szCs w:val="20"/>
                <w:color w:val="auto"/>
              </w:rPr>
            </w:pPr>
            <w:r>
              <w:rPr>
                <w:rFonts w:ascii="Arial" w:cs="Arial" w:eastAsia="Arial" w:hAnsi="Arial"/>
                <w:sz w:val="18"/>
                <w:szCs w:val="18"/>
                <w:color w:val="auto"/>
                <w:w w:val="92"/>
              </w:rPr>
              <w:t>of incorporation or organization)</w:t>
            </w:r>
          </w:p>
        </w:tc>
        <w:tc>
          <w:tcPr>
            <w:tcW w:w="20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840" w:type="dxa"/>
            <w:vAlign w:val="bottom"/>
          </w:tcPr>
          <w:p>
            <w:pPr>
              <w:jc w:val="center"/>
              <w:ind w:left="410"/>
              <w:spacing w:after="0"/>
              <w:rPr>
                <w:sz w:val="20"/>
                <w:szCs w:val="20"/>
                <w:color w:val="auto"/>
              </w:rPr>
            </w:pPr>
            <w:r>
              <w:rPr>
                <w:rFonts w:ascii="Arial" w:cs="Arial" w:eastAsia="Arial" w:hAnsi="Arial"/>
                <w:sz w:val="18"/>
                <w:szCs w:val="18"/>
                <w:color w:val="auto"/>
                <w:w w:val="95"/>
              </w:rPr>
              <w:t>Identification No.)</w:t>
            </w:r>
          </w:p>
        </w:tc>
      </w:tr>
      <w:tr>
        <w:trPr>
          <w:trHeight w:val="324"/>
        </w:trPr>
        <w:tc>
          <w:tcPr>
            <w:tcW w:w="2720" w:type="dxa"/>
            <w:vAlign w:val="bottom"/>
          </w:tcPr>
          <w:p>
            <w:pPr>
              <w:jc w:val="center"/>
              <w:ind w:right="270"/>
              <w:spacing w:after="0"/>
              <w:rPr>
                <w:sz w:val="20"/>
                <w:szCs w:val="20"/>
                <w:color w:val="auto"/>
              </w:rPr>
            </w:pPr>
            <w:r>
              <w:rPr>
                <w:rFonts w:ascii="Arial" w:cs="Arial" w:eastAsia="Arial" w:hAnsi="Arial"/>
                <w:sz w:val="18"/>
                <w:szCs w:val="18"/>
                <w:b w:val="1"/>
                <w:bCs w:val="1"/>
                <w:color w:val="auto"/>
                <w:w w:val="89"/>
              </w:rPr>
              <w:t>300 Carnegie Center, Suite 300</w:t>
            </w:r>
          </w:p>
        </w:tc>
        <w:tc>
          <w:tcPr>
            <w:tcW w:w="2020" w:type="dxa"/>
            <w:vAlign w:val="bottom"/>
          </w:tcPr>
          <w:p>
            <w:pPr>
              <w:ind w:left="780"/>
              <w:spacing w:after="0"/>
              <w:rPr>
                <w:sz w:val="20"/>
                <w:szCs w:val="20"/>
                <w:color w:val="auto"/>
              </w:rPr>
            </w:pPr>
            <w:r>
              <w:rPr>
                <w:rFonts w:ascii="Arial" w:cs="Arial" w:eastAsia="Arial" w:hAnsi="Arial"/>
                <w:sz w:val="18"/>
                <w:szCs w:val="18"/>
                <w:b w:val="1"/>
                <w:bCs w:val="1"/>
                <w:color w:val="auto"/>
              </w:rPr>
              <w:t>Princeton</w:t>
            </w:r>
          </w:p>
        </w:tc>
        <w:tc>
          <w:tcPr>
            <w:tcW w:w="2540" w:type="dxa"/>
            <w:vAlign w:val="bottom"/>
          </w:tcPr>
          <w:p>
            <w:pPr>
              <w:ind w:left="420"/>
              <w:spacing w:after="0"/>
              <w:rPr>
                <w:sz w:val="20"/>
                <w:szCs w:val="20"/>
                <w:color w:val="auto"/>
              </w:rPr>
            </w:pPr>
            <w:r>
              <w:rPr>
                <w:rFonts w:ascii="Arial" w:cs="Arial" w:eastAsia="Arial" w:hAnsi="Arial"/>
                <w:sz w:val="18"/>
                <w:szCs w:val="18"/>
                <w:b w:val="1"/>
                <w:bCs w:val="1"/>
                <w:color w:val="auto"/>
              </w:rPr>
              <w:t>New Jersey</w:t>
            </w:r>
          </w:p>
        </w:tc>
        <w:tc>
          <w:tcPr>
            <w:tcW w:w="1840" w:type="dxa"/>
            <w:vAlign w:val="bottom"/>
          </w:tcPr>
          <w:p>
            <w:pPr>
              <w:jc w:val="right"/>
              <w:ind w:right="350"/>
              <w:spacing w:after="0"/>
              <w:rPr>
                <w:sz w:val="20"/>
                <w:szCs w:val="20"/>
                <w:color w:val="auto"/>
              </w:rPr>
            </w:pPr>
            <w:r>
              <w:rPr>
                <w:rFonts w:ascii="Arial" w:cs="Arial" w:eastAsia="Arial" w:hAnsi="Arial"/>
                <w:sz w:val="18"/>
                <w:szCs w:val="18"/>
                <w:b w:val="1"/>
                <w:bCs w:val="1"/>
                <w:color w:val="auto"/>
              </w:rPr>
              <w:t>08540</w:t>
            </w:r>
          </w:p>
        </w:tc>
      </w:tr>
      <w:tr>
        <w:trPr>
          <w:trHeight w:val="270"/>
        </w:trPr>
        <w:tc>
          <w:tcPr>
            <w:tcW w:w="4740" w:type="dxa"/>
            <w:vAlign w:val="bottom"/>
            <w:gridSpan w:val="2"/>
          </w:tcPr>
          <w:p>
            <w:pPr>
              <w:ind w:left="1460"/>
              <w:spacing w:after="0"/>
              <w:rPr>
                <w:sz w:val="20"/>
                <w:szCs w:val="20"/>
                <w:color w:val="auto"/>
              </w:rPr>
            </w:pPr>
            <w:r>
              <w:rPr>
                <w:rFonts w:ascii="Arial" w:cs="Arial" w:eastAsia="Arial" w:hAnsi="Arial"/>
                <w:sz w:val="18"/>
                <w:szCs w:val="18"/>
                <w:color w:val="auto"/>
              </w:rPr>
              <w:t>(Address of principal executive offices)</w:t>
            </w:r>
          </w:p>
        </w:tc>
        <w:tc>
          <w:tcPr>
            <w:tcW w:w="2540" w:type="dxa"/>
            <w:vAlign w:val="bottom"/>
          </w:tcPr>
          <w:p>
            <w:pPr>
              <w:spacing w:after="0"/>
              <w:rPr>
                <w:sz w:val="23"/>
                <w:szCs w:val="23"/>
                <w:color w:val="auto"/>
              </w:rPr>
            </w:pPr>
          </w:p>
        </w:tc>
        <w:tc>
          <w:tcPr>
            <w:tcW w:w="1840" w:type="dxa"/>
            <w:vAlign w:val="bottom"/>
          </w:tcPr>
          <w:p>
            <w:pPr>
              <w:jc w:val="center"/>
              <w:ind w:left="410"/>
              <w:spacing w:after="0"/>
              <w:rPr>
                <w:sz w:val="20"/>
                <w:szCs w:val="20"/>
                <w:color w:val="auto"/>
              </w:rPr>
            </w:pPr>
            <w:r>
              <w:rPr>
                <w:rFonts w:ascii="Arial" w:cs="Arial" w:eastAsia="Arial" w:hAnsi="Arial"/>
                <w:sz w:val="18"/>
                <w:szCs w:val="18"/>
                <w:color w:val="auto"/>
                <w:w w:val="91"/>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59" w:lineRule="exact"/>
        <w:rPr>
          <w:sz w:val="24"/>
          <w:szCs w:val="24"/>
          <w:color w:val="auto"/>
        </w:rPr>
      </w:pPr>
    </w:p>
    <w:tbl>
      <w:tblPr>
        <w:tblLayout w:type="fixed"/>
        <w:tblInd w:w="680" w:type="dxa"/>
        <w:tblCellMar>
          <w:top w:w="0" w:type="dxa"/>
          <w:left w:w="0" w:type="dxa"/>
          <w:bottom w:w="0" w:type="dxa"/>
          <w:right w:w="0" w:type="dxa"/>
        </w:tblCellMar>
      </w:tblPr>
      <w:tr>
        <w:trPr>
          <w:trHeight w:val="234"/>
        </w:trPr>
        <w:tc>
          <w:tcPr>
            <w:tcW w:w="3580" w:type="dxa"/>
            <w:vAlign w:val="bottom"/>
          </w:tcPr>
          <w:p>
            <w:pPr>
              <w:jc w:val="center"/>
              <w:ind w:right="570"/>
              <w:spacing w:after="0"/>
              <w:rPr>
                <w:sz w:val="20"/>
                <w:szCs w:val="20"/>
                <w:color w:val="auto"/>
              </w:rPr>
            </w:pPr>
            <w:r>
              <w:rPr>
                <w:rFonts w:ascii="Arial" w:cs="Arial" w:eastAsia="Arial" w:hAnsi="Arial"/>
                <w:sz w:val="18"/>
                <w:szCs w:val="18"/>
                <w:b w:val="1"/>
                <w:bCs w:val="1"/>
                <w:color w:val="auto"/>
                <w:w w:val="87"/>
              </w:rPr>
              <w:t>Title of each class</w:t>
            </w:r>
          </w:p>
        </w:tc>
        <w:tc>
          <w:tcPr>
            <w:tcW w:w="264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Trading Symbol(s)</w:t>
            </w:r>
          </w:p>
        </w:tc>
        <w:tc>
          <w:tcPr>
            <w:tcW w:w="3900" w:type="dxa"/>
            <w:vAlign w:val="bottom"/>
          </w:tcPr>
          <w:p>
            <w:pPr>
              <w:jc w:val="center"/>
              <w:ind w:left="47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0"/>
        </w:trPr>
        <w:tc>
          <w:tcPr>
            <w:tcW w:w="3580" w:type="dxa"/>
            <w:vAlign w:val="bottom"/>
          </w:tcPr>
          <w:p>
            <w:pPr>
              <w:jc w:val="center"/>
              <w:ind w:right="550"/>
              <w:spacing w:after="0"/>
              <w:rPr>
                <w:sz w:val="20"/>
                <w:szCs w:val="20"/>
                <w:color w:val="auto"/>
              </w:rPr>
            </w:pPr>
            <w:r>
              <w:rPr>
                <w:rFonts w:ascii="Arial" w:cs="Arial" w:eastAsia="Arial" w:hAnsi="Arial"/>
                <w:sz w:val="18"/>
                <w:szCs w:val="18"/>
                <w:color w:val="auto"/>
                <w:w w:val="90"/>
              </w:rPr>
              <w:t>Class A Common Stock, par value $0.01</w:t>
            </w:r>
          </w:p>
        </w:tc>
        <w:tc>
          <w:tcPr>
            <w:tcW w:w="2640" w:type="dxa"/>
            <w:vAlign w:val="bottom"/>
          </w:tcPr>
          <w:p>
            <w:pPr>
              <w:jc w:val="center"/>
              <w:ind w:left="50"/>
              <w:spacing w:after="0"/>
              <w:rPr>
                <w:sz w:val="20"/>
                <w:szCs w:val="20"/>
                <w:color w:val="auto"/>
              </w:rPr>
            </w:pPr>
            <w:r>
              <w:rPr>
                <w:rFonts w:ascii="Arial" w:cs="Arial" w:eastAsia="Arial" w:hAnsi="Arial"/>
                <w:sz w:val="18"/>
                <w:szCs w:val="18"/>
                <w:color w:val="auto"/>
                <w:w w:val="97"/>
              </w:rPr>
              <w:t>CWEN.A</w:t>
            </w:r>
          </w:p>
        </w:tc>
        <w:tc>
          <w:tcPr>
            <w:tcW w:w="3900" w:type="dxa"/>
            <w:vAlign w:val="bottom"/>
          </w:tcPr>
          <w:p>
            <w:pPr>
              <w:jc w:val="center"/>
              <w:ind w:left="470"/>
              <w:spacing w:after="0"/>
              <w:rPr>
                <w:sz w:val="20"/>
                <w:szCs w:val="20"/>
                <w:color w:val="auto"/>
              </w:rPr>
            </w:pPr>
            <w:r>
              <w:rPr>
                <w:rFonts w:ascii="Arial" w:cs="Arial" w:eastAsia="Arial" w:hAnsi="Arial"/>
                <w:sz w:val="18"/>
                <w:szCs w:val="18"/>
                <w:color w:val="auto"/>
                <w:w w:val="91"/>
              </w:rPr>
              <w:t>New York Stock Exchange</w:t>
            </w:r>
          </w:p>
        </w:tc>
      </w:tr>
      <w:tr>
        <w:trPr>
          <w:trHeight w:val="270"/>
        </w:trPr>
        <w:tc>
          <w:tcPr>
            <w:tcW w:w="3580" w:type="dxa"/>
            <w:vAlign w:val="bottom"/>
          </w:tcPr>
          <w:p>
            <w:pPr>
              <w:jc w:val="center"/>
              <w:ind w:right="570"/>
              <w:spacing w:after="0"/>
              <w:rPr>
                <w:sz w:val="20"/>
                <w:szCs w:val="20"/>
                <w:color w:val="auto"/>
              </w:rPr>
            </w:pPr>
            <w:r>
              <w:rPr>
                <w:rFonts w:ascii="Arial" w:cs="Arial" w:eastAsia="Arial" w:hAnsi="Arial"/>
                <w:sz w:val="18"/>
                <w:szCs w:val="18"/>
                <w:color w:val="auto"/>
                <w:w w:val="89"/>
              </w:rPr>
              <w:t>Class C Common Stock, par value $0.01</w:t>
            </w:r>
          </w:p>
        </w:tc>
        <w:tc>
          <w:tcPr>
            <w:tcW w:w="2640" w:type="dxa"/>
            <w:vAlign w:val="bottom"/>
          </w:tcPr>
          <w:p>
            <w:pPr>
              <w:jc w:val="center"/>
              <w:ind w:left="30"/>
              <w:spacing w:after="0"/>
              <w:rPr>
                <w:sz w:val="20"/>
                <w:szCs w:val="20"/>
                <w:color w:val="auto"/>
              </w:rPr>
            </w:pPr>
            <w:r>
              <w:rPr>
                <w:rFonts w:ascii="Arial" w:cs="Arial" w:eastAsia="Arial" w:hAnsi="Arial"/>
                <w:sz w:val="18"/>
                <w:szCs w:val="18"/>
                <w:color w:val="auto"/>
                <w:w w:val="94"/>
              </w:rPr>
              <w:t>CWEN</w:t>
            </w:r>
          </w:p>
        </w:tc>
        <w:tc>
          <w:tcPr>
            <w:tcW w:w="3900" w:type="dxa"/>
            <w:vAlign w:val="bottom"/>
          </w:tcPr>
          <w:p>
            <w:pPr>
              <w:jc w:val="center"/>
              <w:ind w:left="470"/>
              <w:spacing w:after="0"/>
              <w:rPr>
                <w:sz w:val="20"/>
                <w:szCs w:val="20"/>
                <w:color w:val="auto"/>
              </w:rPr>
            </w:pPr>
            <w:r>
              <w:rPr>
                <w:rFonts w:ascii="Arial" w:cs="Arial" w:eastAsia="Arial" w:hAnsi="Arial"/>
                <w:sz w:val="18"/>
                <w:szCs w:val="18"/>
                <w:color w:val="auto"/>
                <w:w w:val="91"/>
              </w:rPr>
              <w:t>New York Stock Exchange</w:t>
            </w:r>
          </w:p>
        </w:tc>
      </w:tr>
    </w:tbl>
    <w:p>
      <w:pPr>
        <w:spacing w:after="0" w:line="112" w:lineRule="exact"/>
        <w:rPr>
          <w:sz w:val="24"/>
          <w:szCs w:val="24"/>
          <w:color w:val="auto"/>
        </w:rPr>
      </w:pPr>
    </w:p>
    <w:p>
      <w:pPr>
        <w:jc w:val="both"/>
        <w:ind w:firstLine="283"/>
        <w:spacing w:after="0" w:line="29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spacing w:after="0" w:line="184" w:lineRule="exact"/>
        <w:tabs>
          <w:tab w:leader="none" w:pos="260" w:val="left"/>
        </w:tabs>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b w:val="1"/>
          <w:bCs w:val="1"/>
          <w:color w:val="auto"/>
        </w:rPr>
        <w:t xml:space="preserve">No </w:t>
      </w:r>
      <w:r>
        <w:rPr>
          <w:rFonts w:ascii="MS PGothic" w:cs="MS PGothic" w:eastAsia="MS PGothic" w:hAnsi="MS PGothic"/>
          <w:sz w:val="14"/>
          <w:szCs w:val="14"/>
          <w:color w:val="auto"/>
        </w:rPr>
        <w:t>☐</w:t>
      </w:r>
    </w:p>
    <w:p>
      <w:pPr>
        <w:spacing w:after="0" w:line="116" w:lineRule="exact"/>
        <w:rPr>
          <w:sz w:val="24"/>
          <w:szCs w:val="24"/>
          <w:color w:val="auto"/>
        </w:rPr>
      </w:pPr>
    </w:p>
    <w:p>
      <w:pPr>
        <w:jc w:val="both"/>
        <w:ind w:firstLine="283"/>
        <w:spacing w:after="0"/>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34" w:lineRule="exact"/>
        <w:rPr>
          <w:sz w:val="24"/>
          <w:szCs w:val="24"/>
          <w:color w:val="auto"/>
        </w:rPr>
      </w:pPr>
    </w:p>
    <w:p>
      <w:pPr>
        <w:jc w:val="center"/>
        <w:spacing w:after="0" w:line="184" w:lineRule="exact"/>
        <w:tabs>
          <w:tab w:leader="none" w:pos="220" w:val="left"/>
        </w:tabs>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b w:val="1"/>
          <w:bCs w:val="1"/>
          <w:color w:val="auto"/>
        </w:rPr>
        <w:t xml:space="preserve">No </w:t>
      </w:r>
      <w:r>
        <w:rPr>
          <w:rFonts w:ascii="MS PGothic" w:cs="MS PGothic" w:eastAsia="MS PGothic" w:hAnsi="MS PGothic"/>
          <w:sz w:val="14"/>
          <w:szCs w:val="14"/>
          <w:color w:val="auto"/>
        </w:rPr>
        <w:t>☐</w:t>
      </w:r>
    </w:p>
    <w:p>
      <w:pPr>
        <w:spacing w:after="0" w:line="22" w:lineRule="exact"/>
        <w:rPr>
          <w:sz w:val="24"/>
          <w:szCs w:val="24"/>
          <w:color w:val="auto"/>
        </w:rPr>
      </w:pPr>
    </w:p>
    <w:p>
      <w:pPr>
        <w:jc w:val="both"/>
        <w:ind w:firstLine="283"/>
        <w:spacing w:after="0" w:line="22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20"/>
                <w:szCs w:val="20"/>
                <w:color w:val="auto"/>
              </w:rPr>
            </w:pPr>
            <w:r>
              <w:rPr>
                <w:rFonts w:ascii="Arial" w:cs="Arial" w:eastAsia="Arial" w:hAnsi="Arial"/>
                <w:sz w:val="16"/>
                <w:szCs w:val="16"/>
                <w:color w:val="auto"/>
              </w:rPr>
              <w:t>Exchange Act.</w:t>
            </w:r>
          </w:p>
        </w:tc>
        <w:tc>
          <w:tcPr>
            <w:tcW w:w="1460" w:type="dxa"/>
            <w:vAlign w:val="bottom"/>
            <w:vMerge w:val="restart"/>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spacing w:after="0"/>
              <w:rPr>
                <w:sz w:val="17"/>
                <w:szCs w:val="17"/>
                <w:color w:val="auto"/>
              </w:rPr>
            </w:pPr>
          </w:p>
        </w:tc>
        <w:tc>
          <w:tcPr>
            <w:tcW w:w="900" w:type="dxa"/>
            <w:vAlign w:val="bottom"/>
            <w:vMerge w:val="restart"/>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29"/>
        </w:trPr>
        <w:tc>
          <w:tcPr>
            <w:tcW w:w="3500" w:type="dxa"/>
            <w:vAlign w:val="bottom"/>
          </w:tcPr>
          <w:p>
            <w:pPr>
              <w:jc w:val="center"/>
              <w:ind w:left="413"/>
              <w:spacing w:after="0"/>
              <w:rPr>
                <w:sz w:val="20"/>
                <w:szCs w:val="20"/>
                <w:color w:val="auto"/>
              </w:rPr>
            </w:pPr>
            <w:r>
              <w:rPr>
                <w:rFonts w:ascii="Arial" w:cs="Arial" w:eastAsia="Arial" w:hAnsi="Arial"/>
                <w:sz w:val="18"/>
                <w:szCs w:val="18"/>
                <w:color w:val="auto"/>
                <w:w w:val="89"/>
              </w:rPr>
              <w:t>Large accelerated filer</w:t>
            </w:r>
          </w:p>
        </w:tc>
        <w:tc>
          <w:tcPr>
            <w:tcW w:w="1460" w:type="dxa"/>
            <w:vAlign w:val="bottom"/>
            <w:vMerge w:val="continue"/>
          </w:tcPr>
          <w:p>
            <w:pPr>
              <w:spacing w:after="0"/>
              <w:rPr>
                <w:sz w:val="19"/>
                <w:szCs w:val="19"/>
                <w:color w:val="auto"/>
              </w:rPr>
            </w:pPr>
          </w:p>
        </w:tc>
        <w:tc>
          <w:tcPr>
            <w:tcW w:w="332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00" w:type="dxa"/>
            <w:vAlign w:val="bottom"/>
          </w:tcPr>
          <w:p>
            <w:pPr>
              <w:jc w:val="center"/>
              <w:ind w:left="413"/>
              <w:spacing w:after="0"/>
              <w:rPr>
                <w:sz w:val="20"/>
                <w:szCs w:val="20"/>
                <w:color w:val="auto"/>
              </w:rPr>
            </w:pPr>
            <w:r>
              <w:rPr>
                <w:rFonts w:ascii="Arial" w:cs="Arial" w:eastAsia="Arial" w:hAnsi="Arial"/>
                <w:sz w:val="18"/>
                <w:szCs w:val="18"/>
                <w:color w:val="auto"/>
                <w:w w:val="91"/>
              </w:rPr>
              <w:t>Non-accelerated filer</w:t>
            </w:r>
          </w:p>
        </w:tc>
        <w:tc>
          <w:tcPr>
            <w:tcW w:w="14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3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320" w:type="dxa"/>
            <w:vAlign w:val="bottom"/>
          </w:tcPr>
          <w:p>
            <w:pPr>
              <w:ind w:left="600"/>
              <w:spacing w:after="0"/>
              <w:rPr>
                <w:sz w:val="20"/>
                <w:szCs w:val="20"/>
                <w:color w:val="auto"/>
              </w:rPr>
            </w:pPr>
            <w:r>
              <w:rPr>
                <w:rFonts w:ascii="Arial" w:cs="Arial" w:eastAsia="Arial" w:hAnsi="Arial"/>
                <w:sz w:val="18"/>
                <w:szCs w:val="18"/>
                <w:color w:val="auto"/>
              </w:rPr>
              <w:t>Emerging growth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92" w:lineRule="exact"/>
        <w:rPr>
          <w:sz w:val="24"/>
          <w:szCs w:val="24"/>
          <w:color w:val="auto"/>
        </w:rPr>
      </w:pPr>
    </w:p>
    <w:p>
      <w:pPr>
        <w:jc w:val="both"/>
        <w:ind w:firstLine="324"/>
        <w:spacing w:after="0" w:line="19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30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56" w:lineRule="exact"/>
        <w:rPr>
          <w:sz w:val="24"/>
          <w:szCs w:val="24"/>
          <w:color w:val="auto"/>
        </w:rPr>
      </w:pPr>
    </w:p>
    <w:p>
      <w:pPr>
        <w:ind w:left="5080"/>
        <w:spacing w:after="0" w:line="184" w:lineRule="exact"/>
        <w:tabs>
          <w:tab w:leader="none" w:pos="5760" w:val="left"/>
        </w:tabs>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b w:val="1"/>
          <w:bCs w:val="1"/>
          <w:color w:val="auto"/>
        </w:rPr>
        <w:t xml:space="preserve">No </w:t>
      </w:r>
      <w:r>
        <w:rPr>
          <w:rFonts w:ascii="MS PGothic" w:cs="MS PGothic" w:eastAsia="MS PGothic" w:hAnsi="MS PGothic"/>
          <w:sz w:val="14"/>
          <w:szCs w:val="14"/>
          <w:color w:val="auto"/>
        </w:rPr>
        <w:t>☒</w:t>
      </w:r>
    </w:p>
    <w:p>
      <w:pPr>
        <w:spacing w:after="0" w:line="22" w:lineRule="exact"/>
        <w:rPr>
          <w:sz w:val="24"/>
          <w:szCs w:val="24"/>
          <w:color w:val="auto"/>
        </w:rPr>
      </w:pPr>
    </w:p>
    <w:p>
      <w:pPr>
        <w:jc w:val="both"/>
        <w:ind w:firstLine="283"/>
        <w:spacing w:after="0" w:line="224" w:lineRule="auto"/>
        <w:rPr>
          <w:sz w:val="20"/>
          <w:szCs w:val="20"/>
          <w:color w:val="auto"/>
        </w:rPr>
      </w:pPr>
      <w:r>
        <w:rPr>
          <w:rFonts w:ascii="Arial" w:cs="Arial" w:eastAsia="Arial" w:hAnsi="Arial"/>
          <w:sz w:val="16"/>
          <w:szCs w:val="16"/>
          <w:color w:val="auto"/>
        </w:rPr>
        <w:t>As of July 31, 2020, there were 34,599,645 shares of Class A common stock outstanding, par value $0.01 per share, 42,738,750 shares of Class B common stock outstanding, par value $0.01 per share, 80,602,613 shares of Class C common stock outstanding, par value $0.01 per share, and 42,738,750 shares of Class D common stock outstanding,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827405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30480</wp:posOffset>
            </wp:positionV>
            <wp:extent cx="69265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658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4445</wp:posOffset>
            </wp:positionV>
            <wp:extent cx="69265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240"/>
          </w:cols>
          <w:pgMar w:left="320" w:top="1318" w:right="3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Index</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b w:val="1"/>
                <w:bCs w:val="1"/>
                <w:color w:val="0000FF"/>
              </w:rPr>
              <w:t>CAUTIONARY STATEMENT REGARDING FORWARD LOOKING INFORMATION</w:t>
            </w:r>
          </w:p>
        </w:tc>
        <w:tc>
          <w:tcPr>
            <w:tcW w:w="3660" w:type="dxa"/>
            <w:vAlign w:val="bottom"/>
            <w:gridSpan w:val="4"/>
          </w:tcPr>
          <w:p>
            <w:pPr>
              <w:spacing w:after="0"/>
              <w:rPr>
                <w:sz w:val="17"/>
                <w:szCs w:val="17"/>
                <w:color w:val="auto"/>
              </w:rPr>
            </w:pPr>
          </w:p>
        </w:tc>
        <w:tc>
          <w:tcPr>
            <w:tcW w:w="680" w:type="dxa"/>
            <w:vAlign w:val="bottom"/>
          </w:tcPr>
          <w:p>
            <w:pPr>
              <w:jc w:val="right"/>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3</w:t>
              </w:r>
            </w:hyperlink>
          </w:p>
        </w:tc>
      </w:tr>
      <w:tr>
        <w:trPr>
          <w:trHeight w:val="209"/>
        </w:trPr>
        <w:tc>
          <w:tcPr>
            <w:tcW w:w="10480" w:type="dxa"/>
            <w:vAlign w:val="bottom"/>
            <w:gridSpan w:val="18"/>
          </w:tcPr>
          <w:p>
            <w:pPr>
              <w:spacing w:after="0"/>
              <w:rPr>
                <w:sz w:val="20"/>
                <w:szCs w:val="20"/>
                <w:color w:val="auto"/>
              </w:rPr>
            </w:pPr>
            <w:r>
              <w:rPr>
                <w:rFonts w:ascii="Arial" w:cs="Arial" w:eastAsia="Arial" w:hAnsi="Arial"/>
                <w:sz w:val="18"/>
                <w:szCs w:val="18"/>
                <w:b w:val="1"/>
                <w:bCs w:val="1"/>
                <w:color w:val="0000FF"/>
              </w:rPr>
              <w:t>GLOSSARY OF TERMS</w:t>
            </w:r>
          </w:p>
        </w:tc>
        <w:tc>
          <w:tcPr>
            <w:tcW w:w="68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4</w:t>
              </w:r>
            </w:hyperlink>
          </w:p>
        </w:tc>
      </w:tr>
      <w:tr>
        <w:trPr>
          <w:trHeight w:val="20"/>
        </w:trPr>
        <w:tc>
          <w:tcPr>
            <w:tcW w:w="20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0"/>
        </w:trPr>
        <w:tc>
          <w:tcPr>
            <w:tcW w:w="326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b w:val="1"/>
                <w:bCs w:val="1"/>
                <w:color w:val="0000FF"/>
              </w:rPr>
              <w:t>PART I — FINANCIAL INFORMATION</w:t>
            </w:r>
          </w:p>
        </w:tc>
        <w:tc>
          <w:tcPr>
            <w:tcW w:w="7220" w:type="dxa"/>
            <w:vAlign w:val="bottom"/>
            <w:gridSpan w:val="8"/>
          </w:tcPr>
          <w:p>
            <w:pPr>
              <w:spacing w:after="0"/>
              <w:rPr>
                <w:sz w:val="18"/>
                <w:szCs w:val="18"/>
                <w:color w:val="auto"/>
              </w:rPr>
            </w:pPr>
          </w:p>
        </w:tc>
        <w:tc>
          <w:tcPr>
            <w:tcW w:w="68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tc>
      </w:tr>
      <w:tr>
        <w:trPr>
          <w:trHeight w:val="209"/>
        </w:trPr>
        <w:tc>
          <w:tcPr>
            <w:tcW w:w="200" w:type="dxa"/>
            <w:vAlign w:val="bottom"/>
          </w:tcPr>
          <w:p>
            <w:pPr>
              <w:spacing w:after="0"/>
              <w:rPr>
                <w:sz w:val="18"/>
                <w:szCs w:val="18"/>
                <w:color w:val="auto"/>
              </w:rPr>
            </w:pPr>
          </w:p>
        </w:tc>
        <w:tc>
          <w:tcPr>
            <w:tcW w:w="10280" w:type="dxa"/>
            <w:vAlign w:val="bottom"/>
            <w:gridSpan w:val="17"/>
          </w:tcPr>
          <w:p>
            <w:pPr>
              <w:spacing w:after="0"/>
              <w:rPr>
                <w:sz w:val="20"/>
                <w:szCs w:val="20"/>
                <w:color w:val="auto"/>
              </w:rPr>
            </w:pPr>
            <w:r>
              <w:rPr>
                <w:rFonts w:ascii="Arial" w:cs="Arial" w:eastAsia="Arial" w:hAnsi="Arial"/>
                <w:sz w:val="18"/>
                <w:szCs w:val="18"/>
                <w:color w:val="0000FF"/>
              </w:rPr>
              <w:t>ITEM 1 — FINANCIAL STATEMENTS AND NOTES</w:t>
            </w:r>
          </w:p>
        </w:tc>
        <w:tc>
          <w:tcPr>
            <w:tcW w:w="68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7</w:t>
              </w:r>
            </w:hyperlink>
          </w:p>
        </w:tc>
      </w:tr>
      <w:tr>
        <w:trPr>
          <w:trHeight w:val="20"/>
        </w:trPr>
        <w:tc>
          <w:tcPr>
            <w:tcW w:w="20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10280" w:type="dxa"/>
            <w:vAlign w:val="bottom"/>
            <w:gridSpan w:val="17"/>
          </w:tcPr>
          <w:p>
            <w:pPr>
              <w:spacing w:after="0"/>
              <w:rPr>
                <w:sz w:val="20"/>
                <w:szCs w:val="20"/>
                <w:color w:val="auto"/>
              </w:rPr>
            </w:pPr>
            <w:r>
              <w:rPr>
                <w:rFonts w:ascii="Arial" w:cs="Arial" w:eastAsia="Arial" w:hAnsi="Arial"/>
                <w:sz w:val="18"/>
                <w:szCs w:val="18"/>
                <w:color w:val="0000FF"/>
              </w:rPr>
              <w:t>ITEM 2 — MANAGEMENT’S DISCUSSION AND ANALYSIS OF FINANCIAL CONDITION AND RESULTS OF OPERATIONS</w:t>
            </w:r>
          </w:p>
        </w:tc>
        <w:tc>
          <w:tcPr>
            <w:tcW w:w="68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41</w:t>
              </w:r>
            </w:hyperlink>
          </w:p>
        </w:tc>
      </w:tr>
      <w:tr>
        <w:trPr>
          <w:trHeight w:val="209"/>
        </w:trPr>
        <w:tc>
          <w:tcPr>
            <w:tcW w:w="200" w:type="dxa"/>
            <w:vAlign w:val="bottom"/>
          </w:tcPr>
          <w:p>
            <w:pPr>
              <w:spacing w:after="0"/>
              <w:rPr>
                <w:sz w:val="18"/>
                <w:szCs w:val="18"/>
                <w:color w:val="auto"/>
              </w:rPr>
            </w:pPr>
          </w:p>
        </w:tc>
        <w:tc>
          <w:tcPr>
            <w:tcW w:w="700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8"/>
                <w:szCs w:val="18"/>
                <w:color w:val="0000FF"/>
                <w:w w:val="98"/>
              </w:rPr>
              <w:t>ITEM 3 — QUANTITATIVE AND QUALITATIVE DISCLOSURES ABOUT MARKET RISK</w:t>
            </w:r>
          </w:p>
        </w:tc>
        <w:tc>
          <w:tcPr>
            <w:tcW w:w="2760" w:type="dxa"/>
            <w:vAlign w:val="bottom"/>
            <w:tcBorders>
              <w:top w:val="single" w:sz="8" w:color="0000FF"/>
            </w:tcBorders>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jc w:val="right"/>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62</w:t>
              </w:r>
            </w:hyperlink>
          </w:p>
        </w:tc>
      </w:tr>
      <w:tr>
        <w:trPr>
          <w:trHeight w:val="209"/>
        </w:trPr>
        <w:tc>
          <w:tcPr>
            <w:tcW w:w="200" w:type="dxa"/>
            <w:vAlign w:val="bottom"/>
          </w:tcPr>
          <w:p>
            <w:pPr>
              <w:spacing w:after="0"/>
              <w:rPr>
                <w:sz w:val="18"/>
                <w:szCs w:val="18"/>
                <w:color w:val="auto"/>
              </w:rPr>
            </w:pPr>
          </w:p>
        </w:tc>
        <w:tc>
          <w:tcPr>
            <w:tcW w:w="34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5"/>
              </w:rPr>
              <w:t>ITEM 4 — CONTROLS AND PROCEDURES</w:t>
            </w:r>
          </w:p>
        </w:tc>
        <w:tc>
          <w:tcPr>
            <w:tcW w:w="6820" w:type="dxa"/>
            <w:vAlign w:val="bottom"/>
            <w:gridSpan w:val="6"/>
          </w:tcPr>
          <w:p>
            <w:pPr>
              <w:spacing w:after="0"/>
              <w:rPr>
                <w:sz w:val="18"/>
                <w:szCs w:val="18"/>
                <w:color w:val="auto"/>
              </w:rPr>
            </w:pPr>
          </w:p>
        </w:tc>
        <w:tc>
          <w:tcPr>
            <w:tcW w:w="680" w:type="dxa"/>
            <w:vAlign w:val="bottom"/>
          </w:tcPr>
          <w:p>
            <w:pPr>
              <w:jc w:val="right"/>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63</w:t>
              </w:r>
            </w:hyperlink>
          </w:p>
        </w:tc>
      </w:tr>
      <w:tr>
        <w:trPr>
          <w:trHeight w:val="210"/>
        </w:trPr>
        <w:tc>
          <w:tcPr>
            <w:tcW w:w="296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b w:val="1"/>
                <w:bCs w:val="1"/>
                <w:color w:val="0000FF"/>
              </w:rPr>
              <w:t>PART II — OTHER INFORMATION</w:t>
            </w:r>
          </w:p>
        </w:tc>
        <w:tc>
          <w:tcPr>
            <w:tcW w:w="7520" w:type="dxa"/>
            <w:vAlign w:val="bottom"/>
            <w:gridSpan w:val="9"/>
          </w:tcPr>
          <w:p>
            <w:pPr>
              <w:spacing w:after="0"/>
              <w:rPr>
                <w:sz w:val="18"/>
                <w:szCs w:val="18"/>
                <w:color w:val="auto"/>
              </w:rPr>
            </w:pPr>
          </w:p>
        </w:tc>
        <w:tc>
          <w:tcPr>
            <w:tcW w:w="680" w:type="dxa"/>
            <w:vAlign w:val="bottom"/>
          </w:tcPr>
          <w:p>
            <w:pPr>
              <w:jc w:val="right"/>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64</w:t>
              </w:r>
            </w:hyperlink>
          </w:p>
        </w:tc>
      </w:tr>
      <w:tr>
        <w:trPr>
          <w:trHeight w:val="209"/>
        </w:trPr>
        <w:tc>
          <w:tcPr>
            <w:tcW w:w="200" w:type="dxa"/>
            <w:vAlign w:val="bottom"/>
          </w:tcPr>
          <w:p>
            <w:pPr>
              <w:spacing w:after="0"/>
              <w:rPr>
                <w:sz w:val="18"/>
                <w:szCs w:val="18"/>
                <w:color w:val="auto"/>
              </w:rPr>
            </w:pPr>
          </w:p>
        </w:tc>
        <w:tc>
          <w:tcPr>
            <w:tcW w:w="10280" w:type="dxa"/>
            <w:vAlign w:val="bottom"/>
            <w:gridSpan w:val="17"/>
          </w:tcPr>
          <w:p>
            <w:pPr>
              <w:spacing w:after="0"/>
              <w:rPr>
                <w:sz w:val="20"/>
                <w:szCs w:val="20"/>
                <w:color w:val="auto"/>
              </w:rPr>
            </w:pPr>
            <w:r>
              <w:rPr>
                <w:rFonts w:ascii="Arial" w:cs="Arial" w:eastAsia="Arial" w:hAnsi="Arial"/>
                <w:sz w:val="18"/>
                <w:szCs w:val="18"/>
                <w:color w:val="0000FF"/>
              </w:rPr>
              <w:t>ITEM 1 — LEGAL PROCEEDINGS</w:t>
            </w:r>
          </w:p>
        </w:tc>
        <w:tc>
          <w:tcPr>
            <w:tcW w:w="680" w:type="dxa"/>
            <w:vAlign w:val="bottom"/>
          </w:tcPr>
          <w:p>
            <w:pPr>
              <w:jc w:val="right"/>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64</w:t>
              </w:r>
            </w:hyperlink>
          </w:p>
        </w:tc>
      </w:tr>
      <w:tr>
        <w:trPr>
          <w:trHeight w:val="209"/>
        </w:trPr>
        <w:tc>
          <w:tcPr>
            <w:tcW w:w="200" w:type="dxa"/>
            <w:vAlign w:val="bottom"/>
          </w:tcPr>
          <w:p>
            <w:pPr>
              <w:spacing w:after="0"/>
              <w:rPr>
                <w:sz w:val="18"/>
                <w:szCs w:val="18"/>
                <w:color w:val="auto"/>
              </w:rPr>
            </w:pPr>
          </w:p>
        </w:tc>
        <w:tc>
          <w:tcPr>
            <w:tcW w:w="224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6"/>
              </w:rPr>
              <w:t>ITEM 1A — RISK FACTORS</w:t>
            </w:r>
          </w:p>
        </w:tc>
        <w:tc>
          <w:tcPr>
            <w:tcW w:w="480" w:type="dxa"/>
            <w:vAlign w:val="bottom"/>
            <w:tcBorders>
              <w:top w:val="single" w:sz="8" w:color="0000FF"/>
            </w:tcBorders>
          </w:tcPr>
          <w:p>
            <w:pPr>
              <w:spacing w:after="0"/>
              <w:rPr>
                <w:sz w:val="18"/>
                <w:szCs w:val="18"/>
                <w:color w:val="auto"/>
              </w:rPr>
            </w:pPr>
          </w:p>
        </w:tc>
        <w:tc>
          <w:tcPr>
            <w:tcW w:w="7560" w:type="dxa"/>
            <w:vAlign w:val="bottom"/>
            <w:gridSpan w:val="11"/>
          </w:tcPr>
          <w:p>
            <w:pPr>
              <w:spacing w:after="0"/>
              <w:rPr>
                <w:sz w:val="18"/>
                <w:szCs w:val="18"/>
                <w:color w:val="auto"/>
              </w:rPr>
            </w:pPr>
          </w:p>
        </w:tc>
        <w:tc>
          <w:tcPr>
            <w:tcW w:w="680" w:type="dxa"/>
            <w:vAlign w:val="bottom"/>
          </w:tcPr>
          <w:p>
            <w:pPr>
              <w:jc w:val="right"/>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64</w:t>
              </w:r>
            </w:hyperlink>
          </w:p>
        </w:tc>
      </w:tr>
      <w:tr>
        <w:trPr>
          <w:trHeight w:val="210"/>
        </w:trPr>
        <w:tc>
          <w:tcPr>
            <w:tcW w:w="200" w:type="dxa"/>
            <w:vAlign w:val="bottom"/>
          </w:tcPr>
          <w:p>
            <w:pPr>
              <w:spacing w:after="0"/>
              <w:rPr>
                <w:sz w:val="18"/>
                <w:szCs w:val="18"/>
                <w:color w:val="auto"/>
              </w:rPr>
            </w:pPr>
          </w:p>
        </w:tc>
        <w:tc>
          <w:tcPr>
            <w:tcW w:w="10280" w:type="dxa"/>
            <w:vAlign w:val="bottom"/>
            <w:gridSpan w:val="17"/>
          </w:tcPr>
          <w:p>
            <w:pPr>
              <w:spacing w:after="0"/>
              <w:rPr>
                <w:sz w:val="20"/>
                <w:szCs w:val="20"/>
                <w:color w:val="auto"/>
              </w:rPr>
            </w:pPr>
            <w:r>
              <w:rPr>
                <w:rFonts w:ascii="Arial" w:cs="Arial" w:eastAsia="Arial" w:hAnsi="Arial"/>
                <w:sz w:val="18"/>
                <w:szCs w:val="18"/>
                <w:color w:val="0000FF"/>
              </w:rPr>
              <w:t>ITEM 2 — UNREGISTERED SALES OF EQUITY SECURITIES AND USE OF PROCEEDS</w:t>
            </w:r>
          </w:p>
        </w:tc>
        <w:tc>
          <w:tcPr>
            <w:tcW w:w="680" w:type="dxa"/>
            <w:vAlign w:val="bottom"/>
          </w:tcPr>
          <w:p>
            <w:pPr>
              <w:jc w:val="right"/>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64</w:t>
              </w:r>
            </w:hyperlink>
          </w:p>
        </w:tc>
      </w:tr>
      <w:tr>
        <w:trPr>
          <w:trHeight w:val="209"/>
        </w:trPr>
        <w:tc>
          <w:tcPr>
            <w:tcW w:w="200" w:type="dxa"/>
            <w:vAlign w:val="bottom"/>
          </w:tcPr>
          <w:p>
            <w:pPr>
              <w:spacing w:after="0"/>
              <w:rPr>
                <w:sz w:val="18"/>
                <w:szCs w:val="18"/>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9"/>
              </w:rPr>
              <w:t>ITEM 3</w:t>
            </w:r>
          </w:p>
        </w:tc>
        <w:tc>
          <w:tcPr>
            <w:tcW w:w="3460" w:type="dxa"/>
            <w:vAlign w:val="bottom"/>
            <w:tcBorders>
              <w:top w:val="single" w:sz="8" w:color="0000FF"/>
              <w:bottom w:val="single" w:sz="8" w:color="0000FF"/>
            </w:tcBorders>
            <w:gridSpan w:val="11"/>
          </w:tcPr>
          <w:p>
            <w:pPr>
              <w:ind w:left="20"/>
              <w:spacing w:after="0"/>
              <w:rPr>
                <w:sz w:val="20"/>
                <w:szCs w:val="20"/>
                <w:color w:val="auto"/>
              </w:rPr>
            </w:pPr>
            <w:r>
              <w:rPr>
                <w:rFonts w:ascii="Arial" w:cs="Arial" w:eastAsia="Arial" w:hAnsi="Arial"/>
                <w:sz w:val="18"/>
                <w:szCs w:val="18"/>
                <w:color w:val="0000FF"/>
                <w:w w:val="94"/>
              </w:rPr>
              <w:t>— DEFAULTS UPON SENIOR SECURITIES</w:t>
            </w:r>
          </w:p>
        </w:tc>
        <w:tc>
          <w:tcPr>
            <w:tcW w:w="2860" w:type="dxa"/>
            <w:vAlign w:val="bottom"/>
            <w:tcBorders>
              <w:top w:val="single" w:sz="8" w:color="0000FF"/>
            </w:tcBorders>
            <w:gridSpan w:val="2"/>
          </w:tcPr>
          <w:p>
            <w:pPr>
              <w:spacing w:after="0"/>
              <w:rPr>
                <w:sz w:val="18"/>
                <w:szCs w:val="18"/>
                <w:color w:val="auto"/>
              </w:rPr>
            </w:pPr>
          </w:p>
        </w:tc>
        <w:tc>
          <w:tcPr>
            <w:tcW w:w="3360" w:type="dxa"/>
            <w:vAlign w:val="bottom"/>
            <w:gridSpan w:val="3"/>
          </w:tcPr>
          <w:p>
            <w:pPr>
              <w:spacing w:after="0"/>
              <w:rPr>
                <w:sz w:val="18"/>
                <w:szCs w:val="18"/>
                <w:color w:val="auto"/>
              </w:rPr>
            </w:pPr>
          </w:p>
        </w:tc>
        <w:tc>
          <w:tcPr>
            <w:tcW w:w="680" w:type="dxa"/>
            <w:vAlign w:val="bottom"/>
          </w:tcPr>
          <w:p>
            <w:pPr>
              <w:jc w:val="right"/>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64</w:t>
              </w:r>
            </w:hyperlink>
          </w:p>
        </w:tc>
      </w:tr>
      <w:tr>
        <w:trPr>
          <w:trHeight w:val="210"/>
        </w:trPr>
        <w:tc>
          <w:tcPr>
            <w:tcW w:w="20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ITEM 4</w:t>
            </w:r>
          </w:p>
        </w:tc>
        <w:tc>
          <w:tcPr>
            <w:tcW w:w="2700" w:type="dxa"/>
            <w:vAlign w:val="bottom"/>
            <w:tcBorders>
              <w:bottom w:val="single" w:sz="8" w:color="0000FF"/>
            </w:tcBorders>
            <w:gridSpan w:val="9"/>
          </w:tcPr>
          <w:p>
            <w:pPr>
              <w:ind w:left="20"/>
              <w:spacing w:after="0"/>
              <w:rPr>
                <w:sz w:val="20"/>
                <w:szCs w:val="20"/>
                <w:color w:val="auto"/>
              </w:rPr>
            </w:pPr>
            <w:r>
              <w:rPr>
                <w:rFonts w:ascii="Arial" w:cs="Arial" w:eastAsia="Arial" w:hAnsi="Arial"/>
                <w:sz w:val="18"/>
                <w:szCs w:val="18"/>
                <w:color w:val="0000FF"/>
                <w:w w:val="95"/>
              </w:rPr>
              <w:t>— MINE SAFETY DISCLOSURES</w:t>
            </w:r>
          </w:p>
        </w:tc>
        <w:tc>
          <w:tcPr>
            <w:tcW w:w="6980" w:type="dxa"/>
            <w:vAlign w:val="bottom"/>
            <w:gridSpan w:val="7"/>
          </w:tcPr>
          <w:p>
            <w:pPr>
              <w:spacing w:after="0"/>
              <w:rPr>
                <w:sz w:val="18"/>
                <w:szCs w:val="18"/>
                <w:color w:val="auto"/>
              </w:rPr>
            </w:pPr>
          </w:p>
        </w:tc>
        <w:tc>
          <w:tcPr>
            <w:tcW w:w="680" w:type="dxa"/>
            <w:vAlign w:val="bottom"/>
          </w:tcPr>
          <w:p>
            <w:pPr>
              <w:jc w:val="right"/>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64</w:t>
              </w:r>
            </w:hyperlink>
          </w:p>
        </w:tc>
      </w:tr>
      <w:tr>
        <w:trPr>
          <w:trHeight w:val="209"/>
        </w:trPr>
        <w:tc>
          <w:tcPr>
            <w:tcW w:w="20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ITEM 5</w:t>
            </w:r>
          </w:p>
        </w:tc>
        <w:tc>
          <w:tcPr>
            <w:tcW w:w="2140" w:type="dxa"/>
            <w:vAlign w:val="bottom"/>
            <w:tcBorders>
              <w:bottom w:val="single" w:sz="8" w:color="0000FF"/>
            </w:tcBorders>
            <w:gridSpan w:val="6"/>
          </w:tcPr>
          <w:p>
            <w:pPr>
              <w:ind w:left="20"/>
              <w:spacing w:after="0"/>
              <w:rPr>
                <w:sz w:val="20"/>
                <w:szCs w:val="20"/>
                <w:color w:val="auto"/>
              </w:rPr>
            </w:pPr>
            <w:r>
              <w:rPr>
                <w:rFonts w:ascii="Arial" w:cs="Arial" w:eastAsia="Arial" w:hAnsi="Arial"/>
                <w:sz w:val="18"/>
                <w:szCs w:val="18"/>
                <w:color w:val="0000FF"/>
                <w:w w:val="96"/>
              </w:rPr>
              <w:t>— OTHER INFORMATION</w:t>
            </w:r>
          </w:p>
        </w:tc>
        <w:tc>
          <w:tcPr>
            <w:tcW w:w="7540" w:type="dxa"/>
            <w:vAlign w:val="bottom"/>
            <w:gridSpan w:val="10"/>
          </w:tcPr>
          <w:p>
            <w:pPr>
              <w:spacing w:after="0"/>
              <w:rPr>
                <w:sz w:val="18"/>
                <w:szCs w:val="18"/>
                <w:color w:val="auto"/>
              </w:rPr>
            </w:pPr>
          </w:p>
        </w:tc>
        <w:tc>
          <w:tcPr>
            <w:tcW w:w="680" w:type="dxa"/>
            <w:vAlign w:val="bottom"/>
          </w:tcPr>
          <w:p>
            <w:pPr>
              <w:jc w:val="right"/>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64</w:t>
              </w:r>
            </w:hyperlink>
          </w:p>
        </w:tc>
      </w:tr>
      <w:tr>
        <w:trPr>
          <w:trHeight w:val="209"/>
        </w:trPr>
        <w:tc>
          <w:tcPr>
            <w:tcW w:w="20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ITEM 6</w:t>
            </w:r>
          </w:p>
        </w:tc>
        <w:tc>
          <w:tcPr>
            <w:tcW w:w="1080" w:type="dxa"/>
            <w:vAlign w:val="bottom"/>
            <w:tcBorders>
              <w:bottom w:val="single" w:sz="8" w:color="0000FF"/>
            </w:tcBorders>
            <w:gridSpan w:val="2"/>
          </w:tcPr>
          <w:p>
            <w:pPr>
              <w:ind w:left="20"/>
              <w:spacing w:after="0"/>
              <w:rPr>
                <w:sz w:val="20"/>
                <w:szCs w:val="20"/>
                <w:color w:val="auto"/>
              </w:rPr>
            </w:pPr>
            <w:r>
              <w:rPr>
                <w:rFonts w:ascii="Arial" w:cs="Arial" w:eastAsia="Arial" w:hAnsi="Arial"/>
                <w:sz w:val="18"/>
                <w:szCs w:val="18"/>
                <w:color w:val="0000FF"/>
                <w:w w:val="98"/>
              </w:rPr>
              <w:t>— EXHIBITS</w:t>
            </w:r>
          </w:p>
        </w:tc>
        <w:tc>
          <w:tcPr>
            <w:tcW w:w="8600" w:type="dxa"/>
            <w:vAlign w:val="bottom"/>
            <w:gridSpan w:val="14"/>
          </w:tcPr>
          <w:p>
            <w:pPr>
              <w:spacing w:after="0"/>
              <w:rPr>
                <w:sz w:val="18"/>
                <w:szCs w:val="18"/>
                <w:color w:val="auto"/>
              </w:rPr>
            </w:pPr>
          </w:p>
        </w:tc>
        <w:tc>
          <w:tcPr>
            <w:tcW w:w="680" w:type="dxa"/>
            <w:vAlign w:val="bottom"/>
          </w:tcPr>
          <w:p>
            <w:pPr>
              <w:jc w:val="right"/>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65</w:t>
              </w:r>
            </w:hyperlink>
          </w:p>
        </w:tc>
      </w:tr>
      <w:tr>
        <w:trPr>
          <w:trHeight w:val="210"/>
        </w:trPr>
        <w:tc>
          <w:tcPr>
            <w:tcW w:w="200" w:type="dxa"/>
            <w:vAlign w:val="bottom"/>
          </w:tcPr>
          <w:p>
            <w:pPr>
              <w:spacing w:after="0"/>
              <w:rPr>
                <w:sz w:val="18"/>
                <w:szCs w:val="18"/>
                <w:color w:val="auto"/>
              </w:rPr>
            </w:pPr>
          </w:p>
        </w:tc>
        <w:tc>
          <w:tcPr>
            <w:tcW w:w="10280" w:type="dxa"/>
            <w:vAlign w:val="bottom"/>
            <w:gridSpan w:val="17"/>
          </w:tcPr>
          <w:p>
            <w:pPr>
              <w:spacing w:after="0"/>
              <w:rPr>
                <w:sz w:val="20"/>
                <w:szCs w:val="20"/>
                <w:color w:val="auto"/>
              </w:rPr>
            </w:pPr>
            <w:r>
              <w:rPr>
                <w:rFonts w:ascii="Arial" w:cs="Arial" w:eastAsia="Arial" w:hAnsi="Arial"/>
                <w:sz w:val="18"/>
                <w:szCs w:val="18"/>
                <w:b w:val="1"/>
                <w:bCs w:val="1"/>
                <w:color w:val="0000FF"/>
              </w:rPr>
              <w:t>SIGNATURES</w:t>
            </w:r>
          </w:p>
        </w:tc>
        <w:tc>
          <w:tcPr>
            <w:tcW w:w="680" w:type="dxa"/>
            <w:vAlign w:val="bottom"/>
          </w:tcPr>
          <w:p>
            <w:pPr>
              <w:jc w:val="right"/>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66</w:t>
              </w:r>
            </w:hyperlink>
          </w:p>
        </w:tc>
      </w:tr>
      <w:tr>
        <w:trPr>
          <w:trHeight w:val="20"/>
        </w:trPr>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231F2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40" w:top="1215"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2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 xml:space="preserve">This Quarterly Report on Form 10-Q of Clearway Energy, Inc.,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Part II of this Quarterly Report on Form 10-Q, under Item 1A —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Part II of the Company's Quarterly Report on Form 10-Q for the fiscal quarter ended March 31, 2020 and under Item 1A —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Part I of the Company's Annual Report on Form 10-K for the year ended December 31, 2019, as well as the following:</w:t>
      </w:r>
    </w:p>
    <w:p>
      <w:pPr>
        <w:spacing w:after="0" w:line="12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risks related to the PG&amp;E Bankruptcy;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maintain and grow its quarterly dividend;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Potential risks related to the Company's relationships with GIP and CEG, including the Company's ability to acquire assets from GIP or CEG;</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risks related to COVID-19 or any other pandemic;</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successfully identify, evaluate and consummate acquisitions from third parties;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raise additional capital due to its indebtedness, corporate structure, market conditions or otherwise;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law, including judicial decisions;</w:t>
      </w:r>
    </w:p>
    <w:p>
      <w:pPr>
        <w:spacing w:after="0" w:line="63" w:lineRule="exact"/>
        <w:rPr>
          <w:rFonts w:ascii="Arial" w:cs="Arial" w:eastAsia="Arial" w:hAnsi="Arial"/>
          <w:sz w:val="18"/>
          <w:szCs w:val="18"/>
          <w:color w:val="auto"/>
        </w:rPr>
      </w:pPr>
    </w:p>
    <w:p>
      <w:pPr>
        <w:jc w:val="both"/>
        <w:ind w:left="660" w:hanging="328"/>
        <w:spacing w:after="0" w:line="275" w:lineRule="auto"/>
        <w:tabs>
          <w:tab w:leader="none" w:pos="655" w:val="left"/>
        </w:tabs>
        <w:numPr>
          <w:ilvl w:val="0"/>
          <w:numId w:val="2"/>
        </w:numPr>
        <w:rPr>
          <w:rFonts w:ascii="Arial" w:cs="Arial" w:eastAsia="Arial" w:hAnsi="Arial"/>
          <w:sz w:val="17"/>
          <w:szCs w:val="17"/>
          <w:color w:val="auto"/>
        </w:rPr>
      </w:pPr>
      <w:r>
        <w:rPr>
          <w:rFonts w:ascii="Arial" w:cs="Arial" w:eastAsia="Arial" w:hAnsi="Arial"/>
          <w:sz w:val="17"/>
          <w:szCs w:val="17"/>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14"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willingness and ability of counterparties to the Company's offtake agreements to fulfill their obligations under such agreements;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Company's ability to enter into contracts to sell power and procure fuel on acceptable terms and prices as current offtake agreements expire;</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Government regulation, including compliance with regulatory requirements and changes in market rules, rates, tariffs and environmental laws;</w:t>
      </w:r>
    </w:p>
    <w:p>
      <w:pPr>
        <w:spacing w:after="0" w:line="86" w:lineRule="exact"/>
        <w:rPr>
          <w:rFonts w:ascii="Arial" w:cs="Arial" w:eastAsia="Arial" w:hAnsi="Arial"/>
          <w:sz w:val="16"/>
          <w:szCs w:val="16"/>
          <w:color w:val="auto"/>
        </w:rPr>
      </w:pPr>
    </w:p>
    <w:p>
      <w:pPr>
        <w:jc w:val="both"/>
        <w:ind w:left="660" w:hanging="328"/>
        <w:spacing w:after="0" w:line="286" w:lineRule="auto"/>
        <w:tabs>
          <w:tab w:leader="none" w:pos="655" w:val="left"/>
        </w:tabs>
        <w:numPr>
          <w:ilvl w:val="0"/>
          <w:numId w:val="2"/>
        </w:numPr>
        <w:rPr>
          <w:rFonts w:ascii="Arial" w:cs="Arial" w:eastAsia="Arial" w:hAnsi="Arial"/>
          <w:sz w:val="17"/>
          <w:szCs w:val="17"/>
          <w:color w:val="auto"/>
        </w:rPr>
      </w:pPr>
      <w:r>
        <w:rPr>
          <w:rFonts w:ascii="Arial" w:cs="Arial" w:eastAsia="Arial" w:hAnsi="Arial"/>
          <w:sz w:val="17"/>
          <w:szCs w:val="17"/>
          <w:color w:val="auto"/>
        </w:rPr>
        <w:t>Operating and financial restrictions placed on the Company that are contained in the project-level debt facilities and other agreements of certain subsidiaries and project-level subsidiaries generally, in the Clearway Energy Operating LLC amended and restated revolving credit facility, in the indentures governing the Senior Notes and in the indentures governing the Company's convertible notes;</w:t>
      </w:r>
    </w:p>
    <w:p>
      <w:pPr>
        <w:spacing w:after="0" w:line="3"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engage in successful mergers and acquisitions activity; and</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11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8500" w:type="dxa"/>
            <w:vAlign w:val="bottom"/>
          </w:tcPr>
          <w:p>
            <w:pPr>
              <w:ind w:left="1900"/>
              <w:spacing w:after="0"/>
              <w:rPr>
                <w:sz w:val="20"/>
                <w:szCs w:val="20"/>
                <w:color w:val="auto"/>
              </w:rPr>
            </w:pPr>
            <w:r>
              <w:rPr>
                <w:rFonts w:ascii="Arial" w:cs="Arial" w:eastAsia="Arial" w:hAnsi="Arial"/>
                <w:sz w:val="18"/>
                <w:szCs w:val="18"/>
                <w:b w:val="1"/>
                <w:bCs w:val="1"/>
                <w:color w:val="auto"/>
              </w:rPr>
              <w:t>GLOSSARY OF TERMS</w:t>
            </w:r>
          </w:p>
        </w:tc>
        <w:tc>
          <w:tcPr>
            <w:tcW w:w="0" w:type="dxa"/>
            <w:vAlign w:val="bottom"/>
          </w:tcPr>
          <w:p>
            <w:pPr>
              <w:spacing w:after="0"/>
              <w:rPr>
                <w:sz w:val="1"/>
                <w:szCs w:val="1"/>
                <w:color w:val="auto"/>
              </w:rPr>
            </w:pPr>
          </w:p>
        </w:tc>
      </w:tr>
      <w:tr>
        <w:trPr>
          <w:trHeight w:val="378"/>
        </w:trPr>
        <w:tc>
          <w:tcPr>
            <w:tcW w:w="11240" w:type="dxa"/>
            <w:vAlign w:val="bottom"/>
            <w:gridSpan w:val="2"/>
          </w:tcPr>
          <w:p>
            <w:pPr>
              <w:ind w:left="300"/>
              <w:spacing w:after="0"/>
              <w:rPr>
                <w:sz w:val="20"/>
                <w:szCs w:val="20"/>
                <w:color w:val="auto"/>
              </w:rPr>
            </w:pPr>
            <w:r>
              <w:rPr>
                <w:rFonts w:ascii="Arial" w:cs="Arial" w:eastAsia="Arial" w:hAnsi="Arial"/>
                <w:sz w:val="18"/>
                <w:szCs w:val="18"/>
                <w:color w:val="auto"/>
              </w:rPr>
              <w:t>When the following terms and abbreviations appear in the text of this report, they have the meanings indicated below:</w:t>
            </w:r>
          </w:p>
        </w:tc>
        <w:tc>
          <w:tcPr>
            <w:tcW w:w="0" w:type="dxa"/>
            <w:vAlign w:val="bottom"/>
          </w:tcPr>
          <w:p>
            <w:pPr>
              <w:spacing w:after="0"/>
              <w:rPr>
                <w:sz w:val="1"/>
                <w:szCs w:val="1"/>
                <w:color w:val="auto"/>
              </w:rPr>
            </w:pP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2019 Form 10-K</w:t>
            </w:r>
          </w:p>
        </w:tc>
        <w:tc>
          <w:tcPr>
            <w:tcW w:w="8500" w:type="dxa"/>
            <w:vAlign w:val="bottom"/>
            <w:vMerge w:val="restart"/>
          </w:tcPr>
          <w:p>
            <w:pPr>
              <w:ind w:left="260"/>
              <w:spacing w:after="0"/>
              <w:rPr>
                <w:sz w:val="20"/>
                <w:szCs w:val="20"/>
                <w:color w:val="auto"/>
              </w:rPr>
            </w:pPr>
            <w:r>
              <w:rPr>
                <w:rFonts w:ascii="Arial" w:cs="Arial" w:eastAsia="Arial" w:hAnsi="Arial"/>
                <w:sz w:val="18"/>
                <w:szCs w:val="18"/>
                <w:color w:val="auto"/>
              </w:rPr>
              <w:t>Clearway Energy, Inc.'s Annual Report on Form 10-K for the year ended December 31, 2019</w:t>
            </w:r>
          </w:p>
        </w:tc>
        <w:tc>
          <w:tcPr>
            <w:tcW w:w="0" w:type="dxa"/>
            <w:vAlign w:val="bottom"/>
          </w:tcPr>
          <w:p>
            <w:pPr>
              <w:spacing w:after="0"/>
              <w:rPr>
                <w:sz w:val="1"/>
                <w:szCs w:val="1"/>
                <w:color w:val="auto"/>
              </w:rPr>
            </w:pPr>
          </w:p>
        </w:tc>
      </w:tr>
      <w:tr>
        <w:trPr>
          <w:trHeight w:val="81"/>
        </w:trPr>
        <w:tc>
          <w:tcPr>
            <w:tcW w:w="2740" w:type="dxa"/>
            <w:vAlign w:val="bottom"/>
          </w:tcPr>
          <w:p>
            <w:pPr>
              <w:spacing w:after="0"/>
              <w:rPr>
                <w:sz w:val="7"/>
                <w:szCs w:val="7"/>
                <w:color w:val="auto"/>
              </w:rPr>
            </w:pPr>
          </w:p>
        </w:tc>
        <w:tc>
          <w:tcPr>
            <w:tcW w:w="8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740" w:type="dxa"/>
            <w:vAlign w:val="bottom"/>
          </w:tcPr>
          <w:p>
            <w:pPr>
              <w:ind w:left="20"/>
              <w:spacing w:after="0"/>
              <w:rPr>
                <w:sz w:val="20"/>
                <w:szCs w:val="20"/>
                <w:color w:val="auto"/>
              </w:rPr>
            </w:pPr>
            <w:r>
              <w:rPr>
                <w:rFonts w:ascii="Arial" w:cs="Arial" w:eastAsia="Arial" w:hAnsi="Arial"/>
                <w:sz w:val="18"/>
                <w:szCs w:val="18"/>
                <w:color w:val="auto"/>
              </w:rPr>
              <w:t>2020 Convertible Notes</w:t>
            </w:r>
          </w:p>
        </w:tc>
        <w:tc>
          <w:tcPr>
            <w:tcW w:w="8500" w:type="dxa"/>
            <w:vAlign w:val="bottom"/>
          </w:tcPr>
          <w:p>
            <w:pPr>
              <w:ind w:left="260"/>
              <w:spacing w:after="0"/>
              <w:rPr>
                <w:sz w:val="20"/>
                <w:szCs w:val="20"/>
                <w:color w:val="auto"/>
              </w:rPr>
            </w:pPr>
            <w:r>
              <w:rPr>
                <w:rFonts w:ascii="Arial" w:cs="Arial" w:eastAsia="Arial" w:hAnsi="Arial"/>
                <w:sz w:val="18"/>
                <w:szCs w:val="18"/>
                <w:color w:val="auto"/>
                <w:w w:val="93"/>
              </w:rPr>
              <w:t>$45 million aggregate principal amount of 3.25% convertible notes due 2020, issued by Clearway Energy, Inc.,</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which were repaid on June 1, 2020</w:t>
            </w:r>
          </w:p>
        </w:tc>
        <w:tc>
          <w:tcPr>
            <w:tcW w:w="0" w:type="dxa"/>
            <w:vAlign w:val="bottom"/>
          </w:tcPr>
          <w:p>
            <w:pPr>
              <w:spacing w:after="0"/>
              <w:rPr>
                <w:sz w:val="1"/>
                <w:szCs w:val="1"/>
                <w:color w:val="auto"/>
              </w:rPr>
            </w:pPr>
          </w:p>
        </w:tc>
      </w:tr>
      <w:tr>
        <w:trPr>
          <w:trHeight w:val="256"/>
        </w:trPr>
        <w:tc>
          <w:tcPr>
            <w:tcW w:w="2740" w:type="dxa"/>
            <w:vAlign w:val="bottom"/>
          </w:tcPr>
          <w:p>
            <w:pPr>
              <w:ind w:left="20"/>
              <w:spacing w:after="0"/>
              <w:rPr>
                <w:sz w:val="20"/>
                <w:szCs w:val="20"/>
                <w:color w:val="auto"/>
              </w:rPr>
            </w:pPr>
            <w:r>
              <w:rPr>
                <w:rFonts w:ascii="Arial" w:cs="Arial" w:eastAsia="Arial" w:hAnsi="Arial"/>
                <w:sz w:val="18"/>
                <w:szCs w:val="18"/>
                <w:color w:val="auto"/>
              </w:rPr>
              <w:t>2024 Senior Notes</w:t>
            </w:r>
          </w:p>
        </w:tc>
        <w:tc>
          <w:tcPr>
            <w:tcW w:w="8500" w:type="dxa"/>
            <w:vAlign w:val="bottom"/>
          </w:tcPr>
          <w:p>
            <w:pPr>
              <w:ind w:left="260"/>
              <w:spacing w:after="0"/>
              <w:rPr>
                <w:sz w:val="20"/>
                <w:szCs w:val="20"/>
                <w:color w:val="auto"/>
              </w:rPr>
            </w:pPr>
            <w:r>
              <w:rPr>
                <w:rFonts w:ascii="Arial" w:cs="Arial" w:eastAsia="Arial" w:hAnsi="Arial"/>
                <w:sz w:val="18"/>
                <w:szCs w:val="18"/>
                <w:color w:val="auto"/>
                <w:w w:val="90"/>
              </w:rPr>
              <w:t>$500 million aggregate principal amount of 5.375% unsecured senior notes due 2024, issued by Clearway Energy</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256"/>
        </w:trPr>
        <w:tc>
          <w:tcPr>
            <w:tcW w:w="2740" w:type="dxa"/>
            <w:vAlign w:val="bottom"/>
          </w:tcPr>
          <w:p>
            <w:pPr>
              <w:ind w:left="20"/>
              <w:spacing w:after="0"/>
              <w:rPr>
                <w:sz w:val="20"/>
                <w:szCs w:val="20"/>
                <w:color w:val="auto"/>
              </w:rPr>
            </w:pPr>
            <w:r>
              <w:rPr>
                <w:rFonts w:ascii="Arial" w:cs="Arial" w:eastAsia="Arial" w:hAnsi="Arial"/>
                <w:sz w:val="18"/>
                <w:szCs w:val="18"/>
                <w:color w:val="auto"/>
              </w:rPr>
              <w:t>2025 Senior Notes</w:t>
            </w:r>
          </w:p>
        </w:tc>
        <w:tc>
          <w:tcPr>
            <w:tcW w:w="8500" w:type="dxa"/>
            <w:vAlign w:val="bottom"/>
          </w:tcPr>
          <w:p>
            <w:pPr>
              <w:ind w:left="260"/>
              <w:spacing w:after="0"/>
              <w:rPr>
                <w:sz w:val="20"/>
                <w:szCs w:val="20"/>
                <w:color w:val="auto"/>
              </w:rPr>
            </w:pPr>
            <w:r>
              <w:rPr>
                <w:rFonts w:ascii="Arial" w:cs="Arial" w:eastAsia="Arial" w:hAnsi="Arial"/>
                <w:sz w:val="18"/>
                <w:szCs w:val="18"/>
                <w:color w:val="auto"/>
                <w:w w:val="90"/>
              </w:rPr>
              <w:t>$600 million aggregate principal amount of 5.750% unsecured senior notes due 2025, issued by Clearway Energy</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256"/>
        </w:trPr>
        <w:tc>
          <w:tcPr>
            <w:tcW w:w="2740" w:type="dxa"/>
            <w:vAlign w:val="bottom"/>
          </w:tcPr>
          <w:p>
            <w:pPr>
              <w:ind w:left="20"/>
              <w:spacing w:after="0"/>
              <w:rPr>
                <w:sz w:val="20"/>
                <w:szCs w:val="20"/>
                <w:color w:val="auto"/>
              </w:rPr>
            </w:pPr>
            <w:r>
              <w:rPr>
                <w:rFonts w:ascii="Arial" w:cs="Arial" w:eastAsia="Arial" w:hAnsi="Arial"/>
                <w:sz w:val="18"/>
                <w:szCs w:val="18"/>
                <w:color w:val="auto"/>
              </w:rPr>
              <w:t>2026 Senior Notes</w:t>
            </w:r>
          </w:p>
        </w:tc>
        <w:tc>
          <w:tcPr>
            <w:tcW w:w="8500" w:type="dxa"/>
            <w:vAlign w:val="bottom"/>
          </w:tcPr>
          <w:p>
            <w:pPr>
              <w:ind w:left="260"/>
              <w:spacing w:after="0"/>
              <w:rPr>
                <w:sz w:val="20"/>
                <w:szCs w:val="20"/>
                <w:color w:val="auto"/>
              </w:rPr>
            </w:pPr>
            <w:r>
              <w:rPr>
                <w:rFonts w:ascii="Arial" w:cs="Arial" w:eastAsia="Arial" w:hAnsi="Arial"/>
                <w:sz w:val="18"/>
                <w:szCs w:val="18"/>
                <w:color w:val="auto"/>
                <w:w w:val="91"/>
              </w:rPr>
              <w:t>$350 million aggregate principal amount of 5.00% unsecured senior notes due 2026, issued by Clearway Energy</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256"/>
        </w:trPr>
        <w:tc>
          <w:tcPr>
            <w:tcW w:w="2740" w:type="dxa"/>
            <w:vAlign w:val="bottom"/>
          </w:tcPr>
          <w:p>
            <w:pPr>
              <w:ind w:left="20"/>
              <w:spacing w:after="0"/>
              <w:rPr>
                <w:sz w:val="20"/>
                <w:szCs w:val="20"/>
                <w:color w:val="auto"/>
              </w:rPr>
            </w:pPr>
            <w:r>
              <w:rPr>
                <w:rFonts w:ascii="Arial" w:cs="Arial" w:eastAsia="Arial" w:hAnsi="Arial"/>
                <w:sz w:val="18"/>
                <w:szCs w:val="18"/>
                <w:color w:val="auto"/>
              </w:rPr>
              <w:t>2028 Senior Notes</w:t>
            </w:r>
          </w:p>
        </w:tc>
        <w:tc>
          <w:tcPr>
            <w:tcW w:w="8500" w:type="dxa"/>
            <w:vAlign w:val="bottom"/>
          </w:tcPr>
          <w:p>
            <w:pPr>
              <w:ind w:left="260"/>
              <w:spacing w:after="0"/>
              <w:rPr>
                <w:sz w:val="20"/>
                <w:szCs w:val="20"/>
                <w:color w:val="auto"/>
              </w:rPr>
            </w:pPr>
            <w:r>
              <w:rPr>
                <w:rFonts w:ascii="Arial" w:cs="Arial" w:eastAsia="Arial" w:hAnsi="Arial"/>
                <w:sz w:val="18"/>
                <w:szCs w:val="18"/>
                <w:color w:val="auto"/>
                <w:w w:val="90"/>
              </w:rPr>
              <w:t>$850 million aggregate principal amount of 4.750% unsecured senior notes due 2028, issued by Clearway Energy</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242"/>
        </w:trPr>
        <w:tc>
          <w:tcPr>
            <w:tcW w:w="27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8500" w:type="dxa"/>
            <w:vAlign w:val="bottom"/>
          </w:tcPr>
          <w:p>
            <w:pPr>
              <w:ind w:left="260"/>
              <w:spacing w:after="0"/>
              <w:rPr>
                <w:sz w:val="20"/>
                <w:szCs w:val="20"/>
                <w:color w:val="auto"/>
              </w:rPr>
            </w:pPr>
            <w:r>
              <w:rPr>
                <w:rFonts w:ascii="Arial" w:cs="Arial" w:eastAsia="Arial" w:hAnsi="Arial"/>
                <w:sz w:val="18"/>
                <w:szCs w:val="18"/>
                <w:color w:val="auto"/>
                <w:w w:val="91"/>
              </w:rPr>
              <w:t>A non-GAAP measure, represents earnings before interest, tax, depreciation and amortization adjusted for mark-</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8500" w:type="dxa"/>
            <w:vAlign w:val="bottom"/>
          </w:tcPr>
          <w:p>
            <w:pPr>
              <w:ind w:left="260"/>
              <w:spacing w:after="0" w:line="202" w:lineRule="exact"/>
              <w:rPr>
                <w:sz w:val="20"/>
                <w:szCs w:val="20"/>
                <w:color w:val="auto"/>
              </w:rPr>
            </w:pPr>
            <w:r>
              <w:rPr>
                <w:rFonts w:ascii="Arial" w:cs="Arial" w:eastAsia="Arial" w:hAnsi="Arial"/>
                <w:sz w:val="18"/>
                <w:szCs w:val="18"/>
                <w:color w:val="auto"/>
                <w:w w:val="93"/>
              </w:rPr>
              <w:t>to-market gains or losses, asset write offs and impairments; and factors which the Company does not consider</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indicative of future operating performance</w:t>
            </w:r>
          </w:p>
        </w:tc>
        <w:tc>
          <w:tcPr>
            <w:tcW w:w="0" w:type="dxa"/>
            <w:vAlign w:val="bottom"/>
          </w:tcPr>
          <w:p>
            <w:pPr>
              <w:spacing w:after="0"/>
              <w:rPr>
                <w:sz w:val="1"/>
                <w:szCs w:val="1"/>
                <w:color w:val="auto"/>
              </w:rPr>
            </w:pPr>
          </w:p>
        </w:tc>
      </w:tr>
      <w:tr>
        <w:trPr>
          <w:trHeight w:val="257"/>
        </w:trPr>
        <w:tc>
          <w:tcPr>
            <w:tcW w:w="2740" w:type="dxa"/>
            <w:vAlign w:val="bottom"/>
          </w:tcPr>
          <w:p>
            <w:pPr>
              <w:ind w:left="20"/>
              <w:spacing w:after="0"/>
              <w:rPr>
                <w:sz w:val="20"/>
                <w:szCs w:val="20"/>
                <w:color w:val="auto"/>
              </w:rPr>
            </w:pPr>
            <w:r>
              <w:rPr>
                <w:rFonts w:ascii="Arial" w:cs="Arial" w:eastAsia="Arial" w:hAnsi="Arial"/>
                <w:sz w:val="18"/>
                <w:szCs w:val="18"/>
                <w:color w:val="auto"/>
              </w:rPr>
              <w:t>AOCI</w:t>
            </w:r>
          </w:p>
        </w:tc>
        <w:tc>
          <w:tcPr>
            <w:tcW w:w="8500" w:type="dxa"/>
            <w:vAlign w:val="bottom"/>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0" w:type="dxa"/>
            <w:vAlign w:val="bottom"/>
          </w:tcPr>
          <w:p>
            <w:pPr>
              <w:spacing w:after="0"/>
              <w:rPr>
                <w:sz w:val="1"/>
                <w:szCs w:val="1"/>
                <w:color w:val="auto"/>
              </w:rPr>
            </w:pPr>
          </w:p>
        </w:tc>
      </w:tr>
      <w:tr>
        <w:trPr>
          <w:trHeight w:val="391"/>
        </w:trPr>
        <w:tc>
          <w:tcPr>
            <w:tcW w:w="2740" w:type="dxa"/>
            <w:vAlign w:val="bottom"/>
          </w:tcPr>
          <w:p>
            <w:pPr>
              <w:ind w:left="20"/>
              <w:spacing w:after="0"/>
              <w:rPr>
                <w:sz w:val="20"/>
                <w:szCs w:val="20"/>
                <w:color w:val="auto"/>
              </w:rPr>
            </w:pPr>
            <w:r>
              <w:rPr>
                <w:rFonts w:ascii="Arial" w:cs="Arial" w:eastAsia="Arial" w:hAnsi="Arial"/>
                <w:sz w:val="18"/>
                <w:szCs w:val="18"/>
                <w:color w:val="auto"/>
              </w:rPr>
              <w:t>ASC</w:t>
            </w:r>
          </w:p>
        </w:tc>
        <w:tc>
          <w:tcPr>
            <w:tcW w:w="8500" w:type="dxa"/>
            <w:vAlign w:val="bottom"/>
          </w:tcPr>
          <w:p>
            <w:pPr>
              <w:ind w:left="260"/>
              <w:spacing w:after="0"/>
              <w:rPr>
                <w:sz w:val="20"/>
                <w:szCs w:val="20"/>
                <w:color w:val="auto"/>
              </w:rPr>
            </w:pPr>
            <w:r>
              <w:rPr>
                <w:rFonts w:ascii="Arial" w:cs="Arial" w:eastAsia="Arial" w:hAnsi="Arial"/>
                <w:sz w:val="18"/>
                <w:szCs w:val="18"/>
                <w:color w:val="auto"/>
              </w:rPr>
              <w:t>The FASB Accounting Standards Codification, which the FASB established as the source of</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authoritative GAAP</w:t>
            </w:r>
          </w:p>
        </w:tc>
        <w:tc>
          <w:tcPr>
            <w:tcW w:w="0" w:type="dxa"/>
            <w:vAlign w:val="bottom"/>
          </w:tcPr>
          <w:p>
            <w:pPr>
              <w:spacing w:after="0"/>
              <w:rPr>
                <w:sz w:val="1"/>
                <w:szCs w:val="1"/>
                <w:color w:val="auto"/>
              </w:rPr>
            </w:pP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ASU</w:t>
            </w:r>
          </w:p>
        </w:tc>
        <w:tc>
          <w:tcPr>
            <w:tcW w:w="8500" w:type="dxa"/>
            <w:vAlign w:val="bottom"/>
          </w:tcPr>
          <w:p>
            <w:pPr>
              <w:ind w:left="260"/>
              <w:spacing w:after="0"/>
              <w:rPr>
                <w:sz w:val="20"/>
                <w:szCs w:val="20"/>
                <w:color w:val="auto"/>
              </w:rPr>
            </w:pPr>
            <w:r>
              <w:rPr>
                <w:rFonts w:ascii="Arial" w:cs="Arial" w:eastAsia="Arial" w:hAnsi="Arial"/>
                <w:sz w:val="18"/>
                <w:szCs w:val="18"/>
                <w:color w:val="auto"/>
              </w:rPr>
              <w:t>Accounting Standards Updates - updates to the ASC</w:t>
            </w:r>
          </w:p>
        </w:tc>
        <w:tc>
          <w:tcPr>
            <w:tcW w:w="0" w:type="dxa"/>
            <w:vAlign w:val="bottom"/>
          </w:tcPr>
          <w:p>
            <w:pPr>
              <w:spacing w:after="0"/>
              <w:rPr>
                <w:sz w:val="1"/>
                <w:szCs w:val="1"/>
                <w:color w:val="auto"/>
              </w:rPr>
            </w:pP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ATM Program</w:t>
            </w:r>
          </w:p>
        </w:tc>
        <w:tc>
          <w:tcPr>
            <w:tcW w:w="8500" w:type="dxa"/>
            <w:vAlign w:val="bottom"/>
          </w:tcPr>
          <w:p>
            <w:pPr>
              <w:ind w:left="260"/>
              <w:spacing w:after="0"/>
              <w:rPr>
                <w:sz w:val="20"/>
                <w:szCs w:val="20"/>
                <w:color w:val="auto"/>
              </w:rPr>
            </w:pPr>
            <w:r>
              <w:rPr>
                <w:rFonts w:ascii="Arial" w:cs="Arial" w:eastAsia="Arial" w:hAnsi="Arial"/>
                <w:sz w:val="18"/>
                <w:szCs w:val="18"/>
                <w:color w:val="auto"/>
              </w:rPr>
              <w:t>At-The-Market Equity Offering Program</w:t>
            </w:r>
          </w:p>
        </w:tc>
        <w:tc>
          <w:tcPr>
            <w:tcW w:w="0" w:type="dxa"/>
            <w:vAlign w:val="bottom"/>
          </w:tcPr>
          <w:p>
            <w:pPr>
              <w:spacing w:after="0"/>
              <w:rPr>
                <w:sz w:val="1"/>
                <w:szCs w:val="1"/>
                <w:color w:val="auto"/>
              </w:rPr>
            </w:pP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Bankruptcy Code</w:t>
            </w:r>
          </w:p>
        </w:tc>
        <w:tc>
          <w:tcPr>
            <w:tcW w:w="8500" w:type="dxa"/>
            <w:vAlign w:val="bottom"/>
          </w:tcPr>
          <w:p>
            <w:pPr>
              <w:ind w:left="260"/>
              <w:spacing w:after="0"/>
              <w:rPr>
                <w:sz w:val="20"/>
                <w:szCs w:val="20"/>
                <w:color w:val="auto"/>
              </w:rPr>
            </w:pPr>
            <w:r>
              <w:rPr>
                <w:rFonts w:ascii="Arial" w:cs="Arial" w:eastAsia="Arial" w:hAnsi="Arial"/>
                <w:sz w:val="18"/>
                <w:szCs w:val="18"/>
                <w:color w:val="auto"/>
              </w:rPr>
              <w:t>Title 11 of the U.S. Code</w:t>
            </w:r>
          </w:p>
        </w:tc>
        <w:tc>
          <w:tcPr>
            <w:tcW w:w="0" w:type="dxa"/>
            <w:vAlign w:val="bottom"/>
          </w:tcPr>
          <w:p>
            <w:pPr>
              <w:spacing w:after="0"/>
              <w:rPr>
                <w:sz w:val="1"/>
                <w:szCs w:val="1"/>
                <w:color w:val="auto"/>
              </w:rPr>
            </w:pP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Bankruptcy Court</w:t>
            </w:r>
          </w:p>
        </w:tc>
        <w:tc>
          <w:tcPr>
            <w:tcW w:w="8500" w:type="dxa"/>
            <w:vAlign w:val="bottom"/>
          </w:tcPr>
          <w:p>
            <w:pPr>
              <w:ind w:left="260"/>
              <w:spacing w:after="0"/>
              <w:rPr>
                <w:sz w:val="20"/>
                <w:szCs w:val="20"/>
                <w:color w:val="auto"/>
              </w:rPr>
            </w:pPr>
            <w:r>
              <w:rPr>
                <w:rFonts w:ascii="Arial" w:cs="Arial" w:eastAsia="Arial" w:hAnsi="Arial"/>
                <w:sz w:val="18"/>
                <w:szCs w:val="18"/>
                <w:color w:val="auto"/>
              </w:rPr>
              <w:t>U.S. Bankruptcy Court for the Northern District of California</w:t>
            </w:r>
          </w:p>
        </w:tc>
        <w:tc>
          <w:tcPr>
            <w:tcW w:w="0" w:type="dxa"/>
            <w:vAlign w:val="bottom"/>
          </w:tcPr>
          <w:p>
            <w:pPr>
              <w:spacing w:after="0"/>
              <w:rPr>
                <w:sz w:val="1"/>
                <w:szCs w:val="1"/>
                <w:color w:val="auto"/>
              </w:rPr>
            </w:pPr>
          </w:p>
        </w:tc>
      </w:tr>
      <w:tr>
        <w:trPr>
          <w:trHeight w:val="256"/>
        </w:trPr>
        <w:tc>
          <w:tcPr>
            <w:tcW w:w="2740" w:type="dxa"/>
            <w:vAlign w:val="bottom"/>
          </w:tcPr>
          <w:p>
            <w:pPr>
              <w:ind w:left="20"/>
              <w:spacing w:after="0"/>
              <w:rPr>
                <w:sz w:val="20"/>
                <w:szCs w:val="20"/>
                <w:color w:val="auto"/>
              </w:rPr>
            </w:pPr>
            <w:r>
              <w:rPr>
                <w:rFonts w:ascii="Arial" w:cs="Arial" w:eastAsia="Arial" w:hAnsi="Arial"/>
                <w:sz w:val="18"/>
                <w:szCs w:val="18"/>
                <w:color w:val="auto"/>
              </w:rPr>
              <w:t>CAFD</w:t>
            </w:r>
          </w:p>
        </w:tc>
        <w:tc>
          <w:tcPr>
            <w:tcW w:w="8500" w:type="dxa"/>
            <w:vAlign w:val="bottom"/>
          </w:tcPr>
          <w:p>
            <w:pPr>
              <w:ind w:left="260"/>
              <w:spacing w:after="0"/>
              <w:rPr>
                <w:sz w:val="20"/>
                <w:szCs w:val="20"/>
                <w:color w:val="auto"/>
              </w:rPr>
            </w:pPr>
            <w:r>
              <w:rPr>
                <w:rFonts w:ascii="Arial" w:cs="Arial" w:eastAsia="Arial" w:hAnsi="Arial"/>
                <w:sz w:val="18"/>
                <w:szCs w:val="18"/>
                <w:color w:val="auto"/>
                <w:w w:val="93"/>
              </w:rPr>
              <w:t>A non-GAAP measure, Cash Available for Distribution is defined as of June 30, 2020 as Adjusted EBITDA plus</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w w:val="92"/>
              </w:rPr>
              <w:t>cash distributions/return of investment from unconsolidated affiliates, adjustments to reflect CAFD generated by</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w w:val="92"/>
              </w:rPr>
              <w:t>unconsolidated investments that were not able to distribute project dividends due to the PG&amp;E Bankruptcy as of</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w w:val="94"/>
              </w:rPr>
              <w:t>June 30, 2020, cash receipts from notes receivable, cash distributions from noncontrolling interests, less cash</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w w:val="97"/>
              </w:rPr>
              <w:t>distributions to noncontrolling interests, maintenance capital expenditures, pro-rata Adjusted EBITDA from</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w w:val="93"/>
              </w:rPr>
              <w:t>unconsolidated affiliates, cash interest paid, income taxes paid, principal amortization of indebtedness, Walnut</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Creek investment payments, and changes in prepaid and accrued capacity payments, and adjusted for</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development expenses</w:t>
            </w:r>
          </w:p>
        </w:tc>
        <w:tc>
          <w:tcPr>
            <w:tcW w:w="0" w:type="dxa"/>
            <w:vAlign w:val="bottom"/>
          </w:tcPr>
          <w:p>
            <w:pPr>
              <w:spacing w:after="0"/>
              <w:rPr>
                <w:sz w:val="1"/>
                <w:szCs w:val="1"/>
                <w:color w:val="auto"/>
              </w:rPr>
            </w:pP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CEG</w:t>
            </w:r>
          </w:p>
        </w:tc>
        <w:tc>
          <w:tcPr>
            <w:tcW w:w="8500" w:type="dxa"/>
            <w:vAlign w:val="bottom"/>
          </w:tcPr>
          <w:p>
            <w:pPr>
              <w:ind w:left="260"/>
              <w:spacing w:after="0"/>
              <w:rPr>
                <w:sz w:val="20"/>
                <w:szCs w:val="20"/>
                <w:color w:val="auto"/>
              </w:rPr>
            </w:pPr>
            <w:r>
              <w:rPr>
                <w:rFonts w:ascii="Arial" w:cs="Arial" w:eastAsia="Arial" w:hAnsi="Arial"/>
                <w:sz w:val="18"/>
                <w:szCs w:val="18"/>
                <w:color w:val="auto"/>
              </w:rPr>
              <w:t>Clearway Energy Group LLC (formerly Zephyr Renewables LLC)</w:t>
            </w:r>
          </w:p>
        </w:tc>
        <w:tc>
          <w:tcPr>
            <w:tcW w:w="0" w:type="dxa"/>
            <w:vAlign w:val="bottom"/>
          </w:tcPr>
          <w:p>
            <w:pPr>
              <w:spacing w:after="0"/>
              <w:rPr>
                <w:sz w:val="1"/>
                <w:szCs w:val="1"/>
                <w:color w:val="auto"/>
              </w:rPr>
            </w:pPr>
          </w:p>
        </w:tc>
      </w:tr>
      <w:tr>
        <w:trPr>
          <w:trHeight w:val="256"/>
        </w:trPr>
        <w:tc>
          <w:tcPr>
            <w:tcW w:w="2740" w:type="dxa"/>
            <w:vAlign w:val="bottom"/>
          </w:tcPr>
          <w:p>
            <w:pPr>
              <w:ind w:left="20"/>
              <w:spacing w:after="0"/>
              <w:rPr>
                <w:sz w:val="20"/>
                <w:szCs w:val="20"/>
                <w:color w:val="auto"/>
              </w:rPr>
            </w:pPr>
            <w:r>
              <w:rPr>
                <w:rFonts w:ascii="Arial" w:cs="Arial" w:eastAsia="Arial" w:hAnsi="Arial"/>
                <w:sz w:val="18"/>
                <w:szCs w:val="18"/>
                <w:color w:val="auto"/>
                <w:w w:val="98"/>
              </w:rPr>
              <w:t>CEG Master Services Agreements</w:t>
            </w:r>
          </w:p>
        </w:tc>
        <w:tc>
          <w:tcPr>
            <w:tcW w:w="8500" w:type="dxa"/>
            <w:vAlign w:val="bottom"/>
          </w:tcPr>
          <w:p>
            <w:pPr>
              <w:ind w:left="260"/>
              <w:spacing w:after="0"/>
              <w:rPr>
                <w:sz w:val="20"/>
                <w:szCs w:val="20"/>
                <w:color w:val="auto"/>
              </w:rPr>
            </w:pPr>
            <w:r>
              <w:rPr>
                <w:rFonts w:ascii="Arial" w:cs="Arial" w:eastAsia="Arial" w:hAnsi="Arial"/>
                <w:sz w:val="18"/>
                <w:szCs w:val="18"/>
                <w:color w:val="auto"/>
                <w:w w:val="93"/>
              </w:rPr>
              <w:t>Master Services Agreements entered into as of August 31, 2018 between the Company, Clearway Energy LLC</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and Clearway Energy Operating LLC, and CEG</w:t>
            </w:r>
          </w:p>
        </w:tc>
        <w:tc>
          <w:tcPr>
            <w:tcW w:w="0" w:type="dxa"/>
            <w:vAlign w:val="bottom"/>
          </w:tcPr>
          <w:p>
            <w:pPr>
              <w:spacing w:after="0"/>
              <w:rPr>
                <w:sz w:val="1"/>
                <w:szCs w:val="1"/>
                <w:color w:val="auto"/>
              </w:rPr>
            </w:pPr>
          </w:p>
        </w:tc>
      </w:tr>
      <w:tr>
        <w:trPr>
          <w:trHeight w:val="256"/>
        </w:trPr>
        <w:tc>
          <w:tcPr>
            <w:tcW w:w="2740" w:type="dxa"/>
            <w:vAlign w:val="bottom"/>
          </w:tcPr>
          <w:p>
            <w:pPr>
              <w:ind w:left="20"/>
              <w:spacing w:after="0"/>
              <w:rPr>
                <w:sz w:val="20"/>
                <w:szCs w:val="20"/>
                <w:color w:val="auto"/>
              </w:rPr>
            </w:pPr>
            <w:r>
              <w:rPr>
                <w:rFonts w:ascii="Arial" w:cs="Arial" w:eastAsia="Arial" w:hAnsi="Arial"/>
                <w:sz w:val="18"/>
                <w:szCs w:val="18"/>
                <w:color w:val="auto"/>
              </w:rPr>
              <w:t>Clearway Energy LLC</w:t>
            </w:r>
          </w:p>
        </w:tc>
        <w:tc>
          <w:tcPr>
            <w:tcW w:w="8500" w:type="dxa"/>
            <w:vAlign w:val="bottom"/>
          </w:tcPr>
          <w:p>
            <w:pPr>
              <w:ind w:left="260"/>
              <w:spacing w:after="0"/>
              <w:rPr>
                <w:sz w:val="20"/>
                <w:szCs w:val="20"/>
                <w:color w:val="auto"/>
              </w:rPr>
            </w:pPr>
            <w:r>
              <w:rPr>
                <w:rFonts w:ascii="Arial" w:cs="Arial" w:eastAsia="Arial" w:hAnsi="Arial"/>
                <w:sz w:val="18"/>
                <w:szCs w:val="18"/>
                <w:color w:val="auto"/>
                <w:w w:val="91"/>
              </w:rPr>
              <w:t>The holding company through which the projects are owned by Clearway Energy Group LLC, the holder of Class</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w w:val="95"/>
              </w:rPr>
              <w:t>B and Class D units of the Company, and Clearway Energy, Inc., the holder of the Class A and Class C units</w:t>
            </w:r>
          </w:p>
        </w:tc>
        <w:tc>
          <w:tcPr>
            <w:tcW w:w="0" w:type="dxa"/>
            <w:vAlign w:val="bottom"/>
          </w:tcPr>
          <w:p>
            <w:pPr>
              <w:spacing w:after="0"/>
              <w:rPr>
                <w:sz w:val="1"/>
                <w:szCs w:val="1"/>
                <w:color w:val="auto"/>
              </w:rPr>
            </w:pPr>
          </w:p>
        </w:tc>
      </w:tr>
      <w:tr>
        <w:trPr>
          <w:trHeight w:val="256"/>
        </w:trPr>
        <w:tc>
          <w:tcPr>
            <w:tcW w:w="2740" w:type="dxa"/>
            <w:vAlign w:val="bottom"/>
          </w:tcPr>
          <w:p>
            <w:pPr>
              <w:ind w:left="20"/>
              <w:spacing w:after="0"/>
              <w:rPr>
                <w:sz w:val="20"/>
                <w:szCs w:val="20"/>
                <w:color w:val="auto"/>
              </w:rPr>
            </w:pPr>
            <w:r>
              <w:rPr>
                <w:rFonts w:ascii="Arial" w:cs="Arial" w:eastAsia="Arial" w:hAnsi="Arial"/>
                <w:sz w:val="18"/>
                <w:szCs w:val="18"/>
                <w:color w:val="auto"/>
              </w:rPr>
              <w:t>Clearway Energy Group LLC</w:t>
            </w:r>
          </w:p>
        </w:tc>
        <w:tc>
          <w:tcPr>
            <w:tcW w:w="8500" w:type="dxa"/>
            <w:vAlign w:val="bottom"/>
          </w:tcPr>
          <w:p>
            <w:pPr>
              <w:ind w:left="260"/>
              <w:spacing w:after="0"/>
              <w:rPr>
                <w:sz w:val="20"/>
                <w:szCs w:val="20"/>
                <w:color w:val="auto"/>
              </w:rPr>
            </w:pPr>
            <w:r>
              <w:rPr>
                <w:rFonts w:ascii="Arial" w:cs="Arial" w:eastAsia="Arial" w:hAnsi="Arial"/>
                <w:sz w:val="18"/>
                <w:szCs w:val="18"/>
                <w:color w:val="auto"/>
                <w:w w:val="95"/>
              </w:rPr>
              <w:t>The holder of the Company's Class B and Class D common shares and Clearway Energy LLC's Class B and</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Class D units</w:t>
            </w:r>
          </w:p>
        </w:tc>
        <w:tc>
          <w:tcPr>
            <w:tcW w:w="0" w:type="dxa"/>
            <w:vAlign w:val="bottom"/>
          </w:tcPr>
          <w:p>
            <w:pPr>
              <w:spacing w:after="0"/>
              <w:rPr>
                <w:sz w:val="1"/>
                <w:szCs w:val="1"/>
                <w:color w:val="auto"/>
              </w:rPr>
            </w:pP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Clearway Energy Operating LLC</w:t>
            </w:r>
          </w:p>
        </w:tc>
        <w:tc>
          <w:tcPr>
            <w:tcW w:w="8500" w:type="dxa"/>
            <w:vAlign w:val="bottom"/>
          </w:tcPr>
          <w:p>
            <w:pPr>
              <w:ind w:left="260"/>
              <w:spacing w:after="0"/>
              <w:rPr>
                <w:sz w:val="20"/>
                <w:szCs w:val="20"/>
                <w:color w:val="auto"/>
              </w:rPr>
            </w:pPr>
            <w:r>
              <w:rPr>
                <w:rFonts w:ascii="Arial" w:cs="Arial" w:eastAsia="Arial" w:hAnsi="Arial"/>
                <w:sz w:val="18"/>
                <w:szCs w:val="18"/>
                <w:color w:val="auto"/>
              </w:rPr>
              <w:t>The holder of the project assets that are owned by Clearway Energy LLC</w:t>
            </w:r>
          </w:p>
        </w:tc>
        <w:tc>
          <w:tcPr>
            <w:tcW w:w="0" w:type="dxa"/>
            <w:vAlign w:val="bottom"/>
          </w:tcPr>
          <w:p>
            <w:pPr>
              <w:spacing w:after="0"/>
              <w:rPr>
                <w:sz w:val="1"/>
                <w:szCs w:val="1"/>
                <w:color w:val="auto"/>
              </w:rPr>
            </w:pP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COD</w:t>
            </w:r>
          </w:p>
        </w:tc>
        <w:tc>
          <w:tcPr>
            <w:tcW w:w="8500" w:type="dxa"/>
            <w:vAlign w:val="bottom"/>
          </w:tcPr>
          <w:p>
            <w:pPr>
              <w:ind w:left="260"/>
              <w:spacing w:after="0"/>
              <w:rPr>
                <w:sz w:val="20"/>
                <w:szCs w:val="20"/>
                <w:color w:val="auto"/>
              </w:rPr>
            </w:pPr>
            <w:r>
              <w:rPr>
                <w:rFonts w:ascii="Arial" w:cs="Arial" w:eastAsia="Arial" w:hAnsi="Arial"/>
                <w:sz w:val="18"/>
                <w:szCs w:val="18"/>
                <w:color w:val="auto"/>
              </w:rPr>
              <w:t>Commercial Operation Date</w:t>
            </w:r>
          </w:p>
        </w:tc>
        <w:tc>
          <w:tcPr>
            <w:tcW w:w="0" w:type="dxa"/>
            <w:vAlign w:val="bottom"/>
          </w:tcPr>
          <w:p>
            <w:pPr>
              <w:spacing w:after="0"/>
              <w:rPr>
                <w:sz w:val="1"/>
                <w:szCs w:val="1"/>
                <w:color w:val="auto"/>
              </w:rPr>
            </w:pP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Company</w:t>
            </w:r>
          </w:p>
        </w:tc>
        <w:tc>
          <w:tcPr>
            <w:tcW w:w="8500" w:type="dxa"/>
            <w:vAlign w:val="bottom"/>
          </w:tcPr>
          <w:p>
            <w:pPr>
              <w:ind w:left="260"/>
              <w:spacing w:after="0"/>
              <w:rPr>
                <w:sz w:val="20"/>
                <w:szCs w:val="20"/>
                <w:color w:val="auto"/>
              </w:rPr>
            </w:pPr>
            <w:r>
              <w:rPr>
                <w:rFonts w:ascii="Arial" w:cs="Arial" w:eastAsia="Arial" w:hAnsi="Arial"/>
                <w:sz w:val="18"/>
                <w:szCs w:val="18"/>
                <w:color w:val="auto"/>
              </w:rPr>
              <w:t>Clearway Energy, Inc. together with its consolidated subsidiaries</w:t>
            </w:r>
          </w:p>
        </w:tc>
        <w:tc>
          <w:tcPr>
            <w:tcW w:w="0" w:type="dxa"/>
            <w:vAlign w:val="bottom"/>
          </w:tcPr>
          <w:p>
            <w:pPr>
              <w:spacing w:after="0"/>
              <w:rPr>
                <w:sz w:val="1"/>
                <w:szCs w:val="1"/>
                <w:color w:val="auto"/>
              </w:rPr>
            </w:pP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CVSR</w:t>
            </w:r>
          </w:p>
        </w:tc>
        <w:tc>
          <w:tcPr>
            <w:tcW w:w="8500" w:type="dxa"/>
            <w:vAlign w:val="bottom"/>
          </w:tcPr>
          <w:p>
            <w:pPr>
              <w:ind w:left="260"/>
              <w:spacing w:after="0"/>
              <w:rPr>
                <w:sz w:val="20"/>
                <w:szCs w:val="20"/>
                <w:color w:val="auto"/>
              </w:rPr>
            </w:pPr>
            <w:r>
              <w:rPr>
                <w:rFonts w:ascii="Arial" w:cs="Arial" w:eastAsia="Arial" w:hAnsi="Arial"/>
                <w:sz w:val="18"/>
                <w:szCs w:val="18"/>
                <w:color w:val="auto"/>
              </w:rPr>
              <w:t>California Valley Solar Ranch</w:t>
            </w:r>
          </w:p>
        </w:tc>
        <w:tc>
          <w:tcPr>
            <w:tcW w:w="0" w:type="dxa"/>
            <w:vAlign w:val="bottom"/>
          </w:tcPr>
          <w:p>
            <w:pPr>
              <w:spacing w:after="0"/>
              <w:rPr>
                <w:sz w:val="1"/>
                <w:szCs w:val="1"/>
                <w:color w:val="auto"/>
              </w:rPr>
            </w:pP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CVSR Holdco</w:t>
            </w:r>
          </w:p>
        </w:tc>
        <w:tc>
          <w:tcPr>
            <w:tcW w:w="8500" w:type="dxa"/>
            <w:vAlign w:val="bottom"/>
          </w:tcPr>
          <w:p>
            <w:pPr>
              <w:ind w:left="260"/>
              <w:spacing w:after="0"/>
              <w:rPr>
                <w:sz w:val="20"/>
                <w:szCs w:val="20"/>
                <w:color w:val="auto"/>
              </w:rPr>
            </w:pPr>
            <w:r>
              <w:rPr>
                <w:rFonts w:ascii="Arial" w:cs="Arial" w:eastAsia="Arial" w:hAnsi="Arial"/>
                <w:sz w:val="18"/>
                <w:szCs w:val="18"/>
                <w:color w:val="auto"/>
              </w:rPr>
              <w:t>CVSR Holdco LLC, the indirect owner of CVSR</w:t>
            </w:r>
          </w:p>
        </w:tc>
        <w:tc>
          <w:tcPr>
            <w:tcW w:w="0" w:type="dxa"/>
            <w:vAlign w:val="bottom"/>
          </w:tcPr>
          <w:p>
            <w:pPr>
              <w:spacing w:after="0"/>
              <w:rPr>
                <w:sz w:val="1"/>
                <w:szCs w:val="1"/>
                <w:color w:val="auto"/>
              </w:rPr>
            </w:pP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DGPV Holdco 1</w:t>
            </w:r>
          </w:p>
        </w:tc>
        <w:tc>
          <w:tcPr>
            <w:tcW w:w="8500" w:type="dxa"/>
            <w:vAlign w:val="bottom"/>
          </w:tcPr>
          <w:p>
            <w:pPr>
              <w:ind w:left="260"/>
              <w:spacing w:after="0"/>
              <w:rPr>
                <w:sz w:val="20"/>
                <w:szCs w:val="20"/>
                <w:color w:val="auto"/>
              </w:rPr>
            </w:pPr>
            <w:r>
              <w:rPr>
                <w:rFonts w:ascii="Arial" w:cs="Arial" w:eastAsia="Arial" w:hAnsi="Arial"/>
                <w:sz w:val="18"/>
                <w:szCs w:val="18"/>
                <w:color w:val="auto"/>
              </w:rPr>
              <w:t>DGPV Holdco 1 LLC</w:t>
            </w:r>
          </w:p>
        </w:tc>
        <w:tc>
          <w:tcPr>
            <w:tcW w:w="0" w:type="dxa"/>
            <w:vAlign w:val="bottom"/>
          </w:tcPr>
          <w:p>
            <w:pPr>
              <w:spacing w:after="0"/>
              <w:rPr>
                <w:sz w:val="1"/>
                <w:szCs w:val="1"/>
                <w:color w:val="auto"/>
              </w:rPr>
            </w:pP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DGPV Holdco 2</w:t>
            </w:r>
          </w:p>
        </w:tc>
        <w:tc>
          <w:tcPr>
            <w:tcW w:w="8500" w:type="dxa"/>
            <w:vAlign w:val="bottom"/>
          </w:tcPr>
          <w:p>
            <w:pPr>
              <w:ind w:left="260"/>
              <w:spacing w:after="0"/>
              <w:rPr>
                <w:sz w:val="20"/>
                <w:szCs w:val="20"/>
                <w:color w:val="auto"/>
              </w:rPr>
            </w:pPr>
            <w:r>
              <w:rPr>
                <w:rFonts w:ascii="Arial" w:cs="Arial" w:eastAsia="Arial" w:hAnsi="Arial"/>
                <w:sz w:val="18"/>
                <w:szCs w:val="18"/>
                <w:color w:val="auto"/>
              </w:rPr>
              <w:t>DGPV Holdco 2 LLC</w:t>
            </w:r>
          </w:p>
        </w:tc>
        <w:tc>
          <w:tcPr>
            <w:tcW w:w="0" w:type="dxa"/>
            <w:vAlign w:val="bottom"/>
          </w:tcPr>
          <w:p>
            <w:pPr>
              <w:spacing w:after="0"/>
              <w:rPr>
                <w:sz w:val="1"/>
                <w:szCs w:val="1"/>
                <w:color w:val="auto"/>
              </w:rPr>
            </w:pP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DGPV Holdco 3</w:t>
            </w:r>
          </w:p>
        </w:tc>
        <w:tc>
          <w:tcPr>
            <w:tcW w:w="8500" w:type="dxa"/>
            <w:vAlign w:val="bottom"/>
          </w:tcPr>
          <w:p>
            <w:pPr>
              <w:ind w:left="260"/>
              <w:spacing w:after="0"/>
              <w:rPr>
                <w:sz w:val="20"/>
                <w:szCs w:val="20"/>
                <w:color w:val="auto"/>
              </w:rPr>
            </w:pPr>
            <w:r>
              <w:rPr>
                <w:rFonts w:ascii="Arial" w:cs="Arial" w:eastAsia="Arial" w:hAnsi="Arial"/>
                <w:sz w:val="18"/>
                <w:szCs w:val="18"/>
                <w:color w:val="auto"/>
              </w:rPr>
              <w:t>DGPV Holdco 3 LLC</w:t>
            </w:r>
          </w:p>
        </w:tc>
        <w:tc>
          <w:tcPr>
            <w:tcW w:w="0" w:type="dxa"/>
            <w:vAlign w:val="bottom"/>
          </w:tcPr>
          <w:p>
            <w:pPr>
              <w:spacing w:after="0"/>
              <w:rPr>
                <w:sz w:val="1"/>
                <w:szCs w:val="1"/>
                <w:color w:val="auto"/>
              </w:rPr>
            </w:pPr>
          </w:p>
        </w:tc>
      </w:tr>
      <w:tr>
        <w:trPr>
          <w:trHeight w:val="661"/>
        </w:trPr>
        <w:tc>
          <w:tcPr>
            <w:tcW w:w="2740" w:type="dxa"/>
            <w:vAlign w:val="bottom"/>
          </w:tcPr>
          <w:p>
            <w:pPr>
              <w:spacing w:after="0"/>
              <w:rPr>
                <w:sz w:val="24"/>
                <w:szCs w:val="24"/>
                <w:color w:val="auto"/>
              </w:rPr>
            </w:pPr>
          </w:p>
        </w:tc>
        <w:tc>
          <w:tcPr>
            <w:tcW w:w="8500" w:type="dxa"/>
            <w:vAlign w:val="bottom"/>
          </w:tcPr>
          <w:p>
            <w:pPr>
              <w:ind w:left="2840"/>
              <w:spacing w:after="0"/>
              <w:rPr>
                <w:sz w:val="20"/>
                <w:szCs w:val="20"/>
                <w:color w:val="auto"/>
              </w:rPr>
            </w:pPr>
            <w:r>
              <w:rPr>
                <w:rFonts w:ascii="Arial" w:cs="Arial" w:eastAsia="Arial" w:hAnsi="Arial"/>
                <w:sz w:val="18"/>
                <w:szCs w:val="18"/>
                <w:color w:val="231F20"/>
              </w:rPr>
              <w:t>4</w:t>
            </w:r>
          </w:p>
        </w:tc>
        <w:tc>
          <w:tcPr>
            <w:tcW w:w="0" w:type="dxa"/>
            <w:vAlign w:val="bottom"/>
          </w:tcPr>
          <w:p>
            <w:pPr>
              <w:spacing w:after="0"/>
              <w:rPr>
                <w:sz w:val="1"/>
                <w:szCs w:val="1"/>
                <w:color w:val="auto"/>
              </w:rPr>
            </w:pPr>
          </w:p>
        </w:tc>
      </w:tr>
      <w:tr>
        <w:trPr>
          <w:trHeight w:val="358"/>
        </w:trPr>
        <w:tc>
          <w:tcPr>
            <w:tcW w:w="2740" w:type="dxa"/>
            <w:vAlign w:val="bottom"/>
            <w:tcBorders>
              <w:bottom w:val="single" w:sz="8" w:color="9A9A9A"/>
            </w:tcBorders>
          </w:tcPr>
          <w:p>
            <w:pPr>
              <w:spacing w:after="0"/>
              <w:rPr>
                <w:sz w:val="24"/>
                <w:szCs w:val="24"/>
                <w:color w:val="auto"/>
              </w:rPr>
            </w:pPr>
          </w:p>
        </w:tc>
        <w:tc>
          <w:tcPr>
            <w:tcW w:w="8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2660" w:type="dxa"/>
            <w:vAlign w:val="bottom"/>
          </w:tcPr>
          <w:p>
            <w:pPr>
              <w:ind w:left="20"/>
              <w:spacing w:after="0"/>
              <w:rPr>
                <w:sz w:val="20"/>
                <w:szCs w:val="20"/>
                <w:color w:val="auto"/>
              </w:rPr>
            </w:pPr>
            <w:r>
              <w:rPr>
                <w:rFonts w:ascii="Arial" w:cs="Arial" w:eastAsia="Arial" w:hAnsi="Arial"/>
                <w:sz w:val="18"/>
                <w:szCs w:val="18"/>
                <w:color w:val="auto"/>
              </w:rPr>
              <w:t>Distributed Solar</w:t>
            </w:r>
          </w:p>
        </w:tc>
        <w:tc>
          <w:tcPr>
            <w:tcW w:w="8580" w:type="dxa"/>
            <w:vAlign w:val="bottom"/>
          </w:tcPr>
          <w:p>
            <w:pPr>
              <w:ind w:left="340"/>
              <w:spacing w:after="0"/>
              <w:rPr>
                <w:sz w:val="20"/>
                <w:szCs w:val="20"/>
                <w:color w:val="auto"/>
              </w:rPr>
            </w:pPr>
            <w:r>
              <w:rPr>
                <w:rFonts w:ascii="Arial" w:cs="Arial" w:eastAsia="Arial" w:hAnsi="Arial"/>
                <w:sz w:val="18"/>
                <w:szCs w:val="18"/>
                <w:color w:val="auto"/>
                <w:w w:val="97"/>
              </w:rPr>
              <w:t>Solar power projects, typically less than 20 MW in size, that primarily sell power produced to customers for</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usage on site, or are interconnected to sell power into the local distribution grid</w:t>
            </w:r>
          </w:p>
        </w:tc>
        <w:tc>
          <w:tcPr>
            <w:tcW w:w="0" w:type="dxa"/>
            <w:vAlign w:val="bottom"/>
          </w:tcPr>
          <w:p>
            <w:pPr>
              <w:spacing w:after="0"/>
              <w:rPr>
                <w:sz w:val="1"/>
                <w:szCs w:val="1"/>
                <w:color w:val="auto"/>
              </w:rPr>
            </w:pPr>
          </w:p>
        </w:tc>
      </w:tr>
      <w:tr>
        <w:trPr>
          <w:trHeight w:val="256"/>
        </w:trPr>
        <w:tc>
          <w:tcPr>
            <w:tcW w:w="2660" w:type="dxa"/>
            <w:vAlign w:val="bottom"/>
          </w:tcPr>
          <w:p>
            <w:pPr>
              <w:ind w:left="20"/>
              <w:spacing w:after="0"/>
              <w:rPr>
                <w:sz w:val="20"/>
                <w:szCs w:val="20"/>
                <w:color w:val="auto"/>
              </w:rPr>
            </w:pPr>
            <w:r>
              <w:rPr>
                <w:rFonts w:ascii="Arial" w:cs="Arial" w:eastAsia="Arial" w:hAnsi="Arial"/>
                <w:sz w:val="18"/>
                <w:szCs w:val="18"/>
                <w:color w:val="auto"/>
              </w:rPr>
              <w:t>Drop Down Assets</w:t>
            </w:r>
          </w:p>
        </w:tc>
        <w:tc>
          <w:tcPr>
            <w:tcW w:w="8580" w:type="dxa"/>
            <w:vAlign w:val="bottom"/>
          </w:tcPr>
          <w:p>
            <w:pPr>
              <w:ind w:left="340"/>
              <w:spacing w:after="0"/>
              <w:rPr>
                <w:sz w:val="20"/>
                <w:szCs w:val="20"/>
                <w:color w:val="auto"/>
              </w:rPr>
            </w:pPr>
            <w:r>
              <w:rPr>
                <w:rFonts w:ascii="Arial" w:cs="Arial" w:eastAsia="Arial" w:hAnsi="Arial"/>
                <w:sz w:val="18"/>
                <w:szCs w:val="18"/>
                <w:color w:val="auto"/>
                <w:w w:val="94"/>
              </w:rPr>
              <w:t>Collectively, assets under common control acquired by the Company from NRG from January 1, 2014 through</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w w:val="91"/>
              </w:rPr>
              <w:t>the period ended August 31, 2018 and from CEG from August 31, 2018 through the period ending June 30, 2020</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Economic Gross Margin</w:t>
            </w:r>
          </w:p>
        </w:tc>
        <w:tc>
          <w:tcPr>
            <w:tcW w:w="8580" w:type="dxa"/>
            <w:vAlign w:val="bottom"/>
          </w:tcPr>
          <w:p>
            <w:pPr>
              <w:ind w:left="340"/>
              <w:spacing w:after="0"/>
              <w:rPr>
                <w:sz w:val="20"/>
                <w:szCs w:val="20"/>
                <w:color w:val="auto"/>
              </w:rPr>
            </w:pPr>
            <w:r>
              <w:rPr>
                <w:rFonts w:ascii="Arial" w:cs="Arial" w:eastAsia="Arial" w:hAnsi="Arial"/>
                <w:sz w:val="18"/>
                <w:szCs w:val="18"/>
                <w:color w:val="auto"/>
              </w:rPr>
              <w:t>A non-GAAP measure, energy and capacity revenue less cost of fuels</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ECP</w:t>
            </w:r>
          </w:p>
        </w:tc>
        <w:tc>
          <w:tcPr>
            <w:tcW w:w="8580" w:type="dxa"/>
            <w:vAlign w:val="bottom"/>
          </w:tcPr>
          <w:p>
            <w:pPr>
              <w:ind w:left="340"/>
              <w:spacing w:after="0"/>
              <w:rPr>
                <w:sz w:val="20"/>
                <w:szCs w:val="20"/>
                <w:color w:val="auto"/>
              </w:rPr>
            </w:pPr>
            <w:r>
              <w:rPr>
                <w:rFonts w:ascii="Arial" w:cs="Arial" w:eastAsia="Arial" w:hAnsi="Arial"/>
                <w:sz w:val="18"/>
                <w:szCs w:val="18"/>
                <w:color w:val="auto"/>
              </w:rPr>
              <w:t>Energy Center Pittsburgh LLC, a subsidiary of the Company</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EPA</w:t>
            </w:r>
          </w:p>
        </w:tc>
        <w:tc>
          <w:tcPr>
            <w:tcW w:w="8580" w:type="dxa"/>
            <w:vAlign w:val="bottom"/>
          </w:tcPr>
          <w:p>
            <w:pPr>
              <w:ind w:left="340"/>
              <w:spacing w:after="0"/>
              <w:rPr>
                <w:sz w:val="20"/>
                <w:szCs w:val="20"/>
                <w:color w:val="auto"/>
              </w:rPr>
            </w:pPr>
            <w:r>
              <w:rPr>
                <w:rFonts w:ascii="Arial" w:cs="Arial" w:eastAsia="Arial" w:hAnsi="Arial"/>
                <w:sz w:val="18"/>
                <w:szCs w:val="18"/>
                <w:color w:val="auto"/>
              </w:rPr>
              <w:t>U.S. Environmental Protection Agency</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Exchange Act</w:t>
            </w:r>
          </w:p>
        </w:tc>
        <w:tc>
          <w:tcPr>
            <w:tcW w:w="8580" w:type="dxa"/>
            <w:vAlign w:val="bottom"/>
          </w:tcPr>
          <w:p>
            <w:pPr>
              <w:ind w:left="340"/>
              <w:spacing w:after="0"/>
              <w:rPr>
                <w:sz w:val="20"/>
                <w:szCs w:val="20"/>
                <w:color w:val="auto"/>
              </w:rPr>
            </w:pPr>
            <w:r>
              <w:rPr>
                <w:rFonts w:ascii="Arial" w:cs="Arial" w:eastAsia="Arial" w:hAnsi="Arial"/>
                <w:sz w:val="18"/>
                <w:szCs w:val="18"/>
                <w:color w:val="auto"/>
              </w:rPr>
              <w:t>The Securities Exchange Act of 1934, as amended</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FASB</w:t>
            </w:r>
          </w:p>
        </w:tc>
        <w:tc>
          <w:tcPr>
            <w:tcW w:w="8580" w:type="dxa"/>
            <w:vAlign w:val="bottom"/>
          </w:tcPr>
          <w:p>
            <w:pPr>
              <w:ind w:left="340"/>
              <w:spacing w:after="0"/>
              <w:rPr>
                <w:sz w:val="20"/>
                <w:szCs w:val="20"/>
                <w:color w:val="auto"/>
              </w:rPr>
            </w:pPr>
            <w:r>
              <w:rPr>
                <w:rFonts w:ascii="Arial" w:cs="Arial" w:eastAsia="Arial" w:hAnsi="Arial"/>
                <w:sz w:val="18"/>
                <w:szCs w:val="18"/>
                <w:color w:val="auto"/>
              </w:rPr>
              <w:t>Financial Accounting Standards Board</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GAAP</w:t>
            </w:r>
          </w:p>
        </w:tc>
        <w:tc>
          <w:tcPr>
            <w:tcW w:w="8580" w:type="dxa"/>
            <w:vAlign w:val="bottom"/>
          </w:tcPr>
          <w:p>
            <w:pPr>
              <w:ind w:left="340"/>
              <w:spacing w:after="0"/>
              <w:rPr>
                <w:sz w:val="20"/>
                <w:szCs w:val="20"/>
                <w:color w:val="auto"/>
              </w:rPr>
            </w:pPr>
            <w:r>
              <w:rPr>
                <w:rFonts w:ascii="Arial" w:cs="Arial" w:eastAsia="Arial" w:hAnsi="Arial"/>
                <w:sz w:val="18"/>
                <w:szCs w:val="18"/>
                <w:color w:val="auto"/>
              </w:rPr>
              <w:t>Accounting principles generally accepted in the U.S.</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GenConn</w:t>
            </w:r>
          </w:p>
        </w:tc>
        <w:tc>
          <w:tcPr>
            <w:tcW w:w="8580" w:type="dxa"/>
            <w:vAlign w:val="bottom"/>
          </w:tcPr>
          <w:p>
            <w:pPr>
              <w:ind w:left="340"/>
              <w:spacing w:after="0"/>
              <w:rPr>
                <w:sz w:val="20"/>
                <w:szCs w:val="20"/>
                <w:color w:val="auto"/>
              </w:rPr>
            </w:pPr>
            <w:r>
              <w:rPr>
                <w:rFonts w:ascii="Arial" w:cs="Arial" w:eastAsia="Arial" w:hAnsi="Arial"/>
                <w:sz w:val="18"/>
                <w:szCs w:val="18"/>
                <w:color w:val="auto"/>
              </w:rPr>
              <w:t>GenConn Energy LLC</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GIP</w:t>
            </w:r>
          </w:p>
        </w:tc>
        <w:tc>
          <w:tcPr>
            <w:tcW w:w="8580" w:type="dxa"/>
            <w:vAlign w:val="bottom"/>
            <w:vMerge w:val="restart"/>
          </w:tcPr>
          <w:p>
            <w:pPr>
              <w:ind w:left="340"/>
              <w:spacing w:after="0"/>
              <w:rPr>
                <w:sz w:val="20"/>
                <w:szCs w:val="20"/>
                <w:color w:val="auto"/>
              </w:rPr>
            </w:pPr>
            <w:r>
              <w:rPr>
                <w:rFonts w:ascii="Arial" w:cs="Arial" w:eastAsia="Arial" w:hAnsi="Arial"/>
                <w:sz w:val="18"/>
                <w:szCs w:val="18"/>
                <w:color w:val="auto"/>
                <w:w w:val="94"/>
              </w:rPr>
              <w:t>Collectively, Global Infrastructure Partners III-C Intermediate AIV 3, L.P., Global Infrastructure Partners III-A/B</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85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660" w:type="dxa"/>
            <w:vAlign w:val="bottom"/>
          </w:tcPr>
          <w:p>
            <w:pPr>
              <w:spacing w:after="0"/>
              <w:rPr>
                <w:sz w:val="15"/>
                <w:szCs w:val="15"/>
                <w:color w:val="auto"/>
              </w:rPr>
            </w:pPr>
          </w:p>
        </w:tc>
        <w:tc>
          <w:tcPr>
            <w:tcW w:w="8580" w:type="dxa"/>
            <w:vAlign w:val="bottom"/>
          </w:tcPr>
          <w:p>
            <w:pPr>
              <w:ind w:left="340"/>
              <w:spacing w:after="0" w:line="176" w:lineRule="exact"/>
              <w:rPr>
                <w:sz w:val="20"/>
                <w:szCs w:val="20"/>
                <w:color w:val="auto"/>
              </w:rPr>
            </w:pPr>
            <w:r>
              <w:rPr>
                <w:rFonts w:ascii="Arial" w:cs="Arial" w:eastAsia="Arial" w:hAnsi="Arial"/>
                <w:sz w:val="18"/>
                <w:szCs w:val="18"/>
                <w:color w:val="auto"/>
                <w:w w:val="95"/>
              </w:rPr>
              <w:t>AIV 3, L.P., Global Infrastructure Partners III-C Intermediate AIV 2, L.P., Global Infrastructure Partners III-C2</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Intermediate AIV, L.P. and GIP III Zephyr Friends &amp; Family, LLC</w:t>
            </w:r>
          </w:p>
        </w:tc>
        <w:tc>
          <w:tcPr>
            <w:tcW w:w="0" w:type="dxa"/>
            <w:vAlign w:val="bottom"/>
          </w:tcPr>
          <w:p>
            <w:pPr>
              <w:spacing w:after="0"/>
              <w:rPr>
                <w:sz w:val="1"/>
                <w:szCs w:val="1"/>
                <w:color w:val="auto"/>
              </w:rPr>
            </w:pPr>
          </w:p>
        </w:tc>
      </w:tr>
      <w:tr>
        <w:trPr>
          <w:trHeight w:val="323"/>
        </w:trPr>
        <w:tc>
          <w:tcPr>
            <w:tcW w:w="2660" w:type="dxa"/>
            <w:vAlign w:val="bottom"/>
          </w:tcPr>
          <w:p>
            <w:pPr>
              <w:ind w:left="20"/>
              <w:spacing w:after="0"/>
              <w:rPr>
                <w:sz w:val="20"/>
                <w:szCs w:val="20"/>
                <w:color w:val="auto"/>
              </w:rPr>
            </w:pPr>
            <w:r>
              <w:rPr>
                <w:rFonts w:ascii="Arial" w:cs="Arial" w:eastAsia="Arial" w:hAnsi="Arial"/>
                <w:sz w:val="18"/>
                <w:szCs w:val="18"/>
                <w:color w:val="auto"/>
              </w:rPr>
              <w:t>GIP Transaction</w:t>
            </w:r>
          </w:p>
        </w:tc>
        <w:tc>
          <w:tcPr>
            <w:tcW w:w="8580" w:type="dxa"/>
            <w:vAlign w:val="bottom"/>
            <w:vMerge w:val="restart"/>
          </w:tcPr>
          <w:p>
            <w:pPr>
              <w:ind w:left="340"/>
              <w:spacing w:after="0"/>
              <w:rPr>
                <w:sz w:val="20"/>
                <w:szCs w:val="20"/>
                <w:color w:val="auto"/>
              </w:rPr>
            </w:pPr>
            <w:r>
              <w:rPr>
                <w:rFonts w:ascii="Arial" w:cs="Arial" w:eastAsia="Arial" w:hAnsi="Arial"/>
                <w:sz w:val="18"/>
                <w:szCs w:val="18"/>
                <w:color w:val="auto"/>
                <w:w w:val="92"/>
              </w:rPr>
              <w:t>On August 31, 2018, NRG transferred its full ownership interest in the Company to Clearway Energy Group LLC</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85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660" w:type="dxa"/>
            <w:vAlign w:val="bottom"/>
          </w:tcPr>
          <w:p>
            <w:pPr>
              <w:spacing w:after="0"/>
              <w:rPr>
                <w:sz w:val="15"/>
                <w:szCs w:val="15"/>
                <w:color w:val="auto"/>
              </w:rPr>
            </w:pPr>
          </w:p>
        </w:tc>
        <w:tc>
          <w:tcPr>
            <w:tcW w:w="8580" w:type="dxa"/>
            <w:vAlign w:val="bottom"/>
          </w:tcPr>
          <w:p>
            <w:pPr>
              <w:ind w:left="340"/>
              <w:spacing w:after="0" w:line="176" w:lineRule="exact"/>
              <w:rPr>
                <w:sz w:val="20"/>
                <w:szCs w:val="20"/>
                <w:color w:val="auto"/>
              </w:rPr>
            </w:pPr>
            <w:r>
              <w:rPr>
                <w:rFonts w:ascii="Arial" w:cs="Arial" w:eastAsia="Arial" w:hAnsi="Arial"/>
                <w:sz w:val="18"/>
                <w:szCs w:val="18"/>
                <w:color w:val="auto"/>
                <w:w w:val="94"/>
              </w:rPr>
              <w:t>and subsequently sold 100% of its interests in Clearway Energy Group LLC, which includes NRG's renewable</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8580" w:type="dxa"/>
            <w:vAlign w:val="bottom"/>
          </w:tcPr>
          <w:p>
            <w:pPr>
              <w:ind w:left="340"/>
              <w:spacing w:after="0" w:line="176" w:lineRule="exact"/>
              <w:rPr>
                <w:sz w:val="20"/>
                <w:szCs w:val="20"/>
                <w:color w:val="auto"/>
              </w:rPr>
            </w:pPr>
            <w:r>
              <w:rPr>
                <w:rFonts w:ascii="Arial" w:cs="Arial" w:eastAsia="Arial" w:hAnsi="Arial"/>
                <w:sz w:val="18"/>
                <w:szCs w:val="18"/>
                <w:color w:val="auto"/>
                <w:w w:val="91"/>
              </w:rPr>
              <w:t>energy development and operations platform, to an affiliate of GIP. GIP, NRG and the Company also entered into</w:t>
            </w: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8580" w:type="dxa"/>
            <w:vAlign w:val="bottom"/>
          </w:tcPr>
          <w:p>
            <w:pPr>
              <w:ind w:left="340"/>
              <w:spacing w:after="0" w:line="176" w:lineRule="exact"/>
              <w:rPr>
                <w:sz w:val="20"/>
                <w:szCs w:val="20"/>
                <w:color w:val="auto"/>
              </w:rPr>
            </w:pPr>
            <w:r>
              <w:rPr>
                <w:rFonts w:ascii="Arial" w:cs="Arial" w:eastAsia="Arial" w:hAnsi="Arial"/>
                <w:sz w:val="18"/>
                <w:szCs w:val="18"/>
                <w:color w:val="auto"/>
                <w:w w:val="93"/>
              </w:rPr>
              <w:t>a consent and indemnity agreement in connection with the purchase and sale agreement, which was signed on</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February 6, 2018</w:t>
            </w:r>
          </w:p>
        </w:tc>
        <w:tc>
          <w:tcPr>
            <w:tcW w:w="0" w:type="dxa"/>
            <w:vAlign w:val="bottom"/>
          </w:tcPr>
          <w:p>
            <w:pPr>
              <w:spacing w:after="0"/>
              <w:rPr>
                <w:sz w:val="1"/>
                <w:szCs w:val="1"/>
                <w:color w:val="auto"/>
              </w:rPr>
            </w:pPr>
          </w:p>
        </w:tc>
      </w:tr>
      <w:tr>
        <w:trPr>
          <w:trHeight w:val="323"/>
        </w:trPr>
        <w:tc>
          <w:tcPr>
            <w:tcW w:w="2660" w:type="dxa"/>
            <w:vAlign w:val="bottom"/>
          </w:tcPr>
          <w:p>
            <w:pPr>
              <w:ind w:left="20"/>
              <w:spacing w:after="0"/>
              <w:rPr>
                <w:sz w:val="20"/>
                <w:szCs w:val="20"/>
                <w:color w:val="auto"/>
              </w:rPr>
            </w:pPr>
            <w:r>
              <w:rPr>
                <w:rFonts w:ascii="Arial" w:cs="Arial" w:eastAsia="Arial" w:hAnsi="Arial"/>
                <w:sz w:val="18"/>
                <w:szCs w:val="18"/>
                <w:color w:val="auto"/>
              </w:rPr>
              <w:t>HLBV</w:t>
            </w:r>
          </w:p>
        </w:tc>
        <w:tc>
          <w:tcPr>
            <w:tcW w:w="8580" w:type="dxa"/>
            <w:vAlign w:val="bottom"/>
          </w:tcPr>
          <w:p>
            <w:pPr>
              <w:ind w:left="340"/>
              <w:spacing w:after="0"/>
              <w:rPr>
                <w:sz w:val="20"/>
                <w:szCs w:val="20"/>
                <w:color w:val="auto"/>
              </w:rPr>
            </w:pPr>
            <w:r>
              <w:rPr>
                <w:rFonts w:ascii="Arial" w:cs="Arial" w:eastAsia="Arial" w:hAnsi="Arial"/>
                <w:sz w:val="18"/>
                <w:szCs w:val="18"/>
                <w:color w:val="auto"/>
              </w:rPr>
              <w:t>Hypothetical Liquidation at Book Value</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LIBOR</w:t>
            </w:r>
          </w:p>
        </w:tc>
        <w:tc>
          <w:tcPr>
            <w:tcW w:w="8580" w:type="dxa"/>
            <w:vAlign w:val="bottom"/>
          </w:tcPr>
          <w:p>
            <w:pPr>
              <w:ind w:left="340"/>
              <w:spacing w:after="0"/>
              <w:rPr>
                <w:sz w:val="20"/>
                <w:szCs w:val="20"/>
                <w:color w:val="auto"/>
              </w:rPr>
            </w:pPr>
            <w:r>
              <w:rPr>
                <w:rFonts w:ascii="Arial" w:cs="Arial" w:eastAsia="Arial" w:hAnsi="Arial"/>
                <w:sz w:val="18"/>
                <w:szCs w:val="18"/>
                <w:color w:val="auto"/>
              </w:rPr>
              <w:t>London Inter-Bank Offered Rate</w:t>
            </w:r>
          </w:p>
        </w:tc>
        <w:tc>
          <w:tcPr>
            <w:tcW w:w="0" w:type="dxa"/>
            <w:vAlign w:val="bottom"/>
          </w:tcPr>
          <w:p>
            <w:pPr>
              <w:spacing w:after="0"/>
              <w:rPr>
                <w:sz w:val="1"/>
                <w:szCs w:val="1"/>
                <w:color w:val="auto"/>
              </w:rPr>
            </w:pPr>
          </w:p>
        </w:tc>
      </w:tr>
      <w:tr>
        <w:trPr>
          <w:trHeight w:val="256"/>
        </w:trPr>
        <w:tc>
          <w:tcPr>
            <w:tcW w:w="2660" w:type="dxa"/>
            <w:vAlign w:val="bottom"/>
          </w:tcPr>
          <w:p>
            <w:pPr>
              <w:ind w:left="20"/>
              <w:spacing w:after="0"/>
              <w:rPr>
                <w:sz w:val="20"/>
                <w:szCs w:val="20"/>
                <w:color w:val="auto"/>
              </w:rPr>
            </w:pPr>
            <w:r>
              <w:rPr>
                <w:rFonts w:ascii="Arial" w:cs="Arial" w:eastAsia="Arial" w:hAnsi="Arial"/>
                <w:sz w:val="18"/>
                <w:szCs w:val="18"/>
                <w:color w:val="auto"/>
              </w:rPr>
              <w:t>March 2017 Drop Down Assets</w:t>
            </w:r>
          </w:p>
        </w:tc>
        <w:tc>
          <w:tcPr>
            <w:tcW w:w="8580" w:type="dxa"/>
            <w:vAlign w:val="bottom"/>
          </w:tcPr>
          <w:p>
            <w:pPr>
              <w:ind w:left="340"/>
              <w:spacing w:after="0"/>
              <w:rPr>
                <w:sz w:val="20"/>
                <w:szCs w:val="20"/>
                <w:color w:val="auto"/>
              </w:rPr>
            </w:pPr>
            <w:r>
              <w:rPr>
                <w:rFonts w:ascii="Arial" w:cs="Arial" w:eastAsia="Arial" w:hAnsi="Arial"/>
                <w:sz w:val="18"/>
                <w:szCs w:val="18"/>
                <w:color w:val="auto"/>
                <w:w w:val="95"/>
              </w:rPr>
              <w:t>(i) Agua Caliente Borrower 2 LLC, which owns a 16% interest (approximately 31% of NRG's 51% interest) in</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w w:val="95"/>
              </w:rPr>
              <w:t>the Agua Caliente solar farm and (ii) NRG's 100% ownership in the Class A equity interests in the Utah Solar</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Portfolio (defined below), both acquired by the Company on March 27, 2017</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MMBtu</w:t>
            </w:r>
          </w:p>
        </w:tc>
        <w:tc>
          <w:tcPr>
            <w:tcW w:w="8580" w:type="dxa"/>
            <w:vAlign w:val="bottom"/>
          </w:tcPr>
          <w:p>
            <w:pPr>
              <w:ind w:left="340"/>
              <w:spacing w:after="0"/>
              <w:rPr>
                <w:sz w:val="20"/>
                <w:szCs w:val="20"/>
                <w:color w:val="auto"/>
              </w:rPr>
            </w:pPr>
            <w:r>
              <w:rPr>
                <w:rFonts w:ascii="Arial" w:cs="Arial" w:eastAsia="Arial" w:hAnsi="Arial"/>
                <w:sz w:val="18"/>
                <w:szCs w:val="18"/>
                <w:color w:val="auto"/>
              </w:rPr>
              <w:t>Million British Thermal Units</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MW</w:t>
            </w:r>
          </w:p>
        </w:tc>
        <w:tc>
          <w:tcPr>
            <w:tcW w:w="8580" w:type="dxa"/>
            <w:vAlign w:val="bottom"/>
          </w:tcPr>
          <w:p>
            <w:pPr>
              <w:ind w:left="340"/>
              <w:spacing w:after="0"/>
              <w:rPr>
                <w:sz w:val="20"/>
                <w:szCs w:val="20"/>
                <w:color w:val="auto"/>
              </w:rPr>
            </w:pPr>
            <w:r>
              <w:rPr>
                <w:rFonts w:ascii="Arial" w:cs="Arial" w:eastAsia="Arial" w:hAnsi="Arial"/>
                <w:sz w:val="18"/>
                <w:szCs w:val="18"/>
                <w:color w:val="auto"/>
              </w:rPr>
              <w:t>Megawatts</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MWh</w:t>
            </w:r>
          </w:p>
        </w:tc>
        <w:tc>
          <w:tcPr>
            <w:tcW w:w="8580" w:type="dxa"/>
            <w:vAlign w:val="bottom"/>
          </w:tcPr>
          <w:p>
            <w:pPr>
              <w:ind w:left="340"/>
              <w:spacing w:after="0"/>
              <w:rPr>
                <w:sz w:val="20"/>
                <w:szCs w:val="20"/>
                <w:color w:val="auto"/>
              </w:rPr>
            </w:pPr>
            <w:r>
              <w:rPr>
                <w:rFonts w:ascii="Arial" w:cs="Arial" w:eastAsia="Arial" w:hAnsi="Arial"/>
                <w:sz w:val="18"/>
                <w:szCs w:val="18"/>
                <w:color w:val="auto"/>
              </w:rPr>
              <w:t>Saleable megawatt hours, net of internal/parasitic load megawatt-hours</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MWt</w:t>
            </w:r>
          </w:p>
        </w:tc>
        <w:tc>
          <w:tcPr>
            <w:tcW w:w="8580" w:type="dxa"/>
            <w:vAlign w:val="bottom"/>
          </w:tcPr>
          <w:p>
            <w:pPr>
              <w:ind w:left="340"/>
              <w:spacing w:after="0"/>
              <w:rPr>
                <w:sz w:val="20"/>
                <w:szCs w:val="20"/>
                <w:color w:val="auto"/>
              </w:rPr>
            </w:pPr>
            <w:r>
              <w:rPr>
                <w:rFonts w:ascii="Arial" w:cs="Arial" w:eastAsia="Arial" w:hAnsi="Arial"/>
                <w:sz w:val="18"/>
                <w:szCs w:val="18"/>
                <w:color w:val="auto"/>
              </w:rPr>
              <w:t>Megawatts Thermal Equivalent</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Net Exposure</w:t>
            </w:r>
          </w:p>
        </w:tc>
        <w:tc>
          <w:tcPr>
            <w:tcW w:w="8580" w:type="dxa"/>
            <w:vAlign w:val="bottom"/>
          </w:tcPr>
          <w:p>
            <w:pPr>
              <w:ind w:left="340"/>
              <w:spacing w:after="0"/>
              <w:rPr>
                <w:sz w:val="20"/>
                <w:szCs w:val="20"/>
                <w:color w:val="auto"/>
              </w:rPr>
            </w:pPr>
            <w:r>
              <w:rPr>
                <w:rFonts w:ascii="Arial" w:cs="Arial" w:eastAsia="Arial" w:hAnsi="Arial"/>
                <w:sz w:val="18"/>
                <w:szCs w:val="18"/>
                <w:color w:val="auto"/>
              </w:rPr>
              <w:t>Counterparty credit exposure to Clearway Energy, Inc. net of collateral</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NOLs</w:t>
            </w:r>
          </w:p>
        </w:tc>
        <w:tc>
          <w:tcPr>
            <w:tcW w:w="8580" w:type="dxa"/>
            <w:vAlign w:val="bottom"/>
          </w:tcPr>
          <w:p>
            <w:pPr>
              <w:ind w:left="340"/>
              <w:spacing w:after="0"/>
              <w:rPr>
                <w:sz w:val="20"/>
                <w:szCs w:val="20"/>
                <w:color w:val="auto"/>
              </w:rPr>
            </w:pPr>
            <w:r>
              <w:rPr>
                <w:rFonts w:ascii="Arial" w:cs="Arial" w:eastAsia="Arial" w:hAnsi="Arial"/>
                <w:sz w:val="18"/>
                <w:szCs w:val="18"/>
                <w:color w:val="auto"/>
              </w:rPr>
              <w:t>Net Operating Losses</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NPPD</w:t>
            </w:r>
          </w:p>
        </w:tc>
        <w:tc>
          <w:tcPr>
            <w:tcW w:w="8580" w:type="dxa"/>
            <w:vAlign w:val="bottom"/>
          </w:tcPr>
          <w:p>
            <w:pPr>
              <w:ind w:left="340"/>
              <w:spacing w:after="0"/>
              <w:rPr>
                <w:sz w:val="20"/>
                <w:szCs w:val="20"/>
                <w:color w:val="auto"/>
              </w:rPr>
            </w:pPr>
            <w:r>
              <w:rPr>
                <w:rFonts w:ascii="Arial" w:cs="Arial" w:eastAsia="Arial" w:hAnsi="Arial"/>
                <w:sz w:val="18"/>
                <w:szCs w:val="18"/>
                <w:color w:val="auto"/>
              </w:rPr>
              <w:t>Nebraska Public Power District</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NRG</w:t>
            </w:r>
          </w:p>
        </w:tc>
        <w:tc>
          <w:tcPr>
            <w:tcW w:w="8580" w:type="dxa"/>
            <w:vAlign w:val="bottom"/>
          </w:tcPr>
          <w:p>
            <w:pPr>
              <w:ind w:left="340"/>
              <w:spacing w:after="0"/>
              <w:rPr>
                <w:sz w:val="20"/>
                <w:szCs w:val="20"/>
                <w:color w:val="auto"/>
              </w:rPr>
            </w:pPr>
            <w:r>
              <w:rPr>
                <w:rFonts w:ascii="Arial" w:cs="Arial" w:eastAsia="Arial" w:hAnsi="Arial"/>
                <w:sz w:val="18"/>
                <w:szCs w:val="18"/>
                <w:color w:val="auto"/>
              </w:rPr>
              <w:t>NRG Energy, Inc.</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NRG TSA</w:t>
            </w:r>
          </w:p>
        </w:tc>
        <w:tc>
          <w:tcPr>
            <w:tcW w:w="8580" w:type="dxa"/>
            <w:vAlign w:val="bottom"/>
          </w:tcPr>
          <w:p>
            <w:pPr>
              <w:ind w:left="340"/>
              <w:spacing w:after="0"/>
              <w:rPr>
                <w:sz w:val="20"/>
                <w:szCs w:val="20"/>
                <w:color w:val="auto"/>
              </w:rPr>
            </w:pPr>
            <w:r>
              <w:rPr>
                <w:rFonts w:ascii="Arial" w:cs="Arial" w:eastAsia="Arial" w:hAnsi="Arial"/>
                <w:sz w:val="18"/>
                <w:szCs w:val="18"/>
                <w:color w:val="auto"/>
              </w:rPr>
              <w:t>Transition Services Agreement, dated as of August 31, 2018, by and between NRG and the Company</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OCL</w:t>
            </w:r>
          </w:p>
        </w:tc>
        <w:tc>
          <w:tcPr>
            <w:tcW w:w="8580" w:type="dxa"/>
            <w:vAlign w:val="bottom"/>
          </w:tcPr>
          <w:p>
            <w:pPr>
              <w:ind w:left="340"/>
              <w:spacing w:after="0"/>
              <w:rPr>
                <w:sz w:val="20"/>
                <w:szCs w:val="20"/>
                <w:color w:val="auto"/>
              </w:rPr>
            </w:pPr>
            <w:r>
              <w:rPr>
                <w:rFonts w:ascii="Arial" w:cs="Arial" w:eastAsia="Arial" w:hAnsi="Arial"/>
                <w:sz w:val="18"/>
                <w:szCs w:val="18"/>
                <w:color w:val="auto"/>
              </w:rPr>
              <w:t>Other comprehensive loss</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O&amp;M</w:t>
            </w:r>
          </w:p>
        </w:tc>
        <w:tc>
          <w:tcPr>
            <w:tcW w:w="8580" w:type="dxa"/>
            <w:vAlign w:val="bottom"/>
          </w:tcPr>
          <w:p>
            <w:pPr>
              <w:ind w:left="340"/>
              <w:spacing w:after="0"/>
              <w:rPr>
                <w:sz w:val="20"/>
                <w:szCs w:val="20"/>
                <w:color w:val="auto"/>
              </w:rPr>
            </w:pPr>
            <w:r>
              <w:rPr>
                <w:rFonts w:ascii="Arial" w:cs="Arial" w:eastAsia="Arial" w:hAnsi="Arial"/>
                <w:sz w:val="18"/>
                <w:szCs w:val="18"/>
                <w:color w:val="auto"/>
              </w:rPr>
              <w:t>Operation and Maintenance</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PG&amp;E</w:t>
            </w:r>
          </w:p>
        </w:tc>
        <w:tc>
          <w:tcPr>
            <w:tcW w:w="8580" w:type="dxa"/>
            <w:vAlign w:val="bottom"/>
          </w:tcPr>
          <w:p>
            <w:pPr>
              <w:ind w:left="340"/>
              <w:spacing w:after="0"/>
              <w:rPr>
                <w:sz w:val="20"/>
                <w:szCs w:val="20"/>
                <w:color w:val="auto"/>
              </w:rPr>
            </w:pPr>
            <w:r>
              <w:rPr>
                <w:rFonts w:ascii="Arial" w:cs="Arial" w:eastAsia="Arial" w:hAnsi="Arial"/>
                <w:sz w:val="18"/>
                <w:szCs w:val="18"/>
                <w:color w:val="auto"/>
              </w:rPr>
              <w:t>Pacific Gas and Electric Company</w:t>
            </w:r>
          </w:p>
        </w:tc>
        <w:tc>
          <w:tcPr>
            <w:tcW w:w="0" w:type="dxa"/>
            <w:vAlign w:val="bottom"/>
          </w:tcPr>
          <w:p>
            <w:pPr>
              <w:spacing w:after="0"/>
              <w:rPr>
                <w:sz w:val="1"/>
                <w:szCs w:val="1"/>
                <w:color w:val="auto"/>
              </w:rPr>
            </w:pPr>
          </w:p>
        </w:tc>
      </w:tr>
      <w:tr>
        <w:trPr>
          <w:trHeight w:val="256"/>
        </w:trPr>
        <w:tc>
          <w:tcPr>
            <w:tcW w:w="2660" w:type="dxa"/>
            <w:vAlign w:val="bottom"/>
          </w:tcPr>
          <w:p>
            <w:pPr>
              <w:ind w:left="20"/>
              <w:spacing w:after="0"/>
              <w:rPr>
                <w:sz w:val="20"/>
                <w:szCs w:val="20"/>
                <w:color w:val="auto"/>
              </w:rPr>
            </w:pPr>
            <w:r>
              <w:rPr>
                <w:rFonts w:ascii="Arial" w:cs="Arial" w:eastAsia="Arial" w:hAnsi="Arial"/>
                <w:sz w:val="18"/>
                <w:szCs w:val="18"/>
                <w:color w:val="auto"/>
              </w:rPr>
              <w:t>PG&amp;E Bankruptcy</w:t>
            </w:r>
          </w:p>
        </w:tc>
        <w:tc>
          <w:tcPr>
            <w:tcW w:w="8580" w:type="dxa"/>
            <w:vAlign w:val="bottom"/>
          </w:tcPr>
          <w:p>
            <w:pPr>
              <w:ind w:left="340"/>
              <w:spacing w:after="0"/>
              <w:rPr>
                <w:sz w:val="20"/>
                <w:szCs w:val="20"/>
                <w:color w:val="auto"/>
              </w:rPr>
            </w:pPr>
            <w:r>
              <w:rPr>
                <w:rFonts w:ascii="Arial" w:cs="Arial" w:eastAsia="Arial" w:hAnsi="Arial"/>
                <w:sz w:val="18"/>
                <w:szCs w:val="18"/>
                <w:color w:val="auto"/>
                <w:w w:val="96"/>
              </w:rPr>
              <w:t>On January 29, 2019, PG&amp;E Corporation and Pacific Gas and Electric Company filed voluntary petitions for</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w w:val="95"/>
              </w:rPr>
              <w:t>relief under the Bankruptcy Code in the Bankruptcy Court. On July 1, 2020, PG&amp;E emerged from bankruptcy</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PPA</w:t>
            </w:r>
          </w:p>
        </w:tc>
        <w:tc>
          <w:tcPr>
            <w:tcW w:w="8580" w:type="dxa"/>
            <w:vAlign w:val="bottom"/>
          </w:tcPr>
          <w:p>
            <w:pPr>
              <w:ind w:left="340"/>
              <w:spacing w:after="0"/>
              <w:rPr>
                <w:sz w:val="20"/>
                <w:szCs w:val="20"/>
                <w:color w:val="auto"/>
              </w:rPr>
            </w:pPr>
            <w:r>
              <w:rPr>
                <w:rFonts w:ascii="Arial" w:cs="Arial" w:eastAsia="Arial" w:hAnsi="Arial"/>
                <w:sz w:val="18"/>
                <w:szCs w:val="18"/>
                <w:color w:val="auto"/>
              </w:rPr>
              <w:t>Power Purchase Agreement</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PTC</w:t>
            </w:r>
          </w:p>
        </w:tc>
        <w:tc>
          <w:tcPr>
            <w:tcW w:w="8580" w:type="dxa"/>
            <w:vAlign w:val="bottom"/>
          </w:tcPr>
          <w:p>
            <w:pPr>
              <w:ind w:left="340"/>
              <w:spacing w:after="0"/>
              <w:rPr>
                <w:sz w:val="20"/>
                <w:szCs w:val="20"/>
                <w:color w:val="auto"/>
              </w:rPr>
            </w:pPr>
            <w:r>
              <w:rPr>
                <w:rFonts w:ascii="Arial" w:cs="Arial" w:eastAsia="Arial" w:hAnsi="Arial"/>
                <w:sz w:val="18"/>
                <w:szCs w:val="18"/>
                <w:color w:val="auto"/>
              </w:rPr>
              <w:t>Production Tax Credit</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RENOM</w:t>
            </w:r>
          </w:p>
        </w:tc>
        <w:tc>
          <w:tcPr>
            <w:tcW w:w="8580" w:type="dxa"/>
            <w:vAlign w:val="bottom"/>
          </w:tcPr>
          <w:p>
            <w:pPr>
              <w:ind w:left="340"/>
              <w:spacing w:after="0"/>
              <w:rPr>
                <w:sz w:val="20"/>
                <w:szCs w:val="20"/>
                <w:color w:val="auto"/>
              </w:rPr>
            </w:pPr>
            <w:r>
              <w:rPr>
                <w:rFonts w:ascii="Arial" w:cs="Arial" w:eastAsia="Arial" w:hAnsi="Arial"/>
                <w:sz w:val="18"/>
                <w:szCs w:val="18"/>
                <w:color w:val="auto"/>
              </w:rPr>
              <w:t>Clearway Renewable Operation &amp; Maintenance LLC</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RPV Holdco</w:t>
            </w:r>
          </w:p>
        </w:tc>
        <w:tc>
          <w:tcPr>
            <w:tcW w:w="8580" w:type="dxa"/>
            <w:vAlign w:val="bottom"/>
          </w:tcPr>
          <w:p>
            <w:pPr>
              <w:ind w:left="340"/>
              <w:spacing w:after="0"/>
              <w:rPr>
                <w:sz w:val="20"/>
                <w:szCs w:val="20"/>
                <w:color w:val="auto"/>
              </w:rPr>
            </w:pPr>
            <w:r>
              <w:rPr>
                <w:rFonts w:ascii="Arial" w:cs="Arial" w:eastAsia="Arial" w:hAnsi="Arial"/>
                <w:sz w:val="18"/>
                <w:szCs w:val="18"/>
                <w:color w:val="auto"/>
              </w:rPr>
              <w:t>RPV Holdco 1 LLC</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RTO</w:t>
            </w:r>
          </w:p>
        </w:tc>
        <w:tc>
          <w:tcPr>
            <w:tcW w:w="8580" w:type="dxa"/>
            <w:vAlign w:val="bottom"/>
          </w:tcPr>
          <w:p>
            <w:pPr>
              <w:ind w:left="340"/>
              <w:spacing w:after="0"/>
              <w:rPr>
                <w:sz w:val="20"/>
                <w:szCs w:val="20"/>
                <w:color w:val="auto"/>
              </w:rPr>
            </w:pPr>
            <w:r>
              <w:rPr>
                <w:rFonts w:ascii="Arial" w:cs="Arial" w:eastAsia="Arial" w:hAnsi="Arial"/>
                <w:sz w:val="18"/>
                <w:szCs w:val="18"/>
                <w:color w:val="auto"/>
              </w:rPr>
              <w:t>Regional Transmission Organization</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SEC</w:t>
            </w:r>
          </w:p>
        </w:tc>
        <w:tc>
          <w:tcPr>
            <w:tcW w:w="8580" w:type="dxa"/>
            <w:vAlign w:val="bottom"/>
          </w:tcPr>
          <w:p>
            <w:pPr>
              <w:ind w:left="340"/>
              <w:spacing w:after="0"/>
              <w:rPr>
                <w:sz w:val="20"/>
                <w:szCs w:val="20"/>
                <w:color w:val="auto"/>
              </w:rPr>
            </w:pPr>
            <w:r>
              <w:rPr>
                <w:rFonts w:ascii="Arial" w:cs="Arial" w:eastAsia="Arial" w:hAnsi="Arial"/>
                <w:sz w:val="18"/>
                <w:szCs w:val="18"/>
                <w:color w:val="auto"/>
              </w:rPr>
              <w:t>U.S. Securities and Exchange Commission</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8580" w:type="dxa"/>
            <w:vAlign w:val="bottom"/>
          </w:tcPr>
          <w:p>
            <w:pPr>
              <w:ind w:left="340"/>
              <w:spacing w:after="0"/>
              <w:rPr>
                <w:sz w:val="20"/>
                <w:szCs w:val="20"/>
                <w:color w:val="auto"/>
              </w:rPr>
            </w:pPr>
            <w:r>
              <w:rPr>
                <w:rFonts w:ascii="Arial" w:cs="Arial" w:eastAsia="Arial" w:hAnsi="Arial"/>
                <w:sz w:val="18"/>
                <w:szCs w:val="18"/>
                <w:color w:val="auto"/>
              </w:rPr>
              <w:t>Collectively, the 2025 Senior Notes, the 2026 Senior Notes and the 2028 Senior Notes</w:t>
            </w:r>
          </w:p>
        </w:tc>
        <w:tc>
          <w:tcPr>
            <w:tcW w:w="0" w:type="dxa"/>
            <w:vAlign w:val="bottom"/>
          </w:tcPr>
          <w:p>
            <w:pPr>
              <w:spacing w:after="0"/>
              <w:rPr>
                <w:sz w:val="1"/>
                <w:szCs w:val="1"/>
                <w:color w:val="auto"/>
              </w:rPr>
            </w:pPr>
          </w:p>
        </w:tc>
      </w:tr>
      <w:tr>
        <w:trPr>
          <w:trHeight w:val="661"/>
        </w:trPr>
        <w:tc>
          <w:tcPr>
            <w:tcW w:w="2660" w:type="dxa"/>
            <w:vAlign w:val="bottom"/>
          </w:tcPr>
          <w:p>
            <w:pPr>
              <w:spacing w:after="0"/>
              <w:rPr>
                <w:sz w:val="24"/>
                <w:szCs w:val="24"/>
                <w:color w:val="auto"/>
              </w:rPr>
            </w:pPr>
          </w:p>
        </w:tc>
        <w:tc>
          <w:tcPr>
            <w:tcW w:w="8580" w:type="dxa"/>
            <w:vAlign w:val="bottom"/>
          </w:tcPr>
          <w:p>
            <w:pPr>
              <w:ind w:left="2920"/>
              <w:spacing w:after="0"/>
              <w:rPr>
                <w:sz w:val="20"/>
                <w:szCs w:val="20"/>
                <w:color w:val="auto"/>
              </w:rPr>
            </w:pPr>
            <w:r>
              <w:rPr>
                <w:rFonts w:ascii="Arial" w:cs="Arial" w:eastAsia="Arial" w:hAnsi="Arial"/>
                <w:sz w:val="18"/>
                <w:szCs w:val="18"/>
                <w:color w:val="231F20"/>
              </w:rPr>
              <w:t>5</w:t>
            </w:r>
          </w:p>
        </w:tc>
        <w:tc>
          <w:tcPr>
            <w:tcW w:w="0" w:type="dxa"/>
            <w:vAlign w:val="bottom"/>
          </w:tcPr>
          <w:p>
            <w:pPr>
              <w:spacing w:after="0"/>
              <w:rPr>
                <w:sz w:val="1"/>
                <w:szCs w:val="1"/>
                <w:color w:val="auto"/>
              </w:rPr>
            </w:pPr>
          </w:p>
        </w:tc>
      </w:tr>
      <w:tr>
        <w:trPr>
          <w:trHeight w:val="358"/>
        </w:trPr>
        <w:tc>
          <w:tcPr>
            <w:tcW w:w="2660" w:type="dxa"/>
            <w:vAlign w:val="bottom"/>
            <w:tcBorders>
              <w:bottom w:val="single" w:sz="8" w:color="9A9A9A"/>
            </w:tcBorders>
          </w:tcPr>
          <w:p>
            <w:pPr>
              <w:spacing w:after="0"/>
              <w:rPr>
                <w:sz w:val="24"/>
                <w:szCs w:val="24"/>
                <w:color w:val="auto"/>
              </w:rPr>
            </w:pPr>
          </w:p>
        </w:tc>
        <w:tc>
          <w:tcPr>
            <w:tcW w:w="8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2380" w:type="dxa"/>
            <w:vAlign w:val="bottom"/>
          </w:tcPr>
          <w:p>
            <w:pPr>
              <w:ind w:left="20"/>
              <w:spacing w:after="0"/>
              <w:rPr>
                <w:sz w:val="20"/>
                <w:szCs w:val="20"/>
                <w:color w:val="auto"/>
              </w:rPr>
            </w:pPr>
            <w:r>
              <w:rPr>
                <w:rFonts w:ascii="Arial" w:cs="Arial" w:eastAsia="Arial" w:hAnsi="Arial"/>
                <w:sz w:val="18"/>
                <w:szCs w:val="18"/>
                <w:color w:val="auto"/>
              </w:rPr>
              <w:t>SPP</w:t>
            </w:r>
          </w:p>
        </w:tc>
        <w:tc>
          <w:tcPr>
            <w:tcW w:w="8860" w:type="dxa"/>
            <w:vAlign w:val="bottom"/>
          </w:tcPr>
          <w:p>
            <w:pPr>
              <w:ind w:left="620"/>
              <w:spacing w:after="0"/>
              <w:rPr>
                <w:sz w:val="20"/>
                <w:szCs w:val="20"/>
                <w:color w:val="auto"/>
              </w:rPr>
            </w:pPr>
            <w:r>
              <w:rPr>
                <w:rFonts w:ascii="Arial" w:cs="Arial" w:eastAsia="Arial" w:hAnsi="Arial"/>
                <w:sz w:val="18"/>
                <w:szCs w:val="18"/>
                <w:color w:val="auto"/>
              </w:rPr>
              <w:t>Solar Power Partners</w:t>
            </w:r>
          </w:p>
        </w:tc>
      </w:tr>
      <w:tr>
        <w:trPr>
          <w:trHeight w:val="270"/>
        </w:trPr>
        <w:tc>
          <w:tcPr>
            <w:tcW w:w="2380" w:type="dxa"/>
            <w:vAlign w:val="bottom"/>
          </w:tcPr>
          <w:p>
            <w:pPr>
              <w:ind w:left="20"/>
              <w:spacing w:after="0"/>
              <w:rPr>
                <w:sz w:val="20"/>
                <w:szCs w:val="20"/>
                <w:color w:val="auto"/>
              </w:rPr>
            </w:pPr>
            <w:r>
              <w:rPr>
                <w:rFonts w:ascii="Arial" w:cs="Arial" w:eastAsia="Arial" w:hAnsi="Arial"/>
                <w:sz w:val="18"/>
                <w:szCs w:val="18"/>
                <w:color w:val="auto"/>
              </w:rPr>
              <w:t>Tax Act</w:t>
            </w:r>
          </w:p>
        </w:tc>
        <w:tc>
          <w:tcPr>
            <w:tcW w:w="8860" w:type="dxa"/>
            <w:vAlign w:val="bottom"/>
          </w:tcPr>
          <w:p>
            <w:pPr>
              <w:ind w:left="620"/>
              <w:spacing w:after="0"/>
              <w:rPr>
                <w:sz w:val="20"/>
                <w:szCs w:val="20"/>
                <w:color w:val="auto"/>
              </w:rPr>
            </w:pPr>
            <w:r>
              <w:rPr>
                <w:rFonts w:ascii="Arial" w:cs="Arial" w:eastAsia="Arial" w:hAnsi="Arial"/>
                <w:sz w:val="18"/>
                <w:szCs w:val="18"/>
                <w:color w:val="auto"/>
              </w:rPr>
              <w:t>Tax Cuts and Jobs Act of 2017</w:t>
            </w:r>
          </w:p>
        </w:tc>
      </w:tr>
      <w:tr>
        <w:trPr>
          <w:trHeight w:val="256"/>
        </w:trPr>
        <w:tc>
          <w:tcPr>
            <w:tcW w:w="2380" w:type="dxa"/>
            <w:vAlign w:val="bottom"/>
          </w:tcPr>
          <w:p>
            <w:pPr>
              <w:ind w:left="20"/>
              <w:spacing w:after="0"/>
              <w:rPr>
                <w:sz w:val="20"/>
                <w:szCs w:val="20"/>
                <w:color w:val="auto"/>
              </w:rPr>
            </w:pPr>
            <w:r>
              <w:rPr>
                <w:rFonts w:ascii="Arial" w:cs="Arial" w:eastAsia="Arial" w:hAnsi="Arial"/>
                <w:sz w:val="18"/>
                <w:szCs w:val="18"/>
                <w:color w:val="auto"/>
              </w:rPr>
              <w:t>Thermal Business</w:t>
            </w:r>
          </w:p>
        </w:tc>
        <w:tc>
          <w:tcPr>
            <w:tcW w:w="8860" w:type="dxa"/>
            <w:vAlign w:val="bottom"/>
          </w:tcPr>
          <w:p>
            <w:pPr>
              <w:ind w:left="620"/>
              <w:spacing w:after="0"/>
              <w:rPr>
                <w:sz w:val="20"/>
                <w:szCs w:val="20"/>
                <w:color w:val="auto"/>
              </w:rPr>
            </w:pPr>
            <w:r>
              <w:rPr>
                <w:rFonts w:ascii="Arial" w:cs="Arial" w:eastAsia="Arial" w:hAnsi="Arial"/>
                <w:sz w:val="18"/>
                <w:szCs w:val="18"/>
                <w:color w:val="auto"/>
                <w:w w:val="93"/>
              </w:rPr>
              <w:t>The Company's thermal business, which consists of thermal infrastructure assets that provide steam, hot water</w:t>
            </w:r>
          </w:p>
        </w:tc>
      </w:tr>
      <w:tr>
        <w:trPr>
          <w:trHeight w:val="216"/>
        </w:trPr>
        <w:tc>
          <w:tcPr>
            <w:tcW w:w="2380" w:type="dxa"/>
            <w:vAlign w:val="bottom"/>
          </w:tcPr>
          <w:p>
            <w:pPr>
              <w:spacing w:after="0"/>
              <w:rPr>
                <w:sz w:val="18"/>
                <w:szCs w:val="18"/>
                <w:color w:val="auto"/>
              </w:rPr>
            </w:pPr>
          </w:p>
        </w:tc>
        <w:tc>
          <w:tcPr>
            <w:tcW w:w="8860" w:type="dxa"/>
            <w:vAlign w:val="bottom"/>
          </w:tcPr>
          <w:p>
            <w:pPr>
              <w:ind w:left="620"/>
              <w:spacing w:after="0"/>
              <w:rPr>
                <w:sz w:val="20"/>
                <w:szCs w:val="20"/>
                <w:color w:val="auto"/>
              </w:rPr>
            </w:pPr>
            <w:r>
              <w:rPr>
                <w:rFonts w:ascii="Arial" w:cs="Arial" w:eastAsia="Arial" w:hAnsi="Arial"/>
                <w:sz w:val="18"/>
                <w:szCs w:val="18"/>
                <w:color w:val="auto"/>
                <w:w w:val="95"/>
              </w:rPr>
              <w:t>and/or chilled water, and in some instances electricity, to commercial businesses, universities, hospitals and</w:t>
            </w:r>
          </w:p>
        </w:tc>
      </w:tr>
      <w:tr>
        <w:trPr>
          <w:trHeight w:val="230"/>
        </w:trPr>
        <w:tc>
          <w:tcPr>
            <w:tcW w:w="2380" w:type="dxa"/>
            <w:vAlign w:val="bottom"/>
          </w:tcPr>
          <w:p>
            <w:pPr>
              <w:spacing w:after="0"/>
              <w:rPr>
                <w:sz w:val="20"/>
                <w:szCs w:val="20"/>
                <w:color w:val="auto"/>
              </w:rPr>
            </w:pPr>
          </w:p>
        </w:tc>
        <w:tc>
          <w:tcPr>
            <w:tcW w:w="8860" w:type="dxa"/>
            <w:vAlign w:val="bottom"/>
          </w:tcPr>
          <w:p>
            <w:pPr>
              <w:ind w:left="620"/>
              <w:spacing w:after="0"/>
              <w:rPr>
                <w:sz w:val="20"/>
                <w:szCs w:val="20"/>
                <w:color w:val="auto"/>
              </w:rPr>
            </w:pPr>
            <w:r>
              <w:rPr>
                <w:rFonts w:ascii="Arial" w:cs="Arial" w:eastAsia="Arial" w:hAnsi="Arial"/>
                <w:sz w:val="18"/>
                <w:szCs w:val="18"/>
                <w:color w:val="auto"/>
              </w:rPr>
              <w:t>governmental units</w:t>
            </w:r>
          </w:p>
        </w:tc>
      </w:tr>
      <w:tr>
        <w:trPr>
          <w:trHeight w:val="270"/>
        </w:trPr>
        <w:tc>
          <w:tcPr>
            <w:tcW w:w="2380" w:type="dxa"/>
            <w:vAlign w:val="bottom"/>
          </w:tcPr>
          <w:p>
            <w:pPr>
              <w:ind w:left="20"/>
              <w:spacing w:after="0"/>
              <w:rPr>
                <w:sz w:val="20"/>
                <w:szCs w:val="20"/>
                <w:color w:val="auto"/>
              </w:rPr>
            </w:pPr>
            <w:r>
              <w:rPr>
                <w:rFonts w:ascii="Arial" w:cs="Arial" w:eastAsia="Arial" w:hAnsi="Arial"/>
                <w:sz w:val="18"/>
                <w:szCs w:val="18"/>
                <w:color w:val="auto"/>
              </w:rPr>
              <w:t>TSA</w:t>
            </w:r>
          </w:p>
        </w:tc>
        <w:tc>
          <w:tcPr>
            <w:tcW w:w="8860" w:type="dxa"/>
            <w:vAlign w:val="bottom"/>
          </w:tcPr>
          <w:p>
            <w:pPr>
              <w:ind w:left="620"/>
              <w:spacing w:after="0"/>
              <w:rPr>
                <w:sz w:val="20"/>
                <w:szCs w:val="20"/>
                <w:color w:val="auto"/>
              </w:rPr>
            </w:pPr>
            <w:r>
              <w:rPr>
                <w:rFonts w:ascii="Arial" w:cs="Arial" w:eastAsia="Arial" w:hAnsi="Arial"/>
                <w:sz w:val="18"/>
                <w:szCs w:val="18"/>
                <w:color w:val="auto"/>
              </w:rPr>
              <w:t>Transition Services Agreement</w:t>
            </w:r>
          </w:p>
        </w:tc>
      </w:tr>
      <w:tr>
        <w:trPr>
          <w:trHeight w:val="256"/>
        </w:trPr>
        <w:tc>
          <w:tcPr>
            <w:tcW w:w="2380" w:type="dxa"/>
            <w:vAlign w:val="bottom"/>
          </w:tcPr>
          <w:p>
            <w:pPr>
              <w:ind w:left="20"/>
              <w:spacing w:after="0"/>
              <w:rPr>
                <w:sz w:val="20"/>
                <w:szCs w:val="20"/>
                <w:color w:val="auto"/>
              </w:rPr>
            </w:pPr>
            <w:r>
              <w:rPr>
                <w:rFonts w:ascii="Arial" w:cs="Arial" w:eastAsia="Arial" w:hAnsi="Arial"/>
                <w:sz w:val="18"/>
                <w:szCs w:val="18"/>
                <w:color w:val="auto"/>
              </w:rPr>
              <w:t>UPMC Thermal Project</w:t>
            </w:r>
          </w:p>
        </w:tc>
        <w:tc>
          <w:tcPr>
            <w:tcW w:w="8860" w:type="dxa"/>
            <w:vAlign w:val="bottom"/>
          </w:tcPr>
          <w:p>
            <w:pPr>
              <w:ind w:left="620"/>
              <w:spacing w:after="0"/>
              <w:rPr>
                <w:sz w:val="20"/>
                <w:szCs w:val="20"/>
                <w:color w:val="auto"/>
              </w:rPr>
            </w:pPr>
            <w:r>
              <w:rPr>
                <w:rFonts w:ascii="Arial" w:cs="Arial" w:eastAsia="Arial" w:hAnsi="Arial"/>
                <w:sz w:val="18"/>
                <w:szCs w:val="18"/>
                <w:color w:val="auto"/>
                <w:w w:val="93"/>
              </w:rPr>
              <w:t>The University of Pittsburgh Medical Center Thermal Project, a 73 MWt district energy system that allows ECP</w:t>
            </w:r>
          </w:p>
        </w:tc>
      </w:tr>
      <w:tr>
        <w:trPr>
          <w:trHeight w:val="230"/>
        </w:trPr>
        <w:tc>
          <w:tcPr>
            <w:tcW w:w="2380" w:type="dxa"/>
            <w:vAlign w:val="bottom"/>
          </w:tcPr>
          <w:p>
            <w:pPr>
              <w:spacing w:after="0"/>
              <w:rPr>
                <w:sz w:val="20"/>
                <w:szCs w:val="20"/>
                <w:color w:val="auto"/>
              </w:rPr>
            </w:pPr>
          </w:p>
        </w:tc>
        <w:tc>
          <w:tcPr>
            <w:tcW w:w="8860" w:type="dxa"/>
            <w:vAlign w:val="bottom"/>
          </w:tcPr>
          <w:p>
            <w:pPr>
              <w:ind w:left="620"/>
              <w:spacing w:after="0"/>
              <w:rPr>
                <w:sz w:val="20"/>
                <w:szCs w:val="20"/>
                <w:color w:val="auto"/>
              </w:rPr>
            </w:pPr>
            <w:r>
              <w:rPr>
                <w:rFonts w:ascii="Arial" w:cs="Arial" w:eastAsia="Arial" w:hAnsi="Arial"/>
                <w:sz w:val="18"/>
                <w:szCs w:val="18"/>
                <w:color w:val="auto"/>
              </w:rPr>
              <w:t>to provide steam, chilled water and 7.5 MW of emergency backup power service to UPMC</w:t>
            </w:r>
          </w:p>
        </w:tc>
      </w:tr>
      <w:tr>
        <w:trPr>
          <w:trHeight w:val="270"/>
        </w:trPr>
        <w:tc>
          <w:tcPr>
            <w:tcW w:w="2380" w:type="dxa"/>
            <w:vAlign w:val="bottom"/>
          </w:tcPr>
          <w:p>
            <w:pPr>
              <w:ind w:left="20"/>
              <w:spacing w:after="0"/>
              <w:rPr>
                <w:sz w:val="20"/>
                <w:szCs w:val="20"/>
                <w:color w:val="auto"/>
              </w:rPr>
            </w:pPr>
            <w:r>
              <w:rPr>
                <w:rFonts w:ascii="Arial" w:cs="Arial" w:eastAsia="Arial" w:hAnsi="Arial"/>
                <w:sz w:val="18"/>
                <w:szCs w:val="18"/>
                <w:color w:val="auto"/>
              </w:rPr>
              <w:t>U.S.</w:t>
            </w:r>
          </w:p>
        </w:tc>
        <w:tc>
          <w:tcPr>
            <w:tcW w:w="8860" w:type="dxa"/>
            <w:vAlign w:val="bottom"/>
          </w:tcPr>
          <w:p>
            <w:pPr>
              <w:ind w:left="620"/>
              <w:spacing w:after="0"/>
              <w:rPr>
                <w:sz w:val="20"/>
                <w:szCs w:val="20"/>
                <w:color w:val="auto"/>
              </w:rPr>
            </w:pPr>
            <w:r>
              <w:rPr>
                <w:rFonts w:ascii="Arial" w:cs="Arial" w:eastAsia="Arial" w:hAnsi="Arial"/>
                <w:sz w:val="18"/>
                <w:szCs w:val="18"/>
                <w:color w:val="auto"/>
              </w:rPr>
              <w:t>United States of America</w:t>
            </w:r>
          </w:p>
        </w:tc>
      </w:tr>
      <w:tr>
        <w:trPr>
          <w:trHeight w:val="256"/>
        </w:trPr>
        <w:tc>
          <w:tcPr>
            <w:tcW w:w="2380" w:type="dxa"/>
            <w:vAlign w:val="bottom"/>
          </w:tcPr>
          <w:p>
            <w:pPr>
              <w:ind w:left="20"/>
              <w:spacing w:after="0"/>
              <w:rPr>
                <w:sz w:val="20"/>
                <w:szCs w:val="20"/>
                <w:color w:val="auto"/>
              </w:rPr>
            </w:pPr>
            <w:r>
              <w:rPr>
                <w:rFonts w:ascii="Arial" w:cs="Arial" w:eastAsia="Arial" w:hAnsi="Arial"/>
                <w:sz w:val="18"/>
                <w:szCs w:val="18"/>
                <w:color w:val="auto"/>
              </w:rPr>
              <w:t>Utah Solar Portfolio</w:t>
            </w:r>
          </w:p>
        </w:tc>
        <w:tc>
          <w:tcPr>
            <w:tcW w:w="8860" w:type="dxa"/>
            <w:vAlign w:val="bottom"/>
          </w:tcPr>
          <w:p>
            <w:pPr>
              <w:ind w:left="620"/>
              <w:spacing w:after="0"/>
              <w:rPr>
                <w:sz w:val="20"/>
                <w:szCs w:val="20"/>
                <w:color w:val="auto"/>
              </w:rPr>
            </w:pPr>
            <w:r>
              <w:rPr>
                <w:rFonts w:ascii="Arial" w:cs="Arial" w:eastAsia="Arial" w:hAnsi="Arial"/>
                <w:sz w:val="18"/>
                <w:szCs w:val="18"/>
                <w:color w:val="auto"/>
                <w:w w:val="95"/>
              </w:rPr>
              <w:t>Collection consists of Four Brothers Solar, LLC, Granite Mountain Holdings, LLC, and Iron Springs Holdings,</w:t>
            </w:r>
          </w:p>
        </w:tc>
      </w:tr>
      <w:tr>
        <w:trPr>
          <w:trHeight w:val="216"/>
        </w:trPr>
        <w:tc>
          <w:tcPr>
            <w:tcW w:w="2380" w:type="dxa"/>
            <w:vAlign w:val="bottom"/>
          </w:tcPr>
          <w:p>
            <w:pPr>
              <w:spacing w:after="0"/>
              <w:rPr>
                <w:sz w:val="18"/>
                <w:szCs w:val="18"/>
                <w:color w:val="auto"/>
              </w:rPr>
            </w:pPr>
          </w:p>
        </w:tc>
        <w:tc>
          <w:tcPr>
            <w:tcW w:w="8860" w:type="dxa"/>
            <w:vAlign w:val="bottom"/>
          </w:tcPr>
          <w:p>
            <w:pPr>
              <w:ind w:left="620"/>
              <w:spacing w:after="0"/>
              <w:rPr>
                <w:sz w:val="20"/>
                <w:szCs w:val="20"/>
                <w:color w:val="auto"/>
              </w:rPr>
            </w:pPr>
            <w:r>
              <w:rPr>
                <w:rFonts w:ascii="Arial" w:cs="Arial" w:eastAsia="Arial" w:hAnsi="Arial"/>
                <w:sz w:val="18"/>
                <w:szCs w:val="18"/>
                <w:color w:val="auto"/>
                <w:w w:val="94"/>
              </w:rPr>
              <w:t>LLC, which are equity investments owned by Four Brothers Capital, LLC, Granite Mountain Capital, LLC, and</w:t>
            </w:r>
          </w:p>
        </w:tc>
      </w:tr>
      <w:tr>
        <w:trPr>
          <w:trHeight w:val="216"/>
        </w:trPr>
        <w:tc>
          <w:tcPr>
            <w:tcW w:w="2380" w:type="dxa"/>
            <w:vAlign w:val="bottom"/>
          </w:tcPr>
          <w:p>
            <w:pPr>
              <w:spacing w:after="0"/>
              <w:rPr>
                <w:sz w:val="18"/>
                <w:szCs w:val="18"/>
                <w:color w:val="auto"/>
              </w:rPr>
            </w:pPr>
          </w:p>
        </w:tc>
        <w:tc>
          <w:tcPr>
            <w:tcW w:w="8860" w:type="dxa"/>
            <w:vAlign w:val="bottom"/>
          </w:tcPr>
          <w:p>
            <w:pPr>
              <w:ind w:left="620"/>
              <w:spacing w:after="0"/>
              <w:rPr>
                <w:sz w:val="20"/>
                <w:szCs w:val="20"/>
                <w:color w:val="auto"/>
              </w:rPr>
            </w:pPr>
            <w:r>
              <w:rPr>
                <w:rFonts w:ascii="Arial" w:cs="Arial" w:eastAsia="Arial" w:hAnsi="Arial"/>
                <w:sz w:val="18"/>
                <w:szCs w:val="18"/>
                <w:color w:val="auto"/>
                <w:w w:val="97"/>
              </w:rPr>
              <w:t>Iron Springs Capital, LLC, respectively, and are part of the March 2017 Drop Down Assets acquisition that</w:t>
            </w:r>
          </w:p>
        </w:tc>
      </w:tr>
      <w:tr>
        <w:trPr>
          <w:trHeight w:val="230"/>
        </w:trPr>
        <w:tc>
          <w:tcPr>
            <w:tcW w:w="2380" w:type="dxa"/>
            <w:vAlign w:val="bottom"/>
          </w:tcPr>
          <w:p>
            <w:pPr>
              <w:spacing w:after="0"/>
              <w:rPr>
                <w:sz w:val="20"/>
                <w:szCs w:val="20"/>
                <w:color w:val="auto"/>
              </w:rPr>
            </w:pPr>
          </w:p>
        </w:tc>
        <w:tc>
          <w:tcPr>
            <w:tcW w:w="8860" w:type="dxa"/>
            <w:vAlign w:val="bottom"/>
          </w:tcPr>
          <w:p>
            <w:pPr>
              <w:ind w:left="620"/>
              <w:spacing w:after="0"/>
              <w:rPr>
                <w:sz w:val="20"/>
                <w:szCs w:val="20"/>
                <w:color w:val="auto"/>
              </w:rPr>
            </w:pPr>
            <w:r>
              <w:rPr>
                <w:rFonts w:ascii="Arial" w:cs="Arial" w:eastAsia="Arial" w:hAnsi="Arial"/>
                <w:sz w:val="18"/>
                <w:szCs w:val="18"/>
                <w:color w:val="auto"/>
              </w:rPr>
              <w:t>closed on March 27, 2017</w:t>
            </w:r>
          </w:p>
        </w:tc>
      </w:tr>
      <w:tr>
        <w:trPr>
          <w:trHeight w:val="256"/>
        </w:trPr>
        <w:tc>
          <w:tcPr>
            <w:tcW w:w="2380" w:type="dxa"/>
            <w:vAlign w:val="bottom"/>
          </w:tcPr>
          <w:p>
            <w:pPr>
              <w:ind w:left="20"/>
              <w:spacing w:after="0"/>
              <w:rPr>
                <w:sz w:val="20"/>
                <w:szCs w:val="20"/>
                <w:color w:val="auto"/>
              </w:rPr>
            </w:pPr>
            <w:r>
              <w:rPr>
                <w:rFonts w:ascii="Arial" w:cs="Arial" w:eastAsia="Arial" w:hAnsi="Arial"/>
                <w:sz w:val="18"/>
                <w:szCs w:val="18"/>
                <w:color w:val="auto"/>
              </w:rPr>
              <w:t>Utility Scale Solar</w:t>
            </w:r>
          </w:p>
        </w:tc>
        <w:tc>
          <w:tcPr>
            <w:tcW w:w="8860" w:type="dxa"/>
            <w:vAlign w:val="bottom"/>
          </w:tcPr>
          <w:p>
            <w:pPr>
              <w:ind w:left="620"/>
              <w:spacing w:after="0"/>
              <w:rPr>
                <w:sz w:val="20"/>
                <w:szCs w:val="20"/>
                <w:color w:val="auto"/>
              </w:rPr>
            </w:pPr>
            <w:r>
              <w:rPr>
                <w:rFonts w:ascii="Arial" w:cs="Arial" w:eastAsia="Arial" w:hAnsi="Arial"/>
                <w:sz w:val="18"/>
                <w:szCs w:val="18"/>
                <w:color w:val="auto"/>
                <w:w w:val="98"/>
              </w:rPr>
              <w:t>Solar power projects, typically 20 MW or greater in size (on an alternating current, or AC, basis), that are</w:t>
            </w:r>
          </w:p>
        </w:tc>
      </w:tr>
      <w:tr>
        <w:trPr>
          <w:trHeight w:val="230"/>
        </w:trPr>
        <w:tc>
          <w:tcPr>
            <w:tcW w:w="2380" w:type="dxa"/>
            <w:vAlign w:val="bottom"/>
          </w:tcPr>
          <w:p>
            <w:pPr>
              <w:spacing w:after="0"/>
              <w:rPr>
                <w:sz w:val="20"/>
                <w:szCs w:val="20"/>
                <w:color w:val="auto"/>
              </w:rPr>
            </w:pPr>
          </w:p>
        </w:tc>
        <w:tc>
          <w:tcPr>
            <w:tcW w:w="8860" w:type="dxa"/>
            <w:vAlign w:val="bottom"/>
          </w:tcPr>
          <w:p>
            <w:pPr>
              <w:ind w:left="620"/>
              <w:spacing w:after="0"/>
              <w:rPr>
                <w:sz w:val="20"/>
                <w:szCs w:val="20"/>
                <w:color w:val="auto"/>
              </w:rPr>
            </w:pPr>
            <w:r>
              <w:rPr>
                <w:rFonts w:ascii="Arial" w:cs="Arial" w:eastAsia="Arial" w:hAnsi="Arial"/>
                <w:sz w:val="18"/>
                <w:szCs w:val="18"/>
                <w:color w:val="auto"/>
              </w:rPr>
              <w:t>interconnected into the transmission or distribution grid to sell power at a wholesale level</w:t>
            </w:r>
          </w:p>
        </w:tc>
      </w:tr>
      <w:tr>
        <w:trPr>
          <w:trHeight w:val="270"/>
        </w:trPr>
        <w:tc>
          <w:tcPr>
            <w:tcW w:w="2380" w:type="dxa"/>
            <w:vAlign w:val="bottom"/>
          </w:tcPr>
          <w:p>
            <w:pPr>
              <w:ind w:left="20"/>
              <w:spacing w:after="0"/>
              <w:rPr>
                <w:sz w:val="20"/>
                <w:szCs w:val="20"/>
                <w:color w:val="auto"/>
              </w:rPr>
            </w:pPr>
            <w:r>
              <w:rPr>
                <w:rFonts w:ascii="Arial" w:cs="Arial" w:eastAsia="Arial" w:hAnsi="Arial"/>
                <w:sz w:val="18"/>
                <w:szCs w:val="18"/>
                <w:color w:val="auto"/>
              </w:rPr>
              <w:t>VaR</w:t>
            </w:r>
          </w:p>
        </w:tc>
        <w:tc>
          <w:tcPr>
            <w:tcW w:w="8860" w:type="dxa"/>
            <w:vAlign w:val="bottom"/>
          </w:tcPr>
          <w:p>
            <w:pPr>
              <w:ind w:left="620"/>
              <w:spacing w:after="0"/>
              <w:rPr>
                <w:sz w:val="20"/>
                <w:szCs w:val="20"/>
                <w:color w:val="auto"/>
              </w:rPr>
            </w:pPr>
            <w:r>
              <w:rPr>
                <w:rFonts w:ascii="Arial" w:cs="Arial" w:eastAsia="Arial" w:hAnsi="Arial"/>
                <w:sz w:val="18"/>
                <w:szCs w:val="18"/>
                <w:color w:val="auto"/>
              </w:rPr>
              <w:t>Value at Risk</w:t>
            </w:r>
          </w:p>
        </w:tc>
      </w:tr>
      <w:tr>
        <w:trPr>
          <w:trHeight w:val="270"/>
        </w:trPr>
        <w:tc>
          <w:tcPr>
            <w:tcW w:w="2380" w:type="dxa"/>
            <w:vAlign w:val="bottom"/>
          </w:tcPr>
          <w:p>
            <w:pPr>
              <w:ind w:left="20"/>
              <w:spacing w:after="0"/>
              <w:rPr>
                <w:sz w:val="20"/>
                <w:szCs w:val="20"/>
                <w:color w:val="auto"/>
              </w:rPr>
            </w:pPr>
            <w:r>
              <w:rPr>
                <w:rFonts w:ascii="Arial" w:cs="Arial" w:eastAsia="Arial" w:hAnsi="Arial"/>
                <w:sz w:val="18"/>
                <w:szCs w:val="18"/>
                <w:color w:val="auto"/>
              </w:rPr>
              <w:t>VIE</w:t>
            </w:r>
          </w:p>
        </w:tc>
        <w:tc>
          <w:tcPr>
            <w:tcW w:w="8860" w:type="dxa"/>
            <w:vAlign w:val="bottom"/>
          </w:tcPr>
          <w:p>
            <w:pPr>
              <w:ind w:left="620"/>
              <w:spacing w:after="0"/>
              <w:rPr>
                <w:sz w:val="20"/>
                <w:szCs w:val="20"/>
                <w:color w:val="auto"/>
              </w:rPr>
            </w:pPr>
            <w:r>
              <w:rPr>
                <w:rFonts w:ascii="Arial" w:cs="Arial" w:eastAsia="Arial" w:hAnsi="Arial"/>
                <w:sz w:val="18"/>
                <w:szCs w:val="18"/>
                <w:color w:val="auto"/>
              </w:rPr>
              <w:t>Variable Interest Entity</w:t>
            </w:r>
          </w:p>
        </w:tc>
      </w:tr>
      <w:tr>
        <w:trPr>
          <w:trHeight w:val="270"/>
        </w:trPr>
        <w:tc>
          <w:tcPr>
            <w:tcW w:w="2380" w:type="dxa"/>
            <w:vAlign w:val="bottom"/>
          </w:tcPr>
          <w:p>
            <w:pPr>
              <w:ind w:left="20"/>
              <w:spacing w:after="0"/>
              <w:rPr>
                <w:sz w:val="20"/>
                <w:szCs w:val="20"/>
                <w:color w:val="auto"/>
              </w:rPr>
            </w:pPr>
            <w:r>
              <w:rPr>
                <w:rFonts w:ascii="Arial" w:cs="Arial" w:eastAsia="Arial" w:hAnsi="Arial"/>
                <w:sz w:val="18"/>
                <w:szCs w:val="18"/>
                <w:color w:val="auto"/>
              </w:rPr>
              <w:t>Wind TE Holdco</w:t>
            </w:r>
          </w:p>
        </w:tc>
        <w:tc>
          <w:tcPr>
            <w:tcW w:w="8860" w:type="dxa"/>
            <w:vAlign w:val="bottom"/>
          </w:tcPr>
          <w:p>
            <w:pPr>
              <w:ind w:left="620"/>
              <w:spacing w:after="0"/>
              <w:rPr>
                <w:sz w:val="20"/>
                <w:szCs w:val="20"/>
                <w:color w:val="auto"/>
              </w:rPr>
            </w:pPr>
            <w:r>
              <w:rPr>
                <w:rFonts w:ascii="Arial" w:cs="Arial" w:eastAsia="Arial" w:hAnsi="Arial"/>
                <w:sz w:val="18"/>
                <w:szCs w:val="18"/>
                <w:color w:val="auto"/>
              </w:rPr>
              <w:t>Wind TE Holdco LLC, an 814 net MW portfolio of twelve wind projects</w:t>
            </w:r>
          </w:p>
        </w:tc>
      </w:tr>
      <w:tr>
        <w:trPr>
          <w:trHeight w:val="904"/>
        </w:trPr>
        <w:tc>
          <w:tcPr>
            <w:tcW w:w="2380" w:type="dxa"/>
            <w:vAlign w:val="bottom"/>
          </w:tcPr>
          <w:p>
            <w:pPr>
              <w:spacing w:after="0"/>
              <w:rPr>
                <w:sz w:val="24"/>
                <w:szCs w:val="24"/>
                <w:color w:val="auto"/>
              </w:rPr>
            </w:pPr>
          </w:p>
        </w:tc>
        <w:tc>
          <w:tcPr>
            <w:tcW w:w="8860" w:type="dxa"/>
            <w:vAlign w:val="bottom"/>
          </w:tcPr>
          <w:p>
            <w:pPr>
              <w:ind w:left="3200"/>
              <w:spacing w:after="0"/>
              <w:rPr>
                <w:sz w:val="20"/>
                <w:szCs w:val="20"/>
                <w:color w:val="auto"/>
              </w:rPr>
            </w:pPr>
            <w:r>
              <w:rPr>
                <w:rFonts w:ascii="Arial" w:cs="Arial" w:eastAsia="Arial" w:hAnsi="Arial"/>
                <w:sz w:val="18"/>
                <w:szCs w:val="18"/>
                <w:color w:val="231F20"/>
              </w:rPr>
              <w:t>6</w:t>
            </w:r>
          </w:p>
        </w:tc>
      </w:tr>
      <w:tr>
        <w:trPr>
          <w:trHeight w:val="358"/>
        </w:trPr>
        <w:tc>
          <w:tcPr>
            <w:tcW w:w="2380" w:type="dxa"/>
            <w:vAlign w:val="bottom"/>
            <w:tcBorders>
              <w:bottom w:val="single" w:sz="8" w:color="9A9A9A"/>
            </w:tcBorders>
          </w:tcPr>
          <w:p>
            <w:pPr>
              <w:spacing w:after="0"/>
              <w:rPr>
                <w:sz w:val="24"/>
                <w:szCs w:val="24"/>
                <w:color w:val="auto"/>
              </w:rPr>
            </w:pPr>
          </w:p>
        </w:tc>
        <w:tc>
          <w:tcPr>
            <w:tcW w:w="8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18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w w:val="97"/>
              </w:rPr>
              <w:t>Six months ended June 30,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6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b w:val="1"/>
                <w:bCs w:val="1"/>
                <w:color w:val="auto"/>
              </w:rPr>
              <w:t>Operating Revenues</w:t>
            </w:r>
          </w:p>
        </w:tc>
        <w:tc>
          <w:tcPr>
            <w:tcW w:w="386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vMerge w:val="continue"/>
          </w:tcPr>
          <w:p>
            <w:pPr>
              <w:spacing w:after="0"/>
              <w:rPr>
                <w:sz w:val="19"/>
                <w:szCs w:val="19"/>
                <w:color w:val="auto"/>
              </w:rPr>
            </w:pPr>
          </w:p>
        </w:tc>
        <w:tc>
          <w:tcPr>
            <w:tcW w:w="38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Total operating revenues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Cost of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60" w:type="dxa"/>
            <w:vAlign w:val="bottom"/>
            <w:gridSpan w:val="2"/>
          </w:tcPr>
          <w:p>
            <w:pPr>
              <w:ind w:left="100"/>
              <w:spacing w:after="0"/>
              <w:rPr>
                <w:sz w:val="20"/>
                <w:szCs w:val="20"/>
                <w:color w:val="auto"/>
              </w:rPr>
            </w:pPr>
            <w:r>
              <w:rPr>
                <w:rFonts w:ascii="Arial" w:cs="Arial" w:eastAsia="Arial" w:hAnsi="Arial"/>
                <w:sz w:val="18"/>
                <w:szCs w:val="18"/>
                <w:color w:val="auto"/>
              </w:rPr>
              <w:t>Depreciation, amortization and accretion</w:t>
            </w:r>
          </w:p>
        </w:tc>
        <w:tc>
          <w:tcPr>
            <w:tcW w:w="20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Impairment losses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60" w:type="dxa"/>
            <w:vAlign w:val="bottom"/>
            <w:gridSpan w:val="2"/>
          </w:tcPr>
          <w:p>
            <w:pPr>
              <w:ind w:left="10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Transaction and integration costs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60" w:type="dxa"/>
            <w:vAlign w:val="bottom"/>
            <w:gridSpan w:val="2"/>
          </w:tcPr>
          <w:p>
            <w:pPr>
              <w:ind w:left="100"/>
              <w:spacing w:after="0"/>
              <w:rPr>
                <w:sz w:val="20"/>
                <w:szCs w:val="20"/>
                <w:color w:val="auto"/>
              </w:rPr>
            </w:pPr>
            <w:r>
              <w:rPr>
                <w:rFonts w:ascii="Arial" w:cs="Arial" w:eastAsia="Arial" w:hAnsi="Arial"/>
                <w:sz w:val="18"/>
                <w:szCs w:val="18"/>
                <w:color w:val="auto"/>
              </w:rPr>
              <w:t>Development costs</w:t>
            </w:r>
          </w:p>
        </w:tc>
        <w:tc>
          <w:tcPr>
            <w:tcW w:w="20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62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operating costs and expenses</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6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60" w:type="dxa"/>
            <w:vAlign w:val="bottom"/>
            <w:gridSpan w:val="2"/>
          </w:tcPr>
          <w:p>
            <w:pPr>
              <w:ind w:left="100"/>
              <w:spacing w:after="0"/>
              <w:rPr>
                <w:sz w:val="20"/>
                <w:szCs w:val="20"/>
                <w:color w:val="auto"/>
              </w:rPr>
            </w:pPr>
            <w:r>
              <w:rPr>
                <w:rFonts w:ascii="Arial" w:cs="Arial" w:eastAsia="Arial" w:hAnsi="Arial"/>
                <w:sz w:val="18"/>
                <w:szCs w:val="18"/>
                <w:color w:val="auto"/>
              </w:rPr>
              <w:t>Equity in earnings of unconsolidated affiliates</w:t>
            </w:r>
          </w:p>
        </w:tc>
        <w:tc>
          <w:tcPr>
            <w:tcW w:w="20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Gain on sale of unconsolidated affiliate</w:t>
            </w: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60" w:type="dxa"/>
            <w:vAlign w:val="bottom"/>
            <w:gridSpan w:val="2"/>
          </w:tcPr>
          <w:p>
            <w:pPr>
              <w:ind w:left="100"/>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Loss on debt extinguishment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60" w:type="dxa"/>
            <w:vAlign w:val="bottom"/>
            <w:gridSpan w:val="2"/>
          </w:tcPr>
          <w:p>
            <w:pPr>
              <w:ind w:left="10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62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other expense, net</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Income (Loss) Before Income Taxes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Income tax expense (benefit)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w w:val="91"/>
              </w:rPr>
              <w:t>Less: Income (loss) attributable to noncontrolling interests and redeemable interests</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Net Income (Loss) Attributable to Clearway Energy, Inc.</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6260" w:type="dxa"/>
            <w:vAlign w:val="bottom"/>
            <w:gridSpan w:val="2"/>
            <w:shd w:val="clear" w:color="auto" w:fill="CCEEFF"/>
          </w:tcPr>
          <w:p>
            <w:pPr>
              <w:spacing w:after="0" w:line="142" w:lineRule="exact"/>
              <w:rPr>
                <w:sz w:val="20"/>
                <w:szCs w:val="20"/>
                <w:color w:val="auto"/>
              </w:rPr>
            </w:pPr>
            <w:r>
              <w:rPr>
                <w:rFonts w:ascii="Arial" w:cs="Arial" w:eastAsia="Arial" w:hAnsi="Arial"/>
                <w:sz w:val="16"/>
                <w:szCs w:val="16"/>
                <w:b w:val="1"/>
                <w:bCs w:val="1"/>
                <w:color w:val="auto"/>
              </w:rPr>
              <w:t>Earnings (Losses) Per Share Attributable to Clearway Energy, Inc. Class A</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and Class C Common Stockholders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260" w:type="dxa"/>
            <w:vAlign w:val="bottom"/>
            <w:gridSpan w:val="2"/>
          </w:tcPr>
          <w:p>
            <w:pPr>
              <w:ind w:left="120"/>
              <w:spacing w:after="0"/>
              <w:rPr>
                <w:sz w:val="20"/>
                <w:szCs w:val="20"/>
                <w:color w:val="auto"/>
              </w:rPr>
            </w:pPr>
            <w:r>
              <w:rPr>
                <w:rFonts w:ascii="Arial" w:cs="Arial" w:eastAsia="Arial" w:hAnsi="Arial"/>
                <w:sz w:val="14"/>
                <w:szCs w:val="14"/>
                <w:color w:val="auto"/>
              </w:rPr>
              <w:t>Weighted average number of Class A common shares outstanding - basic and diluted</w:t>
            </w:r>
          </w:p>
        </w:tc>
        <w:tc>
          <w:tcPr>
            <w:tcW w:w="200" w:type="dxa"/>
            <w:vAlign w:val="bottom"/>
          </w:tcPr>
          <w:p>
            <w:pPr>
              <w:spacing w:after="0"/>
              <w:rPr>
                <w:sz w:val="22"/>
                <w:szCs w:val="22"/>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6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Weighted average number of Class C common shares outstanding - basic and diluted</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6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w w:val="91"/>
              </w:rPr>
              <w:t>Earnings (Losses) per Weighted Average Class A and Class C Common Share -</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ind w:right="71"/>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5"/>
                <w:szCs w:val="15"/>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ind w:right="11"/>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71"/>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5"/>
                <w:szCs w:val="15"/>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ind w:right="11"/>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7"/>
                <w:szCs w:val="17"/>
                <w:color w:val="auto"/>
              </w:rPr>
            </w:pPr>
          </w:p>
        </w:tc>
        <w:tc>
          <w:tcPr>
            <w:tcW w:w="6260" w:type="dxa"/>
            <w:vAlign w:val="bottom"/>
            <w:gridSpan w:val="2"/>
          </w:tcPr>
          <w:p>
            <w:pPr>
              <w:ind w:left="160"/>
              <w:spacing w:after="0" w:line="202" w:lineRule="exact"/>
              <w:rPr>
                <w:sz w:val="20"/>
                <w:szCs w:val="20"/>
                <w:color w:val="auto"/>
              </w:rPr>
            </w:pPr>
            <w:r>
              <w:rPr>
                <w:rFonts w:ascii="Arial" w:cs="Arial" w:eastAsia="Arial" w:hAnsi="Arial"/>
                <w:sz w:val="18"/>
                <w:szCs w:val="18"/>
                <w:b w:val="1"/>
                <w:bCs w:val="1"/>
                <w:color w:val="auto"/>
              </w:rPr>
              <w:t>Basic and Diluted</w:t>
            </w:r>
          </w:p>
        </w:tc>
        <w:tc>
          <w:tcPr>
            <w:tcW w:w="20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6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Dividends Per Class A Common Share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Dividends Per Class C Common Share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42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BFE4FF"/>
            </w:tcBorders>
          </w:tcPr>
          <w:p>
            <w:pPr>
              <w:spacing w:after="0" w:line="20" w:lineRule="exact"/>
              <w:rPr>
                <w:sz w:val="1"/>
                <w:szCs w:val="1"/>
                <w:color w:val="auto"/>
              </w:rPr>
            </w:pPr>
          </w:p>
        </w:tc>
        <w:tc>
          <w:tcPr>
            <w:tcW w:w="760" w:type="dxa"/>
            <w:vAlign w:val="bottom"/>
            <w:tcBorders>
              <w:top w:val="single" w:sz="8" w:color="auto"/>
              <w:bottom w:val="single" w:sz="8" w:color="BFE4FF"/>
            </w:tcBorders>
          </w:tcPr>
          <w:p>
            <w:pPr>
              <w:spacing w:after="0" w:line="20" w:lineRule="exact"/>
              <w:rPr>
                <w:sz w:val="1"/>
                <w:szCs w:val="1"/>
                <w:color w:val="auto"/>
              </w:rPr>
            </w:pPr>
          </w:p>
        </w:tc>
        <w:tc>
          <w:tcPr>
            <w:tcW w:w="4900" w:type="dxa"/>
            <w:vAlign w:val="bottom"/>
            <w:tcBorders>
              <w:bottom w:val="single" w:sz="8" w:color="BFE4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FE4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FE4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FE4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BFE4FF"/>
            </w:tcBorders>
            <w:shd w:val="clear" w:color="auto" w:fill="BFE4FF"/>
          </w:tcPr>
          <w:p>
            <w:pPr>
              <w:spacing w:after="0"/>
              <w:rPr>
                <w:sz w:val="21"/>
                <w:szCs w:val="21"/>
                <w:color w:val="auto"/>
              </w:rPr>
            </w:pPr>
          </w:p>
        </w:tc>
        <w:tc>
          <w:tcPr>
            <w:tcW w:w="5660" w:type="dxa"/>
            <w:vAlign w:val="bottom"/>
            <w:tcBorders>
              <w:bottom w:val="single" w:sz="8" w:color="BFE4FF"/>
            </w:tcBorders>
            <w:gridSpan w:val="2"/>
            <w:shd w:val="clear" w:color="auto" w:fill="BFE4FF"/>
          </w:tcPr>
          <w:p>
            <w:pPr>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tcBorders>
              <w:bottom w:val="single" w:sz="8" w:color="BFE4FF"/>
            </w:tcBorders>
            <w:shd w:val="clear" w:color="auto" w:fill="BFE4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BFE4FF"/>
            </w:tcBorders>
            <w:shd w:val="clear" w:color="auto" w:fill="BFE4FF"/>
          </w:tcPr>
          <w:p>
            <w:pPr>
              <w:jc w:val="right"/>
              <w:ind w:right="55"/>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BFE4FF"/>
            </w:tcBorders>
            <w:shd w:val="clear" w:color="auto" w:fill="BFE4FF"/>
          </w:tcPr>
          <w:p>
            <w:pPr>
              <w:jc w:val="right"/>
              <w:ind w:right="15"/>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BFE4FF"/>
          </w:tcPr>
          <w:p>
            <w:pPr>
              <w:spacing w:after="0"/>
              <w:rPr>
                <w:sz w:val="15"/>
                <w:szCs w:val="15"/>
                <w:color w:val="auto"/>
              </w:rPr>
            </w:pPr>
          </w:p>
        </w:tc>
        <w:tc>
          <w:tcPr>
            <w:tcW w:w="5660" w:type="dxa"/>
            <w:vAlign w:val="bottom"/>
            <w:gridSpan w:val="2"/>
            <w:shd w:val="clear" w:color="auto" w:fill="BFE4FF"/>
          </w:tcPr>
          <w:p>
            <w:pPr>
              <w:ind w:left="160"/>
              <w:spacing w:after="0" w:line="176" w:lineRule="exact"/>
              <w:rPr>
                <w:sz w:val="20"/>
                <w:szCs w:val="20"/>
                <w:color w:val="auto"/>
              </w:rPr>
            </w:pPr>
            <w:r>
              <w:rPr>
                <w:rFonts w:ascii="Arial" w:cs="Arial" w:eastAsia="Arial" w:hAnsi="Arial"/>
                <w:sz w:val="18"/>
                <w:szCs w:val="18"/>
                <w:color w:val="auto"/>
                <w:w w:val="94"/>
              </w:rPr>
              <w:t>Unrealized gain (loss) on derivatives, net of income tax expense (benefit)</w:t>
            </w:r>
          </w:p>
        </w:tc>
        <w:tc>
          <w:tcPr>
            <w:tcW w:w="280" w:type="dxa"/>
            <w:vAlign w:val="bottom"/>
            <w:shd w:val="clear" w:color="auto" w:fill="BFE4FF"/>
          </w:tcPr>
          <w:p>
            <w:pPr>
              <w:spacing w:after="0"/>
              <w:rPr>
                <w:sz w:val="15"/>
                <w:szCs w:val="15"/>
                <w:color w:val="auto"/>
              </w:rPr>
            </w:pPr>
          </w:p>
        </w:tc>
        <w:tc>
          <w:tcPr>
            <w:tcW w:w="1020" w:type="dxa"/>
            <w:vAlign w:val="bottom"/>
            <w:vMerge w:val="restart"/>
            <w:shd w:val="clear" w:color="auto" w:fill="BFE4FF"/>
          </w:tcPr>
          <w:p>
            <w:pPr>
              <w:jc w:val="right"/>
              <w:ind w:right="55"/>
              <w:spacing w:after="0"/>
              <w:rPr>
                <w:sz w:val="20"/>
                <w:szCs w:val="20"/>
                <w:color w:val="auto"/>
              </w:rPr>
            </w:pPr>
            <w:r>
              <w:rPr>
                <w:rFonts w:ascii="Arial" w:cs="Arial" w:eastAsia="Arial" w:hAnsi="Arial"/>
                <w:sz w:val="18"/>
                <w:szCs w:val="18"/>
                <w:color w:val="auto"/>
              </w:rPr>
              <w:t>4</w:t>
            </w:r>
          </w:p>
        </w:tc>
        <w:tc>
          <w:tcPr>
            <w:tcW w:w="120" w:type="dxa"/>
            <w:vAlign w:val="bottom"/>
            <w:shd w:val="clear" w:color="auto" w:fill="BFE4FF"/>
          </w:tcPr>
          <w:p>
            <w:pPr>
              <w:spacing w:after="0"/>
              <w:rPr>
                <w:sz w:val="15"/>
                <w:szCs w:val="15"/>
                <w:color w:val="auto"/>
              </w:rPr>
            </w:pPr>
          </w:p>
        </w:tc>
        <w:tc>
          <w:tcPr>
            <w:tcW w:w="300" w:type="dxa"/>
            <w:vAlign w:val="bottom"/>
            <w:shd w:val="clear" w:color="auto" w:fill="BFE4FF"/>
          </w:tcPr>
          <w:p>
            <w:pPr>
              <w:spacing w:after="0"/>
              <w:rPr>
                <w:sz w:val="15"/>
                <w:szCs w:val="15"/>
                <w:color w:val="auto"/>
              </w:rPr>
            </w:pPr>
          </w:p>
        </w:tc>
        <w:tc>
          <w:tcPr>
            <w:tcW w:w="1000" w:type="dxa"/>
            <w:vAlign w:val="bottom"/>
            <w:vMerge w:val="restart"/>
            <w:shd w:val="clear" w:color="auto" w:fill="BFE4FF"/>
          </w:tcPr>
          <w:p>
            <w:pPr>
              <w:jc w:val="right"/>
              <w:ind w:right="53"/>
              <w:spacing w:after="0"/>
              <w:rPr>
                <w:sz w:val="20"/>
                <w:szCs w:val="20"/>
                <w:color w:val="auto"/>
              </w:rPr>
            </w:pPr>
            <w:r>
              <w:rPr>
                <w:rFonts w:ascii="Arial" w:cs="Arial" w:eastAsia="Arial" w:hAnsi="Arial"/>
                <w:sz w:val="18"/>
                <w:szCs w:val="18"/>
                <w:color w:val="auto"/>
              </w:rPr>
              <w:t>5</w:t>
            </w:r>
          </w:p>
        </w:tc>
        <w:tc>
          <w:tcPr>
            <w:tcW w:w="120" w:type="dxa"/>
            <w:vAlign w:val="bottom"/>
            <w:shd w:val="clear" w:color="auto" w:fill="BFE4FF"/>
          </w:tcPr>
          <w:p>
            <w:pPr>
              <w:spacing w:after="0"/>
              <w:rPr>
                <w:sz w:val="15"/>
                <w:szCs w:val="15"/>
                <w:color w:val="auto"/>
              </w:rPr>
            </w:pPr>
          </w:p>
        </w:tc>
        <w:tc>
          <w:tcPr>
            <w:tcW w:w="300" w:type="dxa"/>
            <w:vAlign w:val="bottom"/>
            <w:shd w:val="clear" w:color="auto" w:fill="BFE4FF"/>
          </w:tcPr>
          <w:p>
            <w:pPr>
              <w:spacing w:after="0"/>
              <w:rPr>
                <w:sz w:val="15"/>
                <w:szCs w:val="15"/>
                <w:color w:val="auto"/>
              </w:rPr>
            </w:pPr>
          </w:p>
        </w:tc>
        <w:tc>
          <w:tcPr>
            <w:tcW w:w="1000" w:type="dxa"/>
            <w:vAlign w:val="bottom"/>
            <w:vMerge w:val="restart"/>
            <w:shd w:val="clear" w:color="auto" w:fill="BFE4FF"/>
          </w:tcPr>
          <w:p>
            <w:pPr>
              <w:jc w:val="right"/>
              <w:ind w:right="15"/>
              <w:spacing w:after="0"/>
              <w:rPr>
                <w:sz w:val="20"/>
                <w:szCs w:val="20"/>
                <w:color w:val="auto"/>
              </w:rPr>
            </w:pPr>
            <w:r>
              <w:rPr>
                <w:rFonts w:ascii="Arial" w:cs="Arial" w:eastAsia="Arial" w:hAnsi="Arial"/>
                <w:sz w:val="18"/>
                <w:szCs w:val="18"/>
                <w:color w:val="auto"/>
              </w:rPr>
              <w:t>(8)</w:t>
            </w:r>
          </w:p>
        </w:tc>
        <w:tc>
          <w:tcPr>
            <w:tcW w:w="120" w:type="dxa"/>
            <w:vAlign w:val="bottom"/>
            <w:shd w:val="clear" w:color="auto" w:fill="BFE4FF"/>
          </w:tcPr>
          <w:p>
            <w:pPr>
              <w:spacing w:after="0"/>
              <w:rPr>
                <w:sz w:val="15"/>
                <w:szCs w:val="15"/>
                <w:color w:val="auto"/>
              </w:rPr>
            </w:pPr>
          </w:p>
        </w:tc>
        <w:tc>
          <w:tcPr>
            <w:tcW w:w="300" w:type="dxa"/>
            <w:vAlign w:val="bottom"/>
            <w:shd w:val="clear" w:color="auto" w:fill="BFE4FF"/>
          </w:tcPr>
          <w:p>
            <w:pPr>
              <w:spacing w:after="0"/>
              <w:rPr>
                <w:sz w:val="15"/>
                <w:szCs w:val="15"/>
                <w:color w:val="auto"/>
              </w:rPr>
            </w:pPr>
          </w:p>
        </w:tc>
        <w:tc>
          <w:tcPr>
            <w:tcW w:w="1000" w:type="dxa"/>
            <w:vAlign w:val="bottom"/>
            <w:vMerge w:val="restart"/>
            <w:shd w:val="clear" w:color="auto" w:fill="BFE4FF"/>
          </w:tcPr>
          <w:p>
            <w:pPr>
              <w:jc w:val="right"/>
              <w:ind w:right="7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20" w:type="dxa"/>
            <w:vAlign w:val="bottom"/>
            <w:shd w:val="clear" w:color="auto" w:fill="BFE4FF"/>
          </w:tcPr>
          <w:p>
            <w:pPr>
              <w:spacing w:after="0"/>
              <w:rPr>
                <w:sz w:val="19"/>
                <w:szCs w:val="19"/>
                <w:color w:val="auto"/>
              </w:rPr>
            </w:pPr>
          </w:p>
        </w:tc>
        <w:tc>
          <w:tcPr>
            <w:tcW w:w="5660" w:type="dxa"/>
            <w:vAlign w:val="bottom"/>
            <w:gridSpan w:val="2"/>
            <w:shd w:val="clear" w:color="auto" w:fill="BFE4FF"/>
          </w:tcPr>
          <w:p>
            <w:pPr>
              <w:ind w:left="160"/>
              <w:spacing w:after="0"/>
              <w:rPr>
                <w:sz w:val="20"/>
                <w:szCs w:val="20"/>
                <w:color w:val="auto"/>
              </w:rPr>
            </w:pPr>
            <w:r>
              <w:rPr>
                <w:rFonts w:ascii="Arial" w:cs="Arial" w:eastAsia="Arial" w:hAnsi="Arial"/>
                <w:sz w:val="18"/>
                <w:szCs w:val="18"/>
                <w:color w:val="auto"/>
              </w:rPr>
              <w:t>of $1, $0, $(1), $0</w:t>
            </w:r>
          </w:p>
        </w:tc>
        <w:tc>
          <w:tcPr>
            <w:tcW w:w="280" w:type="dxa"/>
            <w:vAlign w:val="bottom"/>
            <w:tcBorders>
              <w:bottom w:val="single" w:sz="8" w:color="auto"/>
            </w:tcBorders>
            <w:shd w:val="clear" w:color="auto" w:fill="BFE4FF"/>
          </w:tcPr>
          <w:p>
            <w:pPr>
              <w:spacing w:after="0"/>
              <w:rPr>
                <w:sz w:val="19"/>
                <w:szCs w:val="19"/>
                <w:color w:val="auto"/>
              </w:rPr>
            </w:pPr>
          </w:p>
        </w:tc>
        <w:tc>
          <w:tcPr>
            <w:tcW w:w="1020" w:type="dxa"/>
            <w:vAlign w:val="bottom"/>
            <w:tcBorders>
              <w:bottom w:val="single" w:sz="8" w:color="auto"/>
            </w:tcBorders>
            <w:vMerge w:val="continue"/>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300" w:type="dxa"/>
            <w:vAlign w:val="bottom"/>
            <w:tcBorders>
              <w:bottom w:val="single" w:sz="8" w:color="auto"/>
            </w:tcBorders>
            <w:shd w:val="clear" w:color="auto" w:fill="BFE4FF"/>
          </w:tcPr>
          <w:p>
            <w:pPr>
              <w:spacing w:after="0"/>
              <w:rPr>
                <w:sz w:val="19"/>
                <w:szCs w:val="19"/>
                <w:color w:val="auto"/>
              </w:rPr>
            </w:pPr>
          </w:p>
        </w:tc>
        <w:tc>
          <w:tcPr>
            <w:tcW w:w="1000" w:type="dxa"/>
            <w:vAlign w:val="bottom"/>
            <w:tcBorders>
              <w:bottom w:val="single" w:sz="8" w:color="auto"/>
            </w:tcBorders>
            <w:vMerge w:val="continue"/>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300" w:type="dxa"/>
            <w:vAlign w:val="bottom"/>
            <w:tcBorders>
              <w:bottom w:val="single" w:sz="8" w:color="auto"/>
            </w:tcBorders>
            <w:shd w:val="clear" w:color="auto" w:fill="BFE4FF"/>
          </w:tcPr>
          <w:p>
            <w:pPr>
              <w:spacing w:after="0"/>
              <w:rPr>
                <w:sz w:val="19"/>
                <w:szCs w:val="19"/>
                <w:color w:val="auto"/>
              </w:rPr>
            </w:pPr>
          </w:p>
        </w:tc>
        <w:tc>
          <w:tcPr>
            <w:tcW w:w="1000" w:type="dxa"/>
            <w:vAlign w:val="bottom"/>
            <w:tcBorders>
              <w:bottom w:val="single" w:sz="8" w:color="auto"/>
            </w:tcBorders>
            <w:vMerge w:val="continue"/>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300" w:type="dxa"/>
            <w:vAlign w:val="bottom"/>
            <w:tcBorders>
              <w:bottom w:val="single" w:sz="8" w:color="auto"/>
            </w:tcBorders>
            <w:shd w:val="clear" w:color="auto" w:fill="BFE4FF"/>
          </w:tcPr>
          <w:p>
            <w:pPr>
              <w:spacing w:after="0"/>
              <w:rPr>
                <w:sz w:val="19"/>
                <w:szCs w:val="19"/>
                <w:color w:val="auto"/>
              </w:rPr>
            </w:pPr>
          </w:p>
        </w:tc>
        <w:tc>
          <w:tcPr>
            <w:tcW w:w="1000" w:type="dxa"/>
            <w:vAlign w:val="bottom"/>
            <w:tcBorders>
              <w:bottom w:val="single" w:sz="8" w:color="auto"/>
            </w:tcBorders>
            <w:vMerge w:val="continue"/>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20"/>
                <w:szCs w:val="20"/>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Borders>
              <w:bottom w:val="single" w:sz="8" w:color="BFE4FF"/>
            </w:tcBorders>
          </w:tcPr>
          <w:p>
            <w:pPr>
              <w:spacing w:after="0"/>
              <w:rPr>
                <w:sz w:val="2"/>
                <w:szCs w:val="2"/>
                <w:color w:val="auto"/>
              </w:rPr>
            </w:pPr>
          </w:p>
        </w:tc>
        <w:tc>
          <w:tcPr>
            <w:tcW w:w="760" w:type="dxa"/>
            <w:vAlign w:val="bottom"/>
            <w:tcBorders>
              <w:bottom w:val="single" w:sz="8" w:color="BFE4FF"/>
            </w:tcBorders>
          </w:tcPr>
          <w:p>
            <w:pPr>
              <w:spacing w:after="0"/>
              <w:rPr>
                <w:sz w:val="2"/>
                <w:szCs w:val="2"/>
                <w:color w:val="auto"/>
              </w:rPr>
            </w:pPr>
          </w:p>
        </w:tc>
        <w:tc>
          <w:tcPr>
            <w:tcW w:w="4900" w:type="dxa"/>
            <w:vAlign w:val="bottom"/>
            <w:tcBorders>
              <w:bottom w:val="single" w:sz="8" w:color="BFE4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BFE4FF"/>
            </w:tcBorders>
            <w:shd w:val="clear" w:color="auto" w:fill="BFE4FF"/>
          </w:tcPr>
          <w:p>
            <w:pPr>
              <w:spacing w:after="0"/>
              <w:rPr>
                <w:sz w:val="21"/>
                <w:szCs w:val="21"/>
                <w:color w:val="auto"/>
              </w:rPr>
            </w:pPr>
          </w:p>
        </w:tc>
        <w:tc>
          <w:tcPr>
            <w:tcW w:w="5660" w:type="dxa"/>
            <w:vAlign w:val="bottom"/>
            <w:tcBorders>
              <w:bottom w:val="single" w:sz="8" w:color="BFE4FF"/>
            </w:tcBorders>
            <w:gridSpan w:val="2"/>
            <w:shd w:val="clear" w:color="auto" w:fill="BFE4FF"/>
          </w:tcPr>
          <w:p>
            <w:pPr>
              <w:spacing w:after="0"/>
              <w:rPr>
                <w:sz w:val="20"/>
                <w:szCs w:val="20"/>
                <w:color w:val="auto"/>
              </w:rPr>
            </w:pPr>
            <w:r>
              <w:rPr>
                <w:rFonts w:ascii="Arial" w:cs="Arial" w:eastAsia="Arial" w:hAnsi="Arial"/>
                <w:sz w:val="18"/>
                <w:szCs w:val="18"/>
                <w:b w:val="1"/>
                <w:bCs w:val="1"/>
                <w:color w:val="auto"/>
              </w:rPr>
              <w:t>Comprehensive Income (Loss)</w:t>
            </w:r>
          </w:p>
        </w:tc>
        <w:tc>
          <w:tcPr>
            <w:tcW w:w="28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55"/>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5"/>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w w:val="92"/>
              </w:rPr>
              <w:t>Less: Comprehensive income (loss) attributable to noncontrolling interests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and redeemable interests</w:t>
            </w:r>
          </w:p>
        </w:tc>
        <w:tc>
          <w:tcPr>
            <w:tcW w:w="280" w:type="dxa"/>
            <w:vAlign w:val="bottom"/>
          </w:tcPr>
          <w:p>
            <w:pPr>
              <w:spacing w:after="0"/>
              <w:rPr>
                <w:sz w:val="20"/>
                <w:szCs w:val="20"/>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0" w:type="dxa"/>
            <w:vAlign w:val="bottom"/>
            <w:tcBorders>
              <w:bottom w:val="single" w:sz="8" w:color="BFE4FF"/>
            </w:tcBorders>
          </w:tcPr>
          <w:p>
            <w:pPr>
              <w:spacing w:after="0"/>
              <w:rPr>
                <w:sz w:val="2"/>
                <w:szCs w:val="2"/>
                <w:color w:val="auto"/>
              </w:rPr>
            </w:pPr>
          </w:p>
        </w:tc>
        <w:tc>
          <w:tcPr>
            <w:tcW w:w="760" w:type="dxa"/>
            <w:vAlign w:val="bottom"/>
            <w:tcBorders>
              <w:bottom w:val="single" w:sz="8" w:color="BFE4FF"/>
            </w:tcBorders>
          </w:tcPr>
          <w:p>
            <w:pPr>
              <w:spacing w:after="0"/>
              <w:rPr>
                <w:sz w:val="2"/>
                <w:szCs w:val="2"/>
                <w:color w:val="auto"/>
              </w:rPr>
            </w:pPr>
          </w:p>
        </w:tc>
        <w:tc>
          <w:tcPr>
            <w:tcW w:w="4900" w:type="dxa"/>
            <w:vAlign w:val="bottom"/>
            <w:tcBorders>
              <w:bottom w:val="single" w:sz="8" w:color="BFE4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BFE4FF"/>
            </w:tcBorders>
            <w:shd w:val="clear" w:color="auto" w:fill="BFE4FF"/>
          </w:tcPr>
          <w:p>
            <w:pPr>
              <w:spacing w:after="0"/>
              <w:rPr>
                <w:sz w:val="24"/>
                <w:szCs w:val="24"/>
                <w:color w:val="auto"/>
              </w:rPr>
            </w:pPr>
          </w:p>
        </w:tc>
        <w:tc>
          <w:tcPr>
            <w:tcW w:w="5660" w:type="dxa"/>
            <w:vAlign w:val="bottom"/>
            <w:tcBorders>
              <w:bottom w:val="single" w:sz="8" w:color="BFE4FF"/>
            </w:tcBorders>
            <w:gridSpan w:val="2"/>
            <w:shd w:val="clear" w:color="auto" w:fill="BFE4FF"/>
          </w:tcPr>
          <w:p>
            <w:pPr>
              <w:spacing w:after="0"/>
              <w:rPr>
                <w:sz w:val="20"/>
                <w:szCs w:val="20"/>
                <w:color w:val="auto"/>
              </w:rPr>
            </w:pPr>
            <w:r>
              <w:rPr>
                <w:rFonts w:ascii="Arial" w:cs="Arial" w:eastAsia="Arial" w:hAnsi="Arial"/>
                <w:sz w:val="18"/>
                <w:szCs w:val="18"/>
                <w:b w:val="1"/>
                <w:bCs w:val="1"/>
                <w:color w:val="auto"/>
                <w:w w:val="97"/>
              </w:rPr>
              <w:t>Comprehensive Income (Loss) Attributable to Clearway Energy, Inc.</w:t>
            </w:r>
          </w:p>
        </w:tc>
        <w:tc>
          <w:tcPr>
            <w:tcW w:w="280" w:type="dxa"/>
            <w:vAlign w:val="bottom"/>
            <w:tcBorders>
              <w:bottom w:val="single" w:sz="8" w:color="auto"/>
            </w:tcBorders>
            <w:shd w:val="clear" w:color="auto" w:fill="BFE4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BFE4FF"/>
          </w:tcPr>
          <w:p>
            <w:pPr>
              <w:jc w:val="right"/>
              <w:ind w:right="55"/>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BFE4FF"/>
            </w:tcBorders>
            <w:shd w:val="clear" w:color="auto" w:fill="BFE4FF"/>
          </w:tcPr>
          <w:p>
            <w:pPr>
              <w:spacing w:after="0"/>
              <w:rPr>
                <w:sz w:val="24"/>
                <w:szCs w:val="24"/>
                <w:color w:val="auto"/>
              </w:rPr>
            </w:pPr>
          </w:p>
        </w:tc>
        <w:tc>
          <w:tcPr>
            <w:tcW w:w="300" w:type="dxa"/>
            <w:vAlign w:val="bottom"/>
            <w:tcBorders>
              <w:bottom w:val="single" w:sz="8" w:color="auto"/>
            </w:tcBorders>
            <w:shd w:val="clear" w:color="auto" w:fill="BFE4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BFE4FF"/>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BFE4FF"/>
            </w:tcBorders>
            <w:shd w:val="clear" w:color="auto" w:fill="BFE4FF"/>
          </w:tcPr>
          <w:p>
            <w:pPr>
              <w:spacing w:after="0"/>
              <w:rPr>
                <w:sz w:val="24"/>
                <w:szCs w:val="24"/>
                <w:color w:val="auto"/>
              </w:rPr>
            </w:pPr>
          </w:p>
        </w:tc>
        <w:tc>
          <w:tcPr>
            <w:tcW w:w="300" w:type="dxa"/>
            <w:vAlign w:val="bottom"/>
            <w:tcBorders>
              <w:bottom w:val="single" w:sz="8" w:color="auto"/>
            </w:tcBorders>
            <w:shd w:val="clear" w:color="auto" w:fill="BFE4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BFE4FF"/>
          </w:tcPr>
          <w:p>
            <w:pPr>
              <w:jc w:val="right"/>
              <w:ind w:right="75"/>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BFE4FF"/>
            </w:tcBorders>
            <w:shd w:val="clear" w:color="auto" w:fill="BFE4FF"/>
          </w:tcPr>
          <w:p>
            <w:pPr>
              <w:spacing w:after="0"/>
              <w:rPr>
                <w:sz w:val="24"/>
                <w:szCs w:val="24"/>
                <w:color w:val="auto"/>
              </w:rPr>
            </w:pPr>
          </w:p>
        </w:tc>
        <w:tc>
          <w:tcPr>
            <w:tcW w:w="300" w:type="dxa"/>
            <w:vAlign w:val="bottom"/>
            <w:tcBorders>
              <w:bottom w:val="single" w:sz="8" w:color="auto"/>
            </w:tcBorders>
            <w:shd w:val="clear" w:color="auto" w:fill="BFE4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BFE4FF"/>
          </w:tcPr>
          <w:p>
            <w:pPr>
              <w:jc w:val="right"/>
              <w:ind w:right="13"/>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Borders>
              <w:top w:val="single" w:sz="8" w:color="BFE4FF"/>
            </w:tcBorders>
          </w:tcPr>
          <w:p>
            <w:pPr>
              <w:spacing w:after="0" w:line="20" w:lineRule="exact"/>
              <w:rPr>
                <w:sz w:val="1"/>
                <w:szCs w:val="1"/>
                <w:color w:val="auto"/>
              </w:rPr>
            </w:pPr>
          </w:p>
        </w:tc>
        <w:tc>
          <w:tcPr>
            <w:tcW w:w="760" w:type="dxa"/>
            <w:vAlign w:val="bottom"/>
            <w:tcBorders>
              <w:top w:val="single" w:sz="8" w:color="BFE4FF"/>
            </w:tcBorders>
          </w:tcPr>
          <w:p>
            <w:pPr>
              <w:spacing w:after="0" w:line="20" w:lineRule="exact"/>
              <w:rPr>
                <w:sz w:val="1"/>
                <w:szCs w:val="1"/>
                <w:color w:val="auto"/>
              </w:rPr>
            </w:pPr>
          </w:p>
        </w:tc>
        <w:tc>
          <w:tcPr>
            <w:tcW w:w="4900" w:type="dxa"/>
            <w:vAlign w:val="bottom"/>
            <w:tcBorders>
              <w:top w:val="single" w:sz="8" w:color="BFE4FF"/>
            </w:tcBorders>
          </w:tcPr>
          <w:p>
            <w:pPr>
              <w:spacing w:after="0" w:line="20" w:lineRule="exact"/>
              <w:rPr>
                <w:sz w:val="1"/>
                <w:szCs w:val="1"/>
                <w:color w:val="auto"/>
              </w:rPr>
            </w:pPr>
          </w:p>
        </w:tc>
        <w:tc>
          <w:tcPr>
            <w:tcW w:w="280" w:type="dxa"/>
            <w:vAlign w:val="bottom"/>
            <w:tcBorders>
              <w:top w:val="single" w:sz="8" w:color="BFE4FF"/>
              <w:bottom w:val="single" w:sz="8" w:color="auto"/>
            </w:tcBorders>
          </w:tcPr>
          <w:p>
            <w:pPr>
              <w:spacing w:after="0" w:line="20" w:lineRule="exact"/>
              <w:rPr>
                <w:sz w:val="1"/>
                <w:szCs w:val="1"/>
                <w:color w:val="auto"/>
              </w:rPr>
            </w:pPr>
          </w:p>
        </w:tc>
        <w:tc>
          <w:tcPr>
            <w:tcW w:w="102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00" w:type="dxa"/>
            <w:vAlign w:val="bottom"/>
            <w:tcBorders>
              <w:top w:val="single" w:sz="8" w:color="BFE4FF"/>
              <w:bottom w:val="single" w:sz="8" w:color="auto"/>
            </w:tcBorders>
          </w:tcPr>
          <w:p>
            <w:pPr>
              <w:spacing w:after="0" w:line="20" w:lineRule="exact"/>
              <w:rPr>
                <w:sz w:val="1"/>
                <w:szCs w:val="1"/>
                <w:color w:val="auto"/>
              </w:rPr>
            </w:pPr>
          </w:p>
        </w:tc>
        <w:tc>
          <w:tcPr>
            <w:tcW w:w="100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00" w:type="dxa"/>
            <w:vAlign w:val="bottom"/>
            <w:tcBorders>
              <w:top w:val="single" w:sz="8" w:color="BFE4FF"/>
              <w:bottom w:val="single" w:sz="8" w:color="auto"/>
            </w:tcBorders>
          </w:tcPr>
          <w:p>
            <w:pPr>
              <w:spacing w:after="0" w:line="20" w:lineRule="exact"/>
              <w:rPr>
                <w:sz w:val="1"/>
                <w:szCs w:val="1"/>
                <w:color w:val="auto"/>
              </w:rPr>
            </w:pPr>
          </w:p>
        </w:tc>
        <w:tc>
          <w:tcPr>
            <w:tcW w:w="100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00" w:type="dxa"/>
            <w:vAlign w:val="bottom"/>
            <w:tcBorders>
              <w:top w:val="single" w:sz="8" w:color="BFE4FF"/>
              <w:bottom w:val="single" w:sz="8" w:color="auto"/>
            </w:tcBorders>
          </w:tcPr>
          <w:p>
            <w:pPr>
              <w:spacing w:after="0" w:line="20" w:lineRule="exact"/>
              <w:rPr>
                <w:sz w:val="1"/>
                <w:szCs w:val="1"/>
                <w:color w:val="auto"/>
              </w:rPr>
            </w:pPr>
          </w:p>
        </w:tc>
        <w:tc>
          <w:tcPr>
            <w:tcW w:w="100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CLEARWAY ENERGY, INC.</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18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8"/>
              </w:rPr>
              <w:t>(In millions, except shares)</w:t>
            </w:r>
          </w:p>
        </w:tc>
        <w:tc>
          <w:tcPr>
            <w:tcW w:w="5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June 30, 2020</w:t>
            </w:r>
          </w:p>
        </w:tc>
        <w:tc>
          <w:tcPr>
            <w:tcW w:w="200" w:type="dxa"/>
            <w:vAlign w:val="bottom"/>
          </w:tcPr>
          <w:p>
            <w:pPr>
              <w:spacing w:after="0"/>
              <w:rPr>
                <w:sz w:val="17"/>
                <w:szCs w:val="17"/>
                <w:color w:val="auto"/>
              </w:rPr>
            </w:pPr>
          </w:p>
        </w:tc>
        <w:tc>
          <w:tcPr>
            <w:tcW w:w="1580" w:type="dxa"/>
            <w:vAlign w:val="bottom"/>
          </w:tcPr>
          <w:p>
            <w:pPr>
              <w:jc w:val="right"/>
              <w:ind w:right="239"/>
              <w:spacing w:after="0"/>
              <w:rPr>
                <w:sz w:val="20"/>
                <w:szCs w:val="20"/>
                <w:color w:val="auto"/>
              </w:rPr>
            </w:pPr>
            <w:r>
              <w:rPr>
                <w:rFonts w:ascii="Arial" w:cs="Arial" w:eastAsia="Arial" w:hAnsi="Arial"/>
                <w:sz w:val="14"/>
                <w:szCs w:val="14"/>
                <w:b w:val="1"/>
                <w:bCs w:val="1"/>
                <w:color w:val="auto"/>
                <w:w w:val="98"/>
              </w:rPr>
              <w:t>December 31, 2019</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5280" w:type="dxa"/>
            <w:vAlign w:val="bottom"/>
            <w:vMerge w:val="restart"/>
          </w:tcPr>
          <w:p>
            <w:pPr>
              <w:jc w:val="center"/>
              <w:ind w:right="1799"/>
              <w:spacing w:after="0"/>
              <w:rPr>
                <w:sz w:val="20"/>
                <w:szCs w:val="20"/>
                <w:color w:val="auto"/>
              </w:rPr>
            </w:pPr>
            <w:r>
              <w:rPr>
                <w:rFonts w:ascii="Arial" w:cs="Arial" w:eastAsia="Arial" w:hAnsi="Arial"/>
                <w:sz w:val="16"/>
                <w:szCs w:val="16"/>
                <w:b w:val="1"/>
                <w:bCs w:val="1"/>
                <w:color w:val="auto"/>
                <w:w w:val="93"/>
              </w:rPr>
              <w:t>ASSETS</w:t>
            </w:r>
          </w:p>
        </w:tc>
        <w:tc>
          <w:tcPr>
            <w:tcW w:w="2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2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(unaudited)</w:t>
            </w: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6"/>
                <w:szCs w:val="16"/>
                <w:b w:val="1"/>
                <w:bCs w:val="1"/>
                <w:color w:val="auto"/>
              </w:rPr>
              <w:t>Current Assets</w:t>
            </w:r>
          </w:p>
        </w:tc>
        <w:tc>
          <w:tcPr>
            <w:tcW w:w="2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gridSpan w:val="2"/>
          </w:tcPr>
          <w:p>
            <w:pPr>
              <w:ind w:left="140"/>
              <w:spacing w:after="0"/>
              <w:rPr>
                <w:sz w:val="20"/>
                <w:szCs w:val="20"/>
                <w:color w:val="auto"/>
              </w:rPr>
            </w:pPr>
            <w:r>
              <w:rPr>
                <w:rFonts w:ascii="Arial" w:cs="Arial" w:eastAsia="Arial" w:hAnsi="Arial"/>
                <w:sz w:val="16"/>
                <w:szCs w:val="16"/>
                <w:color w:val="auto"/>
              </w:rPr>
              <w:t>Restricted cash</w:t>
            </w:r>
          </w:p>
        </w:tc>
        <w:tc>
          <w:tcPr>
            <w:tcW w:w="28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Accounts receivable — trade</w:t>
            </w: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20" w:type="dxa"/>
            <w:vAlign w:val="bottom"/>
            <w:gridSpan w:val="2"/>
          </w:tcPr>
          <w:p>
            <w:pPr>
              <w:ind w:left="140"/>
              <w:spacing w:after="0"/>
              <w:rPr>
                <w:sz w:val="20"/>
                <w:szCs w:val="20"/>
                <w:color w:val="auto"/>
              </w:rPr>
            </w:pPr>
            <w:r>
              <w:rPr>
                <w:rFonts w:ascii="Arial" w:cs="Arial" w:eastAsia="Arial" w:hAnsi="Arial"/>
                <w:sz w:val="16"/>
                <w:szCs w:val="16"/>
                <w:color w:val="auto"/>
              </w:rPr>
              <w:t>Accounts receivable — affiliate</w:t>
            </w:r>
          </w:p>
        </w:tc>
        <w:tc>
          <w:tcPr>
            <w:tcW w:w="280" w:type="dxa"/>
            <w:vAlign w:val="bottom"/>
          </w:tcPr>
          <w:p>
            <w:pPr>
              <w:spacing w:after="0"/>
              <w:rPr>
                <w:sz w:val="19"/>
                <w:szCs w:val="19"/>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Inventory</w:t>
            </w: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gridSpan w:val="2"/>
          </w:tcPr>
          <w:p>
            <w:pPr>
              <w:ind w:left="140"/>
              <w:spacing w:after="0"/>
              <w:rPr>
                <w:sz w:val="20"/>
                <w:szCs w:val="20"/>
                <w:color w:val="auto"/>
              </w:rPr>
            </w:pPr>
            <w:r>
              <w:rPr>
                <w:rFonts w:ascii="Arial" w:cs="Arial" w:eastAsia="Arial" w:hAnsi="Arial"/>
                <w:sz w:val="16"/>
                <w:szCs w:val="16"/>
                <w:color w:val="auto"/>
              </w:rPr>
              <w:t>Prepayments and other current assets</w:t>
            </w:r>
          </w:p>
        </w:tc>
        <w:tc>
          <w:tcPr>
            <w:tcW w:w="28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1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6"/>
                <w:szCs w:val="16"/>
                <w:b w:val="1"/>
                <w:bCs w:val="1"/>
                <w:color w:val="auto"/>
              </w:rPr>
              <w:t>Property, plant and equipment, net</w:t>
            </w:r>
          </w:p>
        </w:tc>
        <w:tc>
          <w:tcPr>
            <w:tcW w:w="2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6,256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6,063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Other Assets</w:t>
            </w: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20" w:type="dxa"/>
            <w:vAlign w:val="bottom"/>
            <w:gridSpan w:val="2"/>
          </w:tcPr>
          <w:p>
            <w:pPr>
              <w:ind w:left="140"/>
              <w:spacing w:after="0"/>
              <w:rPr>
                <w:sz w:val="20"/>
                <w:szCs w:val="20"/>
                <w:color w:val="auto"/>
              </w:rPr>
            </w:pPr>
            <w:r>
              <w:rPr>
                <w:rFonts w:ascii="Arial" w:cs="Arial" w:eastAsia="Arial" w:hAnsi="Arial"/>
                <w:sz w:val="16"/>
                <w:szCs w:val="16"/>
                <w:color w:val="auto"/>
              </w:rPr>
              <w:t>Equity investments in affiliates</w:t>
            </w:r>
          </w:p>
        </w:tc>
        <w:tc>
          <w:tcPr>
            <w:tcW w:w="28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971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1,183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Intangible assets, net</w:t>
            </w: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1,393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gridSpan w:val="2"/>
          </w:tcPr>
          <w:p>
            <w:pPr>
              <w:ind w:left="14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Right of use assets, net</w:t>
            </w: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20" w:type="dxa"/>
            <w:vAlign w:val="bottom"/>
            <w:gridSpan w:val="2"/>
          </w:tcPr>
          <w:p>
            <w:pPr>
              <w:ind w:left="140"/>
              <w:spacing w:after="0"/>
              <w:rPr>
                <w:sz w:val="20"/>
                <w:szCs w:val="20"/>
                <w:color w:val="auto"/>
              </w:rPr>
            </w:pPr>
            <w:r>
              <w:rPr>
                <w:rFonts w:ascii="Arial" w:cs="Arial" w:eastAsia="Arial" w:hAnsi="Arial"/>
                <w:sz w:val="16"/>
                <w:szCs w:val="16"/>
                <w:color w:val="auto"/>
              </w:rPr>
              <w:t>Other non-current assets</w:t>
            </w:r>
          </w:p>
        </w:tc>
        <w:tc>
          <w:tcPr>
            <w:tcW w:w="28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1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color w:val="auto"/>
              </w:rPr>
              <w:t>Total 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3,029</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120" w:type="dxa"/>
            <w:vAlign w:val="bottom"/>
            <w:gridSpan w:val="2"/>
          </w:tcPr>
          <w:p>
            <w:pPr>
              <w:spacing w:after="0"/>
              <w:rPr>
                <w:sz w:val="20"/>
                <w:szCs w:val="20"/>
                <w:color w:val="auto"/>
              </w:rPr>
            </w:pPr>
            <w:r>
              <w:rPr>
                <w:rFonts w:ascii="Arial" w:cs="Arial" w:eastAsia="Arial" w:hAnsi="Arial"/>
                <w:sz w:val="16"/>
                <w:szCs w:val="16"/>
                <w:b w:val="1"/>
                <w:bCs w:val="1"/>
                <w:color w:val="auto"/>
              </w:rPr>
              <w:t>Total Assets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9,736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9,700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Borders>
              <w:bottom w:val="single" w:sz="8" w:color="CCEEFF"/>
            </w:tcBorders>
            <w:shd w:val="clear" w:color="auto" w:fill="CCEEFF"/>
          </w:tcPr>
          <w:p>
            <w:pPr>
              <w:spacing w:after="0"/>
              <w:rPr>
                <w:sz w:val="17"/>
                <w:szCs w:val="17"/>
                <w:color w:val="auto"/>
              </w:rPr>
            </w:pPr>
          </w:p>
        </w:tc>
        <w:tc>
          <w:tcPr>
            <w:tcW w:w="71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Arial" w:cs="Arial" w:eastAsia="Arial" w:hAnsi="Arial"/>
                <w:sz w:val="16"/>
                <w:szCs w:val="16"/>
                <w:b w:val="1"/>
                <w:bCs w:val="1"/>
                <w:color w:val="auto"/>
              </w:rPr>
              <w:t>Current Liabilities</w:t>
            </w: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71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Current portion of long-term debt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1,824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20" w:type="dxa"/>
            <w:vAlign w:val="bottom"/>
            <w:gridSpan w:val="2"/>
          </w:tcPr>
          <w:p>
            <w:pPr>
              <w:ind w:left="100"/>
              <w:spacing w:after="0"/>
              <w:rPr>
                <w:sz w:val="20"/>
                <w:szCs w:val="20"/>
                <w:color w:val="auto"/>
              </w:rPr>
            </w:pPr>
            <w:r>
              <w:rPr>
                <w:rFonts w:ascii="Arial" w:cs="Arial" w:eastAsia="Arial" w:hAnsi="Arial"/>
                <w:sz w:val="16"/>
                <w:szCs w:val="16"/>
                <w:color w:val="auto"/>
              </w:rPr>
              <w:t>Accounts payable — trade</w:t>
            </w:r>
          </w:p>
        </w:tc>
        <w:tc>
          <w:tcPr>
            <w:tcW w:w="28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1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Accounts payable — affiliate</w:t>
            </w: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gridSpan w:val="2"/>
          </w:tcPr>
          <w:p>
            <w:pPr>
              <w:ind w:left="100"/>
              <w:spacing w:after="0"/>
              <w:rPr>
                <w:sz w:val="20"/>
                <w:szCs w:val="20"/>
                <w:color w:val="auto"/>
              </w:rPr>
            </w:pPr>
            <w:r>
              <w:rPr>
                <w:rFonts w:ascii="Arial" w:cs="Arial" w:eastAsia="Arial" w:hAnsi="Arial"/>
                <w:sz w:val="16"/>
                <w:szCs w:val="16"/>
                <w:color w:val="auto"/>
              </w:rPr>
              <w:t>Derivative instruments</w:t>
            </w:r>
          </w:p>
        </w:tc>
        <w:tc>
          <w:tcPr>
            <w:tcW w:w="28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1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Accrued interest expense</w:t>
            </w: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gridSpan w:val="2"/>
          </w:tcPr>
          <w:p>
            <w:pPr>
              <w:ind w:left="100"/>
              <w:spacing w:after="0"/>
              <w:rPr>
                <w:sz w:val="20"/>
                <w:szCs w:val="20"/>
                <w:color w:val="auto"/>
              </w:rPr>
            </w:pPr>
            <w:r>
              <w:rPr>
                <w:rFonts w:ascii="Arial" w:cs="Arial" w:eastAsia="Arial" w:hAnsi="Arial"/>
                <w:sz w:val="16"/>
                <w:szCs w:val="16"/>
                <w:color w:val="auto"/>
              </w:rPr>
              <w:t>Accrued expenses and other current liabilities</w:t>
            </w:r>
          </w:p>
        </w:tc>
        <w:tc>
          <w:tcPr>
            <w:tcW w:w="28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1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gridSpan w:val="2"/>
          </w:tcPr>
          <w:p>
            <w:pPr>
              <w:spacing w:after="0"/>
              <w:rPr>
                <w:sz w:val="20"/>
                <w:szCs w:val="20"/>
                <w:color w:val="auto"/>
              </w:rPr>
            </w:pPr>
            <w:r>
              <w:rPr>
                <w:rFonts w:ascii="Arial" w:cs="Arial" w:eastAsia="Arial" w:hAnsi="Arial"/>
                <w:sz w:val="16"/>
                <w:szCs w:val="16"/>
                <w:b w:val="1"/>
                <w:bCs w:val="1"/>
                <w:color w:val="auto"/>
              </w:rPr>
              <w:t>Other Liabilities</w:t>
            </w:r>
          </w:p>
        </w:tc>
        <w:tc>
          <w:tcPr>
            <w:tcW w:w="2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71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Long-term debt</w:t>
            </w: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6,377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gridSpan w:val="2"/>
          </w:tcPr>
          <w:p>
            <w:pPr>
              <w:ind w:left="100"/>
              <w:spacing w:after="0"/>
              <w:rPr>
                <w:sz w:val="20"/>
                <w:szCs w:val="20"/>
                <w:color w:val="auto"/>
              </w:rPr>
            </w:pPr>
            <w:r>
              <w:rPr>
                <w:rFonts w:ascii="Arial" w:cs="Arial" w:eastAsia="Arial" w:hAnsi="Arial"/>
                <w:sz w:val="16"/>
                <w:szCs w:val="16"/>
                <w:color w:val="auto"/>
              </w:rPr>
              <w:t>Derivative instruments</w:t>
            </w:r>
          </w:p>
        </w:tc>
        <w:tc>
          <w:tcPr>
            <w:tcW w:w="28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71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Long-term lease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20" w:type="dxa"/>
            <w:vAlign w:val="bottom"/>
            <w:gridSpan w:val="2"/>
          </w:tcPr>
          <w:p>
            <w:pPr>
              <w:ind w:left="100"/>
              <w:spacing w:after="0"/>
              <w:rPr>
                <w:sz w:val="20"/>
                <w:szCs w:val="20"/>
                <w:color w:val="auto"/>
              </w:rPr>
            </w:pPr>
            <w:r>
              <w:rPr>
                <w:rFonts w:ascii="Arial" w:cs="Arial" w:eastAsia="Arial" w:hAnsi="Arial"/>
                <w:sz w:val="16"/>
                <w:szCs w:val="16"/>
                <w:color w:val="auto"/>
              </w:rPr>
              <w:t>Other non-current liabilities</w:t>
            </w:r>
          </w:p>
        </w:tc>
        <w:tc>
          <w:tcPr>
            <w:tcW w:w="28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1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color w:val="auto"/>
              </w:rPr>
              <w:t>Total non-current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6,949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6"/>
                <w:szCs w:val="16"/>
                <w:b w:val="1"/>
                <w:bCs w:val="1"/>
                <w:color w:val="auto"/>
              </w:rPr>
              <w:t>Total Liabilities</w:t>
            </w:r>
          </w:p>
        </w:tc>
        <w:tc>
          <w:tcPr>
            <w:tcW w:w="2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7,504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7,437</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7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Commitments and Contingencies</w:t>
            </w:r>
          </w:p>
        </w:tc>
        <w:tc>
          <w:tcPr>
            <w:tcW w:w="2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Arial" w:cs="Arial" w:eastAsia="Arial" w:hAnsi="Arial"/>
                <w:sz w:val="16"/>
                <w:szCs w:val="16"/>
                <w:b w:val="1"/>
                <w:bCs w:val="1"/>
                <w:color w:val="auto"/>
              </w:rPr>
              <w:t>Stockholders' Equity</w:t>
            </w: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71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Preferred stock, $0.01 par value; 10,000,000 shares authorized; none issued</w:t>
            </w:r>
          </w:p>
        </w:tc>
        <w:tc>
          <w:tcPr>
            <w:tcW w:w="28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120" w:type="dxa"/>
            <w:vAlign w:val="bottom"/>
            <w:gridSpan w:val="2"/>
          </w:tcPr>
          <w:p>
            <w:pPr>
              <w:ind w:left="120"/>
              <w:spacing w:after="0" w:line="166" w:lineRule="exact"/>
              <w:rPr>
                <w:sz w:val="20"/>
                <w:szCs w:val="20"/>
                <w:color w:val="auto"/>
              </w:rPr>
            </w:pPr>
            <w:r>
              <w:rPr>
                <w:rFonts w:ascii="Arial" w:cs="Arial" w:eastAsia="Arial" w:hAnsi="Arial"/>
                <w:sz w:val="16"/>
                <w:szCs w:val="16"/>
                <w:color w:val="auto"/>
                <w:w w:val="93"/>
              </w:rPr>
              <w:t>Class A, Class B, Class C and Class D common stock, $0.01 par value; 3,000,000,000 shares authorized</w:t>
            </w: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20" w:type="dxa"/>
            <w:vAlign w:val="bottom"/>
            <w:gridSpan w:val="2"/>
          </w:tcPr>
          <w:p>
            <w:pPr>
              <w:ind w:left="120"/>
              <w:spacing w:after="0" w:line="162" w:lineRule="exact"/>
              <w:rPr>
                <w:sz w:val="20"/>
                <w:szCs w:val="20"/>
                <w:color w:val="auto"/>
              </w:rPr>
            </w:pPr>
            <w:r>
              <w:rPr>
                <w:rFonts w:ascii="Arial" w:cs="Arial" w:eastAsia="Arial" w:hAnsi="Arial"/>
                <w:sz w:val="16"/>
                <w:szCs w:val="16"/>
                <w:color w:val="auto"/>
                <w:w w:val="92"/>
              </w:rPr>
              <w:t>(Class A 500,000,000, Class B 500,000,000, Class C 1,000,000,000, Class D 1,000,000,000); 200,678,701</w:t>
            </w: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20" w:type="dxa"/>
            <w:vAlign w:val="bottom"/>
            <w:gridSpan w:val="2"/>
          </w:tcPr>
          <w:p>
            <w:pPr>
              <w:ind w:left="120"/>
              <w:spacing w:after="0" w:line="162" w:lineRule="exact"/>
              <w:rPr>
                <w:sz w:val="20"/>
                <w:szCs w:val="20"/>
                <w:color w:val="auto"/>
              </w:rPr>
            </w:pPr>
            <w:r>
              <w:rPr>
                <w:rFonts w:ascii="Arial" w:cs="Arial" w:eastAsia="Arial" w:hAnsi="Arial"/>
                <w:sz w:val="16"/>
                <w:szCs w:val="16"/>
                <w:color w:val="auto"/>
                <w:w w:val="95"/>
              </w:rPr>
              <w:t>shares issued and outstanding (Class A 34,599,645, Class B 42,738,750, Class C 80,601,556, Class D</w:t>
            </w: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20" w:type="dxa"/>
            <w:vAlign w:val="bottom"/>
            <w:gridSpan w:val="2"/>
          </w:tcPr>
          <w:p>
            <w:pPr>
              <w:ind w:left="120"/>
              <w:spacing w:after="0" w:line="162" w:lineRule="exact"/>
              <w:rPr>
                <w:sz w:val="20"/>
                <w:szCs w:val="20"/>
                <w:color w:val="auto"/>
              </w:rPr>
            </w:pPr>
            <w:r>
              <w:rPr>
                <w:rFonts w:ascii="Arial" w:cs="Arial" w:eastAsia="Arial" w:hAnsi="Arial"/>
                <w:sz w:val="16"/>
                <w:szCs w:val="16"/>
                <w:color w:val="auto"/>
                <w:w w:val="90"/>
              </w:rPr>
              <w:t>42,738,750) at June 30, 2020 and 198,819,999 shares issued and outstanding (Class A 34,599,645, Class B</w:t>
            </w:r>
          </w:p>
        </w:tc>
        <w:tc>
          <w:tcPr>
            <w:tcW w:w="280" w:type="dxa"/>
            <w:vAlign w:val="bottom"/>
          </w:tcPr>
          <w:p>
            <w:pPr>
              <w:spacing w:after="0"/>
              <w:rPr>
                <w:sz w:val="14"/>
                <w:szCs w:val="14"/>
                <w:color w:val="auto"/>
              </w:rPr>
            </w:pPr>
          </w:p>
        </w:tc>
        <w:tc>
          <w:tcPr>
            <w:tcW w:w="1500" w:type="dxa"/>
            <w:vAlign w:val="bottom"/>
            <w:vMerge w:val="restart"/>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vMerge w:val="restart"/>
          </w:tcPr>
          <w:p>
            <w:pPr>
              <w:jc w:val="right"/>
              <w:ind w:right="7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20" w:type="dxa"/>
            <w:vAlign w:val="bottom"/>
            <w:gridSpan w:val="2"/>
          </w:tcPr>
          <w:p>
            <w:pPr>
              <w:ind w:left="120"/>
              <w:spacing w:after="0"/>
              <w:rPr>
                <w:sz w:val="20"/>
                <w:szCs w:val="20"/>
                <w:color w:val="auto"/>
              </w:rPr>
            </w:pPr>
            <w:r>
              <w:rPr>
                <w:rFonts w:ascii="Arial" w:cs="Arial" w:eastAsia="Arial" w:hAnsi="Arial"/>
                <w:sz w:val="16"/>
                <w:szCs w:val="16"/>
                <w:color w:val="auto"/>
              </w:rPr>
              <w:t>42,738,750, Class C 78,742,854, Class D 42,738,750) at December 31, 2019</w:t>
            </w:r>
          </w:p>
        </w:tc>
        <w:tc>
          <w:tcPr>
            <w:tcW w:w="28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Borders>
              <w:bottom w:val="single" w:sz="8" w:color="CCEEFF"/>
            </w:tcBorders>
            <w:shd w:val="clear" w:color="auto" w:fill="CCEEFF"/>
          </w:tcPr>
          <w:p>
            <w:pPr>
              <w:spacing w:after="0"/>
              <w:rPr>
                <w:sz w:val="20"/>
                <w:szCs w:val="20"/>
                <w:color w:val="auto"/>
              </w:rPr>
            </w:pPr>
          </w:p>
        </w:tc>
        <w:tc>
          <w:tcPr>
            <w:tcW w:w="71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Additional paid-in capital</w:t>
            </w: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1,934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gridSpan w:val="2"/>
          </w:tcPr>
          <w:p>
            <w:pPr>
              <w:ind w:left="100"/>
              <w:spacing w:after="0"/>
              <w:rPr>
                <w:sz w:val="20"/>
                <w:szCs w:val="20"/>
                <w:color w:val="auto"/>
              </w:rPr>
            </w:pPr>
            <w:r>
              <w:rPr>
                <w:rFonts w:ascii="Arial" w:cs="Arial" w:eastAsia="Arial" w:hAnsi="Arial"/>
                <w:sz w:val="16"/>
                <w:szCs w:val="16"/>
                <w:color w:val="auto"/>
              </w:rPr>
              <w:t>Accumulated deficit</w:t>
            </w:r>
          </w:p>
        </w:tc>
        <w:tc>
          <w:tcPr>
            <w:tcW w:w="2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71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gridSpan w:val="2"/>
          </w:tcPr>
          <w:p>
            <w:pPr>
              <w:ind w:left="100"/>
              <w:spacing w:after="0"/>
              <w:rPr>
                <w:sz w:val="20"/>
                <w:szCs w:val="20"/>
                <w:color w:val="auto"/>
              </w:rPr>
            </w:pPr>
            <w:r>
              <w:rPr>
                <w:rFonts w:ascii="Arial" w:cs="Arial" w:eastAsia="Arial" w:hAnsi="Arial"/>
                <w:sz w:val="16"/>
                <w:szCs w:val="16"/>
                <w:color w:val="auto"/>
              </w:rPr>
              <w:t>Noncontrolling interest</w:t>
            </w:r>
          </w:p>
        </w:tc>
        <w:tc>
          <w:tcPr>
            <w:tcW w:w="28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2,263</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120" w:type="dxa"/>
            <w:vAlign w:val="bottom"/>
            <w:gridSpan w:val="2"/>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9,736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9,700</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231F2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540" w:top="769" w:right="5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CLEARWAY ENERGY,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80" w:type="dxa"/>
            <w:vAlign w:val="bottom"/>
          </w:tcPr>
          <w:p>
            <w:pPr>
              <w:spacing w:after="0"/>
              <w:rPr>
                <w:sz w:val="16"/>
                <w:szCs w:val="16"/>
                <w:color w:val="auto"/>
              </w:rPr>
            </w:pPr>
          </w:p>
        </w:tc>
        <w:tc>
          <w:tcPr>
            <w:tcW w:w="2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6"/>
                <w:szCs w:val="16"/>
                <w:color w:val="auto"/>
              </w:rPr>
            </w:pPr>
          </w:p>
        </w:tc>
      </w:tr>
      <w:tr>
        <w:trPr>
          <w:trHeight w:val="196"/>
        </w:trPr>
        <w:tc>
          <w:tcPr>
            <w:tcW w:w="838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r>
      <w:tr>
        <w:trPr>
          <w:trHeight w:val="190"/>
        </w:trPr>
        <w:tc>
          <w:tcPr>
            <w:tcW w:w="8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80" w:type="dxa"/>
            <w:vAlign w:val="bottom"/>
            <w:gridSpan w:val="3"/>
          </w:tcPr>
          <w:p>
            <w:pPr>
              <w:jc w:val="right"/>
              <w:ind w:right="436"/>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6"/>
                <w:szCs w:val="16"/>
                <w:color w:val="auto"/>
              </w:rPr>
            </w:pPr>
          </w:p>
        </w:tc>
      </w:tr>
      <w:tr>
        <w:trPr>
          <w:trHeight w:val="255"/>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7"/>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r>
      <w:tr>
        <w:trPr>
          <w:trHeight w:val="243"/>
        </w:trPr>
        <w:tc>
          <w:tcPr>
            <w:tcW w:w="8380" w:type="dxa"/>
            <w:vAlign w:val="bottom"/>
          </w:tcPr>
          <w:p>
            <w:pPr>
              <w:ind w:left="12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7"/>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Equity in earnings of unconsolidated affiliates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r>
      <w:tr>
        <w:trPr>
          <w:trHeight w:val="243"/>
        </w:trPr>
        <w:tc>
          <w:tcPr>
            <w:tcW w:w="8380" w:type="dxa"/>
            <w:vAlign w:val="bottom"/>
          </w:tcPr>
          <w:p>
            <w:pPr>
              <w:ind w:left="340"/>
              <w:spacing w:after="0"/>
              <w:rPr>
                <w:sz w:val="20"/>
                <w:szCs w:val="20"/>
                <w:color w:val="auto"/>
              </w:rPr>
            </w:pPr>
            <w:r>
              <w:rPr>
                <w:rFonts w:ascii="Arial" w:cs="Arial" w:eastAsia="Arial" w:hAnsi="Arial"/>
                <w:sz w:val="18"/>
                <w:szCs w:val="18"/>
                <w:color w:val="auto"/>
              </w:rPr>
              <w:t>Distributions from unconsolidated affiliates</w:t>
            </w:r>
          </w:p>
        </w:tc>
        <w:tc>
          <w:tcPr>
            <w:tcW w:w="840" w:type="dxa"/>
            <w:vAlign w:val="bottom"/>
          </w:tcPr>
          <w:p>
            <w:pPr>
              <w:spacing w:after="0"/>
              <w:rPr>
                <w:sz w:val="21"/>
                <w:szCs w:val="21"/>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22</w:t>
            </w:r>
          </w:p>
        </w:tc>
      </w:tr>
      <w:tr>
        <w:trPr>
          <w:trHeight w:val="27"/>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amortization and accretion</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176</w:t>
            </w:r>
          </w:p>
        </w:tc>
      </w:tr>
      <w:tr>
        <w:trPr>
          <w:trHeight w:val="243"/>
        </w:trPr>
        <w:tc>
          <w:tcPr>
            <w:tcW w:w="8380" w:type="dxa"/>
            <w:vAlign w:val="bottom"/>
          </w:tcPr>
          <w:p>
            <w:pPr>
              <w:ind w:left="340"/>
              <w:spacing w:after="0"/>
              <w:rPr>
                <w:sz w:val="20"/>
                <w:szCs w:val="20"/>
                <w:color w:val="auto"/>
              </w:rPr>
            </w:pPr>
            <w:r>
              <w:rPr>
                <w:rFonts w:ascii="Arial" w:cs="Arial" w:eastAsia="Arial" w:hAnsi="Arial"/>
                <w:sz w:val="18"/>
                <w:szCs w:val="18"/>
                <w:color w:val="auto"/>
              </w:rPr>
              <w:t>Amortization of financing costs and debt discounts</w:t>
            </w:r>
          </w:p>
        </w:tc>
        <w:tc>
          <w:tcPr>
            <w:tcW w:w="840" w:type="dxa"/>
            <w:vAlign w:val="bottom"/>
          </w:tcPr>
          <w:p>
            <w:pPr>
              <w:spacing w:after="0"/>
              <w:rPr>
                <w:sz w:val="21"/>
                <w:szCs w:val="21"/>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7</w:t>
            </w:r>
          </w:p>
        </w:tc>
      </w:tr>
      <w:tr>
        <w:trPr>
          <w:trHeight w:val="27"/>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Amortization of intangibles and out-of-market contracts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w:t>
            </w:r>
          </w:p>
        </w:tc>
      </w:tr>
      <w:tr>
        <w:trPr>
          <w:trHeight w:val="243"/>
        </w:trPr>
        <w:tc>
          <w:tcPr>
            <w:tcW w:w="8380" w:type="dxa"/>
            <w:vAlign w:val="bottom"/>
          </w:tcPr>
          <w:p>
            <w:pPr>
              <w:ind w:left="340"/>
              <w:spacing w:after="0"/>
              <w:rPr>
                <w:sz w:val="20"/>
                <w:szCs w:val="20"/>
                <w:color w:val="auto"/>
              </w:rPr>
            </w:pPr>
            <w:r>
              <w:rPr>
                <w:rFonts w:ascii="Arial" w:cs="Arial" w:eastAsia="Arial" w:hAnsi="Arial"/>
                <w:sz w:val="18"/>
                <w:szCs w:val="18"/>
                <w:color w:val="auto"/>
              </w:rPr>
              <w:t>Loss on debt extinguishment</w:t>
            </w:r>
          </w:p>
        </w:tc>
        <w:tc>
          <w:tcPr>
            <w:tcW w:w="840" w:type="dxa"/>
            <w:vAlign w:val="bottom"/>
          </w:tcPr>
          <w:p>
            <w:pPr>
              <w:spacing w:after="0"/>
              <w:rPr>
                <w:sz w:val="21"/>
                <w:szCs w:val="21"/>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1</w:t>
            </w:r>
          </w:p>
        </w:tc>
      </w:tr>
      <w:tr>
        <w:trPr>
          <w:trHeight w:val="27"/>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Right-of-use asset amortization</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r>
      <w:tr>
        <w:trPr>
          <w:trHeight w:val="243"/>
        </w:trPr>
        <w:tc>
          <w:tcPr>
            <w:tcW w:w="8380" w:type="dxa"/>
            <w:vAlign w:val="bottom"/>
          </w:tcPr>
          <w:p>
            <w:pPr>
              <w:ind w:left="340"/>
              <w:spacing w:after="0"/>
              <w:rPr>
                <w:sz w:val="20"/>
                <w:szCs w:val="20"/>
                <w:color w:val="auto"/>
              </w:rPr>
            </w:pPr>
            <w:r>
              <w:rPr>
                <w:rFonts w:ascii="Arial" w:cs="Arial" w:eastAsia="Arial" w:hAnsi="Arial"/>
                <w:sz w:val="18"/>
                <w:szCs w:val="18"/>
                <w:color w:val="auto"/>
              </w:rPr>
              <w:t>Gain on sale of unconsolidated affiliate</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Impairment losses</w:t>
            </w:r>
          </w:p>
        </w:tc>
        <w:tc>
          <w:tcPr>
            <w:tcW w:w="8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r>
      <w:tr>
        <w:trPr>
          <w:trHeight w:val="243"/>
        </w:trPr>
        <w:tc>
          <w:tcPr>
            <w:tcW w:w="8380" w:type="dxa"/>
            <w:vAlign w:val="bottom"/>
          </w:tcPr>
          <w:p>
            <w:pPr>
              <w:ind w:left="340"/>
              <w:spacing w:after="0"/>
              <w:rPr>
                <w:sz w:val="20"/>
                <w:szCs w:val="20"/>
                <w:color w:val="auto"/>
              </w:rPr>
            </w:pPr>
            <w:r>
              <w:rPr>
                <w:rFonts w:ascii="Arial" w:cs="Arial" w:eastAsia="Arial" w:hAnsi="Arial"/>
                <w:sz w:val="18"/>
                <w:szCs w:val="18"/>
                <w:color w:val="auto"/>
              </w:rPr>
              <w:t>Changes in deferred income taxes</w:t>
            </w:r>
          </w:p>
        </w:tc>
        <w:tc>
          <w:tcPr>
            <w:tcW w:w="840" w:type="dxa"/>
            <w:vAlign w:val="bottom"/>
          </w:tcPr>
          <w:p>
            <w:pPr>
              <w:spacing w:after="0"/>
              <w:rPr>
                <w:sz w:val="21"/>
                <w:szCs w:val="21"/>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7"/>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Changes in derivative instruments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w:t>
            </w:r>
          </w:p>
        </w:tc>
      </w:tr>
      <w:tr>
        <w:trPr>
          <w:trHeight w:val="243"/>
        </w:trPr>
        <w:tc>
          <w:tcPr>
            <w:tcW w:w="8380" w:type="dxa"/>
            <w:vAlign w:val="bottom"/>
          </w:tcPr>
          <w:p>
            <w:pPr>
              <w:ind w:left="340"/>
              <w:spacing w:after="0"/>
              <w:rPr>
                <w:sz w:val="20"/>
                <w:szCs w:val="20"/>
                <w:color w:val="auto"/>
              </w:rPr>
            </w:pPr>
            <w:r>
              <w:rPr>
                <w:rFonts w:ascii="Arial" w:cs="Arial" w:eastAsia="Arial" w:hAnsi="Arial"/>
                <w:sz w:val="18"/>
                <w:szCs w:val="18"/>
                <w:color w:val="auto"/>
              </w:rPr>
              <w:t>Loss on disposal of asset components</w:t>
            </w:r>
          </w:p>
        </w:tc>
        <w:tc>
          <w:tcPr>
            <w:tcW w:w="84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7</w:t>
            </w:r>
          </w:p>
        </w:tc>
      </w:tr>
      <w:tr>
        <w:trPr>
          <w:trHeight w:val="27"/>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used in changes in other working capital</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43"/>
        </w:trPr>
        <w:tc>
          <w:tcPr>
            <w:tcW w:w="8380" w:type="dxa"/>
            <w:vAlign w:val="bottom"/>
          </w:tcPr>
          <w:p>
            <w:pPr>
              <w:ind w:left="34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(60)</w:t>
            </w:r>
          </w:p>
        </w:tc>
      </w:tr>
      <w:tr>
        <w:trPr>
          <w:trHeight w:val="27"/>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Changes in other working capital</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r>
      <w:tr>
        <w:trPr>
          <w:trHeight w:val="237"/>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150</w:t>
            </w:r>
          </w:p>
        </w:tc>
      </w:tr>
      <w:tr>
        <w:trPr>
          <w:trHeight w:val="27"/>
        </w:trPr>
        <w:tc>
          <w:tcPr>
            <w:tcW w:w="83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3"/>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70"/>
        </w:trPr>
        <w:tc>
          <w:tcPr>
            <w:tcW w:w="8380" w:type="dxa"/>
            <w:vAlign w:val="bottom"/>
          </w:tcPr>
          <w:p>
            <w:pPr>
              <w:ind w:left="360"/>
              <w:spacing w:after="0"/>
              <w:rPr>
                <w:sz w:val="20"/>
                <w:szCs w:val="20"/>
                <w:color w:val="auto"/>
              </w:rPr>
            </w:pPr>
            <w:r>
              <w:rPr>
                <w:rFonts w:ascii="Arial" w:cs="Arial" w:eastAsia="Arial" w:hAnsi="Arial"/>
                <w:sz w:val="18"/>
                <w:szCs w:val="18"/>
                <w:color w:val="auto"/>
              </w:rPr>
              <w:t>Acquisitions</w:t>
            </w:r>
          </w:p>
        </w:tc>
        <w:tc>
          <w:tcPr>
            <w:tcW w:w="840" w:type="dxa"/>
            <w:vAlign w:val="bottom"/>
          </w:tcPr>
          <w:p>
            <w:pPr>
              <w:spacing w:after="0"/>
              <w:rPr>
                <w:sz w:val="23"/>
                <w:szCs w:val="2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3"/>
                <w:szCs w:val="23"/>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90"/>
              </w:rPr>
              <w:t>(100)</w:t>
            </w:r>
          </w:p>
        </w:tc>
      </w:tr>
      <w:tr>
        <w:trPr>
          <w:trHeight w:val="250"/>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Partnership interest acquisition</w:t>
            </w:r>
          </w:p>
        </w:tc>
        <w:tc>
          <w:tcPr>
            <w:tcW w:w="8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r>
      <w:tr>
        <w:trPr>
          <w:trHeight w:val="243"/>
        </w:trPr>
        <w:tc>
          <w:tcPr>
            <w:tcW w:w="8380" w:type="dxa"/>
            <w:vAlign w:val="bottom"/>
          </w:tcPr>
          <w:p>
            <w:pPr>
              <w:ind w:left="340"/>
              <w:spacing w:after="0"/>
              <w:rPr>
                <w:sz w:val="20"/>
                <w:szCs w:val="20"/>
                <w:color w:val="auto"/>
              </w:rPr>
            </w:pPr>
            <w:r>
              <w:rPr>
                <w:rFonts w:ascii="Arial" w:cs="Arial" w:eastAsia="Arial" w:hAnsi="Arial"/>
                <w:sz w:val="18"/>
                <w:szCs w:val="18"/>
                <w:color w:val="auto"/>
              </w:rPr>
              <w:t>Buyout of Wind TE Holdco noncontrolling interest</w:t>
            </w:r>
          </w:p>
        </w:tc>
        <w:tc>
          <w:tcPr>
            <w:tcW w:w="84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(19)</w:t>
            </w:r>
          </w:p>
        </w:tc>
      </w:tr>
      <w:tr>
        <w:trPr>
          <w:trHeight w:val="27"/>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Consolidation of DGPV Holdco 3 LLC</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838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(96)</w:t>
            </w:r>
          </w:p>
        </w:tc>
      </w:tr>
      <w:tr>
        <w:trPr>
          <w:trHeight w:val="27"/>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Return of investment from unconsolidated affiliates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r>
      <w:tr>
        <w:trPr>
          <w:trHeight w:val="243"/>
        </w:trPr>
        <w:tc>
          <w:tcPr>
            <w:tcW w:w="8380" w:type="dxa"/>
            <w:vAlign w:val="bottom"/>
          </w:tcPr>
          <w:p>
            <w:pPr>
              <w:ind w:left="340"/>
              <w:spacing w:after="0"/>
              <w:rPr>
                <w:sz w:val="20"/>
                <w:szCs w:val="20"/>
                <w:color w:val="auto"/>
              </w:rPr>
            </w:pPr>
            <w:r>
              <w:rPr>
                <w:rFonts w:ascii="Arial" w:cs="Arial" w:eastAsia="Arial" w:hAnsi="Arial"/>
                <w:sz w:val="18"/>
                <w:szCs w:val="18"/>
                <w:color w:val="auto"/>
              </w:rPr>
              <w:t>Investments in unconsolidated affiliates</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(9)</w:t>
            </w:r>
          </w:p>
        </w:tc>
      </w:tr>
      <w:tr>
        <w:trPr>
          <w:trHeight w:val="27"/>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Proceeds from sale of assets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8380" w:type="dxa"/>
            <w:vAlign w:val="bottom"/>
          </w:tcPr>
          <w:p>
            <w:pPr>
              <w:ind w:left="340"/>
              <w:spacing w:after="0"/>
              <w:rPr>
                <w:sz w:val="20"/>
                <w:szCs w:val="20"/>
                <w:color w:val="auto"/>
              </w:rPr>
            </w:pPr>
            <w:r>
              <w:rPr>
                <w:rFonts w:ascii="Arial" w:cs="Arial" w:eastAsia="Arial" w:hAnsi="Arial"/>
                <w:sz w:val="18"/>
                <w:szCs w:val="18"/>
                <w:color w:val="auto"/>
              </w:rPr>
              <w:t>Insurance proceeds</w:t>
            </w:r>
          </w:p>
        </w:tc>
        <w:tc>
          <w:tcPr>
            <w:tcW w:w="840" w:type="dxa"/>
            <w:vAlign w:val="bottom"/>
          </w:tcPr>
          <w:p>
            <w:pPr>
              <w:spacing w:after="0"/>
              <w:rPr>
                <w:sz w:val="21"/>
                <w:szCs w:val="21"/>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r>
      <w:tr>
        <w:trPr>
          <w:trHeight w:val="237"/>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0"/>
              </w:rPr>
              <w:t>(211)</w:t>
            </w:r>
          </w:p>
        </w:tc>
      </w:tr>
      <w:tr>
        <w:trPr>
          <w:trHeight w:val="27"/>
        </w:trPr>
        <w:tc>
          <w:tcPr>
            <w:tcW w:w="83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8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r>
      <w:tr>
        <w:trPr>
          <w:trHeight w:val="243"/>
        </w:trPr>
        <w:tc>
          <w:tcPr>
            <w:tcW w:w="8380" w:type="dxa"/>
            <w:vAlign w:val="bottom"/>
          </w:tcPr>
          <w:p>
            <w:pPr>
              <w:ind w:left="340"/>
              <w:spacing w:after="0"/>
              <w:rPr>
                <w:sz w:val="20"/>
                <w:szCs w:val="20"/>
                <w:color w:val="auto"/>
              </w:rPr>
            </w:pPr>
            <w:r>
              <w:rPr>
                <w:rFonts w:ascii="Arial" w:cs="Arial" w:eastAsia="Arial" w:hAnsi="Arial"/>
                <w:sz w:val="18"/>
                <w:szCs w:val="18"/>
                <w:color w:val="auto"/>
              </w:rPr>
              <w:t>Net contributions (distributions) from noncontrolling interests</w:t>
            </w:r>
          </w:p>
        </w:tc>
        <w:tc>
          <w:tcPr>
            <w:tcW w:w="840" w:type="dxa"/>
            <w:vAlign w:val="bottom"/>
          </w:tcPr>
          <w:p>
            <w:pPr>
              <w:spacing w:after="0"/>
              <w:rPr>
                <w:sz w:val="21"/>
                <w:szCs w:val="21"/>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7"/>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Buyout of Repowering Partnership II LLC noncontrolling interest</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8380" w:type="dxa"/>
            <w:vAlign w:val="bottom"/>
          </w:tcPr>
          <w:p>
            <w:pPr>
              <w:ind w:left="340"/>
              <w:spacing w:after="0"/>
              <w:rPr>
                <w:sz w:val="20"/>
                <w:szCs w:val="20"/>
                <w:color w:val="auto"/>
              </w:rPr>
            </w:pPr>
            <w:r>
              <w:rPr>
                <w:rFonts w:ascii="Arial" w:cs="Arial" w:eastAsia="Arial" w:hAnsi="Arial"/>
                <w:sz w:val="18"/>
                <w:szCs w:val="18"/>
                <w:color w:val="auto"/>
              </w:rPr>
              <w:t>Net proceeds from the issuance of common stock</w:t>
            </w:r>
          </w:p>
        </w:tc>
        <w:tc>
          <w:tcPr>
            <w:tcW w:w="840" w:type="dxa"/>
            <w:vAlign w:val="bottom"/>
          </w:tcPr>
          <w:p>
            <w:pPr>
              <w:spacing w:after="0"/>
              <w:rPr>
                <w:sz w:val="21"/>
                <w:szCs w:val="21"/>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Payments of dividends and distributions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r>
      <w:tr>
        <w:trPr>
          <w:trHeight w:val="243"/>
        </w:trPr>
        <w:tc>
          <w:tcPr>
            <w:tcW w:w="8380" w:type="dxa"/>
            <w:vAlign w:val="bottom"/>
          </w:tcPr>
          <w:p>
            <w:pPr>
              <w:ind w:left="340"/>
              <w:spacing w:after="0"/>
              <w:rPr>
                <w:sz w:val="20"/>
                <w:szCs w:val="20"/>
                <w:color w:val="auto"/>
              </w:rPr>
            </w:pPr>
            <w:r>
              <w:rPr>
                <w:rFonts w:ascii="Arial" w:cs="Arial" w:eastAsia="Arial" w:hAnsi="Arial"/>
                <w:sz w:val="18"/>
                <w:szCs w:val="18"/>
                <w:color w:val="auto"/>
              </w:rPr>
              <w:t>Payments of debt issuance costs</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(15)</w:t>
            </w:r>
          </w:p>
        </w:tc>
      </w:tr>
      <w:tr>
        <w:trPr>
          <w:trHeight w:val="27"/>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Proceeds from the revolving credit facility</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w:t>
            </w:r>
          </w:p>
        </w:tc>
      </w:tr>
      <w:tr>
        <w:trPr>
          <w:trHeight w:val="243"/>
        </w:trPr>
        <w:tc>
          <w:tcPr>
            <w:tcW w:w="8380" w:type="dxa"/>
            <w:vAlign w:val="bottom"/>
          </w:tcPr>
          <w:p>
            <w:pPr>
              <w:ind w:left="340"/>
              <w:spacing w:after="0"/>
              <w:rPr>
                <w:sz w:val="20"/>
                <w:szCs w:val="20"/>
                <w:color w:val="auto"/>
              </w:rPr>
            </w:pPr>
            <w:r>
              <w:rPr>
                <w:rFonts w:ascii="Arial" w:cs="Arial" w:eastAsia="Arial" w:hAnsi="Arial"/>
                <w:sz w:val="18"/>
                <w:szCs w:val="18"/>
                <w:color w:val="auto"/>
              </w:rPr>
              <w:t>Payments for the revolving credit facility</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95"/>
              </w:rPr>
              <w:t>(265)</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(22)</w:t>
            </w:r>
          </w:p>
        </w:tc>
      </w:tr>
      <w:tr>
        <w:trPr>
          <w:trHeight w:val="27"/>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Proceeds from the issuance of long-term debt</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493</w:t>
            </w:r>
          </w:p>
        </w:tc>
      </w:tr>
      <w:tr>
        <w:trPr>
          <w:trHeight w:val="243"/>
        </w:trPr>
        <w:tc>
          <w:tcPr>
            <w:tcW w:w="8380" w:type="dxa"/>
            <w:vAlign w:val="bottom"/>
          </w:tcPr>
          <w:p>
            <w:pPr>
              <w:ind w:left="340"/>
              <w:spacing w:after="0"/>
              <w:rPr>
                <w:sz w:val="20"/>
                <w:szCs w:val="20"/>
                <w:color w:val="auto"/>
              </w:rPr>
            </w:pPr>
            <w:r>
              <w:rPr>
                <w:rFonts w:ascii="Arial" w:cs="Arial" w:eastAsia="Arial" w:hAnsi="Arial"/>
                <w:sz w:val="18"/>
                <w:szCs w:val="18"/>
                <w:color w:val="auto"/>
              </w:rPr>
              <w:t>Payments for long-term debt</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95"/>
              </w:rPr>
              <w:t>(547)</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90"/>
              </w:rPr>
              <w:t>(616)</w:t>
            </w:r>
          </w:p>
        </w:tc>
      </w:tr>
      <w:tr>
        <w:trPr>
          <w:trHeight w:val="27"/>
        </w:trPr>
        <w:tc>
          <w:tcPr>
            <w:tcW w:w="83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63"/>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(225)</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(226)</w:t>
            </w:r>
          </w:p>
        </w:tc>
      </w:tr>
      <w:tr>
        <w:trPr>
          <w:trHeight w:val="236"/>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0"/>
              </w:rPr>
              <w:t>(287)</w:t>
            </w:r>
          </w:p>
        </w:tc>
      </w:tr>
      <w:tr>
        <w:trPr>
          <w:trHeight w:val="27"/>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583</w:t>
            </w:r>
          </w:p>
        </w:tc>
      </w:tr>
      <w:tr>
        <w:trPr>
          <w:trHeight w:val="263"/>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84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296</w:t>
            </w:r>
          </w:p>
        </w:tc>
      </w:tr>
      <w:tr>
        <w:trPr>
          <w:trHeight w:val="21"/>
        </w:trPr>
        <w:tc>
          <w:tcPr>
            <w:tcW w:w="8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70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Six Months Ended June 30, 2020</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41"/>
              <w:spacing w:after="0"/>
              <w:rPr>
                <w:sz w:val="20"/>
                <w:szCs w:val="20"/>
                <w:color w:val="auto"/>
              </w:rPr>
            </w:pPr>
            <w:r>
              <w:rPr>
                <w:rFonts w:ascii="Arial" w:cs="Arial" w:eastAsia="Arial" w:hAnsi="Arial"/>
                <w:sz w:val="13"/>
                <w:szCs w:val="13"/>
                <w:b w:val="1"/>
                <w:bCs w:val="1"/>
                <w:color w:val="auto"/>
                <w:w w:val="89"/>
              </w:rPr>
              <w:t>Total</w:t>
            </w:r>
          </w:p>
        </w:tc>
      </w:tr>
      <w:tr>
        <w:trPr>
          <w:trHeight w:val="135"/>
        </w:trPr>
        <w:tc>
          <w:tcPr>
            <w:tcW w:w="66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Preferred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11"/>
                <w:szCs w:val="11"/>
                <w:color w:val="auto"/>
              </w:rPr>
            </w:pPr>
          </w:p>
        </w:tc>
        <w:tc>
          <w:tcPr>
            <w:tcW w:w="102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1"/>
                <w:szCs w:val="11"/>
                <w:color w:val="auto"/>
              </w:rPr>
            </w:pPr>
          </w:p>
        </w:tc>
        <w:tc>
          <w:tcPr>
            <w:tcW w:w="11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20" w:type="dxa"/>
            <w:vAlign w:val="bottom"/>
          </w:tcPr>
          <w:p>
            <w:pPr>
              <w:spacing w:after="0"/>
              <w:rPr>
                <w:sz w:val="11"/>
                <w:szCs w:val="11"/>
                <w:color w:val="auto"/>
              </w:rPr>
            </w:pPr>
          </w:p>
        </w:tc>
        <w:tc>
          <w:tcPr>
            <w:tcW w:w="920" w:type="dxa"/>
            <w:vAlign w:val="bottom"/>
          </w:tcPr>
          <w:p>
            <w:pPr>
              <w:jc w:val="center"/>
              <w:ind w:right="41"/>
              <w:spacing w:after="0" w:line="135" w:lineRule="exact"/>
              <w:rPr>
                <w:sz w:val="20"/>
                <w:szCs w:val="20"/>
                <w:color w:val="auto"/>
              </w:rPr>
            </w:pPr>
            <w:r>
              <w:rPr>
                <w:rFonts w:ascii="Arial" w:cs="Arial" w:eastAsia="Arial" w:hAnsi="Arial"/>
                <w:sz w:val="13"/>
                <w:szCs w:val="13"/>
                <w:b w:val="1"/>
                <w:bCs w:val="1"/>
                <w:color w:val="auto"/>
                <w:w w:val="84"/>
              </w:rPr>
              <w:t>Stockholders'</w:t>
            </w:r>
          </w:p>
        </w:tc>
      </w:tr>
      <w:tr>
        <w:trPr>
          <w:trHeight w:val="140"/>
        </w:trPr>
        <w:tc>
          <w:tcPr>
            <w:tcW w:w="3560" w:type="dxa"/>
            <w:vAlign w:val="bottom"/>
            <w:gridSpan w:val="2"/>
          </w:tcPr>
          <w:p>
            <w:pPr>
              <w:spacing w:after="0" w:line="140" w:lineRule="exact"/>
              <w:rPr>
                <w:sz w:val="20"/>
                <w:szCs w:val="20"/>
                <w:color w:val="auto"/>
              </w:rPr>
            </w:pPr>
            <w:r>
              <w:rPr>
                <w:rFonts w:ascii="Arial" w:cs="Arial" w:eastAsia="Arial" w:hAnsi="Arial"/>
                <w:sz w:val="13"/>
                <w:szCs w:val="13"/>
                <w:b w:val="1"/>
                <w:bCs w:val="1"/>
                <w:color w:val="auto"/>
              </w:rPr>
              <w:t>(In millions)</w:t>
            </w:r>
          </w:p>
        </w:tc>
        <w:tc>
          <w:tcPr>
            <w:tcW w:w="100" w:type="dxa"/>
            <w:vAlign w:val="bottom"/>
          </w:tcPr>
          <w:p>
            <w:pPr>
              <w:spacing w:after="0"/>
              <w:rPr>
                <w:sz w:val="12"/>
                <w:szCs w:val="12"/>
                <w:color w:val="auto"/>
              </w:rPr>
            </w:pPr>
          </w:p>
        </w:tc>
        <w:tc>
          <w:tcPr>
            <w:tcW w:w="780" w:type="dxa"/>
            <w:vAlign w:val="bottom"/>
            <w:gridSpan w:val="2"/>
          </w:tcPr>
          <w:p>
            <w:pPr>
              <w:ind w:left="140"/>
              <w:spacing w:after="0" w:line="140" w:lineRule="exact"/>
              <w:rPr>
                <w:sz w:val="20"/>
                <w:szCs w:val="20"/>
                <w:color w:val="auto"/>
              </w:rPr>
            </w:pPr>
            <w:r>
              <w:rPr>
                <w:rFonts w:ascii="Arial" w:cs="Arial" w:eastAsia="Arial" w:hAnsi="Arial"/>
                <w:sz w:val="13"/>
                <w:szCs w:val="13"/>
                <w:b w:val="1"/>
                <w:bCs w:val="1"/>
                <w:color w:val="auto"/>
              </w:rPr>
              <w:t>Stock</w:t>
            </w:r>
          </w:p>
        </w:tc>
        <w:tc>
          <w:tcPr>
            <w:tcW w:w="1020" w:type="dxa"/>
            <w:vAlign w:val="bottom"/>
            <w:gridSpan w:val="3"/>
          </w:tcPr>
          <w:p>
            <w:pPr>
              <w:ind w:left="40"/>
              <w:spacing w:after="0" w:line="140" w:lineRule="exact"/>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2"/>
                <w:szCs w:val="12"/>
                <w:color w:val="auto"/>
              </w:rPr>
            </w:pPr>
          </w:p>
        </w:tc>
        <w:tc>
          <w:tcPr>
            <w:tcW w:w="1020" w:type="dxa"/>
            <w:vAlign w:val="bottom"/>
            <w:gridSpan w:val="2"/>
          </w:tcPr>
          <w:p>
            <w:pPr>
              <w:ind w:left="220"/>
              <w:spacing w:after="0" w:line="140" w:lineRule="exact"/>
              <w:rPr>
                <w:sz w:val="20"/>
                <w:szCs w:val="20"/>
                <w:color w:val="auto"/>
              </w:rPr>
            </w:pPr>
            <w:r>
              <w:rPr>
                <w:rFonts w:ascii="Arial" w:cs="Arial" w:eastAsia="Arial" w:hAnsi="Arial"/>
                <w:sz w:val="13"/>
                <w:szCs w:val="13"/>
                <w:b w:val="1"/>
                <w:bCs w:val="1"/>
                <w:color w:val="auto"/>
              </w:rPr>
              <w:t>Deficit</w:t>
            </w:r>
          </w:p>
        </w:tc>
        <w:tc>
          <w:tcPr>
            <w:tcW w:w="1280" w:type="dxa"/>
            <w:vAlign w:val="bottom"/>
            <w:gridSpan w:val="3"/>
          </w:tcPr>
          <w:p>
            <w:pPr>
              <w:ind w:left="20"/>
              <w:spacing w:after="0" w:line="140" w:lineRule="exact"/>
              <w:rPr>
                <w:sz w:val="20"/>
                <w:szCs w:val="20"/>
                <w:color w:val="auto"/>
              </w:rPr>
            </w:pPr>
            <w:r>
              <w:rPr>
                <w:rFonts w:ascii="Arial" w:cs="Arial" w:eastAsia="Arial" w:hAnsi="Arial"/>
                <w:sz w:val="13"/>
                <w:szCs w:val="13"/>
                <w:b w:val="1"/>
                <w:bCs w:val="1"/>
                <w:color w:val="auto"/>
                <w:w w:val="94"/>
              </w:rPr>
              <w:t>Comprehensive Loss</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2"/>
                <w:szCs w:val="12"/>
                <w:color w:val="auto"/>
              </w:rPr>
            </w:pPr>
          </w:p>
        </w:tc>
        <w:tc>
          <w:tcPr>
            <w:tcW w:w="920" w:type="dxa"/>
            <w:vAlign w:val="bottom"/>
          </w:tcPr>
          <w:p>
            <w:pPr>
              <w:jc w:val="center"/>
              <w:ind w:right="41"/>
              <w:spacing w:after="0" w:line="140" w:lineRule="exact"/>
              <w:rPr>
                <w:sz w:val="20"/>
                <w:szCs w:val="20"/>
                <w:color w:val="auto"/>
              </w:rPr>
            </w:pPr>
            <w:r>
              <w:rPr>
                <w:rFonts w:ascii="Arial" w:cs="Arial" w:eastAsia="Arial" w:hAnsi="Arial"/>
                <w:sz w:val="13"/>
                <w:szCs w:val="13"/>
                <w:b w:val="1"/>
                <w:bCs w:val="1"/>
                <w:color w:val="auto"/>
                <w:w w:val="90"/>
              </w:rPr>
              <w:t>Equity</w:t>
            </w:r>
          </w:p>
        </w:tc>
      </w:tr>
      <w:tr>
        <w:trPr>
          <w:trHeight w:val="20"/>
        </w:trPr>
        <w:tc>
          <w:tcPr>
            <w:tcW w:w="660" w:type="dxa"/>
            <w:vAlign w:val="bottom"/>
            <w:tcBorders>
              <w:top w:val="single" w:sz="8" w:color="auto"/>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0"/>
        </w:trPr>
        <w:tc>
          <w:tcPr>
            <w:tcW w:w="3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Balances at December 31, 2019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1,936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413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2,263</w:t>
            </w:r>
          </w:p>
        </w:tc>
      </w:tr>
      <w:tr>
        <w:trPr>
          <w:trHeight w:val="224"/>
        </w:trPr>
        <w:tc>
          <w:tcPr>
            <w:tcW w:w="3560" w:type="dxa"/>
            <w:vAlign w:val="bottom"/>
            <w:gridSpan w:val="2"/>
          </w:tcPr>
          <w:p>
            <w:pPr>
              <w:ind w:left="220"/>
              <w:spacing w:after="0"/>
              <w:rPr>
                <w:sz w:val="20"/>
                <w:szCs w:val="20"/>
                <w:color w:val="auto"/>
              </w:rPr>
            </w:pPr>
            <w:r>
              <w:rPr>
                <w:rFonts w:ascii="Arial" w:cs="Arial" w:eastAsia="Arial" w:hAnsi="Arial"/>
                <w:sz w:val="16"/>
                <w:szCs w:val="16"/>
                <w:color w:val="auto"/>
              </w:rPr>
              <w:t>Net loss</w:t>
            </w:r>
          </w:p>
        </w:tc>
        <w:tc>
          <w:tcPr>
            <w:tcW w:w="100" w:type="dxa"/>
            <w:vAlign w:val="bottom"/>
          </w:tcPr>
          <w:p>
            <w:pPr>
              <w:spacing w:after="0"/>
              <w:rPr>
                <w:sz w:val="19"/>
                <w:szCs w:val="19"/>
                <w:color w:val="auto"/>
              </w:rPr>
            </w:pPr>
          </w:p>
        </w:tc>
        <w:tc>
          <w:tcPr>
            <w:tcW w:w="78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(107)</w:t>
            </w:r>
          </w:p>
        </w:tc>
      </w:tr>
      <w:tr>
        <w:trPr>
          <w:trHeight w:val="33"/>
        </w:trPr>
        <w:tc>
          <w:tcPr>
            <w:tcW w:w="6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3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Unrealized loss on derivatives, net of tax</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w:t>
            </w:r>
          </w:p>
        </w:tc>
      </w:tr>
      <w:tr>
        <w:trPr>
          <w:trHeight w:val="223"/>
        </w:trPr>
        <w:tc>
          <w:tcPr>
            <w:tcW w:w="3560" w:type="dxa"/>
            <w:vAlign w:val="bottom"/>
            <w:gridSpan w:val="2"/>
          </w:tcPr>
          <w:p>
            <w:pPr>
              <w:ind w:left="180"/>
              <w:spacing w:after="0"/>
              <w:rPr>
                <w:sz w:val="20"/>
                <w:szCs w:val="20"/>
                <w:color w:val="auto"/>
              </w:rPr>
            </w:pPr>
            <w:r>
              <w:rPr>
                <w:rFonts w:ascii="Arial" w:cs="Arial" w:eastAsia="Arial" w:hAnsi="Arial"/>
                <w:sz w:val="16"/>
                <w:szCs w:val="16"/>
                <w:color w:val="auto"/>
              </w:rPr>
              <w:t>Contributions from CEG, cash</w:t>
            </w:r>
          </w:p>
        </w:tc>
        <w:tc>
          <w:tcPr>
            <w:tcW w:w="100" w:type="dxa"/>
            <w:vAlign w:val="bottom"/>
          </w:tcPr>
          <w:p>
            <w:pPr>
              <w:spacing w:after="0"/>
              <w:rPr>
                <w:sz w:val="19"/>
                <w:szCs w:val="19"/>
                <w:color w:val="auto"/>
              </w:rPr>
            </w:pPr>
          </w:p>
        </w:tc>
        <w:tc>
          <w:tcPr>
            <w:tcW w:w="78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4</w:t>
            </w:r>
          </w:p>
        </w:tc>
      </w:tr>
      <w:tr>
        <w:trPr>
          <w:trHeight w:val="33"/>
        </w:trPr>
        <w:tc>
          <w:tcPr>
            <w:tcW w:w="6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Contributions from tax equity interests, net of</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3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distributions, cash</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150</w:t>
            </w:r>
          </w:p>
        </w:tc>
      </w:tr>
      <w:tr>
        <w:trPr>
          <w:trHeight w:val="220"/>
        </w:trPr>
        <w:tc>
          <w:tcPr>
            <w:tcW w:w="3560" w:type="dxa"/>
            <w:vAlign w:val="bottom"/>
            <w:gridSpan w:val="2"/>
          </w:tcPr>
          <w:p>
            <w:pPr>
              <w:ind w:left="180"/>
              <w:spacing w:after="0"/>
              <w:rPr>
                <w:sz w:val="20"/>
                <w:szCs w:val="20"/>
                <w:color w:val="auto"/>
              </w:rPr>
            </w:pPr>
            <w:r>
              <w:rPr>
                <w:rFonts w:ascii="Arial" w:cs="Arial" w:eastAsia="Arial" w:hAnsi="Arial"/>
                <w:sz w:val="16"/>
                <w:szCs w:val="16"/>
                <w:color w:val="auto"/>
                <w:w w:val="95"/>
              </w:rPr>
              <w:t>Net proceeds from the issuance of common stock</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3560" w:type="dxa"/>
            <w:vAlign w:val="bottom"/>
            <w:gridSpan w:val="2"/>
          </w:tcPr>
          <w:p>
            <w:pPr>
              <w:ind w:left="180"/>
              <w:spacing w:after="0"/>
              <w:rPr>
                <w:sz w:val="20"/>
                <w:szCs w:val="20"/>
                <w:color w:val="auto"/>
              </w:rPr>
            </w:pPr>
            <w:r>
              <w:rPr>
                <w:rFonts w:ascii="Arial" w:cs="Arial" w:eastAsia="Arial" w:hAnsi="Arial"/>
                <w:sz w:val="16"/>
                <w:szCs w:val="16"/>
                <w:color w:val="auto"/>
              </w:rPr>
              <w:t>under the ATM Program</w:t>
            </w:r>
          </w:p>
        </w:tc>
        <w:tc>
          <w:tcPr>
            <w:tcW w:w="100" w:type="dxa"/>
            <w:vAlign w:val="bottom"/>
          </w:tcPr>
          <w:p>
            <w:pPr>
              <w:spacing w:after="0"/>
              <w:rPr>
                <w:sz w:val="17"/>
                <w:szCs w:val="17"/>
                <w:color w:val="auto"/>
              </w:rPr>
            </w:pPr>
          </w:p>
        </w:tc>
        <w:tc>
          <w:tcPr>
            <w:tcW w:w="78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10</w:t>
            </w:r>
          </w:p>
        </w:tc>
      </w:tr>
      <w:tr>
        <w:trPr>
          <w:trHeight w:val="33"/>
        </w:trPr>
        <w:tc>
          <w:tcPr>
            <w:tcW w:w="6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3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Distributions to tax equity investors, non-cash</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r>
      <w:tr>
        <w:trPr>
          <w:trHeight w:val="223"/>
        </w:trPr>
        <w:tc>
          <w:tcPr>
            <w:tcW w:w="3560" w:type="dxa"/>
            <w:vAlign w:val="bottom"/>
            <w:gridSpan w:val="2"/>
          </w:tcPr>
          <w:p>
            <w:pPr>
              <w:ind w:left="180"/>
              <w:spacing w:after="0"/>
              <w:rPr>
                <w:sz w:val="20"/>
                <w:szCs w:val="20"/>
                <w:color w:val="auto"/>
              </w:rPr>
            </w:pPr>
            <w:r>
              <w:rPr>
                <w:rFonts w:ascii="Arial" w:cs="Arial" w:eastAsia="Arial" w:hAnsi="Arial"/>
                <w:sz w:val="16"/>
                <w:szCs w:val="16"/>
                <w:color w:val="auto"/>
                <w:w w:val="94"/>
              </w:rPr>
              <w:t>Common stock dividends and distributions to CEG</w:t>
            </w:r>
          </w:p>
        </w:tc>
        <w:tc>
          <w:tcPr>
            <w:tcW w:w="100" w:type="dxa"/>
            <w:vAlign w:val="bottom"/>
          </w:tcPr>
          <w:p>
            <w:pPr>
              <w:spacing w:after="0"/>
              <w:rPr>
                <w:sz w:val="19"/>
                <w:szCs w:val="19"/>
                <w:color w:val="auto"/>
              </w:rPr>
            </w:pPr>
          </w:p>
        </w:tc>
        <w:tc>
          <w:tcPr>
            <w:tcW w:w="78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(42)</w:t>
            </w:r>
          </w:p>
        </w:tc>
      </w:tr>
      <w:tr>
        <w:trPr>
          <w:trHeight w:val="33"/>
        </w:trPr>
        <w:tc>
          <w:tcPr>
            <w:tcW w:w="66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3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Balances at March 31, 2020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1,922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463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2,264</w:t>
            </w:r>
          </w:p>
        </w:tc>
      </w:tr>
      <w:tr>
        <w:trPr>
          <w:trHeight w:val="223"/>
        </w:trPr>
        <w:tc>
          <w:tcPr>
            <w:tcW w:w="3560" w:type="dxa"/>
            <w:vAlign w:val="bottom"/>
            <w:gridSpan w:val="2"/>
          </w:tcPr>
          <w:p>
            <w:pPr>
              <w:ind w:left="220"/>
              <w:spacing w:after="0"/>
              <w:rPr>
                <w:sz w:val="20"/>
                <w:szCs w:val="20"/>
                <w:color w:val="auto"/>
              </w:rPr>
            </w:pPr>
            <w:r>
              <w:rPr>
                <w:rFonts w:ascii="Arial" w:cs="Arial" w:eastAsia="Arial" w:hAnsi="Arial"/>
                <w:sz w:val="16"/>
                <w:szCs w:val="16"/>
                <w:color w:val="auto"/>
              </w:rPr>
              <w:t>Net income</w:t>
            </w:r>
          </w:p>
        </w:tc>
        <w:tc>
          <w:tcPr>
            <w:tcW w:w="100" w:type="dxa"/>
            <w:vAlign w:val="bottom"/>
          </w:tcPr>
          <w:p>
            <w:pPr>
              <w:spacing w:after="0"/>
              <w:rPr>
                <w:sz w:val="19"/>
                <w:szCs w:val="19"/>
                <w:color w:val="auto"/>
              </w:rPr>
            </w:pPr>
          </w:p>
        </w:tc>
        <w:tc>
          <w:tcPr>
            <w:tcW w:w="78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tcPr>
          <w:p>
            <w:pPr>
              <w:ind w:left="740"/>
              <w:spacing w:after="0"/>
              <w:rPr>
                <w:sz w:val="20"/>
                <w:szCs w:val="20"/>
                <w:color w:val="auto"/>
              </w:rPr>
            </w:pPr>
            <w:r>
              <w:rPr>
                <w:rFonts w:ascii="Arial" w:cs="Arial" w:eastAsia="Arial" w:hAnsi="Arial"/>
                <w:sz w:val="16"/>
                <w:szCs w:val="16"/>
                <w:color w:val="auto"/>
                <w:w w:val="89"/>
              </w:rPr>
              <w:t>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33"/>
        </w:trPr>
        <w:tc>
          <w:tcPr>
            <w:tcW w:w="6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3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Unrealized gain on derivatives, net of tax</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w:t>
            </w:r>
          </w:p>
        </w:tc>
      </w:tr>
      <w:tr>
        <w:trPr>
          <w:trHeight w:val="224"/>
        </w:trPr>
        <w:tc>
          <w:tcPr>
            <w:tcW w:w="3560" w:type="dxa"/>
            <w:vAlign w:val="bottom"/>
            <w:gridSpan w:val="2"/>
          </w:tcPr>
          <w:p>
            <w:pPr>
              <w:ind w:left="180"/>
              <w:spacing w:after="0"/>
              <w:rPr>
                <w:sz w:val="20"/>
                <w:szCs w:val="20"/>
                <w:color w:val="auto"/>
              </w:rPr>
            </w:pPr>
            <w:r>
              <w:rPr>
                <w:rFonts w:ascii="Arial" w:cs="Arial" w:eastAsia="Arial" w:hAnsi="Arial"/>
                <w:sz w:val="16"/>
                <w:szCs w:val="16"/>
                <w:color w:val="auto"/>
              </w:rPr>
              <w:t>Contributions from CEG, non-cash</w:t>
            </w:r>
          </w:p>
        </w:tc>
        <w:tc>
          <w:tcPr>
            <w:tcW w:w="100" w:type="dxa"/>
            <w:vAlign w:val="bottom"/>
          </w:tcPr>
          <w:p>
            <w:pPr>
              <w:spacing w:after="0"/>
              <w:rPr>
                <w:sz w:val="19"/>
                <w:szCs w:val="19"/>
                <w:color w:val="auto"/>
              </w:rPr>
            </w:pPr>
          </w:p>
        </w:tc>
        <w:tc>
          <w:tcPr>
            <w:tcW w:w="78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8</w:t>
            </w:r>
          </w:p>
        </w:tc>
      </w:tr>
      <w:tr>
        <w:trPr>
          <w:trHeight w:val="33"/>
        </w:trPr>
        <w:tc>
          <w:tcPr>
            <w:tcW w:w="6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3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Contributions from CEG, cash</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w:t>
            </w:r>
          </w:p>
        </w:tc>
      </w:tr>
      <w:tr>
        <w:trPr>
          <w:trHeight w:val="220"/>
        </w:trPr>
        <w:tc>
          <w:tcPr>
            <w:tcW w:w="3560" w:type="dxa"/>
            <w:vAlign w:val="bottom"/>
            <w:gridSpan w:val="2"/>
          </w:tcPr>
          <w:p>
            <w:pPr>
              <w:ind w:left="180"/>
              <w:spacing w:after="0"/>
              <w:rPr>
                <w:sz w:val="20"/>
                <w:szCs w:val="20"/>
                <w:color w:val="auto"/>
              </w:rPr>
            </w:pPr>
            <w:r>
              <w:rPr>
                <w:rFonts w:ascii="Arial" w:cs="Arial" w:eastAsia="Arial" w:hAnsi="Arial"/>
                <w:sz w:val="16"/>
                <w:szCs w:val="16"/>
                <w:color w:val="auto"/>
              </w:rPr>
              <w:t>Distributions to tax equity interests, net of</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3560" w:type="dxa"/>
            <w:vAlign w:val="bottom"/>
            <w:gridSpan w:val="2"/>
          </w:tcPr>
          <w:p>
            <w:pPr>
              <w:ind w:left="180"/>
              <w:spacing w:after="0"/>
              <w:rPr>
                <w:sz w:val="20"/>
                <w:szCs w:val="20"/>
                <w:color w:val="auto"/>
              </w:rPr>
            </w:pPr>
            <w:r>
              <w:rPr>
                <w:rFonts w:ascii="Arial" w:cs="Arial" w:eastAsia="Arial" w:hAnsi="Arial"/>
                <w:sz w:val="16"/>
                <w:szCs w:val="16"/>
                <w:color w:val="auto"/>
              </w:rPr>
              <w:t>contributions, cash.</w:t>
            </w:r>
          </w:p>
        </w:tc>
        <w:tc>
          <w:tcPr>
            <w:tcW w:w="100" w:type="dxa"/>
            <w:vAlign w:val="bottom"/>
          </w:tcPr>
          <w:p>
            <w:pPr>
              <w:spacing w:after="0"/>
              <w:rPr>
                <w:sz w:val="17"/>
                <w:szCs w:val="17"/>
                <w:color w:val="auto"/>
              </w:rPr>
            </w:pPr>
          </w:p>
        </w:tc>
        <w:tc>
          <w:tcPr>
            <w:tcW w:w="78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(3)</w:t>
            </w:r>
          </w:p>
        </w:tc>
      </w:tr>
      <w:tr>
        <w:trPr>
          <w:trHeight w:val="33"/>
        </w:trPr>
        <w:tc>
          <w:tcPr>
            <w:tcW w:w="6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3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Consolidation of DGPV Holdco 3</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(43)</w:t>
            </w:r>
          </w:p>
        </w:tc>
      </w:tr>
      <w:tr>
        <w:trPr>
          <w:trHeight w:val="220"/>
        </w:trPr>
        <w:tc>
          <w:tcPr>
            <w:tcW w:w="3560" w:type="dxa"/>
            <w:vAlign w:val="bottom"/>
            <w:gridSpan w:val="2"/>
          </w:tcPr>
          <w:p>
            <w:pPr>
              <w:ind w:left="180"/>
              <w:spacing w:after="0"/>
              <w:rPr>
                <w:sz w:val="20"/>
                <w:szCs w:val="20"/>
                <w:color w:val="auto"/>
              </w:rPr>
            </w:pPr>
            <w:r>
              <w:rPr>
                <w:rFonts w:ascii="Arial" w:cs="Arial" w:eastAsia="Arial" w:hAnsi="Arial"/>
                <w:sz w:val="16"/>
                <w:szCs w:val="16"/>
                <w:color w:val="auto"/>
              </w:rPr>
              <w:t>Buyout of Repowering Partnership II LLC</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3560" w:type="dxa"/>
            <w:vAlign w:val="bottom"/>
            <w:gridSpan w:val="2"/>
          </w:tcPr>
          <w:p>
            <w:pPr>
              <w:ind w:left="180"/>
              <w:spacing w:after="0"/>
              <w:rPr>
                <w:sz w:val="20"/>
                <w:szCs w:val="20"/>
                <w:color w:val="auto"/>
              </w:rPr>
            </w:pPr>
            <w:r>
              <w:rPr>
                <w:rFonts w:ascii="Arial" w:cs="Arial" w:eastAsia="Arial" w:hAnsi="Arial"/>
                <w:sz w:val="16"/>
                <w:szCs w:val="16"/>
                <w:color w:val="auto"/>
              </w:rPr>
              <w:t>noncontrolling interest</w:t>
            </w:r>
          </w:p>
        </w:tc>
        <w:tc>
          <w:tcPr>
            <w:tcW w:w="100" w:type="dxa"/>
            <w:vAlign w:val="bottom"/>
          </w:tcPr>
          <w:p>
            <w:pPr>
              <w:spacing w:after="0"/>
              <w:rPr>
                <w:sz w:val="17"/>
                <w:szCs w:val="17"/>
                <w:color w:val="auto"/>
              </w:rPr>
            </w:pPr>
          </w:p>
        </w:tc>
        <w:tc>
          <w:tcPr>
            <w:tcW w:w="78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(70)</w:t>
            </w:r>
          </w:p>
        </w:tc>
      </w:tr>
      <w:tr>
        <w:trPr>
          <w:trHeight w:val="33"/>
        </w:trPr>
        <w:tc>
          <w:tcPr>
            <w:tcW w:w="6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3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w:t>
            </w:r>
          </w:p>
        </w:tc>
      </w:tr>
      <w:tr>
        <w:trPr>
          <w:trHeight w:val="223"/>
        </w:trPr>
        <w:tc>
          <w:tcPr>
            <w:tcW w:w="3560" w:type="dxa"/>
            <w:vAlign w:val="bottom"/>
            <w:gridSpan w:val="2"/>
          </w:tcPr>
          <w:p>
            <w:pPr>
              <w:ind w:left="180"/>
              <w:spacing w:after="0"/>
              <w:rPr>
                <w:sz w:val="20"/>
                <w:szCs w:val="20"/>
                <w:color w:val="auto"/>
              </w:rPr>
            </w:pPr>
            <w:r>
              <w:rPr>
                <w:rFonts w:ascii="Arial" w:cs="Arial" w:eastAsia="Arial" w:hAnsi="Arial"/>
                <w:sz w:val="16"/>
                <w:szCs w:val="16"/>
                <w:color w:val="auto"/>
              </w:rPr>
              <w:t>Non-cash adjustment for change in tax basis</w:t>
            </w:r>
          </w:p>
        </w:tc>
        <w:tc>
          <w:tcPr>
            <w:tcW w:w="100" w:type="dxa"/>
            <w:vAlign w:val="bottom"/>
          </w:tcPr>
          <w:p>
            <w:pPr>
              <w:spacing w:after="0"/>
              <w:rPr>
                <w:sz w:val="19"/>
                <w:szCs w:val="19"/>
                <w:color w:val="auto"/>
              </w:rPr>
            </w:pPr>
          </w:p>
        </w:tc>
        <w:tc>
          <w:tcPr>
            <w:tcW w:w="78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7</w:t>
            </w:r>
          </w:p>
        </w:tc>
      </w:tr>
      <w:tr>
        <w:trPr>
          <w:trHeight w:val="33"/>
        </w:trPr>
        <w:tc>
          <w:tcPr>
            <w:tcW w:w="6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5"/>
              </w:rPr>
              <w:t>Net proceeds from the issuance of common stock</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3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under the ATM Program</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28</w:t>
            </w:r>
          </w:p>
        </w:tc>
      </w:tr>
      <w:tr>
        <w:trPr>
          <w:trHeight w:val="223"/>
        </w:trPr>
        <w:tc>
          <w:tcPr>
            <w:tcW w:w="3560" w:type="dxa"/>
            <w:vAlign w:val="bottom"/>
            <w:gridSpan w:val="2"/>
          </w:tcPr>
          <w:p>
            <w:pPr>
              <w:ind w:left="180"/>
              <w:spacing w:after="0"/>
              <w:rPr>
                <w:sz w:val="20"/>
                <w:szCs w:val="20"/>
                <w:color w:val="auto"/>
              </w:rPr>
            </w:pPr>
            <w:r>
              <w:rPr>
                <w:rFonts w:ascii="Arial" w:cs="Arial" w:eastAsia="Arial" w:hAnsi="Arial"/>
                <w:sz w:val="16"/>
                <w:szCs w:val="16"/>
                <w:color w:val="auto"/>
                <w:w w:val="94"/>
              </w:rPr>
              <w:t>Common stock dividends and distributions to CEG</w:t>
            </w:r>
          </w:p>
        </w:tc>
        <w:tc>
          <w:tcPr>
            <w:tcW w:w="100" w:type="dxa"/>
            <w:vAlign w:val="bottom"/>
          </w:tcPr>
          <w:p>
            <w:pPr>
              <w:spacing w:after="0"/>
              <w:rPr>
                <w:sz w:val="19"/>
                <w:szCs w:val="19"/>
                <w:color w:val="auto"/>
              </w:rPr>
            </w:pPr>
          </w:p>
        </w:tc>
        <w:tc>
          <w:tcPr>
            <w:tcW w:w="78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(42)</w:t>
            </w:r>
          </w:p>
        </w:tc>
      </w:tr>
      <w:tr>
        <w:trPr>
          <w:trHeight w:val="33"/>
        </w:trPr>
        <w:tc>
          <w:tcPr>
            <w:tcW w:w="66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5"/>
        </w:trPr>
        <w:tc>
          <w:tcPr>
            <w:tcW w:w="3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Balances at June 30, 2020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474747"/>
                <w:w w:val="89"/>
              </w:rPr>
              <w:t>$</w:t>
            </w:r>
          </w:p>
        </w:tc>
        <w:tc>
          <w:tcPr>
            <w:tcW w:w="7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474747"/>
              </w:rPr>
              <w:t>—</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474747"/>
              </w:rPr>
              <w:t>$</w:t>
            </w:r>
          </w:p>
        </w:tc>
        <w:tc>
          <w:tcPr>
            <w:tcW w:w="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474747"/>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474747"/>
                <w:w w:val="89"/>
              </w:rPr>
              <w:t>$</w:t>
            </w:r>
          </w:p>
        </w:tc>
        <w:tc>
          <w:tcPr>
            <w:tcW w:w="7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474747"/>
              </w:rPr>
              <w:t>1,934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474747"/>
                <w:w w:val="89"/>
              </w:rPr>
              <w:t>$</w:t>
            </w: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474747"/>
              </w:rPr>
              <w:t>(54)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474747"/>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474747"/>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474747"/>
                <w:w w:val="89"/>
              </w:rPr>
              <w:t>$</w:t>
            </w:r>
          </w:p>
        </w:tc>
        <w:tc>
          <w:tcPr>
            <w:tcW w:w="10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474747"/>
              </w:rPr>
              <w:t>370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474747"/>
                <w:w w:val="89"/>
              </w:rPr>
              <w:t>$</w:t>
            </w: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474747"/>
              </w:rPr>
              <w:t>2,232</w:t>
            </w: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231F20"/>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237490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2019</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62"/>
              <w:spacing w:after="0"/>
              <w:rPr>
                <w:sz w:val="20"/>
                <w:szCs w:val="20"/>
                <w:color w:val="auto"/>
              </w:rPr>
            </w:pPr>
            <w:r>
              <w:rPr>
                <w:rFonts w:ascii="Arial" w:cs="Arial" w:eastAsia="Arial" w:hAnsi="Arial"/>
                <w:sz w:val="13"/>
                <w:szCs w:val="13"/>
                <w:b w:val="1"/>
                <w:bCs w:val="1"/>
                <w:color w:val="auto"/>
                <w:w w:val="89"/>
              </w:rPr>
              <w:t>Total</w:t>
            </w:r>
          </w:p>
        </w:tc>
      </w:tr>
      <w:tr>
        <w:trPr>
          <w:trHeight w:val="135"/>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Preferred</w:t>
            </w:r>
          </w:p>
        </w:tc>
        <w:tc>
          <w:tcPr>
            <w:tcW w:w="12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Common</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11"/>
                <w:szCs w:val="11"/>
                <w:color w:val="auto"/>
              </w:rPr>
            </w:pPr>
          </w:p>
        </w:tc>
        <w:tc>
          <w:tcPr>
            <w:tcW w:w="98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140" w:type="dxa"/>
            <w:vAlign w:val="bottom"/>
          </w:tcPr>
          <w:p>
            <w:pPr>
              <w:spacing w:after="0"/>
              <w:rPr>
                <w:sz w:val="11"/>
                <w:szCs w:val="11"/>
                <w:color w:val="auto"/>
              </w:rPr>
            </w:pPr>
          </w:p>
        </w:tc>
        <w:tc>
          <w:tcPr>
            <w:tcW w:w="900" w:type="dxa"/>
            <w:vAlign w:val="bottom"/>
          </w:tcPr>
          <w:p>
            <w:pPr>
              <w:jc w:val="center"/>
              <w:ind w:right="42"/>
              <w:spacing w:after="0" w:line="135" w:lineRule="exact"/>
              <w:rPr>
                <w:sz w:val="20"/>
                <w:szCs w:val="20"/>
                <w:color w:val="auto"/>
              </w:rPr>
            </w:pPr>
            <w:r>
              <w:rPr>
                <w:rFonts w:ascii="Arial" w:cs="Arial" w:eastAsia="Arial" w:hAnsi="Arial"/>
                <w:sz w:val="13"/>
                <w:szCs w:val="13"/>
                <w:b w:val="1"/>
                <w:bCs w:val="1"/>
                <w:color w:val="auto"/>
                <w:w w:val="86"/>
              </w:rPr>
              <w:t>Stockholders'</w:t>
            </w:r>
          </w:p>
        </w:tc>
      </w:tr>
      <w:tr>
        <w:trPr>
          <w:trHeight w:val="140"/>
        </w:trPr>
        <w:tc>
          <w:tcPr>
            <w:tcW w:w="20" w:type="dxa"/>
            <w:vAlign w:val="bottom"/>
          </w:tcPr>
          <w:p>
            <w:pPr>
              <w:spacing w:after="0"/>
              <w:rPr>
                <w:sz w:val="12"/>
                <w:szCs w:val="12"/>
                <w:color w:val="auto"/>
              </w:rPr>
            </w:pPr>
          </w:p>
        </w:tc>
        <w:tc>
          <w:tcPr>
            <w:tcW w:w="3520" w:type="dxa"/>
            <w:vAlign w:val="bottom"/>
            <w:gridSpan w:val="2"/>
          </w:tcPr>
          <w:p>
            <w:pPr>
              <w:spacing w:after="0" w:line="140" w:lineRule="exact"/>
              <w:rPr>
                <w:sz w:val="20"/>
                <w:szCs w:val="20"/>
                <w:color w:val="auto"/>
              </w:rPr>
            </w:pPr>
            <w:r>
              <w:rPr>
                <w:rFonts w:ascii="Arial" w:cs="Arial" w:eastAsia="Arial" w:hAnsi="Arial"/>
                <w:sz w:val="13"/>
                <w:szCs w:val="13"/>
                <w:b w:val="1"/>
                <w:bCs w:val="1"/>
                <w:color w:val="auto"/>
              </w:rPr>
              <w:t>(In millions)</w:t>
            </w:r>
          </w:p>
        </w:tc>
        <w:tc>
          <w:tcPr>
            <w:tcW w:w="140" w:type="dxa"/>
            <w:vAlign w:val="bottom"/>
          </w:tcPr>
          <w:p>
            <w:pPr>
              <w:spacing w:after="0"/>
              <w:rPr>
                <w:sz w:val="12"/>
                <w:szCs w:val="12"/>
                <w:color w:val="auto"/>
              </w:rPr>
            </w:pPr>
          </w:p>
        </w:tc>
        <w:tc>
          <w:tcPr>
            <w:tcW w:w="840" w:type="dxa"/>
            <w:vAlign w:val="bottom"/>
            <w:gridSpan w:val="2"/>
          </w:tcPr>
          <w:p>
            <w:pPr>
              <w:ind w:left="140"/>
              <w:spacing w:after="0" w:line="140" w:lineRule="exact"/>
              <w:rPr>
                <w:sz w:val="20"/>
                <w:szCs w:val="20"/>
                <w:color w:val="auto"/>
              </w:rPr>
            </w:pPr>
            <w:r>
              <w:rPr>
                <w:rFonts w:ascii="Arial" w:cs="Arial" w:eastAsia="Arial" w:hAnsi="Arial"/>
                <w:sz w:val="13"/>
                <w:szCs w:val="13"/>
                <w:b w:val="1"/>
                <w:bCs w:val="1"/>
                <w:color w:val="auto"/>
              </w:rPr>
              <w:t>Stock</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84"/>
              </w:rPr>
              <w:t>Stock</w:t>
            </w: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2"/>
                <w:szCs w:val="12"/>
                <w:color w:val="auto"/>
              </w:rPr>
            </w:pPr>
          </w:p>
        </w:tc>
        <w:tc>
          <w:tcPr>
            <w:tcW w:w="980" w:type="dxa"/>
            <w:vAlign w:val="bottom"/>
            <w:gridSpan w:val="2"/>
          </w:tcPr>
          <w:p>
            <w:pPr>
              <w:ind w:left="200"/>
              <w:spacing w:after="0" w:line="140" w:lineRule="exact"/>
              <w:rPr>
                <w:sz w:val="20"/>
                <w:szCs w:val="20"/>
                <w:color w:val="auto"/>
              </w:rPr>
            </w:pPr>
            <w:r>
              <w:rPr>
                <w:rFonts w:ascii="Arial" w:cs="Arial" w:eastAsia="Arial" w:hAnsi="Arial"/>
                <w:sz w:val="13"/>
                <w:szCs w:val="13"/>
                <w:b w:val="1"/>
                <w:bCs w:val="1"/>
                <w:color w:val="auto"/>
              </w:rPr>
              <w:t>Deficit</w:t>
            </w:r>
          </w:p>
        </w:tc>
        <w:tc>
          <w:tcPr>
            <w:tcW w:w="1280" w:type="dxa"/>
            <w:vAlign w:val="bottom"/>
            <w:gridSpan w:val="3"/>
          </w:tcPr>
          <w:p>
            <w:pPr>
              <w:ind w:left="40"/>
              <w:spacing w:after="0" w:line="140" w:lineRule="exact"/>
              <w:rPr>
                <w:sz w:val="20"/>
                <w:szCs w:val="20"/>
                <w:color w:val="auto"/>
              </w:rPr>
            </w:pPr>
            <w:r>
              <w:rPr>
                <w:rFonts w:ascii="Arial" w:cs="Arial" w:eastAsia="Arial" w:hAnsi="Arial"/>
                <w:sz w:val="13"/>
                <w:szCs w:val="13"/>
                <w:b w:val="1"/>
                <w:bCs w:val="1"/>
                <w:color w:val="auto"/>
                <w:w w:val="92"/>
              </w:rPr>
              <w:t>Comprehensive Loss</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89"/>
              </w:rPr>
              <w:t>Interest</w:t>
            </w:r>
          </w:p>
        </w:tc>
        <w:tc>
          <w:tcPr>
            <w:tcW w:w="140" w:type="dxa"/>
            <w:vAlign w:val="bottom"/>
          </w:tcPr>
          <w:p>
            <w:pPr>
              <w:spacing w:after="0"/>
              <w:rPr>
                <w:sz w:val="12"/>
                <w:szCs w:val="12"/>
                <w:color w:val="auto"/>
              </w:rPr>
            </w:pPr>
          </w:p>
        </w:tc>
        <w:tc>
          <w:tcPr>
            <w:tcW w:w="900" w:type="dxa"/>
            <w:vAlign w:val="bottom"/>
          </w:tcPr>
          <w:p>
            <w:pPr>
              <w:jc w:val="center"/>
              <w:ind w:right="62"/>
              <w:spacing w:after="0" w:line="140" w:lineRule="exact"/>
              <w:rPr>
                <w:sz w:val="20"/>
                <w:szCs w:val="20"/>
                <w:color w:val="auto"/>
              </w:rPr>
            </w:pPr>
            <w:r>
              <w:rPr>
                <w:rFonts w:ascii="Arial" w:cs="Arial" w:eastAsia="Arial" w:hAnsi="Arial"/>
                <w:sz w:val="13"/>
                <w:szCs w:val="13"/>
                <w:b w:val="1"/>
                <w:bCs w:val="1"/>
                <w:color w:val="auto"/>
                <w:w w:val="90"/>
              </w:rPr>
              <w:t>Equity</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Balances at December 31,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1,897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402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2,224</w:t>
            </w:r>
          </w:p>
        </w:tc>
      </w:tr>
      <w:tr>
        <w:trPr>
          <w:trHeight w:val="223"/>
        </w:trPr>
        <w:tc>
          <w:tcPr>
            <w:tcW w:w="20" w:type="dxa"/>
            <w:vAlign w:val="bottom"/>
          </w:tcPr>
          <w:p>
            <w:pPr>
              <w:spacing w:after="0"/>
              <w:rPr>
                <w:sz w:val="19"/>
                <w:szCs w:val="19"/>
                <w:color w:val="auto"/>
              </w:rPr>
            </w:pPr>
          </w:p>
        </w:tc>
        <w:tc>
          <w:tcPr>
            <w:tcW w:w="3520" w:type="dxa"/>
            <w:vAlign w:val="bottom"/>
            <w:gridSpan w:val="2"/>
          </w:tcPr>
          <w:p>
            <w:pPr>
              <w:ind w:left="220"/>
              <w:spacing w:after="0"/>
              <w:rPr>
                <w:sz w:val="20"/>
                <w:szCs w:val="20"/>
                <w:color w:val="auto"/>
              </w:rPr>
            </w:pPr>
            <w:r>
              <w:rPr>
                <w:rFonts w:ascii="Arial" w:cs="Arial" w:eastAsia="Arial" w:hAnsi="Arial"/>
                <w:sz w:val="16"/>
                <w:szCs w:val="16"/>
                <w:color w:val="auto"/>
              </w:rPr>
              <w:t>Net loss</w:t>
            </w:r>
          </w:p>
        </w:tc>
        <w:tc>
          <w:tcPr>
            <w:tcW w:w="140" w:type="dxa"/>
            <w:vAlign w:val="bottom"/>
          </w:tcPr>
          <w:p>
            <w:pPr>
              <w:spacing w:after="0"/>
              <w:rPr>
                <w:sz w:val="19"/>
                <w:szCs w:val="19"/>
                <w:color w:val="auto"/>
              </w:rPr>
            </w:pPr>
          </w:p>
        </w:tc>
        <w:tc>
          <w:tcPr>
            <w:tcW w:w="8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(47)</w:t>
            </w:r>
          </w:p>
        </w:tc>
      </w:tr>
      <w:tr>
        <w:trPr>
          <w:trHeight w:val="33"/>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Unrealized loss on derivatives, net of tax</w:t>
            </w: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w:t>
            </w:r>
          </w:p>
        </w:tc>
      </w:tr>
      <w:tr>
        <w:trPr>
          <w:trHeight w:val="220"/>
        </w:trPr>
        <w:tc>
          <w:tcPr>
            <w:tcW w:w="20" w:type="dxa"/>
            <w:vAlign w:val="bottom"/>
          </w:tcPr>
          <w:p>
            <w:pPr>
              <w:spacing w:after="0"/>
              <w:rPr>
                <w:sz w:val="19"/>
                <w:szCs w:val="19"/>
                <w:color w:val="auto"/>
              </w:rPr>
            </w:pPr>
          </w:p>
        </w:tc>
        <w:tc>
          <w:tcPr>
            <w:tcW w:w="3520" w:type="dxa"/>
            <w:vAlign w:val="bottom"/>
            <w:gridSpan w:val="2"/>
          </w:tcPr>
          <w:p>
            <w:pPr>
              <w:ind w:left="200"/>
              <w:spacing w:after="0"/>
              <w:rPr>
                <w:sz w:val="20"/>
                <w:szCs w:val="20"/>
                <w:color w:val="auto"/>
              </w:rPr>
            </w:pPr>
            <w:r>
              <w:rPr>
                <w:rFonts w:ascii="Arial" w:cs="Arial" w:eastAsia="Arial" w:hAnsi="Arial"/>
                <w:sz w:val="16"/>
                <w:szCs w:val="16"/>
                <w:color w:val="auto"/>
              </w:rPr>
              <w:t>Buyout of Wind TE Holdco noncontrolling</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3520" w:type="dxa"/>
            <w:vAlign w:val="bottom"/>
            <w:gridSpan w:val="2"/>
          </w:tcPr>
          <w:p>
            <w:pPr>
              <w:ind w:left="200"/>
              <w:spacing w:after="0"/>
              <w:rPr>
                <w:sz w:val="20"/>
                <w:szCs w:val="20"/>
                <w:color w:val="auto"/>
              </w:rPr>
            </w:pPr>
            <w:r>
              <w:rPr>
                <w:rFonts w:ascii="Arial" w:cs="Arial" w:eastAsia="Arial" w:hAnsi="Arial"/>
                <w:sz w:val="16"/>
                <w:szCs w:val="16"/>
                <w:color w:val="auto"/>
              </w:rPr>
              <w:t>interest</w:t>
            </w:r>
          </w:p>
        </w:tc>
        <w:tc>
          <w:tcPr>
            <w:tcW w:w="140" w:type="dxa"/>
            <w:vAlign w:val="bottom"/>
          </w:tcPr>
          <w:p>
            <w:pPr>
              <w:spacing w:after="0"/>
              <w:rPr>
                <w:sz w:val="17"/>
                <w:szCs w:val="17"/>
                <w:color w:val="auto"/>
              </w:rPr>
            </w:pPr>
          </w:p>
        </w:tc>
        <w:tc>
          <w:tcPr>
            <w:tcW w:w="8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(19)</w:t>
            </w:r>
          </w:p>
        </w:tc>
      </w:tr>
      <w:tr>
        <w:trPr>
          <w:trHeight w:val="33"/>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2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Contributions from tax equity interests, net of</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9"/>
        </w:trPr>
        <w:tc>
          <w:tcPr>
            <w:tcW w:w="20" w:type="dxa"/>
            <w:vAlign w:val="bottom"/>
            <w:tcBorders>
              <w:bottom w:val="single" w:sz="8" w:color="CCEEFF"/>
            </w:tcBorders>
            <w:shd w:val="clear" w:color="auto" w:fill="CCEEFF"/>
          </w:tcPr>
          <w:p>
            <w:pPr>
              <w:spacing w:after="0"/>
              <w:rPr>
                <w:sz w:val="19"/>
                <w:szCs w:val="19"/>
                <w:color w:val="auto"/>
              </w:rPr>
            </w:pPr>
          </w:p>
        </w:tc>
        <w:tc>
          <w:tcPr>
            <w:tcW w:w="35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distributions, cash</w:t>
            </w: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19</w:t>
            </w:r>
          </w:p>
        </w:tc>
      </w:tr>
      <w:tr>
        <w:trPr>
          <w:trHeight w:val="220"/>
        </w:trPr>
        <w:tc>
          <w:tcPr>
            <w:tcW w:w="20" w:type="dxa"/>
            <w:vAlign w:val="bottom"/>
          </w:tcPr>
          <w:p>
            <w:pPr>
              <w:spacing w:after="0"/>
              <w:rPr>
                <w:sz w:val="19"/>
                <w:szCs w:val="19"/>
                <w:color w:val="auto"/>
              </w:rPr>
            </w:pPr>
          </w:p>
        </w:tc>
        <w:tc>
          <w:tcPr>
            <w:tcW w:w="3520" w:type="dxa"/>
            <w:vAlign w:val="bottom"/>
            <w:gridSpan w:val="2"/>
          </w:tcPr>
          <w:p>
            <w:pPr>
              <w:ind w:left="200"/>
              <w:spacing w:after="0"/>
              <w:rPr>
                <w:sz w:val="20"/>
                <w:szCs w:val="20"/>
                <w:color w:val="auto"/>
              </w:rPr>
            </w:pPr>
            <w:r>
              <w:rPr>
                <w:rFonts w:ascii="Arial" w:cs="Arial" w:eastAsia="Arial" w:hAnsi="Arial"/>
                <w:sz w:val="16"/>
                <w:szCs w:val="16"/>
                <w:color w:val="auto"/>
              </w:rPr>
              <w:t>Contributions from CEG for Oahu Partnership,</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3520" w:type="dxa"/>
            <w:vAlign w:val="bottom"/>
            <w:gridSpan w:val="2"/>
          </w:tcPr>
          <w:p>
            <w:pPr>
              <w:ind w:left="200"/>
              <w:spacing w:after="0"/>
              <w:rPr>
                <w:sz w:val="20"/>
                <w:szCs w:val="20"/>
                <w:color w:val="auto"/>
              </w:rPr>
            </w:pPr>
            <w:r>
              <w:rPr>
                <w:rFonts w:ascii="Arial" w:cs="Arial" w:eastAsia="Arial" w:hAnsi="Arial"/>
                <w:sz w:val="16"/>
                <w:szCs w:val="16"/>
                <w:color w:val="auto"/>
              </w:rPr>
              <w:t>non-cash</w:t>
            </w:r>
          </w:p>
        </w:tc>
        <w:tc>
          <w:tcPr>
            <w:tcW w:w="140" w:type="dxa"/>
            <w:vAlign w:val="bottom"/>
          </w:tcPr>
          <w:p>
            <w:pPr>
              <w:spacing w:after="0"/>
              <w:rPr>
                <w:sz w:val="17"/>
                <w:szCs w:val="17"/>
                <w:color w:val="auto"/>
              </w:rPr>
            </w:pPr>
          </w:p>
        </w:tc>
        <w:tc>
          <w:tcPr>
            <w:tcW w:w="8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12</w:t>
            </w:r>
          </w:p>
        </w:tc>
      </w:tr>
      <w:tr>
        <w:trPr>
          <w:trHeight w:val="33"/>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2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Cumulative effect of change in the accounting</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9"/>
        </w:trPr>
        <w:tc>
          <w:tcPr>
            <w:tcW w:w="20" w:type="dxa"/>
            <w:vAlign w:val="bottom"/>
            <w:tcBorders>
              <w:bottom w:val="single" w:sz="8" w:color="CCEEFF"/>
            </w:tcBorders>
            <w:shd w:val="clear" w:color="auto" w:fill="CCEEFF"/>
          </w:tcPr>
          <w:p>
            <w:pPr>
              <w:spacing w:after="0"/>
              <w:rPr>
                <w:sz w:val="19"/>
                <w:szCs w:val="19"/>
                <w:color w:val="auto"/>
              </w:rPr>
            </w:pPr>
          </w:p>
        </w:tc>
        <w:tc>
          <w:tcPr>
            <w:tcW w:w="35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principle</w:t>
            </w: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w:t>
            </w:r>
          </w:p>
        </w:tc>
      </w:tr>
      <w:tr>
        <w:trPr>
          <w:trHeight w:val="224"/>
        </w:trPr>
        <w:tc>
          <w:tcPr>
            <w:tcW w:w="20" w:type="dxa"/>
            <w:vAlign w:val="bottom"/>
          </w:tcPr>
          <w:p>
            <w:pPr>
              <w:spacing w:after="0"/>
              <w:rPr>
                <w:sz w:val="19"/>
                <w:szCs w:val="19"/>
                <w:color w:val="auto"/>
              </w:rPr>
            </w:pPr>
          </w:p>
        </w:tc>
        <w:tc>
          <w:tcPr>
            <w:tcW w:w="3520" w:type="dxa"/>
            <w:vAlign w:val="bottom"/>
            <w:gridSpan w:val="2"/>
          </w:tcPr>
          <w:p>
            <w:pPr>
              <w:ind w:left="180"/>
              <w:spacing w:after="0"/>
              <w:rPr>
                <w:sz w:val="20"/>
                <w:szCs w:val="20"/>
                <w:color w:val="auto"/>
              </w:rPr>
            </w:pPr>
            <w:r>
              <w:rPr>
                <w:rFonts w:ascii="Arial" w:cs="Arial" w:eastAsia="Arial" w:hAnsi="Arial"/>
                <w:sz w:val="16"/>
                <w:szCs w:val="16"/>
                <w:color w:val="auto"/>
                <w:w w:val="93"/>
              </w:rPr>
              <w:t>Common stock dividends and distributions to CEG</w:t>
            </w:r>
          </w:p>
        </w:tc>
        <w:tc>
          <w:tcPr>
            <w:tcW w:w="140" w:type="dxa"/>
            <w:vAlign w:val="bottom"/>
          </w:tcPr>
          <w:p>
            <w:pPr>
              <w:spacing w:after="0"/>
              <w:rPr>
                <w:sz w:val="19"/>
                <w:szCs w:val="19"/>
                <w:color w:val="auto"/>
              </w:rPr>
            </w:pPr>
          </w:p>
        </w:tc>
        <w:tc>
          <w:tcPr>
            <w:tcW w:w="8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(39)</w:t>
            </w:r>
          </w:p>
        </w:tc>
      </w:tr>
      <w:tr>
        <w:trPr>
          <w:trHeight w:val="33"/>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Balances at March 31,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1,870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373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2,145</w:t>
            </w:r>
          </w:p>
        </w:tc>
      </w:tr>
      <w:tr>
        <w:trPr>
          <w:trHeight w:val="224"/>
        </w:trPr>
        <w:tc>
          <w:tcPr>
            <w:tcW w:w="20" w:type="dxa"/>
            <w:vAlign w:val="bottom"/>
          </w:tcPr>
          <w:p>
            <w:pPr>
              <w:spacing w:after="0"/>
              <w:rPr>
                <w:sz w:val="19"/>
                <w:szCs w:val="19"/>
                <w:color w:val="auto"/>
              </w:rPr>
            </w:pPr>
          </w:p>
        </w:tc>
        <w:tc>
          <w:tcPr>
            <w:tcW w:w="3520" w:type="dxa"/>
            <w:vAlign w:val="bottom"/>
            <w:gridSpan w:val="2"/>
          </w:tcPr>
          <w:p>
            <w:pPr>
              <w:ind w:left="220"/>
              <w:spacing w:after="0"/>
              <w:rPr>
                <w:sz w:val="20"/>
                <w:szCs w:val="20"/>
                <w:color w:val="auto"/>
              </w:rPr>
            </w:pPr>
            <w:r>
              <w:rPr>
                <w:rFonts w:ascii="Arial" w:cs="Arial" w:eastAsia="Arial" w:hAnsi="Arial"/>
                <w:sz w:val="16"/>
                <w:szCs w:val="16"/>
                <w:color w:val="auto"/>
              </w:rPr>
              <w:t>Net loss</w:t>
            </w:r>
          </w:p>
        </w:tc>
        <w:tc>
          <w:tcPr>
            <w:tcW w:w="140" w:type="dxa"/>
            <w:vAlign w:val="bottom"/>
          </w:tcPr>
          <w:p>
            <w:pPr>
              <w:spacing w:after="0"/>
              <w:rPr>
                <w:sz w:val="19"/>
                <w:szCs w:val="19"/>
                <w:color w:val="auto"/>
              </w:rPr>
            </w:pPr>
          </w:p>
        </w:tc>
        <w:tc>
          <w:tcPr>
            <w:tcW w:w="8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(36)</w:t>
            </w:r>
          </w:p>
        </w:tc>
      </w:tr>
      <w:tr>
        <w:trPr>
          <w:trHeight w:val="33"/>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Unrealized gain on derivatives, net of tax</w:t>
            </w: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5</w:t>
            </w:r>
          </w:p>
        </w:tc>
      </w:tr>
      <w:tr>
        <w:trPr>
          <w:trHeight w:val="220"/>
        </w:trPr>
        <w:tc>
          <w:tcPr>
            <w:tcW w:w="20" w:type="dxa"/>
            <w:vAlign w:val="bottom"/>
          </w:tcPr>
          <w:p>
            <w:pPr>
              <w:spacing w:after="0"/>
              <w:rPr>
                <w:sz w:val="19"/>
                <w:szCs w:val="19"/>
                <w:color w:val="auto"/>
              </w:rPr>
            </w:pPr>
          </w:p>
        </w:tc>
        <w:tc>
          <w:tcPr>
            <w:tcW w:w="3520" w:type="dxa"/>
            <w:vAlign w:val="bottom"/>
            <w:gridSpan w:val="2"/>
          </w:tcPr>
          <w:p>
            <w:pPr>
              <w:ind w:left="180"/>
              <w:spacing w:after="0"/>
              <w:rPr>
                <w:sz w:val="20"/>
                <w:szCs w:val="20"/>
                <w:color w:val="auto"/>
              </w:rPr>
            </w:pPr>
            <w:r>
              <w:rPr>
                <w:rFonts w:ascii="Arial" w:cs="Arial" w:eastAsia="Arial" w:hAnsi="Arial"/>
                <w:sz w:val="16"/>
                <w:szCs w:val="16"/>
                <w:color w:val="auto"/>
              </w:rPr>
              <w:t>Distributions to noncontrolling interests, net of</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3520" w:type="dxa"/>
            <w:vAlign w:val="bottom"/>
            <w:gridSpan w:val="2"/>
          </w:tcPr>
          <w:p>
            <w:pPr>
              <w:ind w:left="180"/>
              <w:spacing w:after="0"/>
              <w:rPr>
                <w:sz w:val="20"/>
                <w:szCs w:val="20"/>
                <w:color w:val="auto"/>
              </w:rPr>
            </w:pPr>
            <w:r>
              <w:rPr>
                <w:rFonts w:ascii="Arial" w:cs="Arial" w:eastAsia="Arial" w:hAnsi="Arial"/>
                <w:sz w:val="16"/>
                <w:szCs w:val="16"/>
                <w:color w:val="auto"/>
              </w:rPr>
              <w:t>contributions, cash</w:t>
            </w:r>
          </w:p>
        </w:tc>
        <w:tc>
          <w:tcPr>
            <w:tcW w:w="140" w:type="dxa"/>
            <w:vAlign w:val="bottom"/>
          </w:tcPr>
          <w:p>
            <w:pPr>
              <w:spacing w:after="0"/>
              <w:rPr>
                <w:sz w:val="17"/>
                <w:szCs w:val="17"/>
                <w:color w:val="auto"/>
              </w:rPr>
            </w:pPr>
          </w:p>
        </w:tc>
        <w:tc>
          <w:tcPr>
            <w:tcW w:w="8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(30)</w:t>
            </w:r>
          </w:p>
        </w:tc>
      </w:tr>
      <w:tr>
        <w:trPr>
          <w:trHeight w:val="33"/>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2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Contributions from CEG for Kawailoa,</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9"/>
        </w:trPr>
        <w:tc>
          <w:tcPr>
            <w:tcW w:w="20" w:type="dxa"/>
            <w:vAlign w:val="bottom"/>
            <w:tcBorders>
              <w:bottom w:val="single" w:sz="8" w:color="CCEEFF"/>
            </w:tcBorders>
            <w:shd w:val="clear" w:color="auto" w:fill="CCEEFF"/>
          </w:tcPr>
          <w:p>
            <w:pPr>
              <w:spacing w:after="0"/>
              <w:rPr>
                <w:sz w:val="19"/>
                <w:szCs w:val="19"/>
                <w:color w:val="auto"/>
              </w:rPr>
            </w:pPr>
          </w:p>
        </w:tc>
        <w:tc>
          <w:tcPr>
            <w:tcW w:w="3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Repowering Partnerships, non-cash</w:t>
            </w: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6</w:t>
            </w:r>
          </w:p>
        </w:tc>
      </w:tr>
      <w:tr>
        <w:trPr>
          <w:trHeight w:val="223"/>
        </w:trPr>
        <w:tc>
          <w:tcPr>
            <w:tcW w:w="20" w:type="dxa"/>
            <w:vAlign w:val="bottom"/>
          </w:tcPr>
          <w:p>
            <w:pPr>
              <w:spacing w:after="0"/>
              <w:rPr>
                <w:sz w:val="19"/>
                <w:szCs w:val="19"/>
                <w:color w:val="auto"/>
              </w:rPr>
            </w:pPr>
          </w:p>
        </w:tc>
        <w:tc>
          <w:tcPr>
            <w:tcW w:w="3520" w:type="dxa"/>
            <w:vAlign w:val="bottom"/>
            <w:gridSpan w:val="2"/>
          </w:tcPr>
          <w:p>
            <w:pPr>
              <w:ind w:left="180"/>
              <w:spacing w:after="0"/>
              <w:rPr>
                <w:sz w:val="20"/>
                <w:szCs w:val="20"/>
                <w:color w:val="auto"/>
              </w:rPr>
            </w:pPr>
            <w:r>
              <w:rPr>
                <w:rFonts w:ascii="Arial" w:cs="Arial" w:eastAsia="Arial" w:hAnsi="Arial"/>
                <w:sz w:val="16"/>
                <w:szCs w:val="16"/>
                <w:color w:val="auto"/>
              </w:rPr>
              <w:t>Stock-based compensation</w:t>
            </w:r>
          </w:p>
        </w:tc>
        <w:tc>
          <w:tcPr>
            <w:tcW w:w="140" w:type="dxa"/>
            <w:vAlign w:val="bottom"/>
          </w:tcPr>
          <w:p>
            <w:pPr>
              <w:spacing w:after="0"/>
              <w:rPr>
                <w:sz w:val="19"/>
                <w:szCs w:val="19"/>
                <w:color w:val="auto"/>
              </w:rPr>
            </w:pPr>
          </w:p>
        </w:tc>
        <w:tc>
          <w:tcPr>
            <w:tcW w:w="8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tcPr>
          <w:p>
            <w:pPr>
              <w:jc w:val="right"/>
              <w:ind w:right="8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w:t>
            </w:r>
          </w:p>
        </w:tc>
      </w:tr>
      <w:tr>
        <w:trPr>
          <w:trHeight w:val="33"/>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2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9"/>
              </w:rPr>
              <w:t>Non-cash adjustment for change in tax basis of</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9"/>
        </w:trPr>
        <w:tc>
          <w:tcPr>
            <w:tcW w:w="20" w:type="dxa"/>
            <w:vAlign w:val="bottom"/>
            <w:tcBorders>
              <w:bottom w:val="single" w:sz="8" w:color="CCEEFF"/>
            </w:tcBorders>
            <w:shd w:val="clear" w:color="auto" w:fill="CCEEFF"/>
          </w:tcPr>
          <w:p>
            <w:pPr>
              <w:spacing w:after="0"/>
              <w:rPr>
                <w:sz w:val="19"/>
                <w:szCs w:val="19"/>
                <w:color w:val="auto"/>
              </w:rPr>
            </w:pPr>
          </w:p>
        </w:tc>
        <w:tc>
          <w:tcPr>
            <w:tcW w:w="3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assets</w:t>
            </w: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w:t>
            </w:r>
          </w:p>
        </w:tc>
      </w:tr>
      <w:tr>
        <w:trPr>
          <w:trHeight w:val="223"/>
        </w:trPr>
        <w:tc>
          <w:tcPr>
            <w:tcW w:w="20" w:type="dxa"/>
            <w:vAlign w:val="bottom"/>
          </w:tcPr>
          <w:p>
            <w:pPr>
              <w:spacing w:after="0"/>
              <w:rPr>
                <w:sz w:val="19"/>
                <w:szCs w:val="19"/>
                <w:color w:val="auto"/>
              </w:rPr>
            </w:pPr>
          </w:p>
        </w:tc>
        <w:tc>
          <w:tcPr>
            <w:tcW w:w="3520" w:type="dxa"/>
            <w:vAlign w:val="bottom"/>
            <w:gridSpan w:val="2"/>
          </w:tcPr>
          <w:p>
            <w:pPr>
              <w:ind w:left="180"/>
              <w:spacing w:after="0"/>
              <w:rPr>
                <w:sz w:val="20"/>
                <w:szCs w:val="20"/>
                <w:color w:val="auto"/>
              </w:rPr>
            </w:pPr>
            <w:r>
              <w:rPr>
                <w:rFonts w:ascii="Arial" w:cs="Arial" w:eastAsia="Arial" w:hAnsi="Arial"/>
                <w:sz w:val="16"/>
                <w:szCs w:val="16"/>
                <w:color w:val="auto"/>
                <w:w w:val="93"/>
              </w:rPr>
              <w:t>Common stock dividends and distributions to CEG</w:t>
            </w:r>
          </w:p>
        </w:tc>
        <w:tc>
          <w:tcPr>
            <w:tcW w:w="140" w:type="dxa"/>
            <w:vAlign w:val="bottom"/>
          </w:tcPr>
          <w:p>
            <w:pPr>
              <w:spacing w:after="0"/>
              <w:rPr>
                <w:sz w:val="19"/>
                <w:szCs w:val="19"/>
                <w:color w:val="auto"/>
              </w:rPr>
            </w:pPr>
          </w:p>
        </w:tc>
        <w:tc>
          <w:tcPr>
            <w:tcW w:w="8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(38)</w:t>
            </w:r>
          </w:p>
        </w:tc>
      </w:tr>
      <w:tr>
        <w:trPr>
          <w:trHeight w:val="33"/>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75"/>
        </w:trPr>
        <w:tc>
          <w:tcPr>
            <w:tcW w:w="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Balances at June 30,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1,852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2,054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237490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80" w:top="891" w:right="39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w:t>
      </w:r>
      <w:r>
        <w:rPr>
          <w:rFonts w:ascii="Arial" w:cs="Arial" w:eastAsia="Arial" w:hAnsi="Arial"/>
          <w:sz w:val="18"/>
          <w:szCs w:val="18"/>
          <w:b w:val="1"/>
          <w:bCs w:val="1"/>
          <w:i w:val="1"/>
          <w:iCs w:val="1"/>
          <w:color w:val="auto"/>
        </w:rPr>
        <w:t>Nature of Business</w:t>
      </w:r>
    </w:p>
    <w:p>
      <w:pPr>
        <w:spacing w:after="0" w:line="175"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Clearway Energy, Inc., together with its consolidated subsidiaries, or the Company, is a publicly-traded energy infrastructure investor in and owner of modern, sustainable and long-term contracted assets across North America. The Company is sponsored by GIP III Zephyr Acquisition Partners, L.P. through its portfolio company, CEG. GIP is an independent fund manager that invests in infrastructure assets in energy and transport sectors.</w:t>
      </w:r>
    </w:p>
    <w:p>
      <w:pPr>
        <w:spacing w:after="0" w:line="9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 xml:space="preserve">The Company’s environmentally-sound asset portfolio includes over 5,991 MW of wind, solar and natural gas-fired power generation facilities. Through this diversified and contracted portfolio, the Company endeavors to provide its investors with stable and growing dividend income. </w:t>
      </w:r>
      <w:r>
        <w:rPr>
          <w:rFonts w:ascii="Arial" w:cs="Arial" w:eastAsia="Arial" w:hAnsi="Arial"/>
          <w:sz w:val="16"/>
          <w:szCs w:val="16"/>
          <w:color w:val="231F20"/>
        </w:rPr>
        <w:t>Nearly all</w:t>
      </w:r>
      <w:r>
        <w:rPr>
          <w:rFonts w:ascii="Arial" w:cs="Arial" w:eastAsia="Arial" w:hAnsi="Arial"/>
          <w:sz w:val="16"/>
          <w:szCs w:val="16"/>
          <w:color w:val="auto"/>
        </w:rPr>
        <w:t xml:space="preserve"> of these assets sell substantially all of their output pursuant to long-term offtake agreements with creditworthy counterparties. The weighted average remaining contract duration of these offtake agreements was approximately 13 years </w:t>
      </w:r>
      <w:r>
        <w:rPr>
          <w:rFonts w:ascii="Arial" w:cs="Arial" w:eastAsia="Arial" w:hAnsi="Arial"/>
          <w:sz w:val="16"/>
          <w:szCs w:val="16"/>
          <w:color w:val="231F20"/>
        </w:rPr>
        <w:t>as of</w:t>
      </w:r>
      <w:r>
        <w:rPr>
          <w:rFonts w:ascii="Arial" w:cs="Arial" w:eastAsia="Arial" w:hAnsi="Arial"/>
          <w:sz w:val="16"/>
          <w:szCs w:val="16"/>
          <w:color w:val="auto"/>
        </w:rPr>
        <w:t xml:space="preserve"> June 30, 2020 </w:t>
      </w:r>
      <w:r>
        <w:rPr>
          <w:rFonts w:ascii="Arial" w:cs="Arial" w:eastAsia="Arial" w:hAnsi="Arial"/>
          <w:sz w:val="16"/>
          <w:szCs w:val="16"/>
          <w:color w:val="231F20"/>
        </w:rPr>
        <w:t>based on CAFD. The Company also owns thermal</w:t>
      </w:r>
      <w:r>
        <w:rPr>
          <w:rFonts w:ascii="Arial" w:cs="Arial" w:eastAsia="Arial" w:hAnsi="Arial"/>
          <w:sz w:val="16"/>
          <w:szCs w:val="16"/>
          <w:color w:val="auto"/>
        </w:rPr>
        <w:t xml:space="preserve"> </w:t>
      </w:r>
      <w:r>
        <w:rPr>
          <w:rFonts w:ascii="Arial" w:cs="Arial" w:eastAsia="Arial" w:hAnsi="Arial"/>
          <w:sz w:val="16"/>
          <w:szCs w:val="16"/>
          <w:color w:val="231F20"/>
        </w:rPr>
        <w:t xml:space="preserve">infrastructure assets with an aggregate steam and chilled water capacity of </w:t>
      </w:r>
      <w:r>
        <w:rPr>
          <w:rFonts w:ascii="Arial" w:cs="Arial" w:eastAsia="Arial" w:hAnsi="Arial"/>
          <w:sz w:val="16"/>
          <w:szCs w:val="16"/>
          <w:color w:val="000000"/>
        </w:rPr>
        <w:t>1,453</w:t>
      </w:r>
      <w:r>
        <w:rPr>
          <w:rFonts w:ascii="Arial" w:cs="Arial" w:eastAsia="Arial" w:hAnsi="Arial"/>
          <w:sz w:val="16"/>
          <w:szCs w:val="16"/>
          <w:color w:val="231F20"/>
        </w:rPr>
        <w:t xml:space="preserve"> net MWt and electric generation capacity of </w:t>
      </w:r>
      <w:r>
        <w:rPr>
          <w:rFonts w:ascii="Arial" w:cs="Arial" w:eastAsia="Arial" w:hAnsi="Arial"/>
          <w:sz w:val="16"/>
          <w:szCs w:val="16"/>
          <w:color w:val="000000"/>
        </w:rPr>
        <w:t>36</w:t>
      </w:r>
      <w:r>
        <w:rPr>
          <w:rFonts w:ascii="Arial" w:cs="Arial" w:eastAsia="Arial" w:hAnsi="Arial"/>
          <w:sz w:val="16"/>
          <w:szCs w:val="16"/>
          <w:color w:val="231F20"/>
        </w:rPr>
        <w:t xml:space="preserve">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1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Company consolidates the results of Clearway Energy LLC through its controlling interest, with CEG's interest shown as noncontrolling interest in the financial statements. The holders of the Company's outstanding shares of Class A and Class C common stock are entitled to dividends as declared. CEG receives its distributions from Clearway Energy LLC through its ownership of Clearway Energy LLC Class B and Class D units.</w:t>
      </w:r>
    </w:p>
    <w:p>
      <w:pPr>
        <w:spacing w:after="0" w:line="1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As a result of the Class C common stock issuance under the ATM Program during the six months ended June 30, 2020, the Company owns 57.41% of the economic interests of Clearway Energy LLC, with CEG retaining 42.59% of the economic interests of Clearway Energy LLC as of June 30, 2020. For further discussion, see Note 9, </w:t>
      </w:r>
      <w:r>
        <w:rPr>
          <w:rFonts w:ascii="Arial" w:cs="Arial" w:eastAsia="Arial" w:hAnsi="Arial"/>
          <w:sz w:val="18"/>
          <w:szCs w:val="18"/>
          <w:i w:val="1"/>
          <w:iCs w:val="1"/>
          <w:color w:val="auto"/>
        </w:rPr>
        <w:t>Changes in Capital Structure.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ind w:left="420"/>
        <w:spacing w:after="0"/>
        <w:rPr>
          <w:sz w:val="20"/>
          <w:szCs w:val="20"/>
          <w:color w:val="auto"/>
        </w:rPr>
      </w:pPr>
      <w:r>
        <w:rPr>
          <w:rFonts w:ascii="Arial" w:cs="Arial" w:eastAsia="Arial" w:hAnsi="Arial"/>
          <w:sz w:val="18"/>
          <w:szCs w:val="18"/>
          <w:color w:val="auto"/>
        </w:rPr>
        <w:t>The following table represents the structure of the Company as of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5863590" cy="43973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63590" cy="439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included in the Company's 2019 Form 10-K. Interim results are not necessarily indicative of results for a full year.</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material adjustments consisting of normal and recurring accruals necessary to present fairly the Company's consolidated financial position as of June 30, 2020, and the results of operations, comprehensive income (loss) and cash flows for the six months ended June 30, 2020 and 2019.</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PG&amp;E Bankruptcy Update</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6"/>
          <w:szCs w:val="16"/>
          <w:color w:val="auto"/>
        </w:rPr>
        <w:t xml:space="preserve">During 2019, PG&amp;E, one of the Company's largest customers, filed for reorganization under Chapter 11 of the U.S. Bankruptcy Code in the U.S. Bankruptcy Court for the Northern District of California, or the Bankruptcy Court. On January 31, 2020, PG&amp;E filed with the Bankruptcy Court a Chapter 11 plan of reorganization, as amended, or the PG&amp;E Plan. On June 20, 2020, the Bankruptcy Court confirmed the PG&amp;E Plan, which provided for PG&amp;E to assume all of its PPAs with the Company. On July 1, 2020, PG&amp;E emerged from bankruptcy and assumed the Company's contracts without modification. In addition, PG&amp;E paid to the Company's applicable projects the portion of the invoices corresponding to the electricity delivered for the period between January 1 and January 28, 2019. These invoices related to the pre-petition period services and any payment therefore required the approval by the Bankruptcy Court. A description of changes to the financial statements resulting from PG&amp;E's emergence from bankruptcy is noted below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Note 5,</w:t>
      </w:r>
      <w:r>
        <w:rPr>
          <w:rFonts w:ascii="Arial" w:cs="Arial" w:eastAsia="Arial" w:hAnsi="Arial"/>
          <w:sz w:val="16"/>
          <w:szCs w:val="16"/>
          <w:i w:val="1"/>
          <w:iCs w:val="1"/>
          <w:color w:val="auto"/>
        </w:rPr>
        <w:t xml:space="preserve"> Fair Value of Financial Instruments </w:t>
      </w:r>
      <w:r>
        <w:rPr>
          <w:rFonts w:ascii="Arial" w:cs="Arial" w:eastAsia="Arial" w:hAnsi="Arial"/>
          <w:sz w:val="16"/>
          <w:szCs w:val="16"/>
          <w:color w:val="auto"/>
        </w:rPr>
        <w:t>and Note 7,</w:t>
      </w:r>
      <w:r>
        <w:rPr>
          <w:rFonts w:ascii="Arial" w:cs="Arial" w:eastAsia="Arial" w:hAnsi="Arial"/>
          <w:sz w:val="16"/>
          <w:szCs w:val="16"/>
          <w:i w:val="1"/>
          <w:iCs w:val="1"/>
          <w:color w:val="auto"/>
        </w:rPr>
        <w:t xml:space="preserve"> Long-term Debt</w:t>
      </w:r>
      <w:r>
        <w:rPr>
          <w:rFonts w:ascii="Arial" w:cs="Arial" w:eastAsia="Arial" w:hAnsi="Arial"/>
          <w:sz w:val="16"/>
          <w:szCs w:val="16"/>
          <w:color w:val="auto"/>
        </w:rPr>
        <w:t>.</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 xml:space="preserve">Note 2 — </w:t>
      </w:r>
      <w:r>
        <w:rPr>
          <w:rFonts w:ascii="Arial" w:cs="Arial" w:eastAsia="Arial" w:hAnsi="Arial"/>
          <w:sz w:val="18"/>
          <w:szCs w:val="18"/>
          <w:b w:val="1"/>
          <w:bCs w:val="1"/>
          <w:i w:val="1"/>
          <w:i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and the reported amounts of revenues and expenses during the reporting period. Actual results could be different from these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and Restricted Cash</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Cash and cash equivalents include highly liquid investments with an original maturity of three months or less at the time of purchase. Cash and cash equivalents held at project subsidiaries was $116 million and $125 million as of June 30, 2020 and December 31, 2019, respectively. After PG&amp;E emerged from bankruptcy on July 1, 2020, $50 million of cash distributions were paid out of distribution reserve accounts at subsidiaries affected by the PG&amp;E Bankruptcy to Clearway Energy Operating LLC as of July 31, 2020.</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statements of cash flows: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gridSpan w:val="2"/>
          </w:tcPr>
          <w:p>
            <w:pPr>
              <w:ind w:left="300"/>
              <w:spacing w:after="0"/>
              <w:rPr>
                <w:sz w:val="20"/>
                <w:szCs w:val="20"/>
                <w:color w:val="auto"/>
              </w:rPr>
            </w:pPr>
            <w:r>
              <w:rPr>
                <w:rFonts w:ascii="Arial" w:cs="Arial" w:eastAsia="Arial" w:hAnsi="Arial"/>
                <w:sz w:val="16"/>
                <w:szCs w:val="16"/>
                <w:b w:val="1"/>
                <w:bCs w:val="1"/>
                <w:color w:val="auto"/>
              </w:rPr>
              <w:t>June 30, 2020</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w w:val="91"/>
              </w:rPr>
              <w:t>December 31, 2019</w:t>
            </w:r>
          </w:p>
        </w:tc>
      </w:tr>
      <w:tr>
        <w:trPr>
          <w:trHeight w:val="33"/>
        </w:trPr>
        <w:tc>
          <w:tcPr>
            <w:tcW w:w="76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7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360" w:type="dxa"/>
            <w:vAlign w:val="bottom"/>
          </w:tcPr>
          <w:p>
            <w:pPr>
              <w:spacing w:after="0"/>
              <w:rPr>
                <w:sz w:val="18"/>
                <w:szCs w:val="18"/>
                <w:color w:val="auto"/>
              </w:rPr>
            </w:pPr>
          </w:p>
        </w:tc>
      </w:tr>
      <w:tr>
        <w:trPr>
          <w:trHeight w:val="33"/>
        </w:trPr>
        <w:tc>
          <w:tcPr>
            <w:tcW w:w="7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155</w:t>
            </w:r>
          </w:p>
        </w:tc>
      </w:tr>
      <w:tr>
        <w:trPr>
          <w:trHeight w:val="243"/>
        </w:trPr>
        <w:tc>
          <w:tcPr>
            <w:tcW w:w="762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400" w:type="dxa"/>
            <w:vAlign w:val="bottom"/>
          </w:tcPr>
          <w:p>
            <w:pPr>
              <w:spacing w:after="0"/>
              <w:rPr>
                <w:sz w:val="21"/>
                <w:szCs w:val="21"/>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262</w:t>
            </w:r>
          </w:p>
        </w:tc>
      </w:tr>
      <w:tr>
        <w:trPr>
          <w:trHeight w:val="27"/>
        </w:trPr>
        <w:tc>
          <w:tcPr>
            <w:tcW w:w="76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9"/>
        </w:trPr>
        <w:tc>
          <w:tcPr>
            <w:tcW w:w="7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cash equivalents and restricted cash shown in the statement of cash flows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417</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Restricted cash consists primarily of funds held to satisfy the requirements of certain debt agreements and funds held within the Company's projects that are restricted in their use. As of June 30, 2020, these restricted funds were comprised of $80 million designated to fund operating expenses, approximately $20 million designated for current debt service payments, and $56 million restricted for reserves including debt service, performance obligations and other reserves, as well as capital expenditures. The remaining $85 million is held in distributions reserve accounts. As of June 30, 2020, $14 million of cash that was restricted pending the outcome of the PG&amp;E Bankruptcy was reclassified into cash and cash equivalents.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Depreciation, Accumulated Amortization</w:t>
      </w:r>
    </w:p>
    <w:p>
      <w:pPr>
        <w:spacing w:after="0" w:line="171"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following table presents the accumulated depreciation included in the property, plant and equipment, net, and accumulated amortization included in intangible assets, net, respectively, as of June 30, 2020 and December 31, 2019:</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ind w:right="315"/>
              <w:spacing w:after="0"/>
              <w:rPr>
                <w:sz w:val="20"/>
                <w:szCs w:val="20"/>
                <w:color w:val="auto"/>
              </w:rPr>
            </w:pPr>
            <w:r>
              <w:rPr>
                <w:rFonts w:ascii="Arial" w:cs="Arial" w:eastAsia="Arial" w:hAnsi="Arial"/>
                <w:sz w:val="16"/>
                <w:szCs w:val="16"/>
                <w:b w:val="1"/>
                <w:bCs w:val="1"/>
                <w:color w:val="auto"/>
              </w:rPr>
              <w:t>June 30, 2020</w:t>
            </w:r>
          </w:p>
        </w:tc>
        <w:tc>
          <w:tcPr>
            <w:tcW w:w="300" w:type="dxa"/>
            <w:vAlign w:val="bottom"/>
          </w:tcPr>
          <w:p>
            <w:pPr>
              <w:spacing w:after="0"/>
              <w:rPr>
                <w:sz w:val="18"/>
                <w:szCs w:val="18"/>
                <w:color w:val="auto"/>
              </w:rPr>
            </w:pPr>
          </w:p>
        </w:tc>
        <w:tc>
          <w:tcPr>
            <w:tcW w:w="1580" w:type="dxa"/>
            <w:vAlign w:val="bottom"/>
          </w:tcPr>
          <w:p>
            <w:pPr>
              <w:jc w:val="right"/>
              <w:ind w:right="133"/>
              <w:spacing w:after="0"/>
              <w:rPr>
                <w:sz w:val="20"/>
                <w:szCs w:val="20"/>
                <w:color w:val="auto"/>
              </w:rPr>
            </w:pPr>
            <w:r>
              <w:rPr>
                <w:rFonts w:ascii="Arial" w:cs="Arial" w:eastAsia="Arial" w:hAnsi="Arial"/>
                <w:sz w:val="16"/>
                <w:szCs w:val="16"/>
                <w:b w:val="1"/>
                <w:bCs w:val="1"/>
                <w:color w:val="auto"/>
                <w:w w:val="92"/>
              </w:rPr>
              <w:t>December 31, 2019</w:t>
            </w:r>
          </w:p>
        </w:tc>
      </w:tr>
      <w:tr>
        <w:trPr>
          <w:trHeight w:val="33"/>
        </w:trPr>
        <w:tc>
          <w:tcPr>
            <w:tcW w:w="7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3"/>
          </w:tcPr>
          <w:p>
            <w:pPr>
              <w:spacing w:after="0"/>
              <w:rPr>
                <w:sz w:val="2"/>
                <w:szCs w:val="2"/>
                <w:color w:val="auto"/>
              </w:rPr>
            </w:pPr>
          </w:p>
        </w:tc>
      </w:tr>
      <w:tr>
        <w:trPr>
          <w:trHeight w:val="217"/>
        </w:trPr>
        <w:tc>
          <w:tcPr>
            <w:tcW w:w="7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60" w:type="dxa"/>
            <w:vAlign w:val="bottom"/>
            <w:gridSpan w:val="3"/>
          </w:tcPr>
          <w:p>
            <w:pPr>
              <w:jc w:val="right"/>
              <w:ind w:right="1293"/>
              <w:spacing w:after="0"/>
              <w:rPr>
                <w:sz w:val="20"/>
                <w:szCs w:val="20"/>
                <w:color w:val="auto"/>
              </w:rPr>
            </w:pPr>
            <w:r>
              <w:rPr>
                <w:rFonts w:ascii="Arial" w:cs="Arial" w:eastAsia="Arial" w:hAnsi="Arial"/>
                <w:sz w:val="16"/>
                <w:szCs w:val="16"/>
                <w:b w:val="1"/>
                <w:bCs w:val="1"/>
                <w:color w:val="auto"/>
              </w:rPr>
              <w:t>(In millions)</w:t>
            </w: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Accumulated Depreciation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2,036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1,880</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Intangible Assets Accumulated Amortization</w:t>
            </w:r>
          </w:p>
        </w:tc>
        <w:tc>
          <w:tcPr>
            <w:tcW w:w="260" w:type="dxa"/>
            <w:vAlign w:val="bottom"/>
          </w:tcPr>
          <w:p>
            <w:pPr>
              <w:spacing w:after="0"/>
              <w:rPr>
                <w:sz w:val="21"/>
                <w:szCs w:val="21"/>
                <w:color w:val="auto"/>
              </w:rPr>
            </w:pPr>
          </w:p>
        </w:tc>
        <w:tc>
          <w:tcPr>
            <w:tcW w:w="1480" w:type="dxa"/>
            <w:vAlign w:val="bottom"/>
          </w:tcPr>
          <w:p>
            <w:pPr>
              <w:jc w:val="right"/>
              <w:ind w:right="55"/>
              <w:spacing w:after="0"/>
              <w:rPr>
                <w:sz w:val="20"/>
                <w:szCs w:val="20"/>
                <w:color w:val="auto"/>
              </w:rPr>
            </w:pPr>
            <w:r>
              <w:rPr>
                <w:rFonts w:ascii="Arial" w:cs="Arial" w:eastAsia="Arial" w:hAnsi="Arial"/>
                <w:sz w:val="18"/>
                <w:szCs w:val="18"/>
                <w:color w:val="auto"/>
              </w:rPr>
              <w:t>439</w:t>
            </w:r>
          </w:p>
        </w:tc>
        <w:tc>
          <w:tcPr>
            <w:tcW w:w="300" w:type="dxa"/>
            <w:vAlign w:val="bottom"/>
          </w:tcPr>
          <w:p>
            <w:pPr>
              <w:spacing w:after="0"/>
              <w:rPr>
                <w:sz w:val="21"/>
                <w:szCs w:val="21"/>
                <w:color w:val="auto"/>
              </w:rPr>
            </w:pPr>
          </w:p>
        </w:tc>
        <w:tc>
          <w:tcPr>
            <w:tcW w:w="1580" w:type="dxa"/>
            <w:vAlign w:val="bottom"/>
          </w:tcPr>
          <w:p>
            <w:pPr>
              <w:jc w:val="right"/>
              <w:ind w:right="73"/>
              <w:spacing w:after="0"/>
              <w:rPr>
                <w:sz w:val="20"/>
                <w:szCs w:val="20"/>
                <w:color w:val="auto"/>
              </w:rPr>
            </w:pPr>
            <w:r>
              <w:rPr>
                <w:rFonts w:ascii="Arial" w:cs="Arial" w:eastAsia="Arial" w:hAnsi="Arial"/>
                <w:sz w:val="18"/>
                <w:szCs w:val="18"/>
                <w:color w:val="auto"/>
              </w:rPr>
              <w:t>394</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to Class A and Class C common stockholders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lists the dividends paid on the Company's Class A common stock and Class C common stock during the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2020: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Second Quarter</w:t>
            </w:r>
          </w:p>
        </w:tc>
        <w:tc>
          <w:tcPr>
            <w:tcW w:w="120" w:type="dxa"/>
            <w:vAlign w:val="bottom"/>
          </w:tcPr>
          <w:p>
            <w:pPr>
              <w:spacing w:after="0"/>
              <w:rPr>
                <w:sz w:val="14"/>
                <w:szCs w:val="14"/>
                <w:color w:val="auto"/>
              </w:rPr>
            </w:pPr>
          </w:p>
        </w:tc>
        <w:tc>
          <w:tcPr>
            <w:tcW w:w="1000" w:type="dxa"/>
            <w:vAlign w:val="bottom"/>
          </w:tcPr>
          <w:p>
            <w:pPr>
              <w:jc w:val="right"/>
              <w:ind w:right="59"/>
              <w:spacing w:after="0"/>
              <w:rPr>
                <w:sz w:val="20"/>
                <w:szCs w:val="20"/>
                <w:color w:val="auto"/>
              </w:rPr>
            </w:pPr>
            <w:r>
              <w:rPr>
                <w:rFonts w:ascii="Arial" w:cs="Arial" w:eastAsia="Arial" w:hAnsi="Arial"/>
                <w:sz w:val="14"/>
                <w:szCs w:val="14"/>
                <w:b w:val="1"/>
                <w:bCs w:val="1"/>
                <w:color w:val="auto"/>
                <w:w w:val="99"/>
              </w:rPr>
              <w:t>First Quarter</w:t>
            </w:r>
          </w:p>
        </w:tc>
      </w:tr>
      <w:tr>
        <w:trPr>
          <w:trHeight w:val="192"/>
        </w:trPr>
        <w:tc>
          <w:tcPr>
            <w:tcW w:w="89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r>
      <w:tr>
        <w:trPr>
          <w:trHeight w:val="250"/>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per Class A share</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0.21</w:t>
            </w:r>
          </w:p>
        </w:tc>
      </w:tr>
      <w:tr>
        <w:trPr>
          <w:trHeight w:val="243"/>
        </w:trPr>
        <w:tc>
          <w:tcPr>
            <w:tcW w:w="8900" w:type="dxa"/>
            <w:vAlign w:val="bottom"/>
          </w:tcPr>
          <w:p>
            <w:pPr>
              <w:ind w:left="20"/>
              <w:spacing w:after="0"/>
              <w:rPr>
                <w:sz w:val="20"/>
                <w:szCs w:val="20"/>
                <w:color w:val="auto"/>
              </w:rPr>
            </w:pPr>
            <w:r>
              <w:rPr>
                <w:rFonts w:ascii="Arial" w:cs="Arial" w:eastAsia="Arial" w:hAnsi="Arial"/>
                <w:sz w:val="18"/>
                <w:szCs w:val="18"/>
                <w:color w:val="auto"/>
              </w:rPr>
              <w:t>Dividends per Class C share</w:t>
            </w: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6"/>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9"/>
              <w:spacing w:after="0"/>
              <w:rPr>
                <w:sz w:val="20"/>
                <w:szCs w:val="20"/>
                <w:color w:val="auto"/>
              </w:rPr>
            </w:pPr>
            <w:r>
              <w:rPr>
                <w:rFonts w:ascii="Arial" w:cs="Arial" w:eastAsia="Arial" w:hAnsi="Arial"/>
                <w:sz w:val="18"/>
                <w:szCs w:val="18"/>
                <w:color w:val="auto"/>
              </w:rPr>
              <w:t>0.21</w:t>
            </w:r>
          </w:p>
        </w:tc>
      </w:tr>
    </w:tbl>
    <w:p>
      <w:pPr>
        <w:spacing w:after="0" w:line="17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Dividends on the Class A common stock 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spacing w:after="0" w:line="13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July 30, 2020, the Company declared quarterly dividends on its Class A common stock and Class C common stock of $0.3125 per share payable on September 15, 2020, to stockholders of record as of September 1, 2020.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Clearway Energy LLC Distributions to CEG</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lists distributions paid to CEG during the period ended June 30, 2020 on Clearway Energy LLC's Class B and D units: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Second Quarter</w:t>
            </w:r>
          </w:p>
        </w:tc>
        <w:tc>
          <w:tcPr>
            <w:tcW w:w="120" w:type="dxa"/>
            <w:vAlign w:val="bottom"/>
          </w:tcPr>
          <w:p>
            <w:pPr>
              <w:spacing w:after="0"/>
              <w:rPr>
                <w:sz w:val="14"/>
                <w:szCs w:val="14"/>
                <w:color w:val="auto"/>
              </w:rPr>
            </w:pPr>
          </w:p>
        </w:tc>
        <w:tc>
          <w:tcPr>
            <w:tcW w:w="1000" w:type="dxa"/>
            <w:vAlign w:val="bottom"/>
          </w:tcPr>
          <w:p>
            <w:pPr>
              <w:jc w:val="right"/>
              <w:ind w:right="59"/>
              <w:spacing w:after="0"/>
              <w:rPr>
                <w:sz w:val="20"/>
                <w:szCs w:val="20"/>
                <w:color w:val="auto"/>
              </w:rPr>
            </w:pPr>
            <w:r>
              <w:rPr>
                <w:rFonts w:ascii="Arial" w:cs="Arial" w:eastAsia="Arial" w:hAnsi="Arial"/>
                <w:sz w:val="14"/>
                <w:szCs w:val="14"/>
                <w:b w:val="1"/>
                <w:bCs w:val="1"/>
                <w:color w:val="auto"/>
                <w:w w:val="99"/>
              </w:rPr>
              <w:t>First Quarter</w:t>
            </w:r>
          </w:p>
        </w:tc>
      </w:tr>
      <w:tr>
        <w:trPr>
          <w:trHeight w:val="192"/>
        </w:trPr>
        <w:tc>
          <w:tcPr>
            <w:tcW w:w="89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r>
      <w:tr>
        <w:trPr>
          <w:trHeight w:val="250"/>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Distributions per Class B Unit</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0.21</w:t>
            </w:r>
          </w:p>
        </w:tc>
      </w:tr>
      <w:tr>
        <w:trPr>
          <w:trHeight w:val="243"/>
        </w:trPr>
        <w:tc>
          <w:tcPr>
            <w:tcW w:w="8900" w:type="dxa"/>
            <w:vAlign w:val="bottom"/>
          </w:tcPr>
          <w:p>
            <w:pPr>
              <w:ind w:left="20"/>
              <w:spacing w:after="0"/>
              <w:rPr>
                <w:sz w:val="20"/>
                <w:szCs w:val="20"/>
                <w:color w:val="auto"/>
              </w:rPr>
            </w:pPr>
            <w:r>
              <w:rPr>
                <w:rFonts w:ascii="Arial" w:cs="Arial" w:eastAsia="Arial" w:hAnsi="Arial"/>
                <w:sz w:val="18"/>
                <w:szCs w:val="18"/>
                <w:color w:val="auto"/>
              </w:rPr>
              <w:t>Distributions per Class D Unit</w:t>
            </w: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6"/>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9"/>
              <w:spacing w:after="0"/>
              <w:rPr>
                <w:sz w:val="20"/>
                <w:szCs w:val="20"/>
                <w:color w:val="auto"/>
              </w:rPr>
            </w:pPr>
            <w:r>
              <w:rPr>
                <w:rFonts w:ascii="Arial" w:cs="Arial" w:eastAsia="Arial" w:hAnsi="Arial"/>
                <w:sz w:val="18"/>
                <w:szCs w:val="18"/>
                <w:color w:val="auto"/>
              </w:rPr>
              <w:t>0.21</w:t>
            </w:r>
          </w:p>
        </w:tc>
      </w:tr>
    </w:tbl>
    <w:p>
      <w:pPr>
        <w:spacing w:after="0" w:line="175"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On July 30, 2020, Clearway Energy LLC declared a distribution on its Class B and Class D units of $0.3125 per unit payable on September 15, 2020 to unit holders of record as of September 1,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applies the guidance in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or Topic 606, when recognizing revenue associated with its contracts with customers.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Thermal Revenues</w:t>
      </w:r>
    </w:p>
    <w:p>
      <w:pPr>
        <w:spacing w:after="0" w:line="17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Steam and chilled water revenue is recognized as the Company transfers the product to the customer, based on customer usage as determined by meter readings taken at month-end. Some locations read customer meters throughout the month and recognize estimated revenue for the period between meter read date and month-end. For thermal contracts, the Company’s performance obligation to deliver steam and chilled water is satisfied over time and revenue is recognized based on the invoiced amount. The Thermal Business subsidiaries collect, and remit state and local taxes associated with sales to their customers, as required by governmental authorities. These taxes are presented on a net basis in the income statement.</w:t>
      </w:r>
    </w:p>
    <w:p>
      <w:pPr>
        <w:spacing w:after="0" w:line="122"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As contracts for steam and chilled water are long-term contracts, the Company has performance obligations under these contracts that have not yet been satisfied. These performance obligations have transaction prices that are both fixed and variable, and which vary based on the contract duration, customer type, inception date and other contract-specific factors. For the fixed price contracts, the Company cannot accurately estimate the amount of its unsatisfied performance obligations as it will vary based on customer usage, which will depend on factors such as weather and customer activity.</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Power Purchase Agreements</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majority of the Company’s revenues are obtained through PPAs or other contractual agreements. Energy, capacity and where applicable, renewable attributes, from the majority of the Company’s renewable energy assets and certain conventional energy plants is sold through long-term PPAs and tolling agreements to a single counterparty, which is often a utility or commercial customer. The majority of these PPAs are accounted for as leases. Previously ASC 840, and currently ASC 842, requires the minimum lease payments received to be amortized over the term of the lease and contingent rentals are recorded when the achievement of the contingency becomes probable. Management's judgment is required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capital lease.</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Renewable Energy Credits</w:t>
      </w:r>
    </w:p>
    <w:p>
      <w:pPr>
        <w:spacing w:after="0" w:line="171"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Renewable energy credits, or RECs, are usually sold through long-term PPAs. Revenue from the sale of self-generated RECs is recognized when the related energy is generated and simultaneously delivered even in cases where there is a certification lag as it has been deemed to be perfunctory.</w:t>
      </w:r>
    </w:p>
    <w:p>
      <w:pPr>
        <w:spacing w:after="0" w:line="7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 bundled contract to sell energy, capacity and/or self-generated RECs, all performance obligations are deemed to be delivered at the same time and hence, timing of recognition of revenue for all performance obligations is the same and occurs over time. In such cases, it is often unnecessary to allocate transaction price to multiple performance obligations.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 w:name="page17"/>
    <w:bookmarkEnd w:id="16"/>
    <w:p>
      <w:pPr>
        <w:ind w:left="420"/>
        <w:spacing w:after="0"/>
        <w:rPr>
          <w:sz w:val="20"/>
          <w:szCs w:val="20"/>
          <w:color w:val="auto"/>
        </w:rPr>
      </w:pPr>
      <w:r>
        <w:rPr>
          <w:rFonts w:ascii="Arial" w:cs="Arial" w:eastAsia="Arial" w:hAnsi="Arial"/>
          <w:sz w:val="18"/>
          <w:szCs w:val="18"/>
          <w:i w:val="1"/>
          <w:iCs w:val="1"/>
          <w:color w:val="auto"/>
        </w:rPr>
        <w:t>Disaggregated Revenues</w:t>
      </w:r>
    </w:p>
    <w:p>
      <w:pPr>
        <w:spacing w:after="0" w:line="171" w:lineRule="exact"/>
        <w:rPr>
          <w:sz w:val="20"/>
          <w:szCs w:val="20"/>
          <w:color w:val="auto"/>
        </w:rPr>
      </w:pPr>
    </w:p>
    <w:p>
      <w:pPr>
        <w:ind w:firstLine="405"/>
        <w:spacing w:after="0" w:line="276" w:lineRule="auto"/>
        <w:rPr>
          <w:sz w:val="20"/>
          <w:szCs w:val="20"/>
          <w:color w:val="auto"/>
        </w:rPr>
      </w:pPr>
      <w:r>
        <w:rPr>
          <w:rFonts w:ascii="Arial" w:cs="Arial" w:eastAsia="Arial" w:hAnsi="Arial"/>
          <w:sz w:val="18"/>
          <w:szCs w:val="18"/>
          <w:color w:val="auto"/>
        </w:rPr>
        <w:t>The following tables represent the Company’s disaggregation of revenue from contracts with customers along with the reportable segment for each category for the three and six months ended June 30, 2020 and 2019 respectively:</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9"/>
          </w:tcPr>
          <w:p>
            <w:pPr>
              <w:ind w:left="60"/>
              <w:spacing w:after="0"/>
              <w:rPr>
                <w:sz w:val="20"/>
                <w:szCs w:val="20"/>
                <w:color w:val="auto"/>
              </w:rPr>
            </w:pPr>
            <w:r>
              <w:rPr>
                <w:rFonts w:ascii="Arial" w:cs="Arial" w:eastAsia="Arial" w:hAnsi="Arial"/>
                <w:sz w:val="14"/>
                <w:szCs w:val="14"/>
                <w:b w:val="1"/>
                <w:bCs w:val="1"/>
                <w:color w:val="auto"/>
              </w:rPr>
              <w:t>Three months ended June 30, 2020</w:t>
            </w: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1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4"/>
                <w:szCs w:val="14"/>
                <w:color w:val="auto"/>
              </w:rPr>
            </w:pPr>
          </w:p>
        </w:tc>
        <w:tc>
          <w:tcPr>
            <w:tcW w:w="112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2"/>
              </w:rPr>
              <w:t>Conventional</w:t>
            </w:r>
          </w:p>
        </w:tc>
        <w:tc>
          <w:tcPr>
            <w:tcW w:w="180" w:type="dxa"/>
            <w:vAlign w:val="bottom"/>
          </w:tcPr>
          <w:p>
            <w:pPr>
              <w:spacing w:after="0"/>
              <w:rPr>
                <w:sz w:val="14"/>
                <w:szCs w:val="14"/>
                <w:color w:val="auto"/>
              </w:rPr>
            </w:pPr>
          </w:p>
        </w:tc>
        <w:tc>
          <w:tcPr>
            <w:tcW w:w="118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Renewables</w:t>
            </w:r>
          </w:p>
        </w:tc>
        <w:tc>
          <w:tcPr>
            <w:tcW w:w="240" w:type="dxa"/>
            <w:vAlign w:val="bottom"/>
          </w:tcPr>
          <w:p>
            <w:pPr>
              <w:spacing w:after="0"/>
              <w:rPr>
                <w:sz w:val="14"/>
                <w:szCs w:val="14"/>
                <w:color w:val="auto"/>
              </w:rPr>
            </w:pPr>
          </w:p>
        </w:tc>
        <w:tc>
          <w:tcPr>
            <w:tcW w:w="114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Thermal</w:t>
            </w:r>
          </w:p>
        </w:tc>
        <w:tc>
          <w:tcPr>
            <w:tcW w:w="260" w:type="dxa"/>
            <w:vAlign w:val="bottom"/>
          </w:tcPr>
          <w:p>
            <w:pPr>
              <w:spacing w:after="0"/>
              <w:rPr>
                <w:sz w:val="14"/>
                <w:szCs w:val="14"/>
                <w:color w:val="auto"/>
              </w:rPr>
            </w:pPr>
          </w:p>
        </w:tc>
        <w:tc>
          <w:tcPr>
            <w:tcW w:w="88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8"/>
        </w:trPr>
        <w:tc>
          <w:tcPr>
            <w:tcW w:w="6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94"/>
              </w:rPr>
              <w:t>Generation</w:t>
            </w:r>
          </w:p>
        </w:tc>
        <w:tc>
          <w:tcPr>
            <w:tcW w:w="28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4"/>
            <w:vMerge w:val="continue"/>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6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 revenue</w:t>
            </w:r>
            <w:r>
              <w:rPr>
                <w:rFonts w:ascii="Arial" w:cs="Arial" w:eastAsia="Arial" w:hAnsi="Arial"/>
                <w:sz w:val="23"/>
                <w:szCs w:val="23"/>
                <w:color w:val="auto"/>
                <w:vertAlign w:val="superscript"/>
              </w:rPr>
              <w:t>(a)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333333"/>
                <w:w w:val="99"/>
              </w:rPr>
              <w:t>$</w:t>
            </w:r>
          </w:p>
        </w:tc>
        <w:tc>
          <w:tcPr>
            <w:tcW w:w="10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333333"/>
              </w:rPr>
              <w:t>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333333"/>
                <w:w w:val="79"/>
              </w:rPr>
              <w:t>$</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333333"/>
              </w:rPr>
              <w:t>195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333333"/>
                <w:w w:val="99"/>
              </w:rPr>
              <w:t>$</w:t>
            </w:r>
          </w:p>
        </w:tc>
        <w:tc>
          <w:tcPr>
            <w:tcW w:w="10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333333"/>
              </w:rPr>
              <w:t>22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333333"/>
                <w:w w:val="99"/>
              </w:rPr>
              <w:t>$</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333333"/>
              </w:rPr>
              <w:t>218</w:t>
            </w:r>
          </w:p>
        </w:tc>
        <w:tc>
          <w:tcPr>
            <w:tcW w:w="0" w:type="dxa"/>
            <w:vAlign w:val="bottom"/>
          </w:tcPr>
          <w:p>
            <w:pPr>
              <w:spacing w:after="0"/>
              <w:rPr>
                <w:sz w:val="1"/>
                <w:szCs w:val="1"/>
                <w:color w:val="auto"/>
              </w:rPr>
            </w:pPr>
          </w:p>
        </w:tc>
      </w:tr>
      <w:tr>
        <w:trPr>
          <w:trHeight w:val="297"/>
        </w:trPr>
        <w:tc>
          <w:tcPr>
            <w:tcW w:w="6100" w:type="dxa"/>
            <w:vAlign w:val="bottom"/>
          </w:tcPr>
          <w:p>
            <w:pPr>
              <w:ind w:left="20"/>
              <w:spacing w:after="0"/>
              <w:rPr>
                <w:sz w:val="20"/>
                <w:szCs w:val="20"/>
                <w:color w:val="auto"/>
              </w:rPr>
            </w:pPr>
            <w:r>
              <w:rPr>
                <w:rFonts w:ascii="Arial" w:cs="Arial" w:eastAsia="Arial" w:hAnsi="Arial"/>
                <w:sz w:val="18"/>
                <w:szCs w:val="18"/>
                <w:color w:val="auto"/>
              </w:rPr>
              <w:t>Capacity revenue</w:t>
            </w:r>
            <w:r>
              <w:rPr>
                <w:rFonts w:ascii="Arial" w:cs="Arial" w:eastAsia="Arial" w:hAnsi="Arial"/>
                <w:sz w:val="23"/>
                <w:szCs w:val="23"/>
                <w:color w:val="auto"/>
                <w:vertAlign w:val="superscript"/>
              </w:rPr>
              <w:t>(a)</w:t>
            </w:r>
          </w:p>
        </w:tc>
        <w:tc>
          <w:tcPr>
            <w:tcW w:w="140" w:type="dxa"/>
            <w:vAlign w:val="bottom"/>
          </w:tcPr>
          <w:p>
            <w:pPr>
              <w:spacing w:after="0"/>
              <w:rPr>
                <w:sz w:val="24"/>
                <w:szCs w:val="24"/>
                <w:color w:val="auto"/>
              </w:rPr>
            </w:pPr>
          </w:p>
        </w:tc>
        <w:tc>
          <w:tcPr>
            <w:tcW w:w="1000" w:type="dxa"/>
            <w:vAlign w:val="bottom"/>
            <w:gridSpan w:val="5"/>
          </w:tcPr>
          <w:p>
            <w:pPr>
              <w:jc w:val="right"/>
              <w:ind w:right="140"/>
              <w:spacing w:after="0"/>
              <w:rPr>
                <w:sz w:val="20"/>
                <w:szCs w:val="20"/>
                <w:color w:val="auto"/>
              </w:rPr>
            </w:pPr>
            <w:r>
              <w:rPr>
                <w:rFonts w:ascii="Arial" w:cs="Arial" w:eastAsia="Arial" w:hAnsi="Arial"/>
                <w:sz w:val="18"/>
                <w:szCs w:val="18"/>
                <w:color w:val="333333"/>
              </w:rPr>
              <w:t>112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333333"/>
              </w:rPr>
              <w:t>—</w:t>
            </w:r>
          </w:p>
        </w:tc>
        <w:tc>
          <w:tcPr>
            <w:tcW w:w="240" w:type="dxa"/>
            <w:vAlign w:val="bottom"/>
          </w:tcPr>
          <w:p>
            <w:pPr>
              <w:spacing w:after="0"/>
              <w:rPr>
                <w:sz w:val="24"/>
                <w:szCs w:val="24"/>
                <w:color w:val="auto"/>
              </w:rPr>
            </w:pPr>
          </w:p>
        </w:tc>
        <w:tc>
          <w:tcPr>
            <w:tcW w:w="1040" w:type="dxa"/>
            <w:vAlign w:val="bottom"/>
            <w:gridSpan w:val="3"/>
          </w:tcPr>
          <w:p>
            <w:pPr>
              <w:jc w:val="right"/>
              <w:ind w:right="70"/>
              <w:spacing w:after="0"/>
              <w:rPr>
                <w:sz w:val="20"/>
                <w:szCs w:val="20"/>
                <w:color w:val="auto"/>
              </w:rPr>
            </w:pPr>
            <w:r>
              <w:rPr>
                <w:rFonts w:ascii="Arial" w:cs="Arial" w:eastAsia="Arial" w:hAnsi="Arial"/>
                <w:sz w:val="18"/>
                <w:szCs w:val="18"/>
                <w:color w:val="333333"/>
              </w:rPr>
              <w:t>12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333333"/>
              </w:rPr>
              <w:t>124</w:t>
            </w:r>
          </w:p>
        </w:tc>
        <w:tc>
          <w:tcPr>
            <w:tcW w:w="0" w:type="dxa"/>
            <w:vAlign w:val="bottom"/>
          </w:tcPr>
          <w:p>
            <w:pPr>
              <w:spacing w:after="0"/>
              <w:rPr>
                <w:sz w:val="1"/>
                <w:szCs w:val="1"/>
                <w:color w:val="auto"/>
              </w:rPr>
            </w:pP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333333"/>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333333"/>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333333"/>
                <w:w w:val="99"/>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333333"/>
              </w:rPr>
              <w:t>(22)</w:t>
            </w:r>
          </w:p>
        </w:tc>
        <w:tc>
          <w:tcPr>
            <w:tcW w:w="0" w:type="dxa"/>
            <w:vAlign w:val="bottom"/>
          </w:tcPr>
          <w:p>
            <w:pPr>
              <w:spacing w:after="0"/>
              <w:rPr>
                <w:sz w:val="1"/>
                <w:szCs w:val="1"/>
                <w:color w:val="auto"/>
              </w:rPr>
            </w:pP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gridSpan w:val="4"/>
          </w:tcPr>
          <w:p>
            <w:pPr>
              <w:jc w:val="right"/>
              <w:ind w:right="260"/>
              <w:spacing w:after="0"/>
              <w:rPr>
                <w:sz w:val="20"/>
                <w:szCs w:val="20"/>
                <w:color w:val="auto"/>
              </w:rPr>
            </w:pPr>
            <w:r>
              <w:rPr>
                <w:rFonts w:ascii="Arial" w:cs="Arial" w:eastAsia="Arial" w:hAnsi="Arial"/>
                <w:sz w:val="18"/>
                <w:szCs w:val="18"/>
                <w:color w:val="333333"/>
              </w:rPr>
              <w:t>—</w:t>
            </w:r>
          </w:p>
        </w:tc>
        <w:tc>
          <w:tcPr>
            <w:tcW w:w="180" w:type="dxa"/>
            <w:vAlign w:val="bottom"/>
          </w:tcPr>
          <w:p>
            <w:pPr>
              <w:spacing w:after="0"/>
              <w:rPr>
                <w:sz w:val="21"/>
                <w:szCs w:val="21"/>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333333"/>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3"/>
          </w:tcPr>
          <w:p>
            <w:pPr>
              <w:jc w:val="right"/>
              <w:ind w:right="70"/>
              <w:spacing w:after="0"/>
              <w:rPr>
                <w:sz w:val="20"/>
                <w:szCs w:val="20"/>
                <w:color w:val="auto"/>
              </w:rPr>
            </w:pPr>
            <w:r>
              <w:rPr>
                <w:rFonts w:ascii="Arial" w:cs="Arial" w:eastAsia="Arial" w:hAnsi="Arial"/>
                <w:sz w:val="18"/>
                <w:szCs w:val="18"/>
                <w:color w:val="333333"/>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333333"/>
              </w:rPr>
              <w:t>12</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Mark-to-market for economic hedges</w:t>
            </w: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333333"/>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333333"/>
              </w:rPr>
              <w:t>(3)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333333"/>
                <w:w w:val="99"/>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333333"/>
              </w:rPr>
              <w:t>(3)</w:t>
            </w:r>
          </w:p>
        </w:tc>
        <w:tc>
          <w:tcPr>
            <w:tcW w:w="0" w:type="dxa"/>
            <w:vAlign w:val="bottom"/>
          </w:tcPr>
          <w:p>
            <w:pPr>
              <w:spacing w:after="0"/>
              <w:rPr>
                <w:sz w:val="1"/>
                <w:szCs w:val="1"/>
                <w:color w:val="auto"/>
              </w:rPr>
            </w:pPr>
          </w:p>
        </w:tc>
      </w:tr>
      <w:tr>
        <w:trPr>
          <w:trHeight w:val="263"/>
        </w:trPr>
        <w:tc>
          <w:tcPr>
            <w:tcW w:w="6100" w:type="dxa"/>
            <w:vAlign w:val="bottom"/>
          </w:tcPr>
          <w:p>
            <w:pPr>
              <w:ind w:left="180"/>
              <w:spacing w:after="0"/>
              <w:rPr>
                <w:sz w:val="20"/>
                <w:szCs w:val="20"/>
                <w:color w:val="auto"/>
              </w:rPr>
            </w:pPr>
            <w:r>
              <w:rPr>
                <w:rFonts w:ascii="Arial" w:cs="Arial" w:eastAsia="Arial" w:hAnsi="Arial"/>
                <w:sz w:val="18"/>
                <w:szCs w:val="18"/>
                <w:color w:val="auto"/>
              </w:rPr>
              <w:t>Total operating revenue</w:t>
            </w: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gridSpan w:val="5"/>
          </w:tcPr>
          <w:p>
            <w:pPr>
              <w:jc w:val="right"/>
              <w:ind w:right="140"/>
              <w:spacing w:after="0"/>
              <w:rPr>
                <w:sz w:val="20"/>
                <w:szCs w:val="20"/>
                <w:color w:val="auto"/>
              </w:rPr>
            </w:pPr>
            <w:r>
              <w:rPr>
                <w:rFonts w:ascii="Arial" w:cs="Arial" w:eastAsia="Arial" w:hAnsi="Arial"/>
                <w:sz w:val="18"/>
                <w:szCs w:val="18"/>
                <w:color w:val="333333"/>
              </w:rPr>
              <w:t>107</w:t>
            </w: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8"/>
                <w:szCs w:val="18"/>
                <w:color w:val="333333"/>
              </w:rPr>
              <w:t>180</w:t>
            </w: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gridSpan w:val="3"/>
          </w:tcPr>
          <w:p>
            <w:pPr>
              <w:jc w:val="right"/>
              <w:ind w:right="70"/>
              <w:spacing w:after="0"/>
              <w:rPr>
                <w:sz w:val="20"/>
                <w:szCs w:val="20"/>
                <w:color w:val="auto"/>
              </w:rPr>
            </w:pPr>
            <w:r>
              <w:rPr>
                <w:rFonts w:ascii="Arial" w:cs="Arial" w:eastAsia="Arial" w:hAnsi="Arial"/>
                <w:sz w:val="18"/>
                <w:szCs w:val="18"/>
                <w:color w:val="333333"/>
              </w:rPr>
              <w:t>42</w:t>
            </w: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8"/>
                <w:szCs w:val="18"/>
                <w:color w:val="333333"/>
              </w:rPr>
              <w:t>329</w:t>
            </w:r>
          </w:p>
        </w:tc>
        <w:tc>
          <w:tcPr>
            <w:tcW w:w="0" w:type="dxa"/>
            <w:vAlign w:val="bottom"/>
          </w:tcPr>
          <w:p>
            <w:pPr>
              <w:spacing w:after="0"/>
              <w:rPr>
                <w:sz w:val="1"/>
                <w:szCs w:val="1"/>
                <w:color w:val="auto"/>
              </w:rPr>
            </w:pP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Mark-to-market for economic hedges</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333333"/>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333333"/>
              </w:rPr>
              <w:t>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333333"/>
                <w:w w:val="99"/>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333333"/>
              </w:rPr>
              <w:t>3</w:t>
            </w:r>
          </w:p>
        </w:tc>
        <w:tc>
          <w:tcPr>
            <w:tcW w:w="0" w:type="dxa"/>
            <w:vAlign w:val="bottom"/>
          </w:tcPr>
          <w:p>
            <w:pPr>
              <w:spacing w:after="0"/>
              <w:rPr>
                <w:sz w:val="1"/>
                <w:szCs w:val="1"/>
                <w:color w:val="auto"/>
              </w:rPr>
            </w:pP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Less: Lease revenue</w:t>
            </w:r>
          </w:p>
        </w:tc>
        <w:tc>
          <w:tcPr>
            <w:tcW w:w="140" w:type="dxa"/>
            <w:vAlign w:val="bottom"/>
          </w:tcPr>
          <w:p>
            <w:pPr>
              <w:spacing w:after="0"/>
              <w:rPr>
                <w:sz w:val="21"/>
                <w:szCs w:val="21"/>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8"/>
                <w:szCs w:val="18"/>
                <w:color w:val="333333"/>
              </w:rPr>
              <w:t>(113)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333333"/>
              </w:rPr>
              <w:t>(181)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333333"/>
                <w:w w:val="99"/>
              </w:rPr>
              <w:t>—</w:t>
            </w:r>
          </w:p>
        </w:tc>
        <w:tc>
          <w:tcPr>
            <w:tcW w:w="260" w:type="dxa"/>
            <w:vAlign w:val="bottom"/>
          </w:tcPr>
          <w:p>
            <w:pPr>
              <w:spacing w:after="0"/>
              <w:rPr>
                <w:sz w:val="21"/>
                <w:szCs w:val="21"/>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333333"/>
              </w:rPr>
              <w:t>(294)</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Contract amortization</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333333"/>
              </w:rPr>
              <w:t>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333333"/>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333333"/>
                <w:w w:val="99"/>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333333"/>
              </w:rPr>
              <w:t>22</w:t>
            </w:r>
          </w:p>
        </w:tc>
        <w:tc>
          <w:tcPr>
            <w:tcW w:w="0" w:type="dxa"/>
            <w:vAlign w:val="bottom"/>
          </w:tcPr>
          <w:p>
            <w:pPr>
              <w:spacing w:after="0"/>
              <w:rPr>
                <w:sz w:val="1"/>
                <w:szCs w:val="1"/>
                <w:color w:val="auto"/>
              </w:rPr>
            </w:pPr>
          </w:p>
        </w:tc>
      </w:tr>
      <w:tr>
        <w:trPr>
          <w:trHeight w:val="264"/>
        </w:trPr>
        <w:tc>
          <w:tcPr>
            <w:tcW w:w="6100" w:type="dxa"/>
            <w:vAlign w:val="bottom"/>
          </w:tcPr>
          <w:p>
            <w:pPr>
              <w:ind w:left="180"/>
              <w:spacing w:after="0"/>
              <w:rPr>
                <w:sz w:val="20"/>
                <w:szCs w:val="20"/>
                <w:color w:val="auto"/>
              </w:rPr>
            </w:pPr>
            <w:r>
              <w:rPr>
                <w:rFonts w:ascii="Arial" w:cs="Arial" w:eastAsia="Arial" w:hAnsi="Arial"/>
                <w:sz w:val="18"/>
                <w:szCs w:val="18"/>
                <w:color w:val="auto"/>
              </w:rPr>
              <w:t>Total revenue from contracts with customers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33333"/>
                <w:w w:val="99"/>
              </w:rPr>
              <w:t>$</w:t>
            </w:r>
          </w:p>
        </w:tc>
        <w:tc>
          <w:tcPr>
            <w:tcW w:w="2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gridSpan w:val="3"/>
          </w:tcPr>
          <w:p>
            <w:pPr>
              <w:jc w:val="right"/>
              <w:ind w:right="140"/>
              <w:spacing w:after="0"/>
              <w:rPr>
                <w:sz w:val="20"/>
                <w:szCs w:val="20"/>
                <w:color w:val="auto"/>
              </w:rPr>
            </w:pPr>
            <w:r>
              <w:rPr>
                <w:rFonts w:ascii="Arial" w:cs="Arial" w:eastAsia="Arial" w:hAnsi="Arial"/>
                <w:sz w:val="18"/>
                <w:szCs w:val="18"/>
                <w:color w:val="333333"/>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33333"/>
                <w:w w:val="79"/>
              </w:rPr>
              <w:t>$</w:t>
            </w:r>
          </w:p>
        </w:tc>
        <w:tc>
          <w:tcPr>
            <w:tcW w:w="1080" w:type="dxa"/>
            <w:vAlign w:val="bottom"/>
            <w:tcBorders>
              <w:top w:val="single" w:sz="8" w:color="auto"/>
              <w:bottom w:val="single" w:sz="8" w:color="auto"/>
            </w:tcBorders>
            <w:gridSpan w:val="3"/>
          </w:tcPr>
          <w:p>
            <w:pPr>
              <w:jc w:val="right"/>
              <w:ind w:right="160"/>
              <w:spacing w:after="0"/>
              <w:rPr>
                <w:sz w:val="20"/>
                <w:szCs w:val="20"/>
                <w:color w:val="auto"/>
              </w:rPr>
            </w:pPr>
            <w:r>
              <w:rPr>
                <w:rFonts w:ascii="Arial" w:cs="Arial" w:eastAsia="Arial" w:hAnsi="Arial"/>
                <w:sz w:val="18"/>
                <w:szCs w:val="18"/>
                <w:color w:val="333333"/>
              </w:rPr>
              <w:t>18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333333"/>
                <w:w w:val="99"/>
              </w:rPr>
              <w:t>$</w:t>
            </w:r>
          </w:p>
        </w:tc>
        <w:tc>
          <w:tcPr>
            <w:tcW w:w="1040" w:type="dxa"/>
            <w:vAlign w:val="bottom"/>
            <w:tcBorders>
              <w:top w:val="single" w:sz="8" w:color="auto"/>
              <w:bottom w:val="single" w:sz="8" w:color="auto"/>
            </w:tcBorders>
            <w:gridSpan w:val="3"/>
          </w:tcPr>
          <w:p>
            <w:pPr>
              <w:jc w:val="right"/>
              <w:ind w:right="70"/>
              <w:spacing w:after="0"/>
              <w:rPr>
                <w:sz w:val="20"/>
                <w:szCs w:val="20"/>
                <w:color w:val="auto"/>
              </w:rPr>
            </w:pPr>
            <w:r>
              <w:rPr>
                <w:rFonts w:ascii="Arial" w:cs="Arial" w:eastAsia="Arial" w:hAnsi="Arial"/>
                <w:sz w:val="18"/>
                <w:szCs w:val="18"/>
                <w:color w:val="333333"/>
              </w:rPr>
              <w:t>42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333333"/>
                <w:w w:val="99"/>
              </w:rPr>
              <w:t>$</w:t>
            </w:r>
          </w:p>
        </w:tc>
        <w:tc>
          <w:tcPr>
            <w:tcW w:w="880" w:type="dxa"/>
            <w:vAlign w:val="bottom"/>
            <w:tcBorders>
              <w:top w:val="single" w:sz="8" w:color="auto"/>
              <w:bottom w:val="single" w:sz="8" w:color="auto"/>
            </w:tcBorders>
            <w:gridSpan w:val="3"/>
          </w:tcPr>
          <w:p>
            <w:pPr>
              <w:jc w:val="right"/>
              <w:ind w:right="160"/>
              <w:spacing w:after="0"/>
              <w:rPr>
                <w:sz w:val="20"/>
                <w:szCs w:val="20"/>
                <w:color w:val="auto"/>
              </w:rPr>
            </w:pPr>
            <w:r>
              <w:rPr>
                <w:rFonts w:ascii="Arial" w:cs="Arial" w:eastAsia="Arial" w:hAnsi="Arial"/>
                <w:sz w:val="18"/>
                <w:szCs w:val="18"/>
                <w:color w:val="333333"/>
              </w:rPr>
              <w:t>60</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400" w:hanging="149"/>
        <w:spacing w:after="0"/>
        <w:tabs>
          <w:tab w:leader="none" w:pos="400" w:val="left"/>
        </w:tabs>
        <w:numPr>
          <w:ilvl w:val="0"/>
          <w:numId w:val="3"/>
        </w:numPr>
        <w:rPr>
          <w:rFonts w:ascii="Arial" w:cs="Arial" w:eastAsia="Arial" w:hAnsi="Arial"/>
          <w:sz w:val="18"/>
          <w:szCs w:val="18"/>
          <w:color w:val="auto"/>
          <w:vertAlign w:val="superscript"/>
        </w:rPr>
      </w:pPr>
      <w:r>
        <w:rPr>
          <w:rFonts w:ascii="Arial" w:cs="Arial" w:eastAsia="Arial" w:hAnsi="Arial"/>
          <w:sz w:val="13"/>
          <w:szCs w:val="13"/>
          <w:color w:val="auto"/>
        </w:rPr>
        <w:t>The following amounts of energy and capacity revenue relate to leases and are accounted for under ASC 842:</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28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4"/>
                <w:szCs w:val="14"/>
                <w:color w:val="auto"/>
              </w:rPr>
            </w:pPr>
          </w:p>
        </w:tc>
        <w:tc>
          <w:tcPr>
            <w:tcW w:w="136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2"/>
              </w:rPr>
              <w:t>Conventional</w:t>
            </w:r>
          </w:p>
        </w:tc>
        <w:tc>
          <w:tcPr>
            <w:tcW w:w="1580" w:type="dxa"/>
            <w:vAlign w:val="bottom"/>
            <w:gridSpan w:val="10"/>
            <w:vMerge w:val="restart"/>
          </w:tcPr>
          <w:p>
            <w:pPr>
              <w:jc w:val="right"/>
              <w:ind w:right="480"/>
              <w:spacing w:after="0"/>
              <w:rPr>
                <w:sz w:val="20"/>
                <w:szCs w:val="20"/>
                <w:color w:val="auto"/>
              </w:rPr>
            </w:pPr>
            <w:r>
              <w:rPr>
                <w:rFonts w:ascii="Arial" w:cs="Arial" w:eastAsia="Arial" w:hAnsi="Arial"/>
                <w:sz w:val="14"/>
                <w:szCs w:val="14"/>
                <w:b w:val="1"/>
                <w:bCs w:val="1"/>
                <w:color w:val="auto"/>
              </w:rPr>
              <w:t>Renewables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Thermal</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vMerge w:val="restart"/>
          </w:tcPr>
          <w:p>
            <w:pPr>
              <w:jc w:val="right"/>
              <w:ind w:right="430"/>
              <w:spacing w:after="0"/>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200" w:type="dxa"/>
            <w:vAlign w:val="bottom"/>
          </w:tcPr>
          <w:p>
            <w:pPr>
              <w:spacing w:after="0"/>
              <w:rPr>
                <w:sz w:val="11"/>
                <w:szCs w:val="11"/>
                <w:color w:val="auto"/>
              </w:rPr>
            </w:pPr>
          </w:p>
        </w:tc>
        <w:tc>
          <w:tcPr>
            <w:tcW w:w="28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4"/>
              </w:rPr>
              <w:t>Generation</w:t>
            </w:r>
          </w:p>
        </w:tc>
        <w:tc>
          <w:tcPr>
            <w:tcW w:w="440" w:type="dxa"/>
            <w:vAlign w:val="bottom"/>
            <w:gridSpan w:val="2"/>
          </w:tcPr>
          <w:p>
            <w:pPr>
              <w:spacing w:after="0"/>
              <w:rPr>
                <w:sz w:val="11"/>
                <w:szCs w:val="11"/>
                <w:color w:val="auto"/>
              </w:rPr>
            </w:pPr>
          </w:p>
        </w:tc>
        <w:tc>
          <w:tcPr>
            <w:tcW w:w="1580" w:type="dxa"/>
            <w:vAlign w:val="bottom"/>
            <w:gridSpan w:val="10"/>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vMerge w:val="continue"/>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2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tcPr>
          <w:p>
            <w:pPr>
              <w:spacing w:after="0"/>
              <w:rPr>
                <w:sz w:val="21"/>
                <w:szCs w:val="21"/>
                <w:color w:val="auto"/>
              </w:rPr>
            </w:pPr>
          </w:p>
        </w:tc>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 revenue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right w:val="single" w:sz="8" w:color="CCEEFF"/>
            </w:tcBorders>
            <w:gridSpan w:val="5"/>
            <w:shd w:val="clear" w:color="auto" w:fill="CCEEFF"/>
          </w:tcPr>
          <w:p>
            <w:pPr>
              <w:jc w:val="right"/>
              <w:ind w:right="30"/>
              <w:spacing w:after="0"/>
              <w:rPr>
                <w:sz w:val="20"/>
                <w:szCs w:val="20"/>
                <w:color w:val="auto"/>
              </w:rPr>
            </w:pPr>
            <w:r>
              <w:rPr>
                <w:rFonts w:ascii="Arial" w:cs="Arial" w:eastAsia="Arial" w:hAnsi="Arial"/>
                <w:sz w:val="18"/>
                <w:szCs w:val="18"/>
                <w:color w:val="auto"/>
              </w:rPr>
              <w:t>182</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0" w:type="dxa"/>
            <w:vAlign w:val="bottom"/>
          </w:tcPr>
          <w:p>
            <w:pPr>
              <w:spacing w:after="0"/>
              <w:rPr>
                <w:sz w:val="21"/>
                <w:szCs w:val="21"/>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Capacity revenue</w:t>
            </w:r>
          </w:p>
        </w:tc>
        <w:tc>
          <w:tcPr>
            <w:tcW w:w="220" w:type="dxa"/>
            <w:vAlign w:val="bottom"/>
          </w:tcPr>
          <w:p>
            <w:pPr>
              <w:spacing w:after="0"/>
              <w:rPr>
                <w:sz w:val="21"/>
                <w:szCs w:val="21"/>
                <w:color w:val="auto"/>
              </w:rPr>
            </w:pPr>
          </w:p>
        </w:tc>
        <w:tc>
          <w:tcPr>
            <w:tcW w:w="1240" w:type="dxa"/>
            <w:vAlign w:val="bottom"/>
            <w:gridSpan w:val="5"/>
          </w:tcPr>
          <w:p>
            <w:pPr>
              <w:jc w:val="right"/>
              <w:ind w:right="12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5"/>
          </w:tcPr>
          <w:p>
            <w:pPr>
              <w:jc w:val="right"/>
              <w:ind w:right="30"/>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1200" w:type="dxa"/>
            <w:vAlign w:val="bottom"/>
          </w:tcPr>
          <w:p>
            <w:pPr>
              <w:spacing w:after="0"/>
              <w:rPr>
                <w:sz w:val="24"/>
                <w:szCs w:val="24"/>
                <w:color w:val="auto"/>
              </w:rPr>
            </w:pPr>
          </w:p>
        </w:tc>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4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shd w:val="clear" w:color="auto" w:fill="CCEEFF"/>
          </w:tcPr>
          <w:p>
            <w:pPr>
              <w:spacing w:after="0"/>
              <w:rPr>
                <w:sz w:val="24"/>
                <w:szCs w:val="24"/>
                <w:color w:val="auto"/>
              </w:rPr>
            </w:pPr>
          </w:p>
        </w:tc>
        <w:tc>
          <w:tcPr>
            <w:tcW w:w="28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right w:val="single" w:sz="8" w:color="CCEEFF"/>
            </w:tcBorders>
            <w:gridSpan w:val="5"/>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12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12"/>
          </w:tcPr>
          <w:p>
            <w:pPr>
              <w:jc w:val="right"/>
              <w:ind w:right="290"/>
              <w:spacing w:after="0"/>
              <w:rPr>
                <w:sz w:val="20"/>
                <w:szCs w:val="20"/>
                <w:color w:val="auto"/>
              </w:rPr>
            </w:pPr>
            <w:r>
              <w:rPr>
                <w:rFonts w:ascii="Arial" w:cs="Arial" w:eastAsia="Arial" w:hAnsi="Arial"/>
                <w:sz w:val="14"/>
                <w:szCs w:val="14"/>
                <w:b w:val="1"/>
                <w:bCs w:val="1"/>
                <w:color w:val="auto"/>
                <w:w w:val="93"/>
              </w:rPr>
              <w:t>Six months ended June 30, 2020</w:t>
            </w: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2"/>
              </w:rPr>
              <w:t>Conventional</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Renewables</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5"/>
            <w:vMerge w:val="restart"/>
          </w:tcPr>
          <w:p>
            <w:pPr>
              <w:jc w:val="right"/>
              <w:ind w:right="310"/>
              <w:spacing w:after="0"/>
              <w:rPr>
                <w:sz w:val="20"/>
                <w:szCs w:val="20"/>
                <w:color w:val="auto"/>
              </w:rPr>
            </w:pPr>
            <w:r>
              <w:rPr>
                <w:rFonts w:ascii="Arial" w:cs="Arial" w:eastAsia="Arial" w:hAnsi="Arial"/>
                <w:sz w:val="14"/>
                <w:szCs w:val="14"/>
                <w:b w:val="1"/>
                <w:bCs w:val="1"/>
                <w:color w:val="auto"/>
              </w:rPr>
              <w:t>Thermal</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8"/>
        </w:trPr>
        <w:tc>
          <w:tcPr>
            <w:tcW w:w="40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4"/>
          </w:tcPr>
          <w:p>
            <w:pPr>
              <w:jc w:val="center"/>
              <w:ind w:right="60"/>
              <w:spacing w:after="0" w:line="129" w:lineRule="exact"/>
              <w:rPr>
                <w:sz w:val="20"/>
                <w:szCs w:val="20"/>
                <w:color w:val="auto"/>
              </w:rPr>
            </w:pPr>
            <w:r>
              <w:rPr>
                <w:rFonts w:ascii="Arial" w:cs="Arial" w:eastAsia="Arial" w:hAnsi="Arial"/>
                <w:sz w:val="14"/>
                <w:szCs w:val="14"/>
                <w:b w:val="1"/>
                <w:bCs w:val="1"/>
                <w:color w:val="auto"/>
                <w:w w:val="94"/>
              </w:rPr>
              <w:t>Generation</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5"/>
            <w:vMerge w:val="continue"/>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5"/>
            <w:vMerge w:val="continue"/>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Energy revenue</w:t>
            </w:r>
            <w:r>
              <w:rPr>
                <w:rFonts w:ascii="Arial" w:cs="Arial" w:eastAsia="Arial" w:hAnsi="Arial"/>
                <w:sz w:val="23"/>
                <w:szCs w:val="23"/>
                <w:color w:val="auto"/>
                <w:vertAlign w:val="superscript"/>
              </w:rPr>
              <w:t>(a)</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7"/>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320</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5"/>
            <w:shd w:val="clear" w:color="auto" w:fill="CCEEFF"/>
          </w:tcPr>
          <w:p>
            <w:pPr>
              <w:jc w:val="right"/>
              <w:ind w:right="110"/>
              <w:spacing w:after="0"/>
              <w:rPr>
                <w:sz w:val="20"/>
                <w:szCs w:val="20"/>
                <w:color w:val="auto"/>
              </w:rPr>
            </w:pPr>
            <w:r>
              <w:rPr>
                <w:rFonts w:ascii="Arial" w:cs="Arial" w:eastAsia="Arial" w:hAnsi="Arial"/>
                <w:sz w:val="18"/>
                <w:szCs w:val="18"/>
                <w:color w:val="auto"/>
              </w:rPr>
              <w:t>50</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97"/>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Capacity revenue</w:t>
            </w:r>
            <w:r>
              <w:rPr>
                <w:rFonts w:ascii="Arial" w:cs="Arial" w:eastAsia="Arial" w:hAnsi="Arial"/>
                <w:sz w:val="23"/>
                <w:szCs w:val="23"/>
                <w:color w:val="auto"/>
                <w:vertAlign w:val="superscript"/>
              </w:rPr>
              <w:t>(a)</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7"/>
          </w:tcPr>
          <w:p>
            <w:pPr>
              <w:jc w:val="right"/>
              <w:ind w:right="80"/>
              <w:spacing w:after="0"/>
              <w:rPr>
                <w:sz w:val="20"/>
                <w:szCs w:val="20"/>
                <w:color w:val="auto"/>
              </w:rPr>
            </w:pPr>
            <w:r>
              <w:rPr>
                <w:rFonts w:ascii="Arial" w:cs="Arial" w:eastAsia="Arial" w:hAnsi="Arial"/>
                <w:sz w:val="18"/>
                <w:szCs w:val="18"/>
                <w:color w:val="auto"/>
              </w:rPr>
              <w:t>219</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5"/>
          </w:tcPr>
          <w:p>
            <w:pPr>
              <w:jc w:val="right"/>
              <w:ind w:right="11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Contract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CCEEFF"/>
            </w:tcBorders>
            <w:gridSpan w:val="5"/>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Other revenue</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4"/>
          </w:tcPr>
          <w:p>
            <w:pPr>
              <w:jc w:val="right"/>
              <w:ind w:right="12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5"/>
          </w:tcPr>
          <w:p>
            <w:pPr>
              <w:jc w:val="right"/>
              <w:ind w:right="11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0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Mark-to-market for economic hedges</w:t>
            </w: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right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64"/>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Total operating revenue</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gridSpan w:val="7"/>
          </w:tcPr>
          <w:p>
            <w:pPr>
              <w:jc w:val="right"/>
              <w:ind w:right="80"/>
              <w:spacing w:after="0"/>
              <w:rPr>
                <w:sz w:val="20"/>
                <w:szCs w:val="20"/>
                <w:color w:val="auto"/>
              </w:rPr>
            </w:pPr>
            <w:r>
              <w:rPr>
                <w:rFonts w:ascii="Arial" w:cs="Arial" w:eastAsia="Arial" w:hAnsi="Arial"/>
                <w:sz w:val="18"/>
                <w:szCs w:val="18"/>
                <w:color w:val="auto"/>
              </w:rPr>
              <w:t>210</w:t>
            </w:r>
          </w:p>
        </w:tc>
        <w:tc>
          <w:tcPr>
            <w:tcW w:w="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287</w:t>
            </w:r>
          </w:p>
        </w:tc>
        <w:tc>
          <w:tcPr>
            <w:tcW w:w="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gridSpan w:val="5"/>
          </w:tcPr>
          <w:p>
            <w:pPr>
              <w:jc w:val="right"/>
              <w:ind w:right="110"/>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Mark-to-market for economic hedges</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right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Less: Lease revenue</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7"/>
          </w:tcPr>
          <w:p>
            <w:pPr>
              <w:jc w:val="right"/>
              <w:ind w:right="40"/>
              <w:spacing w:after="0"/>
              <w:rPr>
                <w:sz w:val="20"/>
                <w:szCs w:val="20"/>
                <w:color w:val="auto"/>
              </w:rPr>
            </w:pPr>
            <w:r>
              <w:rPr>
                <w:rFonts w:ascii="Arial" w:cs="Arial" w:eastAsia="Arial" w:hAnsi="Arial"/>
                <w:sz w:val="18"/>
                <w:szCs w:val="18"/>
                <w:color w:val="auto"/>
              </w:rPr>
              <w:t>(222)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4"/>
          </w:tcPr>
          <w:p>
            <w:pPr>
              <w:jc w:val="right"/>
              <w:ind w:right="60"/>
              <w:spacing w:after="0"/>
              <w:rPr>
                <w:sz w:val="20"/>
                <w:szCs w:val="20"/>
                <w:color w:val="auto"/>
              </w:rPr>
            </w:pPr>
            <w:r>
              <w:rPr>
                <w:rFonts w:ascii="Arial" w:cs="Arial" w:eastAsia="Arial" w:hAnsi="Arial"/>
                <w:sz w:val="18"/>
                <w:szCs w:val="18"/>
                <w:color w:val="auto"/>
              </w:rPr>
              <w:t>(296)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5"/>
          </w:tcPr>
          <w:p>
            <w:pPr>
              <w:jc w:val="right"/>
              <w:ind w:right="5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7"/>
        </w:trPr>
        <w:tc>
          <w:tcPr>
            <w:tcW w:w="40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gridSpan w:val="3"/>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Contract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7"/>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right w:val="single" w:sz="8" w:color="CCEEFF"/>
            </w:tcBorders>
            <w:gridSpan w:val="5"/>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6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Total revenue from contracts with customers</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30</w:t>
            </w:r>
          </w:p>
        </w:tc>
        <w:tc>
          <w:tcPr>
            <w:tcW w:w="4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gridSpan w:val="5"/>
          </w:tcPr>
          <w:p>
            <w:pPr>
              <w:jc w:val="right"/>
              <w:ind w:right="110"/>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400" w:hanging="149"/>
        <w:spacing w:after="0"/>
        <w:tabs>
          <w:tab w:leader="none" w:pos="400" w:val="left"/>
        </w:tabs>
        <w:numPr>
          <w:ilvl w:val="0"/>
          <w:numId w:val="4"/>
        </w:numPr>
        <w:rPr>
          <w:rFonts w:ascii="Arial" w:cs="Arial" w:eastAsia="Arial" w:hAnsi="Arial"/>
          <w:sz w:val="18"/>
          <w:szCs w:val="18"/>
          <w:color w:val="auto"/>
          <w:vertAlign w:val="superscript"/>
        </w:rPr>
      </w:pPr>
      <w:r>
        <w:rPr>
          <w:rFonts w:ascii="Arial" w:cs="Arial" w:eastAsia="Arial" w:hAnsi="Arial"/>
          <w:sz w:val="13"/>
          <w:szCs w:val="13"/>
          <w:color w:val="auto"/>
        </w:rPr>
        <w:t>The following amounts of energy and capacity revenue relate to leases and are accounted for under ASC 842:</w:t>
      </w:r>
    </w:p>
    <w:p>
      <w:pPr>
        <w:spacing w:after="0" w:line="21" w:lineRule="exact"/>
        <w:rPr>
          <w:sz w:val="20"/>
          <w:szCs w:val="20"/>
          <w:color w:val="auto"/>
        </w:rPr>
      </w:pPr>
    </w:p>
    <w:tbl>
      <w:tblPr>
        <w:tblLayout w:type="fixed"/>
        <w:tblInd w:w="1200" w:type="dxa"/>
        <w:tblCellMar>
          <w:top w:w="0" w:type="dxa"/>
          <w:left w:w="0" w:type="dxa"/>
          <w:bottom w:w="0" w:type="dxa"/>
          <w:right w:w="0" w:type="dxa"/>
        </w:tblCellMar>
      </w:tblPr>
      <w:tr>
        <w:trPr>
          <w:trHeight w:val="161"/>
        </w:trPr>
        <w:tc>
          <w:tcPr>
            <w:tcW w:w="28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4"/>
                <w:szCs w:val="14"/>
                <w:color w:val="auto"/>
              </w:rPr>
            </w:pPr>
          </w:p>
        </w:tc>
        <w:tc>
          <w:tcPr>
            <w:tcW w:w="136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2"/>
              </w:rPr>
              <w:t>Conventional</w:t>
            </w:r>
          </w:p>
        </w:tc>
        <w:tc>
          <w:tcPr>
            <w:tcW w:w="240" w:type="dxa"/>
            <w:vAlign w:val="bottom"/>
          </w:tcPr>
          <w:p>
            <w:pPr>
              <w:spacing w:after="0"/>
              <w:rPr>
                <w:sz w:val="14"/>
                <w:szCs w:val="14"/>
                <w:color w:val="auto"/>
              </w:rPr>
            </w:pPr>
          </w:p>
        </w:tc>
        <w:tc>
          <w:tcPr>
            <w:tcW w:w="134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Renewables</w:t>
            </w:r>
          </w:p>
        </w:tc>
        <w:tc>
          <w:tcPr>
            <w:tcW w:w="260" w:type="dxa"/>
            <w:vAlign w:val="bottom"/>
          </w:tcPr>
          <w:p>
            <w:pPr>
              <w:spacing w:after="0"/>
              <w:rPr>
                <w:sz w:val="14"/>
                <w:szCs w:val="14"/>
                <w:color w:val="auto"/>
              </w:rPr>
            </w:pPr>
          </w:p>
        </w:tc>
        <w:tc>
          <w:tcPr>
            <w:tcW w:w="124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Thermal</w:t>
            </w:r>
          </w:p>
        </w:tc>
        <w:tc>
          <w:tcPr>
            <w:tcW w:w="520" w:type="dxa"/>
            <w:vAlign w:val="bottom"/>
          </w:tcPr>
          <w:p>
            <w:pPr>
              <w:spacing w:after="0"/>
              <w:rPr>
                <w:sz w:val="14"/>
                <w:szCs w:val="14"/>
                <w:color w:val="auto"/>
              </w:rPr>
            </w:pPr>
          </w:p>
        </w:tc>
        <w:tc>
          <w:tcPr>
            <w:tcW w:w="8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9"/>
        </w:trPr>
        <w:tc>
          <w:tcPr>
            <w:tcW w:w="28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4"/>
              </w:rPr>
              <w:t>Generation</w:t>
            </w:r>
          </w:p>
        </w:tc>
        <w:tc>
          <w:tcPr>
            <w:tcW w:w="440" w:type="dxa"/>
            <w:vAlign w:val="bottom"/>
            <w:gridSpan w:val="2"/>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4"/>
            <w:vMerge w:val="continue"/>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4"/>
            <w:vMerge w:val="continue"/>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 revenue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Capacity revenue</w:t>
            </w:r>
          </w:p>
        </w:tc>
        <w:tc>
          <w:tcPr>
            <w:tcW w:w="220" w:type="dxa"/>
            <w:vAlign w:val="bottom"/>
          </w:tcPr>
          <w:p>
            <w:pPr>
              <w:spacing w:after="0"/>
              <w:rPr>
                <w:sz w:val="21"/>
                <w:szCs w:val="21"/>
                <w:color w:val="auto"/>
              </w:rPr>
            </w:pPr>
          </w:p>
        </w:tc>
        <w:tc>
          <w:tcPr>
            <w:tcW w:w="1240" w:type="dxa"/>
            <w:vAlign w:val="bottom"/>
            <w:gridSpan w:val="5"/>
          </w:tcPr>
          <w:p>
            <w:pPr>
              <w:jc w:val="right"/>
              <w:ind w:right="120"/>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w w:val="98"/>
              </w:rPr>
              <w:t>Three months ended June 30, 2019</w:t>
            </w:r>
          </w:p>
        </w:tc>
        <w:tc>
          <w:tcPr>
            <w:tcW w:w="4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3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4"/>
                <w:szCs w:val="14"/>
                <w:color w:val="auto"/>
              </w:rPr>
            </w:pPr>
          </w:p>
        </w:tc>
        <w:tc>
          <w:tcPr>
            <w:tcW w:w="1120" w:type="dxa"/>
            <w:vAlign w:val="bottom"/>
            <w:gridSpan w:val="6"/>
          </w:tcPr>
          <w:p>
            <w:pPr>
              <w:ind w:left="20"/>
              <w:spacing w:after="0"/>
              <w:rPr>
                <w:sz w:val="20"/>
                <w:szCs w:val="20"/>
                <w:color w:val="auto"/>
              </w:rPr>
            </w:pPr>
            <w:r>
              <w:rPr>
                <w:rFonts w:ascii="Arial" w:cs="Arial" w:eastAsia="Arial" w:hAnsi="Arial"/>
                <w:sz w:val="14"/>
                <w:szCs w:val="14"/>
                <w:b w:val="1"/>
                <w:bCs w:val="1"/>
                <w:color w:val="auto"/>
              </w:rPr>
              <w:t>Conventional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Renewables</w:t>
            </w:r>
          </w:p>
        </w:tc>
        <w:tc>
          <w:tcPr>
            <w:tcW w:w="200" w:type="dxa"/>
            <w:vAlign w:val="bottom"/>
          </w:tcPr>
          <w:p>
            <w:pPr>
              <w:spacing w:after="0"/>
              <w:rPr>
                <w:sz w:val="14"/>
                <w:szCs w:val="14"/>
                <w:color w:val="auto"/>
              </w:rPr>
            </w:pPr>
          </w:p>
        </w:tc>
        <w:tc>
          <w:tcPr>
            <w:tcW w:w="104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Thermal</w:t>
            </w:r>
          </w:p>
        </w:tc>
        <w:tc>
          <w:tcPr>
            <w:tcW w:w="440" w:type="dxa"/>
            <w:vAlign w:val="bottom"/>
          </w:tcPr>
          <w:p>
            <w:pPr>
              <w:spacing w:after="0"/>
              <w:rPr>
                <w:sz w:val="14"/>
                <w:szCs w:val="14"/>
                <w:color w:val="auto"/>
              </w:rPr>
            </w:pPr>
          </w:p>
        </w:tc>
        <w:tc>
          <w:tcPr>
            <w:tcW w:w="7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8"/>
        </w:trPr>
        <w:tc>
          <w:tcPr>
            <w:tcW w:w="63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ind w:right="80"/>
              <w:spacing w:after="0" w:line="129" w:lineRule="exact"/>
              <w:rPr>
                <w:sz w:val="20"/>
                <w:szCs w:val="20"/>
                <w:color w:val="auto"/>
              </w:rPr>
            </w:pPr>
            <w:r>
              <w:rPr>
                <w:rFonts w:ascii="Arial" w:cs="Arial" w:eastAsia="Arial" w:hAnsi="Arial"/>
                <w:sz w:val="14"/>
                <w:szCs w:val="14"/>
                <w:b w:val="1"/>
                <w:bCs w:val="1"/>
                <w:color w:val="auto"/>
                <w:w w:val="89"/>
              </w:rPr>
              <w:t>Generation</w:t>
            </w:r>
          </w:p>
        </w:tc>
        <w:tc>
          <w:tcPr>
            <w:tcW w:w="26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4"/>
            <w:vMerge w:val="continue"/>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6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 revenue</w:t>
            </w:r>
            <w:r>
              <w:rPr>
                <w:rFonts w:ascii="Arial" w:cs="Arial" w:eastAsia="Arial" w:hAnsi="Arial"/>
                <w:sz w:val="23"/>
                <w:szCs w:val="23"/>
                <w:color w:val="auto"/>
                <w:vertAlign w:val="superscript"/>
              </w:rPr>
              <w:t>(a)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97"/>
        </w:trPr>
        <w:tc>
          <w:tcPr>
            <w:tcW w:w="6360" w:type="dxa"/>
            <w:vAlign w:val="bottom"/>
          </w:tcPr>
          <w:p>
            <w:pPr>
              <w:ind w:left="20"/>
              <w:spacing w:after="0"/>
              <w:rPr>
                <w:sz w:val="20"/>
                <w:szCs w:val="20"/>
                <w:color w:val="auto"/>
              </w:rPr>
            </w:pPr>
            <w:r>
              <w:rPr>
                <w:rFonts w:ascii="Arial" w:cs="Arial" w:eastAsia="Arial" w:hAnsi="Arial"/>
                <w:sz w:val="18"/>
                <w:szCs w:val="18"/>
                <w:color w:val="auto"/>
              </w:rPr>
              <w:t>Capacity revenue</w:t>
            </w:r>
            <w:r>
              <w:rPr>
                <w:rFonts w:ascii="Arial" w:cs="Arial" w:eastAsia="Arial" w:hAnsi="Arial"/>
                <w:sz w:val="23"/>
                <w:szCs w:val="23"/>
                <w:color w:val="auto"/>
                <w:vertAlign w:val="superscript"/>
              </w:rPr>
              <w:t>(a)</w:t>
            </w:r>
          </w:p>
        </w:tc>
        <w:tc>
          <w:tcPr>
            <w:tcW w:w="120" w:type="dxa"/>
            <w:vAlign w:val="bottom"/>
          </w:tcPr>
          <w:p>
            <w:pPr>
              <w:spacing w:after="0"/>
              <w:rPr>
                <w:sz w:val="24"/>
                <w:szCs w:val="24"/>
                <w:color w:val="auto"/>
              </w:rPr>
            </w:pPr>
          </w:p>
        </w:tc>
        <w:tc>
          <w:tcPr>
            <w:tcW w:w="1000" w:type="dxa"/>
            <w:vAlign w:val="bottom"/>
            <w:gridSpan w:val="5"/>
          </w:tcPr>
          <w:p>
            <w:pPr>
              <w:jc w:val="right"/>
              <w:ind w:right="14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revenue</w:t>
            </w:r>
          </w:p>
        </w:tc>
        <w:tc>
          <w:tcPr>
            <w:tcW w:w="120" w:type="dxa"/>
            <w:vAlign w:val="bottom"/>
            <w:shd w:val="clear" w:color="auto" w:fill="CCEEFF"/>
          </w:tcPr>
          <w:p>
            <w:pPr>
              <w:spacing w:after="0"/>
              <w:rPr>
                <w:sz w:val="22"/>
                <w:szCs w:val="22"/>
                <w:color w:val="auto"/>
              </w:rPr>
            </w:pPr>
          </w:p>
        </w:tc>
        <w:tc>
          <w:tcPr>
            <w:tcW w:w="10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Less: Lease revenue</w:t>
            </w:r>
          </w:p>
        </w:tc>
        <w:tc>
          <w:tcPr>
            <w:tcW w:w="120" w:type="dxa"/>
            <w:vAlign w:val="bottom"/>
          </w:tcPr>
          <w:p>
            <w:pPr>
              <w:spacing w:after="0"/>
              <w:rPr>
                <w:sz w:val="21"/>
                <w:szCs w:val="21"/>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Contract amortization</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64"/>
        </w:trPr>
        <w:tc>
          <w:tcPr>
            <w:tcW w:w="6360" w:type="dxa"/>
            <w:vAlign w:val="bottom"/>
          </w:tcPr>
          <w:p>
            <w:pPr>
              <w:ind w:left="180"/>
              <w:spacing w:after="0"/>
              <w:rPr>
                <w:sz w:val="20"/>
                <w:szCs w:val="20"/>
                <w:color w:val="auto"/>
              </w:rPr>
            </w:pPr>
            <w:r>
              <w:rPr>
                <w:rFonts w:ascii="Arial" w:cs="Arial" w:eastAsia="Arial" w:hAnsi="Arial"/>
                <w:sz w:val="18"/>
                <w:szCs w:val="18"/>
                <w:color w:val="auto"/>
              </w:rPr>
              <w:t>Total revenue from contracts with customers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400" w:hanging="149"/>
        <w:spacing w:after="0"/>
        <w:tabs>
          <w:tab w:leader="none" w:pos="400" w:val="left"/>
        </w:tabs>
        <w:numPr>
          <w:ilvl w:val="0"/>
          <w:numId w:val="5"/>
        </w:numPr>
        <w:rPr>
          <w:rFonts w:ascii="Arial" w:cs="Arial" w:eastAsia="Arial" w:hAnsi="Arial"/>
          <w:sz w:val="18"/>
          <w:szCs w:val="18"/>
          <w:color w:val="auto"/>
          <w:vertAlign w:val="superscript"/>
        </w:rPr>
      </w:pPr>
      <w:r>
        <w:rPr>
          <w:rFonts w:ascii="Arial" w:cs="Arial" w:eastAsia="Arial" w:hAnsi="Arial"/>
          <w:sz w:val="13"/>
          <w:szCs w:val="13"/>
          <w:color w:val="auto"/>
        </w:rPr>
        <w:t>The following amounts of energy and capacity revenue relate to leases and are accounted for under ASC 842:</w:t>
      </w:r>
    </w:p>
    <w:p>
      <w:pPr>
        <w:spacing w:after="0" w:line="2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820" w:type="dxa"/>
            <w:vAlign w:val="bottom"/>
            <w:vMerge w:val="restart"/>
          </w:tcPr>
          <w:p>
            <w:pPr>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4"/>
                <w:szCs w:val="14"/>
                <w:color w:val="auto"/>
              </w:rPr>
            </w:pPr>
          </w:p>
        </w:tc>
        <w:tc>
          <w:tcPr>
            <w:tcW w:w="12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2"/>
              </w:rPr>
              <w:t>Conventional</w:t>
            </w:r>
          </w:p>
        </w:tc>
        <w:tc>
          <w:tcPr>
            <w:tcW w:w="260" w:type="dxa"/>
            <w:vAlign w:val="bottom"/>
          </w:tcPr>
          <w:p>
            <w:pPr>
              <w:spacing w:after="0"/>
              <w:rPr>
                <w:sz w:val="14"/>
                <w:szCs w:val="14"/>
                <w:color w:val="auto"/>
              </w:rPr>
            </w:pPr>
          </w:p>
        </w:tc>
        <w:tc>
          <w:tcPr>
            <w:tcW w:w="142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Renewables</w:t>
            </w:r>
          </w:p>
        </w:tc>
        <w:tc>
          <w:tcPr>
            <w:tcW w:w="460" w:type="dxa"/>
            <w:vAlign w:val="bottom"/>
          </w:tcPr>
          <w:p>
            <w:pPr>
              <w:spacing w:after="0"/>
              <w:rPr>
                <w:sz w:val="14"/>
                <w:szCs w:val="14"/>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Thermal</w:t>
            </w:r>
          </w:p>
        </w:tc>
        <w:tc>
          <w:tcPr>
            <w:tcW w:w="580" w:type="dxa"/>
            <w:vAlign w:val="bottom"/>
          </w:tcPr>
          <w:p>
            <w:pPr>
              <w:spacing w:after="0"/>
              <w:rPr>
                <w:sz w:val="14"/>
                <w:szCs w:val="14"/>
                <w:color w:val="auto"/>
              </w:rPr>
            </w:pPr>
          </w:p>
        </w:tc>
        <w:tc>
          <w:tcPr>
            <w:tcW w:w="8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28"/>
        </w:trPr>
        <w:tc>
          <w:tcPr>
            <w:tcW w:w="28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94"/>
              </w:rPr>
              <w:t>Generation</w:t>
            </w:r>
          </w:p>
        </w:tc>
        <w:tc>
          <w:tcPr>
            <w:tcW w:w="44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gridSpan w:val="4"/>
            <w:vMerge w:val="continue"/>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Energy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0"/>
                <w:szCs w:val="20"/>
                <w:color w:val="auto"/>
              </w:rPr>
            </w:pPr>
            <w:r>
              <w:rPr>
                <w:rFonts w:ascii="Arial" w:cs="Arial" w:eastAsia="Arial" w:hAnsi="Arial"/>
                <w:sz w:val="18"/>
                <w:szCs w:val="18"/>
                <w:color w:val="auto"/>
              </w:rPr>
              <w:t>Capacity revenue</w:t>
            </w:r>
          </w:p>
        </w:tc>
        <w:tc>
          <w:tcPr>
            <w:tcW w:w="320" w:type="dxa"/>
            <w:vAlign w:val="bottom"/>
          </w:tcPr>
          <w:p>
            <w:pPr>
              <w:spacing w:after="0"/>
              <w:rPr>
                <w:sz w:val="21"/>
                <w:szCs w:val="21"/>
                <w:color w:val="auto"/>
              </w:rPr>
            </w:pPr>
          </w:p>
        </w:tc>
        <w:tc>
          <w:tcPr>
            <w:tcW w:w="1140" w:type="dxa"/>
            <w:vAlign w:val="bottom"/>
            <w:gridSpan w:val="4"/>
          </w:tcPr>
          <w:p>
            <w:pPr>
              <w:jc w:val="right"/>
              <w:ind w:right="12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Six months ended June 30, 2019</w:t>
            </w:r>
          </w:p>
        </w:tc>
        <w:tc>
          <w:tcPr>
            <w:tcW w:w="4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3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4"/>
                <w:szCs w:val="14"/>
                <w:color w:val="auto"/>
              </w:rPr>
            </w:pPr>
          </w:p>
        </w:tc>
        <w:tc>
          <w:tcPr>
            <w:tcW w:w="1120" w:type="dxa"/>
            <w:vAlign w:val="bottom"/>
            <w:gridSpan w:val="6"/>
          </w:tcPr>
          <w:p>
            <w:pPr>
              <w:ind w:left="20"/>
              <w:spacing w:after="0"/>
              <w:rPr>
                <w:sz w:val="20"/>
                <w:szCs w:val="20"/>
                <w:color w:val="auto"/>
              </w:rPr>
            </w:pPr>
            <w:r>
              <w:rPr>
                <w:rFonts w:ascii="Arial" w:cs="Arial" w:eastAsia="Arial" w:hAnsi="Arial"/>
                <w:sz w:val="14"/>
                <w:szCs w:val="14"/>
                <w:b w:val="1"/>
                <w:bCs w:val="1"/>
                <w:color w:val="auto"/>
              </w:rPr>
              <w:t>Conventional</w:t>
            </w:r>
          </w:p>
        </w:tc>
        <w:tc>
          <w:tcPr>
            <w:tcW w:w="200" w:type="dxa"/>
            <w:vAlign w:val="bottom"/>
          </w:tcPr>
          <w:p>
            <w:pPr>
              <w:spacing w:after="0"/>
              <w:rPr>
                <w:sz w:val="14"/>
                <w:szCs w:val="1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Renewables</w:t>
            </w:r>
          </w:p>
        </w:tc>
        <w:tc>
          <w:tcPr>
            <w:tcW w:w="200" w:type="dxa"/>
            <w:vAlign w:val="bottom"/>
          </w:tcPr>
          <w:p>
            <w:pPr>
              <w:spacing w:after="0"/>
              <w:rPr>
                <w:sz w:val="14"/>
                <w:szCs w:val="14"/>
                <w:color w:val="auto"/>
              </w:rPr>
            </w:pPr>
          </w:p>
        </w:tc>
        <w:tc>
          <w:tcPr>
            <w:tcW w:w="104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Thermal</w:t>
            </w:r>
          </w:p>
        </w:tc>
        <w:tc>
          <w:tcPr>
            <w:tcW w:w="440" w:type="dxa"/>
            <w:vAlign w:val="bottom"/>
          </w:tcPr>
          <w:p>
            <w:pPr>
              <w:spacing w:after="0"/>
              <w:rPr>
                <w:sz w:val="14"/>
                <w:szCs w:val="14"/>
                <w:color w:val="auto"/>
              </w:rPr>
            </w:pPr>
          </w:p>
        </w:tc>
        <w:tc>
          <w:tcPr>
            <w:tcW w:w="7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9"/>
        </w:trPr>
        <w:tc>
          <w:tcPr>
            <w:tcW w:w="63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ind w:right="80"/>
              <w:spacing w:after="0" w:line="129" w:lineRule="exact"/>
              <w:rPr>
                <w:sz w:val="20"/>
                <w:szCs w:val="20"/>
                <w:color w:val="auto"/>
              </w:rPr>
            </w:pPr>
            <w:r>
              <w:rPr>
                <w:rFonts w:ascii="Arial" w:cs="Arial" w:eastAsia="Arial" w:hAnsi="Arial"/>
                <w:sz w:val="14"/>
                <w:szCs w:val="14"/>
                <w:b w:val="1"/>
                <w:bCs w:val="1"/>
                <w:color w:val="auto"/>
                <w:w w:val="89"/>
              </w:rPr>
              <w:t>Generation</w:t>
            </w:r>
          </w:p>
        </w:tc>
        <w:tc>
          <w:tcPr>
            <w:tcW w:w="260" w:type="dxa"/>
            <w:vAlign w:val="bottom"/>
            <w:gridSpan w:val="2"/>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4"/>
            <w:vMerge w:val="continue"/>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 revenue</w:t>
            </w:r>
            <w:r>
              <w:rPr>
                <w:rFonts w:ascii="Arial" w:cs="Arial" w:eastAsia="Arial" w:hAnsi="Arial"/>
                <w:sz w:val="23"/>
                <w:szCs w:val="23"/>
                <w:color w:val="auto"/>
                <w:vertAlign w:val="superscript"/>
              </w:rPr>
              <w:t>(a)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97"/>
        </w:trPr>
        <w:tc>
          <w:tcPr>
            <w:tcW w:w="6360" w:type="dxa"/>
            <w:vAlign w:val="bottom"/>
          </w:tcPr>
          <w:p>
            <w:pPr>
              <w:ind w:left="20"/>
              <w:spacing w:after="0"/>
              <w:rPr>
                <w:sz w:val="20"/>
                <w:szCs w:val="20"/>
                <w:color w:val="auto"/>
              </w:rPr>
            </w:pPr>
            <w:r>
              <w:rPr>
                <w:rFonts w:ascii="Arial" w:cs="Arial" w:eastAsia="Arial" w:hAnsi="Arial"/>
                <w:sz w:val="18"/>
                <w:szCs w:val="18"/>
                <w:color w:val="auto"/>
              </w:rPr>
              <w:t>Capacity revenue</w:t>
            </w:r>
            <w:r>
              <w:rPr>
                <w:rFonts w:ascii="Arial" w:cs="Arial" w:eastAsia="Arial" w:hAnsi="Arial"/>
                <w:sz w:val="23"/>
                <w:szCs w:val="23"/>
                <w:color w:val="auto"/>
                <w:vertAlign w:val="superscript"/>
              </w:rPr>
              <w:t>(a)</w:t>
            </w:r>
          </w:p>
        </w:tc>
        <w:tc>
          <w:tcPr>
            <w:tcW w:w="120" w:type="dxa"/>
            <w:vAlign w:val="bottom"/>
          </w:tcPr>
          <w:p>
            <w:pPr>
              <w:spacing w:after="0"/>
              <w:rPr>
                <w:sz w:val="24"/>
                <w:szCs w:val="24"/>
                <w:color w:val="auto"/>
              </w:rPr>
            </w:pPr>
          </w:p>
        </w:tc>
        <w:tc>
          <w:tcPr>
            <w:tcW w:w="1000" w:type="dxa"/>
            <w:vAlign w:val="bottom"/>
            <w:gridSpan w:val="5"/>
          </w:tcPr>
          <w:p>
            <w:pPr>
              <w:jc w:val="right"/>
              <w:ind w:right="14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Mark-to-market for economic hedges</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63"/>
        </w:trPr>
        <w:tc>
          <w:tcPr>
            <w:tcW w:w="6360" w:type="dxa"/>
            <w:vAlign w:val="bottom"/>
          </w:tcPr>
          <w:p>
            <w:pPr>
              <w:ind w:left="180"/>
              <w:spacing w:after="0"/>
              <w:rPr>
                <w:sz w:val="20"/>
                <w:szCs w:val="20"/>
                <w:color w:val="auto"/>
              </w:rPr>
            </w:pPr>
            <w:r>
              <w:rPr>
                <w:rFonts w:ascii="Arial" w:cs="Arial" w:eastAsia="Arial" w:hAnsi="Arial"/>
                <w:sz w:val="18"/>
                <w:szCs w:val="18"/>
                <w:color w:val="auto"/>
              </w:rPr>
              <w:t>Total operating revenue</w:t>
            </w: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Mark-to-market for economic hedges</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Less: Lease revenue</w:t>
            </w:r>
          </w:p>
        </w:tc>
        <w:tc>
          <w:tcPr>
            <w:tcW w:w="120" w:type="dxa"/>
            <w:vAlign w:val="bottom"/>
          </w:tcPr>
          <w:p>
            <w:pPr>
              <w:spacing w:after="0"/>
              <w:rPr>
                <w:sz w:val="21"/>
                <w:szCs w:val="21"/>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Contract amortization</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63"/>
        </w:trPr>
        <w:tc>
          <w:tcPr>
            <w:tcW w:w="6360" w:type="dxa"/>
            <w:vAlign w:val="bottom"/>
          </w:tcPr>
          <w:p>
            <w:pPr>
              <w:ind w:left="180"/>
              <w:spacing w:after="0"/>
              <w:rPr>
                <w:sz w:val="20"/>
                <w:szCs w:val="20"/>
                <w:color w:val="auto"/>
              </w:rPr>
            </w:pPr>
            <w:r>
              <w:rPr>
                <w:rFonts w:ascii="Arial" w:cs="Arial" w:eastAsia="Arial" w:hAnsi="Arial"/>
                <w:sz w:val="18"/>
                <w:szCs w:val="18"/>
                <w:color w:val="auto"/>
              </w:rPr>
              <w:t>Total revenue from contracts with customers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
        </w:trPr>
        <w:tc>
          <w:tcPr>
            <w:tcW w:w="6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400" w:hanging="149"/>
        <w:spacing w:after="0"/>
        <w:tabs>
          <w:tab w:leader="none" w:pos="400" w:val="left"/>
        </w:tabs>
        <w:numPr>
          <w:ilvl w:val="0"/>
          <w:numId w:val="6"/>
        </w:numPr>
        <w:rPr>
          <w:rFonts w:ascii="Arial" w:cs="Arial" w:eastAsia="Arial" w:hAnsi="Arial"/>
          <w:sz w:val="18"/>
          <w:szCs w:val="18"/>
          <w:color w:val="auto"/>
          <w:vertAlign w:val="superscript"/>
        </w:rPr>
      </w:pPr>
      <w:r>
        <w:rPr>
          <w:rFonts w:ascii="Arial" w:cs="Arial" w:eastAsia="Arial" w:hAnsi="Arial"/>
          <w:sz w:val="13"/>
          <w:szCs w:val="13"/>
          <w:color w:val="auto"/>
        </w:rPr>
        <w:t>The following amounts of energy and capacity revenue relate to leases and are accounted for under ASC 842:</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2820" w:type="dxa"/>
            <w:vAlign w:val="bottom"/>
            <w:vMerge w:val="restart"/>
          </w:tcPr>
          <w:p>
            <w:pPr>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4"/>
                <w:szCs w:val="14"/>
                <w:color w:val="auto"/>
              </w:rPr>
            </w:pPr>
          </w:p>
        </w:tc>
        <w:tc>
          <w:tcPr>
            <w:tcW w:w="12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2"/>
              </w:rPr>
              <w:t>Conventional</w:t>
            </w:r>
          </w:p>
        </w:tc>
        <w:tc>
          <w:tcPr>
            <w:tcW w:w="320" w:type="dxa"/>
            <w:vAlign w:val="bottom"/>
          </w:tcPr>
          <w:p>
            <w:pPr>
              <w:spacing w:after="0"/>
              <w:rPr>
                <w:sz w:val="14"/>
                <w:szCs w:val="14"/>
                <w:color w:val="auto"/>
              </w:rPr>
            </w:pPr>
          </w:p>
        </w:tc>
        <w:tc>
          <w:tcPr>
            <w:tcW w:w="13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Renewables</w:t>
            </w:r>
          </w:p>
        </w:tc>
        <w:tc>
          <w:tcPr>
            <w:tcW w:w="460" w:type="dxa"/>
            <w:vAlign w:val="bottom"/>
          </w:tcPr>
          <w:p>
            <w:pPr>
              <w:spacing w:after="0"/>
              <w:rPr>
                <w:sz w:val="14"/>
                <w:szCs w:val="14"/>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Thermal</w:t>
            </w:r>
          </w:p>
        </w:tc>
        <w:tc>
          <w:tcPr>
            <w:tcW w:w="580" w:type="dxa"/>
            <w:vAlign w:val="bottom"/>
          </w:tcPr>
          <w:p>
            <w:pPr>
              <w:spacing w:after="0"/>
              <w:rPr>
                <w:sz w:val="14"/>
                <w:szCs w:val="14"/>
                <w:color w:val="auto"/>
              </w:rPr>
            </w:pPr>
          </w:p>
        </w:tc>
        <w:tc>
          <w:tcPr>
            <w:tcW w:w="1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1080" w:type="dxa"/>
            <w:vAlign w:val="bottom"/>
          </w:tcPr>
          <w:p>
            <w:pPr>
              <w:spacing w:after="0"/>
              <w:rPr>
                <w:sz w:val="11"/>
                <w:szCs w:val="11"/>
                <w:color w:val="auto"/>
              </w:rPr>
            </w:pPr>
          </w:p>
        </w:tc>
        <w:tc>
          <w:tcPr>
            <w:tcW w:w="28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94"/>
              </w:rPr>
              <w:t>Generation</w:t>
            </w:r>
          </w:p>
        </w:tc>
        <w:tc>
          <w:tcPr>
            <w:tcW w:w="440" w:type="dxa"/>
            <w:vAlign w:val="bottom"/>
            <w:gridSpan w:val="2"/>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gridSpan w:val="4"/>
            <w:vMerge w:val="continue"/>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580" w:type="dxa"/>
            <w:vAlign w:val="bottom"/>
          </w:tcPr>
          <w:p>
            <w:pPr>
              <w:spacing w:after="0"/>
              <w:rPr>
                <w:sz w:val="11"/>
                <w:szCs w:val="11"/>
                <w:color w:val="auto"/>
              </w:rPr>
            </w:pPr>
          </w:p>
        </w:tc>
        <w:tc>
          <w:tcPr>
            <w:tcW w:w="19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Pr>
          <w:p>
            <w:pPr>
              <w:spacing w:after="0"/>
              <w:rPr>
                <w:sz w:val="21"/>
                <w:szCs w:val="21"/>
                <w:color w:val="auto"/>
              </w:rPr>
            </w:pPr>
          </w:p>
        </w:tc>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Energy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1"/>
                <w:szCs w:val="21"/>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Capacity revenue</w:t>
            </w:r>
          </w:p>
        </w:tc>
        <w:tc>
          <w:tcPr>
            <w:tcW w:w="320" w:type="dxa"/>
            <w:vAlign w:val="bottom"/>
          </w:tcPr>
          <w:p>
            <w:pPr>
              <w:spacing w:after="0"/>
              <w:rPr>
                <w:sz w:val="21"/>
                <w:szCs w:val="21"/>
                <w:color w:val="auto"/>
              </w:rPr>
            </w:pPr>
          </w:p>
        </w:tc>
        <w:tc>
          <w:tcPr>
            <w:tcW w:w="1140" w:type="dxa"/>
            <w:vAlign w:val="bottom"/>
            <w:gridSpan w:val="4"/>
          </w:tcPr>
          <w:p>
            <w:pPr>
              <w:jc w:val="right"/>
              <w:ind w:right="12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164</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1080" w:type="dxa"/>
            <w:vAlign w:val="bottom"/>
          </w:tcPr>
          <w:p>
            <w:pPr>
              <w:spacing w:after="0"/>
              <w:rPr>
                <w:sz w:val="24"/>
                <w:szCs w:val="24"/>
                <w:color w:val="auto"/>
              </w:rPr>
            </w:pPr>
          </w:p>
        </w:tc>
        <w:tc>
          <w:tcPr>
            <w:tcW w:w="2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423</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10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231F20"/>
              </w:rPr>
              <w:t>18</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8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8" w:name="page19"/>
    <w:bookmarkEnd w:id="18"/>
    <w:p>
      <w:pPr>
        <w:ind w:left="420"/>
        <w:spacing w:after="0"/>
        <w:rPr>
          <w:sz w:val="20"/>
          <w:szCs w:val="20"/>
          <w:color w:val="auto"/>
        </w:rPr>
      </w:pPr>
      <w:r>
        <w:rPr>
          <w:rFonts w:ascii="Arial" w:cs="Arial" w:eastAsia="Arial" w:hAnsi="Arial"/>
          <w:sz w:val="18"/>
          <w:szCs w:val="18"/>
          <w:i w:val="1"/>
          <w:iCs w:val="1"/>
          <w:color w:val="auto"/>
        </w:rPr>
        <w:t>Contract Amortization</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Assets and liabilities recognized from power sales agreements assumed through acquisitions related to the sale of electric capacity and energy in future periods for which the fair value has been determined to be significantly less (more) than market are amortized to revenue over the term of each underlying contract based on actual generation and/or contracted volumes or on a straight-line basis, where applicable.</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reflects the contract assets and liabilities included on the Company’s balance sheet as of June 30, 2020:</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0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76"/>
        </w:trPr>
        <w:tc>
          <w:tcPr>
            <w:tcW w:w="9600" w:type="dxa"/>
            <w:vAlign w:val="bottom"/>
          </w:tcPr>
          <w:p>
            <w:pPr>
              <w:ind w:left="20"/>
              <w:spacing w:after="0"/>
              <w:rPr>
                <w:sz w:val="20"/>
                <w:szCs w:val="20"/>
                <w:color w:val="auto"/>
              </w:rPr>
            </w:pPr>
            <w:r>
              <w:rPr>
                <w:rFonts w:ascii="Arial" w:cs="Arial" w:eastAsia="Arial" w:hAnsi="Arial"/>
                <w:sz w:val="18"/>
                <w:szCs w:val="18"/>
                <w:color w:val="auto"/>
              </w:rPr>
              <w:t>Accounts receivable, net - Contracts with customers</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39</w:t>
            </w:r>
          </w:p>
        </w:tc>
      </w:tr>
      <w:tr>
        <w:trPr>
          <w:trHeight w:val="27"/>
        </w:trPr>
        <w:tc>
          <w:tcPr>
            <w:tcW w:w="9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 - Leases</w:t>
            </w:r>
          </w:p>
        </w:tc>
        <w:tc>
          <w:tcPr>
            <w:tcW w:w="6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122</w:t>
            </w:r>
          </w:p>
        </w:tc>
      </w:tr>
      <w:tr>
        <w:trPr>
          <w:trHeight w:val="263"/>
        </w:trPr>
        <w:tc>
          <w:tcPr>
            <w:tcW w:w="9600" w:type="dxa"/>
            <w:vAlign w:val="bottom"/>
          </w:tcPr>
          <w:p>
            <w:pPr>
              <w:ind w:left="180"/>
              <w:spacing w:after="0"/>
              <w:rPr>
                <w:sz w:val="20"/>
                <w:szCs w:val="20"/>
                <w:color w:val="auto"/>
              </w:rPr>
            </w:pPr>
            <w:r>
              <w:rPr>
                <w:rFonts w:ascii="Arial" w:cs="Arial" w:eastAsia="Arial" w:hAnsi="Arial"/>
                <w:sz w:val="18"/>
                <w:szCs w:val="18"/>
                <w:color w:val="auto"/>
              </w:rPr>
              <w:t>Total accounts receivable, net</w:t>
            </w: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161</w:t>
            </w:r>
          </w:p>
        </w:tc>
      </w:tr>
      <w:tr>
        <w:trPr>
          <w:trHeight w:val="21"/>
        </w:trPr>
        <w:tc>
          <w:tcPr>
            <w:tcW w:w="96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 Adopted in 2020</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March 2020, the FASB issued ASU 2020-4, Facilitation of the Effects of Reference Rate Reform on Financial Reporting. The amendments provide for optional expedients and exceptions for applying GAAP to contracts, hedging relationships and other transactions affected by reference rate reform if certain criteria is met. These amendments apply only to contracts that reference LIBOR or another reference rate expected to be discontinued because of reference rate reform. The guidance is effective for all entities as of March 12, 2020 through December 31, 2022. The Company intends to apply the amendments to all its eligible contract modifications where applicable.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 Not Yet Adopted</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The amendments in this ASU simplify the accounting for income taxes by removing certain exceptions to the general principles in Topic 740, Income Taxes. The amendments also improve consistent application of and simplify GAAP for other areas of Topic 740 by clarifying and amending existing guidance. The guidance is effective January 1, 2021, with early adoption permitted. The Company does not expect the effect of the new guidance to be material on its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prior year amounts have been reclassified for comparative purposes.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 and Dispositions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Acquisition</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b w:val="1"/>
          <w:bCs w:val="1"/>
          <w:i w:val="1"/>
          <w:iCs w:val="1"/>
          <w:color w:val="auto"/>
        </w:rPr>
        <w:t xml:space="preserve">Duquesne University District Energy System Acquisition </w:t>
      </w:r>
      <w:r>
        <w:rPr>
          <w:rFonts w:ascii="Arial" w:cs="Arial" w:eastAsia="Arial" w:hAnsi="Arial"/>
          <w:sz w:val="18"/>
          <w:szCs w:val="18"/>
          <w:color w:val="auto"/>
        </w:rPr>
        <w:t>— On May 1, 2019, the Company, through its indirect subsidiary ECP Uptown Campus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 acquired the Duquesne University district energy system, totaling 87 combined MWt, located in Pittsburgh, PA. As part of the acquisition, Duquesne University entered into a 40-year Energy Services Agreement through which ECP Uptown Campus LLC will fulfill the university's electricity, chilled water and steam requirements in exchange for monthly capacity payments. The transaction is reflected in the Company's Thermal segment. The total investment for the project was approximately $107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Dispositions</w:t>
      </w:r>
    </w:p>
    <w:p>
      <w:pPr>
        <w:spacing w:after="0" w:line="171"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b w:val="1"/>
          <w:bCs w:val="1"/>
          <w:i w:val="1"/>
          <w:iCs w:val="1"/>
          <w:color w:val="auto"/>
        </w:rPr>
        <w:t xml:space="preserve">Sale of RPV Holdco 1 LLC </w:t>
      </w:r>
      <w:r>
        <w:rPr>
          <w:rFonts w:ascii="Arial" w:cs="Arial" w:eastAsia="Arial" w:hAnsi="Arial"/>
          <w:sz w:val="18"/>
          <w:szCs w:val="18"/>
          <w:color w:val="auto"/>
        </w:rPr>
        <w:t>— On May 14, 2020, the Company sold its interests in RPV Holdco 1 LLC, or RPV Holdco, to a third party for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proceeds of approximately $75 million. The Company previously accounted for its interest in RPV Holdco as an equity method investment. The sale of the investment resulted in a gain of approximately $49 million.</w:t>
      </w:r>
    </w:p>
    <w:p>
      <w:pPr>
        <w:spacing w:after="0" w:line="13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b w:val="1"/>
          <w:bCs w:val="1"/>
          <w:i w:val="1"/>
          <w:iCs w:val="1"/>
          <w:color w:val="auto"/>
        </w:rPr>
        <w:t xml:space="preserve">Sale of Energy Center Dover LLC and Energy Center Smyrna LLC Assets </w:t>
      </w:r>
      <w:r>
        <w:rPr>
          <w:rFonts w:ascii="Arial" w:cs="Arial" w:eastAsia="Arial" w:hAnsi="Arial"/>
          <w:sz w:val="18"/>
          <w:szCs w:val="18"/>
          <w:color w:val="auto"/>
        </w:rPr>
        <w:t>— On March 3, 2020, the Company, through Clearway Thermal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sold 100% of its interests in Energy Center Dover LLC and Energy Center Smyrna LLC to DB Energy Assets, LLC.</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9" w:name="page20"/>
    <w:bookmarkEnd w:id="19"/>
    <w:p>
      <w:pPr>
        <w:ind w:right="4620"/>
        <w:spacing w:after="0" w:line="440" w:lineRule="auto"/>
        <w:rPr>
          <w:sz w:val="20"/>
          <w:szCs w:val="20"/>
          <w:color w:val="auto"/>
        </w:rPr>
      </w:pPr>
      <w:r>
        <w:rPr>
          <w:rFonts w:ascii="Arial" w:cs="Arial" w:eastAsia="Arial" w:hAnsi="Arial"/>
          <w:sz w:val="18"/>
          <w:szCs w:val="18"/>
          <w:b w:val="1"/>
          <w:bCs w:val="1"/>
          <w:color w:val="auto"/>
        </w:rPr>
        <w:t xml:space="preserve">Note 4 — </w:t>
      </w:r>
      <w:r>
        <w:rPr>
          <w:rFonts w:ascii="Arial" w:cs="Arial" w:eastAsia="Arial" w:hAnsi="Arial"/>
          <w:sz w:val="18"/>
          <w:szCs w:val="18"/>
          <w:b w:val="1"/>
          <w:bCs w:val="1"/>
          <w:i w:val="1"/>
          <w:iCs w:val="1"/>
          <w:color w:val="auto"/>
        </w:rPr>
        <w:t>Investments Accounted for by the Equity Method and Variable Interest Entities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Entities that are Consolidated</w:t>
      </w:r>
    </w:p>
    <w:p>
      <w:pPr>
        <w:spacing w:after="0" w:line="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has a controlling financial interest in certain entities which have been identified as VIEs under ASC 810, </w:t>
      </w:r>
      <w:r>
        <w:rPr>
          <w:rFonts w:ascii="Arial" w:cs="Arial" w:eastAsia="Arial" w:hAnsi="Arial"/>
          <w:sz w:val="18"/>
          <w:szCs w:val="18"/>
          <w:i w:val="1"/>
          <w:iCs w:val="1"/>
          <w:color w:val="auto"/>
        </w:rPr>
        <w:t>Consolidations,</w:t>
      </w:r>
      <w:r>
        <w:rPr>
          <w:rFonts w:ascii="Arial" w:cs="Arial" w:eastAsia="Arial" w:hAnsi="Arial"/>
          <w:sz w:val="18"/>
          <w:szCs w:val="18"/>
          <w:color w:val="auto"/>
        </w:rPr>
        <w:t xml:space="preserve"> or ASC 810. These arrangements are primarily related to tax equity arrangements entered into with third parties in order to monetize certain tax credits associated with wind and solar facilities, as further described in Note 5,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to the consolidated financial statements included in the Company's 2019 Form 10-K.</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Summarized financial information for the Company's consolidated VIEs consisted of the following as of June 30, 2020:</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Buckthorn</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4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3"/>
                <w:szCs w:val="13"/>
                <w:color w:val="auto"/>
              </w:rPr>
            </w:pPr>
          </w:p>
        </w:tc>
        <w:tc>
          <w:tcPr>
            <w:tcW w:w="98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Oahu Solar</w:t>
            </w:r>
          </w:p>
        </w:tc>
        <w:tc>
          <w:tcPr>
            <w:tcW w:w="120" w:type="dxa"/>
            <w:vAlign w:val="bottom"/>
          </w:tcPr>
          <w:p>
            <w:pPr>
              <w:spacing w:after="0"/>
              <w:rPr>
                <w:sz w:val="13"/>
                <w:szCs w:val="13"/>
                <w:color w:val="auto"/>
              </w:rPr>
            </w:pPr>
          </w:p>
        </w:tc>
        <w:tc>
          <w:tcPr>
            <w:tcW w:w="9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5"/>
              </w:rPr>
              <w:t>Kawailoa</w:t>
            </w:r>
          </w:p>
        </w:tc>
        <w:tc>
          <w:tcPr>
            <w:tcW w:w="98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5"/>
              </w:rPr>
              <w:t>Elbow Creek</w:t>
            </w:r>
          </w:p>
        </w:tc>
        <w:tc>
          <w:tcPr>
            <w:tcW w:w="106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Wildorado TE</w:t>
            </w:r>
          </w:p>
        </w:tc>
        <w:tc>
          <w:tcPr>
            <w:tcW w:w="120" w:type="dxa"/>
            <w:vAlign w:val="bottom"/>
          </w:tcPr>
          <w:p>
            <w:pPr>
              <w:spacing w:after="0"/>
              <w:rPr>
                <w:sz w:val="13"/>
                <w:szCs w:val="13"/>
                <w:color w:val="auto"/>
              </w:rPr>
            </w:pPr>
          </w:p>
        </w:tc>
        <w:tc>
          <w:tcPr>
            <w:tcW w:w="6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rPr>
              <w:t>DGPV</w:t>
            </w:r>
          </w:p>
        </w:tc>
        <w:tc>
          <w:tcPr>
            <w:tcW w:w="160" w:type="dxa"/>
            <w:vAlign w:val="bottom"/>
          </w:tcPr>
          <w:p>
            <w:pPr>
              <w:spacing w:after="0"/>
              <w:rPr>
                <w:sz w:val="13"/>
                <w:szCs w:val="13"/>
                <w:color w:val="auto"/>
              </w:rPr>
            </w:pPr>
          </w:p>
        </w:tc>
        <w:tc>
          <w:tcPr>
            <w:tcW w:w="8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Alta TE</w:t>
            </w:r>
          </w:p>
        </w:tc>
        <w:tc>
          <w:tcPr>
            <w:tcW w:w="160" w:type="dxa"/>
            <w:vAlign w:val="bottom"/>
          </w:tcPr>
          <w:p>
            <w:pPr>
              <w:spacing w:after="0"/>
              <w:rPr>
                <w:sz w:val="13"/>
                <w:szCs w:val="13"/>
                <w:color w:val="auto"/>
              </w:rPr>
            </w:pPr>
          </w:p>
        </w:tc>
        <w:tc>
          <w:tcPr>
            <w:tcW w:w="8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4"/>
              </w:rPr>
              <w:t>Spring</w:t>
            </w:r>
          </w:p>
        </w:tc>
        <w:tc>
          <w:tcPr>
            <w:tcW w:w="120" w:type="dxa"/>
            <w:vAlign w:val="bottom"/>
          </w:tcPr>
          <w:p>
            <w:pPr>
              <w:spacing w:after="0"/>
              <w:rPr>
                <w:sz w:val="13"/>
                <w:szCs w:val="13"/>
                <w:color w:val="auto"/>
              </w:rPr>
            </w:pPr>
          </w:p>
        </w:tc>
        <w:tc>
          <w:tcPr>
            <w:tcW w:w="9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1"/>
              </w:rPr>
              <w:t>Renewables</w:t>
            </w:r>
          </w:p>
        </w:tc>
        <w:tc>
          <w:tcPr>
            <w:tcW w:w="120" w:type="dxa"/>
            <w:vAlign w:val="bottom"/>
          </w:tcPr>
          <w:p>
            <w:pPr>
              <w:spacing w:after="0"/>
              <w:rPr>
                <w:sz w:val="13"/>
                <w:szCs w:val="13"/>
                <w:color w:val="auto"/>
              </w:rPr>
            </w:pPr>
          </w:p>
        </w:tc>
        <w:tc>
          <w:tcPr>
            <w:tcW w:w="64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5"/>
              </w:rPr>
              <w:t xml:space="preserve">Other </w:t>
            </w:r>
            <w:r>
              <w:rPr>
                <w:rFonts w:ascii="Arial" w:cs="Arial" w:eastAsia="Arial" w:hAnsi="Arial"/>
                <w:sz w:val="9"/>
                <w:szCs w:val="9"/>
                <w:b w:val="1"/>
                <w:bCs w:val="1"/>
                <w:color w:val="auto"/>
                <w:w w:val="95"/>
              </w:rPr>
              <w:t>(a)</w:t>
            </w:r>
          </w:p>
        </w:tc>
        <w:tc>
          <w:tcPr>
            <w:tcW w:w="0" w:type="dxa"/>
            <w:vAlign w:val="bottom"/>
          </w:tcPr>
          <w:p>
            <w:pPr>
              <w:spacing w:after="0"/>
              <w:rPr>
                <w:sz w:val="1"/>
                <w:szCs w:val="1"/>
                <w:color w:val="auto"/>
              </w:rPr>
            </w:pPr>
          </w:p>
        </w:tc>
      </w:tr>
      <w:tr>
        <w:trPr>
          <w:trHeight w:val="188"/>
        </w:trPr>
        <w:tc>
          <w:tcPr>
            <w:tcW w:w="24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Partnership</w:t>
            </w:r>
          </w:p>
        </w:tc>
        <w:tc>
          <w:tcPr>
            <w:tcW w:w="12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Partnership</w:t>
            </w:r>
          </w:p>
        </w:tc>
        <w:tc>
          <w:tcPr>
            <w:tcW w:w="10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TE Holdco</w:t>
            </w:r>
          </w:p>
        </w:tc>
        <w:tc>
          <w:tcPr>
            <w:tcW w:w="18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Holdco</w:t>
            </w: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Holdco 3</w:t>
            </w:r>
          </w:p>
        </w:tc>
        <w:tc>
          <w:tcPr>
            <w:tcW w:w="16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Holdco</w:t>
            </w:r>
          </w:p>
        </w:tc>
        <w:tc>
          <w:tcPr>
            <w:tcW w:w="16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Canyon</w:t>
            </w: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LLC</w:t>
            </w: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Other current and non-current</w:t>
            </w: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2400" w:type="dxa"/>
            <w:vAlign w:val="bottom"/>
          </w:tcPr>
          <w:p>
            <w:pPr>
              <w:ind w:left="20"/>
              <w:spacing w:after="0"/>
              <w:rPr>
                <w:sz w:val="20"/>
                <w:szCs w:val="20"/>
                <w:color w:val="auto"/>
              </w:rPr>
            </w:pPr>
            <w:r>
              <w:rPr>
                <w:rFonts w:ascii="Arial" w:cs="Arial" w:eastAsia="Arial" w:hAnsi="Arial"/>
                <w:sz w:val="18"/>
                <w:szCs w:val="18"/>
                <w:color w:val="auto"/>
                <w:w w:val="97"/>
              </w:rPr>
              <w:t>Property, plant and equipment</w:t>
            </w:r>
          </w:p>
        </w:tc>
        <w:tc>
          <w:tcPr>
            <w:tcW w:w="120" w:type="dxa"/>
            <w:vAlign w:val="bottom"/>
          </w:tcPr>
          <w:p>
            <w:pPr>
              <w:spacing w:after="0"/>
              <w:rPr>
                <w:sz w:val="21"/>
                <w:szCs w:val="21"/>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330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54"/>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74"/>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40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and non-current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281</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240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127</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400" w:type="dxa"/>
            <w:vAlign w:val="bottom"/>
          </w:tcPr>
          <w:p>
            <w:pPr>
              <w:ind w:left="20"/>
              <w:spacing w:after="0"/>
              <w:rPr>
                <w:sz w:val="20"/>
                <w:szCs w:val="20"/>
                <w:color w:val="auto"/>
              </w:rPr>
            </w:pPr>
            <w:r>
              <w:rPr>
                <w:rFonts w:ascii="Arial" w:cs="Arial" w:eastAsia="Arial" w:hAnsi="Arial"/>
                <w:sz w:val="18"/>
                <w:szCs w:val="18"/>
                <w:color w:val="auto"/>
                <w:w w:val="98"/>
              </w:rPr>
              <w:t>Net assets less noncontrolling</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ind w:right="74"/>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ind w:right="5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vMerge w:val="restart"/>
          </w:tcPr>
          <w:p>
            <w:pPr>
              <w:jc w:val="right"/>
              <w:ind w:right="54"/>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vMerge w:val="restart"/>
          </w:tcPr>
          <w:p>
            <w:pPr>
              <w:jc w:val="right"/>
              <w:ind w:right="74"/>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vMerge w:val="restart"/>
          </w:tcPr>
          <w:p>
            <w:pPr>
              <w:jc w:val="right"/>
              <w:ind w:right="55"/>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5"/>
        </w:trPr>
        <w:tc>
          <w:tcPr>
            <w:tcW w:w="2400" w:type="dxa"/>
            <w:vAlign w:val="bottom"/>
          </w:tcPr>
          <w:p>
            <w:pPr>
              <w:ind w:left="20"/>
              <w:spacing w:after="0"/>
              <w:rPr>
                <w:sz w:val="20"/>
                <w:szCs w:val="20"/>
                <w:color w:val="auto"/>
              </w:rPr>
            </w:pPr>
            <w:r>
              <w:rPr>
                <w:rFonts w:ascii="Arial" w:cs="Arial" w:eastAsia="Arial" w:hAnsi="Arial"/>
                <w:sz w:val="18"/>
                <w:szCs w:val="18"/>
                <w:color w:val="auto"/>
              </w:rPr>
              <w:t>interests</w:t>
            </w:r>
          </w:p>
        </w:tc>
        <w:tc>
          <w:tcPr>
            <w:tcW w:w="12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180" w:hanging="172"/>
        <w:spacing w:after="0"/>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Other is comprised of Crosswinds and Hardin projects.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discussion below describes material changes to VIEs during the six months ended June 30, 2020.</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DGPV Holdco 3 LLC</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DGPV Holdco 3 owns approximately 113 MW of distributed solar capacity, based on cash to be distributed, with a weighted average remaining contract life of approximately 21 years as of June 30, 2020. On May 29, 2020, the final construction projects for DGPV Holdco 3 were placed in service which resulted in a reconsideration event for consolidation of the entity. Upon the reconsideration event, the Company determined that it was the primary beneficiary of DGPV Holdco 3, as it is entitled to 99% of allocations of income and cash distributions from the entity. As such, effective on May 29, 2020, the Company consolidates DGPV Holdco 3, and shows the interest owned by CEG as noncontrolling interest. DGPV Holdco 3 owns an interest in two tax equity funds with tax equity investors, both of which are consolidated by DGPV Holdco 3, and the interests owned by the tax equity investors are shown as noncontrolling interests. The Company removed its investment in DGPV Holdco 3 of $155 million as of May 29, 2020 and recorded the difference between the net assets consolidated and the investment balance as a reduction to noncontrolling interests.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20" w:name="page21"/>
    <w:bookmarkEnd w:id="20"/>
    <w:p>
      <w:pPr>
        <w:ind w:left="420"/>
        <w:spacing w:after="0"/>
        <w:rPr>
          <w:sz w:val="20"/>
          <w:szCs w:val="20"/>
          <w:color w:val="auto"/>
        </w:rPr>
      </w:pPr>
      <w:r>
        <w:rPr>
          <w:rFonts w:ascii="Arial" w:cs="Arial" w:eastAsia="Arial" w:hAnsi="Arial"/>
          <w:sz w:val="18"/>
          <w:szCs w:val="18"/>
          <w:color w:val="auto"/>
        </w:rPr>
        <w:t>The following table shows the balances that were consolidated effective on May 29, 2020:</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6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jc w:val="right"/>
              <w:ind w:right="1112"/>
              <w:spacing w:after="0"/>
              <w:rPr>
                <w:sz w:val="20"/>
                <w:szCs w:val="20"/>
                <w:color w:val="auto"/>
              </w:rPr>
            </w:pPr>
            <w:r>
              <w:rPr>
                <w:rFonts w:ascii="Arial" w:cs="Arial" w:eastAsia="Arial" w:hAnsi="Arial"/>
                <w:sz w:val="14"/>
                <w:szCs w:val="14"/>
                <w:b w:val="1"/>
                <w:bCs w:val="1"/>
                <w:color w:val="auto"/>
              </w:rPr>
              <w:t>May 29, 2020</w:t>
            </w: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2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32</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640" w:type="dxa"/>
            <w:vAlign w:val="bottom"/>
          </w:tcPr>
          <w:p>
            <w:pPr>
              <w:spacing w:after="0"/>
              <w:rPr>
                <w:sz w:val="21"/>
                <w:szCs w:val="21"/>
                <w:color w:val="auto"/>
              </w:rPr>
            </w:pPr>
          </w:p>
        </w:tc>
        <w:tc>
          <w:tcPr>
            <w:tcW w:w="2560" w:type="dxa"/>
            <w:vAlign w:val="bottom"/>
          </w:tcPr>
          <w:p>
            <w:pPr>
              <w:jc w:val="right"/>
              <w:ind w:right="52"/>
              <w:spacing w:after="0"/>
              <w:rPr>
                <w:sz w:val="20"/>
                <w:szCs w:val="20"/>
                <w:color w:val="auto"/>
              </w:rPr>
            </w:pPr>
            <w:r>
              <w:rPr>
                <w:rFonts w:ascii="Arial" w:cs="Arial" w:eastAsia="Arial" w:hAnsi="Arial"/>
                <w:sz w:val="18"/>
                <w:szCs w:val="18"/>
                <w:color w:val="auto"/>
              </w:rPr>
              <w:t>330</w:t>
            </w:r>
          </w:p>
        </w:tc>
      </w:tr>
      <w:tr>
        <w:trPr>
          <w:trHeight w:val="27"/>
        </w:trPr>
        <w:tc>
          <w:tcPr>
            <w:tcW w:w="7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64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640" w:type="dxa"/>
            <w:vAlign w:val="bottom"/>
          </w:tcPr>
          <w:p>
            <w:pPr>
              <w:spacing w:after="0"/>
              <w:rPr>
                <w:sz w:val="21"/>
                <w:szCs w:val="21"/>
                <w:color w:val="auto"/>
              </w:rPr>
            </w:pPr>
          </w:p>
        </w:tc>
        <w:tc>
          <w:tcPr>
            <w:tcW w:w="2560" w:type="dxa"/>
            <w:vAlign w:val="bottom"/>
          </w:tcPr>
          <w:p>
            <w:pPr>
              <w:jc w:val="right"/>
              <w:ind w:right="52"/>
              <w:spacing w:after="0"/>
              <w:rPr>
                <w:sz w:val="20"/>
                <w:szCs w:val="20"/>
                <w:color w:val="auto"/>
              </w:rPr>
            </w:pPr>
            <w:r>
              <w:rPr>
                <w:rFonts w:ascii="Arial" w:cs="Arial" w:eastAsia="Arial" w:hAnsi="Arial"/>
                <w:sz w:val="18"/>
                <w:szCs w:val="18"/>
                <w:color w:val="auto"/>
              </w:rPr>
              <w:t>37</w:t>
            </w:r>
          </w:p>
        </w:tc>
      </w:tr>
      <w:tr>
        <w:trPr>
          <w:trHeight w:val="27"/>
        </w:trPr>
        <w:tc>
          <w:tcPr>
            <w:tcW w:w="79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2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400</w:t>
            </w:r>
          </w:p>
        </w:tc>
      </w:tr>
      <w:tr>
        <w:trPr>
          <w:trHeight w:val="237"/>
        </w:trPr>
        <w:tc>
          <w:tcPr>
            <w:tcW w:w="7900" w:type="dxa"/>
            <w:vAlign w:val="bottom"/>
          </w:tcPr>
          <w:p>
            <w:pPr>
              <w:ind w:left="20"/>
              <w:spacing w:after="0"/>
              <w:rPr>
                <w:sz w:val="20"/>
                <w:szCs w:val="20"/>
                <w:color w:val="auto"/>
              </w:rPr>
            </w:pPr>
            <w:r>
              <w:rPr>
                <w:rFonts w:ascii="Arial" w:cs="Arial" w:eastAsia="Arial" w:hAnsi="Arial"/>
                <w:sz w:val="18"/>
                <w:szCs w:val="18"/>
                <w:color w:val="auto"/>
              </w:rPr>
              <w:t>Debt</w:t>
            </w:r>
          </w:p>
        </w:tc>
        <w:tc>
          <w:tcPr>
            <w:tcW w:w="640" w:type="dxa"/>
            <w:vAlign w:val="bottom"/>
            <w:tcBorders>
              <w:top w:val="single" w:sz="8" w:color="auto"/>
            </w:tcBorders>
          </w:tcPr>
          <w:p>
            <w:pPr>
              <w:spacing w:after="0"/>
              <w:rPr>
                <w:sz w:val="20"/>
                <w:szCs w:val="20"/>
                <w:color w:val="auto"/>
              </w:rPr>
            </w:pPr>
          </w:p>
        </w:tc>
        <w:tc>
          <w:tcPr>
            <w:tcW w:w="25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206</w:t>
            </w:r>
          </w:p>
        </w:tc>
      </w:tr>
      <w:tr>
        <w:trPr>
          <w:trHeight w:val="27"/>
        </w:trPr>
        <w:tc>
          <w:tcPr>
            <w:tcW w:w="7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and non-current liabilities</w:t>
            </w:r>
          </w:p>
        </w:tc>
        <w:tc>
          <w:tcPr>
            <w:tcW w:w="640" w:type="dxa"/>
            <w:vAlign w:val="bottom"/>
            <w:tcBorders>
              <w:bottom w:val="single" w:sz="8" w:color="CCEEFF"/>
            </w:tcBorders>
            <w:shd w:val="clear" w:color="auto" w:fill="CCEEFF"/>
          </w:tcPr>
          <w:p>
            <w:pPr>
              <w:spacing w:after="0"/>
              <w:rPr>
                <w:sz w:val="23"/>
                <w:szCs w:val="23"/>
                <w:color w:val="auto"/>
              </w:rPr>
            </w:pPr>
          </w:p>
        </w:tc>
        <w:tc>
          <w:tcPr>
            <w:tcW w:w="2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84</w:t>
            </w:r>
          </w:p>
        </w:tc>
      </w:tr>
      <w:tr>
        <w:trPr>
          <w:trHeight w:val="237"/>
        </w:trPr>
        <w:tc>
          <w:tcPr>
            <w:tcW w:w="790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6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25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290</w:t>
            </w:r>
          </w:p>
        </w:tc>
      </w:tr>
      <w:tr>
        <w:trPr>
          <w:trHeight w:val="27"/>
        </w:trPr>
        <w:tc>
          <w:tcPr>
            <w:tcW w:w="79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263"/>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interests and redeemable noncontrolling interests</w:t>
            </w:r>
          </w:p>
        </w:tc>
        <w:tc>
          <w:tcPr>
            <w:tcW w:w="640" w:type="dxa"/>
            <w:vAlign w:val="bottom"/>
            <w:tcBorders>
              <w:bottom w:val="single" w:sz="8" w:color="CCEEFF"/>
            </w:tcBorders>
            <w:shd w:val="clear" w:color="auto" w:fill="CCEEFF"/>
          </w:tcPr>
          <w:p>
            <w:pPr>
              <w:spacing w:after="0"/>
              <w:rPr>
                <w:sz w:val="22"/>
                <w:szCs w:val="22"/>
                <w:color w:val="auto"/>
              </w:rPr>
            </w:pPr>
          </w:p>
        </w:tc>
        <w:tc>
          <w:tcPr>
            <w:tcW w:w="2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w:t>
            </w:r>
          </w:p>
        </w:tc>
      </w:tr>
      <w:tr>
        <w:trPr>
          <w:trHeight w:val="263"/>
        </w:trPr>
        <w:tc>
          <w:tcPr>
            <w:tcW w:w="7900" w:type="dxa"/>
            <w:vAlign w:val="bottom"/>
          </w:tcPr>
          <w:p>
            <w:pPr>
              <w:ind w:left="220"/>
              <w:spacing w:after="0"/>
              <w:rPr>
                <w:sz w:val="20"/>
                <w:szCs w:val="20"/>
                <w:color w:val="auto"/>
              </w:rPr>
            </w:pPr>
            <w:r>
              <w:rPr>
                <w:rFonts w:ascii="Arial" w:cs="Arial" w:eastAsia="Arial" w:hAnsi="Arial"/>
                <w:sz w:val="18"/>
                <w:szCs w:val="18"/>
                <w:color w:val="auto"/>
              </w:rPr>
              <w:t>Net assets less noncontrolling interests</w:t>
            </w: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25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104</w:t>
            </w:r>
          </w:p>
        </w:tc>
      </w:tr>
      <w:tr>
        <w:trPr>
          <w:trHeight w:val="21"/>
        </w:trPr>
        <w:tc>
          <w:tcPr>
            <w:tcW w:w="79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Prior to the reconsideration event described above, the Company invested $10 million of cash in DGPV Holdco 3 during the six months ended June 30, 2020.</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Repowering Partnership II LLC</w:t>
      </w:r>
    </w:p>
    <w:p>
      <w:pPr>
        <w:spacing w:after="0" w:line="225"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 xml:space="preserve">On May 11, 2020, the Company acquired CEG's interest in Repowering Partnership II LLC, for cash consideration of $70 million. Repowering Partnership II LLC is no longer a VIE and subsequent to the acquisition, is a wholly-owned subsidiary of the Company. Repowering Partnership II LLC continues to own interests in two VIEs, Wildorado Repowering Tax Equity Holdco LLC, or Wildorado TE Holdco, and Elbow Creek Repowering Tax Equity Holdco LLC, or Elbow Creek TE Holdco. </w:t>
      </w:r>
      <w:r>
        <w:rPr>
          <w:rFonts w:ascii="Arial" w:cs="Arial" w:eastAsia="Arial" w:hAnsi="Arial"/>
          <w:sz w:val="17"/>
          <w:szCs w:val="17"/>
          <w:color w:val="231F20"/>
        </w:rPr>
        <w:t>The Company removed the related noncontrolling interest balance of $8 million and recorded the</w:t>
      </w:r>
      <w:r>
        <w:rPr>
          <w:rFonts w:ascii="Arial" w:cs="Arial" w:eastAsia="Arial" w:hAnsi="Arial"/>
          <w:sz w:val="17"/>
          <w:szCs w:val="17"/>
          <w:color w:val="auto"/>
        </w:rPr>
        <w:t xml:space="preserve"> </w:t>
      </w:r>
      <w:r>
        <w:rPr>
          <w:rFonts w:ascii="Arial" w:cs="Arial" w:eastAsia="Arial" w:hAnsi="Arial"/>
          <w:sz w:val="17"/>
          <w:szCs w:val="17"/>
          <w:color w:val="231F20"/>
        </w:rPr>
        <w:t>difference between the cash paid and the noncontrolling interest balance removed as a reduction to noncontrolling interests.</w:t>
      </w:r>
    </w:p>
    <w:p>
      <w:pPr>
        <w:spacing w:after="0" w:line="3"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 xml:space="preserve">On February 7, 2020, a third party tax equity investor purchased 100% of the Class A membership interests in Wildorado TE Holdco, for $148 million. In addition, the Company contributed $112 million to Wildorado TE Holdco. The combined proceeds were used to repay construction debt under the Repowering Partnership Holdco credit agreement, as described in Note 7, </w:t>
      </w:r>
      <w:r>
        <w:rPr>
          <w:rFonts w:ascii="Arial" w:cs="Arial" w:eastAsia="Arial" w:hAnsi="Arial"/>
          <w:sz w:val="17"/>
          <w:szCs w:val="17"/>
          <w:i w:val="1"/>
          <w:iCs w:val="1"/>
          <w:color w:val="auto"/>
        </w:rPr>
        <w:t>Long-term Debt</w:t>
      </w:r>
      <w:r>
        <w:rPr>
          <w:rFonts w:ascii="Arial" w:cs="Arial" w:eastAsia="Arial" w:hAnsi="Arial"/>
          <w:sz w:val="17"/>
          <w:szCs w:val="17"/>
          <w:color w:val="auto"/>
        </w:rPr>
        <w:t>. The third party tax equity investor, or Wildorado Investor, will receive 99% of allocations of taxable income and other items until the Wildorado Investor obtains a specified return on its initial investment, or the last day of the PTC period, whichever occurs sooner. At such time, the allocations to the Wildorado Investor will change to 5%. Until such time, the Wildorado Investor will receive a variable percentage of cash distributions. Wildorado TE Holdco is a VIE and the Repowering Partnership II LLC is the primary beneficiary through its position as managing member. As a result, the Company consolidates Wildorado TE Holdco, with the Wildorado Investor's interest shown as noncontrolling interest. In connection with the Wildorado TE Holdco closing, the allocations of income at Repowering Partnership II LLC changed to 60.14% for Wind TE Holdco LLC (the Company member) and 39.86% for CWSP Wildorado Elbow Holding LLC (the CEG member). As noted above, CEG no longer has an interest in Repowering Partnership II LLC as of June 30, 2020.</w:t>
      </w:r>
    </w:p>
    <w:p>
      <w:pPr>
        <w:spacing w:after="0" w:line="1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utilizes the HLBV method to determine the net income or loss allocated to tax equity noncontrolling interest. The Company recorded a loss of $8 million and $36 million attributable to the noncontrolling interest of Wildorado TE Holdco for the three and six months ending June 30, 2020 and recorded a loss of $6 million and $8 million attributable to the noncontrolling interest of Elbow Creek TE Holdco for the three and six months ending June 30, 2020,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Entities that are not Consolidated</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 xml:space="preserve">The Company has interests in entities that are considered VIEs under ASC 810, but for which it is not considered the primary beneficiary. The Company accounts for its interests in these entities under the equity method of accounting, as further described in Note 5, </w:t>
      </w:r>
      <w:r>
        <w:rPr>
          <w:rFonts w:ascii="Arial" w:cs="Arial" w:eastAsia="Arial" w:hAnsi="Arial"/>
          <w:sz w:val="17"/>
          <w:szCs w:val="17"/>
          <w:i w:val="1"/>
          <w:iCs w:val="1"/>
          <w:color w:val="auto"/>
        </w:rPr>
        <w:t>Investments Accounted for by the</w:t>
      </w:r>
      <w:r>
        <w:rPr>
          <w:rFonts w:ascii="Arial" w:cs="Arial" w:eastAsia="Arial" w:hAnsi="Arial"/>
          <w:sz w:val="17"/>
          <w:szCs w:val="17"/>
          <w:color w:val="auto"/>
        </w:rPr>
        <w:t xml:space="preserve"> </w:t>
      </w:r>
      <w:r>
        <w:rPr>
          <w:rFonts w:ascii="Arial" w:cs="Arial" w:eastAsia="Arial" w:hAnsi="Arial"/>
          <w:sz w:val="17"/>
          <w:szCs w:val="17"/>
          <w:i w:val="1"/>
          <w:iCs w:val="1"/>
          <w:color w:val="auto"/>
        </w:rPr>
        <w:t>Equity Method and Variable Interest Entities</w:t>
      </w:r>
      <w:r>
        <w:rPr>
          <w:rFonts w:ascii="Arial" w:cs="Arial" w:eastAsia="Arial" w:hAnsi="Arial"/>
          <w:sz w:val="17"/>
          <w:szCs w:val="17"/>
          <w:color w:val="auto"/>
        </w:rPr>
        <w:t>, to the consolidated financial statements included in the Company's 2019 Form 10-K.</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ind w:firstLine="405"/>
        <w:spacing w:after="0" w:line="277" w:lineRule="auto"/>
        <w:rPr>
          <w:sz w:val="20"/>
          <w:szCs w:val="20"/>
          <w:color w:val="auto"/>
        </w:rPr>
      </w:pPr>
      <w:r>
        <w:rPr>
          <w:rFonts w:ascii="Arial" w:cs="Arial" w:eastAsia="Arial" w:hAnsi="Arial"/>
          <w:sz w:val="18"/>
          <w:szCs w:val="18"/>
          <w:color w:val="auto"/>
        </w:rPr>
        <w:t>The Company's maximum exposure to loss as of June 30, 2020 is limited to its equity investment in the unconsolidated entities, as further summarized in the table below:</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40" w:type="dxa"/>
            <w:vAlign w:val="bottom"/>
          </w:tcPr>
          <w:p>
            <w:pPr>
              <w:ind w:left="20"/>
              <w:spacing w:after="0"/>
              <w:rPr>
                <w:sz w:val="20"/>
                <w:szCs w:val="20"/>
                <w:color w:val="auto"/>
              </w:rPr>
            </w:pPr>
            <w:r>
              <w:rPr>
                <w:rFonts w:ascii="Arial" w:cs="Arial" w:eastAsia="Arial" w:hAnsi="Arial"/>
                <w:sz w:val="16"/>
                <w:szCs w:val="16"/>
                <w:b w:val="1"/>
                <w:bCs w:val="1"/>
                <w:color w:val="auto"/>
              </w:rPr>
              <w:t>Name</w:t>
            </w:r>
          </w:p>
        </w:tc>
        <w:tc>
          <w:tcPr>
            <w:tcW w:w="4380" w:type="dxa"/>
            <w:vAlign w:val="bottom"/>
          </w:tcPr>
          <w:p>
            <w:pPr>
              <w:ind w:left="3040"/>
              <w:spacing w:after="0"/>
              <w:rPr>
                <w:sz w:val="20"/>
                <w:szCs w:val="20"/>
                <w:color w:val="auto"/>
              </w:rPr>
            </w:pPr>
            <w:r>
              <w:rPr>
                <w:rFonts w:ascii="Arial" w:cs="Arial" w:eastAsia="Arial" w:hAnsi="Arial"/>
                <w:sz w:val="16"/>
                <w:szCs w:val="16"/>
                <w:b w:val="1"/>
                <w:bCs w:val="1"/>
                <w:color w:val="auto"/>
                <w:w w:val="95"/>
              </w:rPr>
              <w:t>Economic Interest</w:t>
            </w:r>
          </w:p>
        </w:tc>
        <w:tc>
          <w:tcPr>
            <w:tcW w:w="220" w:type="dxa"/>
            <w:vAlign w:val="bottom"/>
          </w:tcPr>
          <w:p>
            <w:pPr>
              <w:spacing w:after="0"/>
              <w:rPr>
                <w:sz w:val="18"/>
                <w:szCs w:val="18"/>
                <w:color w:val="auto"/>
              </w:rPr>
            </w:pPr>
          </w:p>
        </w:tc>
        <w:tc>
          <w:tcPr>
            <w:tcW w:w="1800" w:type="dxa"/>
            <w:vAlign w:val="bottom"/>
          </w:tcPr>
          <w:p>
            <w:pPr>
              <w:jc w:val="right"/>
              <w:ind w:right="232"/>
              <w:spacing w:after="0"/>
              <w:rPr>
                <w:sz w:val="20"/>
                <w:szCs w:val="20"/>
                <w:color w:val="auto"/>
              </w:rPr>
            </w:pPr>
            <w:r>
              <w:rPr>
                <w:rFonts w:ascii="Arial" w:cs="Arial" w:eastAsia="Arial" w:hAnsi="Arial"/>
                <w:sz w:val="16"/>
                <w:szCs w:val="16"/>
                <w:b w:val="1"/>
                <w:bCs w:val="1"/>
                <w:color w:val="auto"/>
                <w:w w:val="97"/>
              </w:rPr>
              <w:t>Investment Balance</w:t>
            </w:r>
          </w:p>
        </w:tc>
      </w:tr>
      <w:tr>
        <w:trPr>
          <w:trHeight w:val="33"/>
        </w:trPr>
        <w:tc>
          <w:tcPr>
            <w:tcW w:w="484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48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ind w:right="492"/>
              <w:spacing w:after="0"/>
              <w:rPr>
                <w:sz w:val="20"/>
                <w:szCs w:val="20"/>
                <w:color w:val="auto"/>
              </w:rPr>
            </w:pPr>
            <w:r>
              <w:rPr>
                <w:rFonts w:ascii="Arial" w:cs="Arial" w:eastAsia="Arial" w:hAnsi="Arial"/>
                <w:sz w:val="16"/>
                <w:szCs w:val="16"/>
                <w:b w:val="1"/>
                <w:bCs w:val="1"/>
                <w:color w:val="auto"/>
              </w:rPr>
              <w:t>(In millions)</w:t>
            </w:r>
          </w:p>
        </w:tc>
      </w:tr>
      <w:tr>
        <w:trPr>
          <w:trHeight w:val="33"/>
        </w:trPr>
        <w:tc>
          <w:tcPr>
            <w:tcW w:w="48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Utah Solar Portfolio </w:t>
            </w:r>
            <w:r>
              <w:rPr>
                <w:rFonts w:ascii="Arial" w:cs="Arial" w:eastAsia="Arial" w:hAnsi="Arial"/>
                <w:sz w:val="23"/>
                <w:szCs w:val="23"/>
                <w:color w:val="auto"/>
                <w:vertAlign w:val="superscript"/>
              </w:rPr>
              <w:t>(a)</w:t>
            </w:r>
          </w:p>
        </w:tc>
        <w:tc>
          <w:tcPr>
            <w:tcW w:w="4380" w:type="dxa"/>
            <w:vAlign w:val="bottom"/>
            <w:shd w:val="clear" w:color="auto" w:fill="CCEEFF"/>
          </w:tcPr>
          <w:p>
            <w:pPr>
              <w:jc w:val="center"/>
              <w:ind w:left="2871"/>
              <w:spacing w:after="0"/>
              <w:rPr>
                <w:sz w:val="20"/>
                <w:szCs w:val="20"/>
                <w:color w:val="auto"/>
              </w:rPr>
            </w:pPr>
            <w:r>
              <w:rPr>
                <w:rFonts w:ascii="Arial" w:cs="Arial" w:eastAsia="Arial" w:hAnsi="Arial"/>
                <w:sz w:val="18"/>
                <w:szCs w:val="18"/>
                <w:color w:val="auto"/>
                <w:w w:val="94"/>
              </w:rPr>
              <w:t>50%</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276</w:t>
            </w:r>
          </w:p>
        </w:tc>
      </w:tr>
      <w:tr>
        <w:trPr>
          <w:trHeight w:val="270"/>
        </w:trPr>
        <w:tc>
          <w:tcPr>
            <w:tcW w:w="4840" w:type="dxa"/>
            <w:vAlign w:val="bottom"/>
          </w:tcPr>
          <w:p>
            <w:pPr>
              <w:ind w:left="20"/>
              <w:spacing w:after="0"/>
              <w:rPr>
                <w:sz w:val="20"/>
                <w:szCs w:val="20"/>
                <w:color w:val="auto"/>
              </w:rPr>
            </w:pPr>
            <w:r>
              <w:rPr>
                <w:rFonts w:ascii="Arial" w:cs="Arial" w:eastAsia="Arial" w:hAnsi="Arial"/>
                <w:sz w:val="18"/>
                <w:szCs w:val="18"/>
                <w:color w:val="auto"/>
              </w:rPr>
              <w:t xml:space="preserve">Desert Sunlight </w:t>
            </w:r>
            <w:r>
              <w:rPr>
                <w:rFonts w:ascii="Arial" w:cs="Arial" w:eastAsia="Arial" w:hAnsi="Arial"/>
                <w:sz w:val="23"/>
                <w:szCs w:val="23"/>
                <w:color w:val="auto"/>
                <w:vertAlign w:val="superscript"/>
              </w:rPr>
              <w:t>(b)</w:t>
            </w:r>
          </w:p>
        </w:tc>
        <w:tc>
          <w:tcPr>
            <w:tcW w:w="4380" w:type="dxa"/>
            <w:vAlign w:val="bottom"/>
          </w:tcPr>
          <w:p>
            <w:pPr>
              <w:jc w:val="center"/>
              <w:ind w:left="2871"/>
              <w:spacing w:after="0"/>
              <w:rPr>
                <w:sz w:val="20"/>
                <w:szCs w:val="20"/>
                <w:color w:val="auto"/>
              </w:rPr>
            </w:pPr>
            <w:r>
              <w:rPr>
                <w:rFonts w:ascii="Arial" w:cs="Arial" w:eastAsia="Arial" w:hAnsi="Arial"/>
                <w:sz w:val="18"/>
                <w:szCs w:val="18"/>
                <w:color w:val="auto"/>
                <w:w w:val="94"/>
              </w:rPr>
              <w:t>25%</w:t>
            </w:r>
          </w:p>
        </w:tc>
        <w:tc>
          <w:tcPr>
            <w:tcW w:w="220" w:type="dxa"/>
            <w:vAlign w:val="bottom"/>
          </w:tcPr>
          <w:p>
            <w:pPr>
              <w:spacing w:after="0"/>
              <w:rPr>
                <w:sz w:val="23"/>
                <w:szCs w:val="23"/>
                <w:color w:val="auto"/>
              </w:rPr>
            </w:pPr>
          </w:p>
        </w:tc>
        <w:tc>
          <w:tcPr>
            <w:tcW w:w="1800" w:type="dxa"/>
            <w:vAlign w:val="bottom"/>
          </w:tcPr>
          <w:p>
            <w:pPr>
              <w:jc w:val="right"/>
              <w:ind w:right="72"/>
              <w:spacing w:after="0"/>
              <w:rPr>
                <w:sz w:val="20"/>
                <w:szCs w:val="20"/>
                <w:color w:val="auto"/>
              </w:rPr>
            </w:pPr>
            <w:r>
              <w:rPr>
                <w:rFonts w:ascii="Arial" w:cs="Arial" w:eastAsia="Arial" w:hAnsi="Arial"/>
                <w:sz w:val="18"/>
                <w:szCs w:val="18"/>
                <w:color w:val="auto"/>
              </w:rPr>
              <w:t>276</w:t>
            </w:r>
          </w:p>
        </w:tc>
      </w:tr>
      <w:tr>
        <w:trPr>
          <w:trHeight w:val="27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Agua Caliente Solar </w:t>
            </w:r>
            <w:r>
              <w:rPr>
                <w:rFonts w:ascii="Arial" w:cs="Arial" w:eastAsia="Arial" w:hAnsi="Arial"/>
                <w:sz w:val="23"/>
                <w:szCs w:val="23"/>
                <w:color w:val="auto"/>
                <w:vertAlign w:val="superscript"/>
              </w:rPr>
              <w:t>(b)</w:t>
            </w:r>
          </w:p>
        </w:tc>
        <w:tc>
          <w:tcPr>
            <w:tcW w:w="4380" w:type="dxa"/>
            <w:vAlign w:val="bottom"/>
            <w:shd w:val="clear" w:color="auto" w:fill="CCEEFF"/>
          </w:tcPr>
          <w:p>
            <w:pPr>
              <w:jc w:val="center"/>
              <w:ind w:left="2871"/>
              <w:spacing w:after="0"/>
              <w:rPr>
                <w:sz w:val="20"/>
                <w:szCs w:val="20"/>
                <w:color w:val="auto"/>
              </w:rPr>
            </w:pPr>
            <w:r>
              <w:rPr>
                <w:rFonts w:ascii="Arial" w:cs="Arial" w:eastAsia="Arial" w:hAnsi="Arial"/>
                <w:sz w:val="18"/>
                <w:szCs w:val="18"/>
                <w:color w:val="auto"/>
                <w:w w:val="94"/>
              </w:rPr>
              <w:t>16%</w:t>
            </w:r>
          </w:p>
        </w:tc>
        <w:tc>
          <w:tcPr>
            <w:tcW w:w="22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99</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GenConn</w:t>
            </w:r>
          </w:p>
        </w:tc>
        <w:tc>
          <w:tcPr>
            <w:tcW w:w="4380" w:type="dxa"/>
            <w:vAlign w:val="bottom"/>
          </w:tcPr>
          <w:p>
            <w:pPr>
              <w:jc w:val="center"/>
              <w:ind w:left="2871"/>
              <w:spacing w:after="0"/>
              <w:rPr>
                <w:sz w:val="20"/>
                <w:szCs w:val="20"/>
                <w:color w:val="auto"/>
              </w:rPr>
            </w:pPr>
            <w:r>
              <w:rPr>
                <w:rFonts w:ascii="Arial" w:cs="Arial" w:eastAsia="Arial" w:hAnsi="Arial"/>
                <w:sz w:val="18"/>
                <w:szCs w:val="18"/>
                <w:color w:val="auto"/>
                <w:w w:val="94"/>
              </w:rPr>
              <w:t>50%</w:t>
            </w:r>
          </w:p>
        </w:tc>
        <w:tc>
          <w:tcPr>
            <w:tcW w:w="220" w:type="dxa"/>
            <w:vAlign w:val="bottom"/>
          </w:tcPr>
          <w:p>
            <w:pPr>
              <w:spacing w:after="0"/>
              <w:rPr>
                <w:sz w:val="21"/>
                <w:szCs w:val="21"/>
                <w:color w:val="auto"/>
              </w:rPr>
            </w:pPr>
          </w:p>
        </w:tc>
        <w:tc>
          <w:tcPr>
            <w:tcW w:w="1800" w:type="dxa"/>
            <w:vAlign w:val="bottom"/>
          </w:tcPr>
          <w:p>
            <w:pPr>
              <w:jc w:val="right"/>
              <w:ind w:right="72"/>
              <w:spacing w:after="0"/>
              <w:rPr>
                <w:sz w:val="20"/>
                <w:szCs w:val="20"/>
                <w:color w:val="auto"/>
              </w:rPr>
            </w:pPr>
            <w:r>
              <w:rPr>
                <w:rFonts w:ascii="Arial" w:cs="Arial" w:eastAsia="Arial" w:hAnsi="Arial"/>
                <w:sz w:val="18"/>
                <w:szCs w:val="18"/>
                <w:color w:val="auto"/>
              </w:rPr>
              <w:t>92</w:t>
            </w:r>
          </w:p>
        </w:tc>
      </w:tr>
      <w:tr>
        <w:trPr>
          <w:trHeight w:val="27"/>
        </w:trPr>
        <w:tc>
          <w:tcPr>
            <w:tcW w:w="48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DGPV Holdco 1 LLC </w:t>
            </w:r>
            <w:r>
              <w:rPr>
                <w:rFonts w:ascii="Arial" w:cs="Arial" w:eastAsia="Arial" w:hAnsi="Arial"/>
                <w:sz w:val="23"/>
                <w:szCs w:val="23"/>
                <w:color w:val="auto"/>
                <w:vertAlign w:val="superscript"/>
              </w:rPr>
              <w:t>(c)</w:t>
            </w:r>
          </w:p>
        </w:tc>
        <w:tc>
          <w:tcPr>
            <w:tcW w:w="4380" w:type="dxa"/>
            <w:vAlign w:val="bottom"/>
            <w:shd w:val="clear" w:color="auto" w:fill="CCEEFF"/>
          </w:tcPr>
          <w:p>
            <w:pPr>
              <w:jc w:val="center"/>
              <w:ind w:left="2871"/>
              <w:spacing w:after="0"/>
              <w:rPr>
                <w:sz w:val="20"/>
                <w:szCs w:val="20"/>
                <w:color w:val="auto"/>
              </w:rPr>
            </w:pPr>
            <w:r>
              <w:rPr>
                <w:rFonts w:ascii="Arial" w:cs="Arial" w:eastAsia="Arial" w:hAnsi="Arial"/>
                <w:sz w:val="18"/>
                <w:szCs w:val="18"/>
                <w:color w:val="auto"/>
                <w:w w:val="94"/>
              </w:rPr>
              <w:t>95%</w:t>
            </w:r>
          </w:p>
        </w:tc>
        <w:tc>
          <w:tcPr>
            <w:tcW w:w="22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82</w:t>
            </w:r>
          </w:p>
        </w:tc>
      </w:tr>
      <w:tr>
        <w:trPr>
          <w:trHeight w:val="270"/>
        </w:trPr>
        <w:tc>
          <w:tcPr>
            <w:tcW w:w="4840" w:type="dxa"/>
            <w:vAlign w:val="bottom"/>
          </w:tcPr>
          <w:p>
            <w:pPr>
              <w:ind w:left="20"/>
              <w:spacing w:after="0"/>
              <w:rPr>
                <w:sz w:val="20"/>
                <w:szCs w:val="20"/>
                <w:color w:val="auto"/>
              </w:rPr>
            </w:pPr>
            <w:r>
              <w:rPr>
                <w:rFonts w:ascii="Arial" w:cs="Arial" w:eastAsia="Arial" w:hAnsi="Arial"/>
                <w:sz w:val="18"/>
                <w:szCs w:val="18"/>
                <w:color w:val="auto"/>
              </w:rPr>
              <w:t xml:space="preserve">DGPV Holdco 2 LLC </w:t>
            </w:r>
            <w:r>
              <w:rPr>
                <w:rFonts w:ascii="Arial" w:cs="Arial" w:eastAsia="Arial" w:hAnsi="Arial"/>
                <w:sz w:val="23"/>
                <w:szCs w:val="23"/>
                <w:color w:val="auto"/>
                <w:vertAlign w:val="superscript"/>
              </w:rPr>
              <w:t>(c)</w:t>
            </w:r>
          </w:p>
        </w:tc>
        <w:tc>
          <w:tcPr>
            <w:tcW w:w="4380" w:type="dxa"/>
            <w:vAlign w:val="bottom"/>
          </w:tcPr>
          <w:p>
            <w:pPr>
              <w:jc w:val="center"/>
              <w:ind w:left="2871"/>
              <w:spacing w:after="0"/>
              <w:rPr>
                <w:sz w:val="20"/>
                <w:szCs w:val="20"/>
                <w:color w:val="auto"/>
              </w:rPr>
            </w:pPr>
            <w:r>
              <w:rPr>
                <w:rFonts w:ascii="Arial" w:cs="Arial" w:eastAsia="Arial" w:hAnsi="Arial"/>
                <w:sz w:val="18"/>
                <w:szCs w:val="18"/>
                <w:color w:val="auto"/>
                <w:w w:val="94"/>
              </w:rPr>
              <w:t>95%</w:t>
            </w:r>
          </w:p>
        </w:tc>
        <w:tc>
          <w:tcPr>
            <w:tcW w:w="220" w:type="dxa"/>
            <w:vAlign w:val="bottom"/>
          </w:tcPr>
          <w:p>
            <w:pPr>
              <w:spacing w:after="0"/>
              <w:rPr>
                <w:sz w:val="23"/>
                <w:szCs w:val="23"/>
                <w:color w:val="auto"/>
              </w:rPr>
            </w:pPr>
          </w:p>
        </w:tc>
        <w:tc>
          <w:tcPr>
            <w:tcW w:w="1800" w:type="dxa"/>
            <w:vAlign w:val="bottom"/>
          </w:tcPr>
          <w:p>
            <w:pPr>
              <w:jc w:val="right"/>
              <w:ind w:right="72"/>
              <w:spacing w:after="0"/>
              <w:rPr>
                <w:sz w:val="20"/>
                <w:szCs w:val="20"/>
                <w:color w:val="auto"/>
              </w:rPr>
            </w:pPr>
            <w:r>
              <w:rPr>
                <w:rFonts w:ascii="Arial" w:cs="Arial" w:eastAsia="Arial" w:hAnsi="Arial"/>
                <w:sz w:val="18"/>
                <w:szCs w:val="18"/>
                <w:color w:val="auto"/>
              </w:rPr>
              <w:t>63</w:t>
            </w: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San Juan Mesa</w:t>
            </w:r>
          </w:p>
        </w:tc>
        <w:tc>
          <w:tcPr>
            <w:tcW w:w="4380" w:type="dxa"/>
            <w:vAlign w:val="bottom"/>
            <w:tcBorders>
              <w:bottom w:val="single" w:sz="8" w:color="CCEEFF"/>
            </w:tcBorders>
            <w:shd w:val="clear" w:color="auto" w:fill="CCEEFF"/>
          </w:tcPr>
          <w:p>
            <w:pPr>
              <w:jc w:val="center"/>
              <w:ind w:left="2871"/>
              <w:spacing w:after="0"/>
              <w:rPr>
                <w:sz w:val="20"/>
                <w:szCs w:val="20"/>
                <w:color w:val="auto"/>
              </w:rPr>
            </w:pPr>
            <w:r>
              <w:rPr>
                <w:rFonts w:ascii="Arial" w:cs="Arial" w:eastAsia="Arial" w:hAnsi="Arial"/>
                <w:sz w:val="18"/>
                <w:szCs w:val="18"/>
                <w:color w:val="auto"/>
                <w:w w:val="94"/>
              </w:rPr>
              <w:t>75%</w:t>
            </w: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45</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Elkhorn Ridge</w:t>
            </w:r>
          </w:p>
        </w:tc>
        <w:tc>
          <w:tcPr>
            <w:tcW w:w="4380" w:type="dxa"/>
            <w:vAlign w:val="bottom"/>
          </w:tcPr>
          <w:p>
            <w:pPr>
              <w:jc w:val="center"/>
              <w:ind w:left="2871"/>
              <w:spacing w:after="0"/>
              <w:rPr>
                <w:sz w:val="20"/>
                <w:szCs w:val="20"/>
                <w:color w:val="auto"/>
              </w:rPr>
            </w:pPr>
            <w:r>
              <w:rPr>
                <w:rFonts w:ascii="Arial" w:cs="Arial" w:eastAsia="Arial" w:hAnsi="Arial"/>
                <w:sz w:val="18"/>
                <w:szCs w:val="18"/>
                <w:color w:val="auto"/>
                <w:w w:val="90"/>
              </w:rPr>
              <w:t>66.7%</w:t>
            </w:r>
          </w:p>
        </w:tc>
        <w:tc>
          <w:tcPr>
            <w:tcW w:w="220" w:type="dxa"/>
            <w:vAlign w:val="bottom"/>
          </w:tcPr>
          <w:p>
            <w:pPr>
              <w:spacing w:after="0"/>
              <w:rPr>
                <w:sz w:val="21"/>
                <w:szCs w:val="21"/>
                <w:color w:val="auto"/>
              </w:rPr>
            </w:pPr>
          </w:p>
        </w:tc>
        <w:tc>
          <w:tcPr>
            <w:tcW w:w="1800" w:type="dxa"/>
            <w:vAlign w:val="bottom"/>
          </w:tcPr>
          <w:p>
            <w:pPr>
              <w:jc w:val="right"/>
              <w:ind w:right="72"/>
              <w:spacing w:after="0"/>
              <w:rPr>
                <w:sz w:val="20"/>
                <w:szCs w:val="20"/>
                <w:color w:val="auto"/>
              </w:rPr>
            </w:pPr>
            <w:r>
              <w:rPr>
                <w:rFonts w:ascii="Arial" w:cs="Arial" w:eastAsia="Arial" w:hAnsi="Arial"/>
                <w:sz w:val="18"/>
                <w:szCs w:val="18"/>
                <w:color w:val="auto"/>
              </w:rPr>
              <w:t>42</w:t>
            </w:r>
          </w:p>
        </w:tc>
      </w:tr>
      <w:tr>
        <w:trPr>
          <w:trHeight w:val="27"/>
        </w:trPr>
        <w:tc>
          <w:tcPr>
            <w:tcW w:w="48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Avenal </w:t>
            </w:r>
            <w:r>
              <w:rPr>
                <w:rFonts w:ascii="Arial" w:cs="Arial" w:eastAsia="Arial" w:hAnsi="Arial"/>
                <w:sz w:val="23"/>
                <w:szCs w:val="23"/>
                <w:color w:val="auto"/>
                <w:vertAlign w:val="superscript"/>
              </w:rPr>
              <w:t>(b)</w:t>
            </w:r>
          </w:p>
        </w:tc>
        <w:tc>
          <w:tcPr>
            <w:tcW w:w="4380" w:type="dxa"/>
            <w:vAlign w:val="bottom"/>
            <w:shd w:val="clear" w:color="auto" w:fill="CCEEFF"/>
          </w:tcPr>
          <w:p>
            <w:pPr>
              <w:jc w:val="center"/>
              <w:ind w:left="2871"/>
              <w:spacing w:after="0"/>
              <w:rPr>
                <w:sz w:val="20"/>
                <w:szCs w:val="20"/>
                <w:color w:val="auto"/>
              </w:rPr>
            </w:pPr>
            <w:r>
              <w:rPr>
                <w:rFonts w:ascii="Arial" w:cs="Arial" w:eastAsia="Arial" w:hAnsi="Arial"/>
                <w:sz w:val="18"/>
                <w:szCs w:val="18"/>
                <w:color w:val="auto"/>
                <w:w w:val="94"/>
              </w:rPr>
              <w:t>50%</w:t>
            </w:r>
          </w:p>
        </w:tc>
        <w:tc>
          <w:tcPr>
            <w:tcW w:w="22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r>
      <w:tr>
        <w:trPr>
          <w:trHeight w:val="237"/>
        </w:trPr>
        <w:tc>
          <w:tcPr>
            <w:tcW w:w="48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72"/>
              <w:spacing w:after="0"/>
              <w:rPr>
                <w:sz w:val="20"/>
                <w:szCs w:val="20"/>
                <w:color w:val="auto"/>
              </w:rPr>
            </w:pPr>
            <w:r>
              <w:rPr>
                <w:rFonts w:ascii="Arial" w:cs="Arial" w:eastAsia="Arial" w:hAnsi="Arial"/>
                <w:sz w:val="18"/>
                <w:szCs w:val="18"/>
                <w:color w:val="auto"/>
              </w:rPr>
              <w:t>971</w:t>
            </w:r>
          </w:p>
        </w:tc>
      </w:tr>
      <w:tr>
        <w:trPr>
          <w:trHeight w:val="27"/>
        </w:trPr>
        <w:tc>
          <w:tcPr>
            <w:tcW w:w="48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48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jc w:val="both"/>
        <w:ind w:right="120"/>
        <w:spacing w:after="0" w:line="207" w:lineRule="auto"/>
        <w:rPr>
          <w:sz w:val="20"/>
          <w:szCs w:val="20"/>
          <w:color w:val="auto"/>
        </w:rPr>
      </w:pPr>
      <w:r>
        <w:rPr>
          <w:rFonts w:ascii="Arial" w:cs="Arial" w:eastAsia="Arial" w:hAnsi="Arial"/>
          <w:sz w:val="23"/>
          <w:szCs w:val="23"/>
          <w:color w:val="auto"/>
          <w:vertAlign w:val="superscript"/>
        </w:rPr>
        <w:t>(</w:t>
      </w:r>
      <w:r>
        <w:rPr>
          <w:rFonts w:ascii="Arial" w:cs="Arial" w:eastAsia="Arial" w:hAnsi="Arial"/>
          <w:sz w:val="21"/>
          <w:szCs w:val="21"/>
          <w:color w:val="auto"/>
          <w:vertAlign w:val="superscript"/>
        </w:rPr>
        <w:t>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Economic interest based on cash to be distributed. Four Brothers Solar, LLC, Granite Mountain Holdings, LLC and Iron Springs Holdings, LLC are tax equity structures and VIEs.</w:t>
      </w:r>
    </w:p>
    <w:p>
      <w:pPr>
        <w:ind w:left="180" w:hanging="172"/>
        <w:spacing w:after="0" w:line="193" w:lineRule="auto"/>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 xml:space="preserve">Entities that have PPAs with PG&amp;E. For further update on PG&amp;E Bankruptcy see Note 1— </w:t>
      </w:r>
      <w:r>
        <w:rPr>
          <w:rFonts w:ascii="Arial" w:cs="Arial" w:eastAsia="Arial" w:hAnsi="Arial"/>
          <w:sz w:val="16"/>
          <w:szCs w:val="16"/>
          <w:i w:val="1"/>
          <w:iCs w:val="1"/>
          <w:color w:val="auto"/>
        </w:rPr>
        <w:t>Nature of Business.</w:t>
      </w:r>
    </w:p>
    <w:p>
      <w:pPr>
        <w:ind w:left="160" w:hanging="152"/>
        <w:spacing w:after="0" w:line="211" w:lineRule="auto"/>
        <w:tabs>
          <w:tab w:leader="none" w:pos="160"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Economic interest based on cash to be distributed. DGPV Holdco 1 LLC and DGPV Holdco 2 LLC, are tax equity structures and VIEs.</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summarized financial information for the Company's equity method investments: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00" w:type="dxa"/>
            <w:vAlign w:val="bottom"/>
            <w:gridSpan w:val="4"/>
          </w:tcPr>
          <w:p>
            <w:pPr>
              <w:ind w:left="22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2800" w:type="dxa"/>
            <w:vAlign w:val="bottom"/>
            <w:gridSpan w:val="3"/>
          </w:tcPr>
          <w:p>
            <w:pPr>
              <w:jc w:val="right"/>
              <w:ind w:right="571"/>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86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8"/>
                <w:szCs w:val="18"/>
                <w:color w:val="auto"/>
              </w:rPr>
            </w:pPr>
          </w:p>
        </w:tc>
        <w:tc>
          <w:tcPr>
            <w:tcW w:w="1160" w:type="dxa"/>
            <w:vAlign w:val="bottom"/>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480" w:type="dxa"/>
            <w:vAlign w:val="bottom"/>
          </w:tcPr>
          <w:p>
            <w:pPr>
              <w:spacing w:after="0"/>
              <w:rPr>
                <w:sz w:val="18"/>
                <w:szCs w:val="18"/>
                <w:color w:val="auto"/>
              </w:rPr>
            </w:pPr>
          </w:p>
        </w:tc>
        <w:tc>
          <w:tcPr>
            <w:tcW w:w="1160" w:type="dxa"/>
            <w:vAlign w:val="bottom"/>
          </w:tcPr>
          <w:p>
            <w:pPr>
              <w:jc w:val="right"/>
              <w:ind w:right="5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31"/>
              <w:spacing w:after="0"/>
              <w:rPr>
                <w:sz w:val="20"/>
                <w:szCs w:val="20"/>
                <w:color w:val="auto"/>
              </w:rPr>
            </w:pPr>
            <w:r>
              <w:rPr>
                <w:rFonts w:ascii="Arial" w:cs="Arial" w:eastAsia="Arial" w:hAnsi="Arial"/>
                <w:sz w:val="16"/>
                <w:szCs w:val="16"/>
                <w:b w:val="1"/>
                <w:bCs w:val="1"/>
                <w:color w:val="auto"/>
              </w:rPr>
              <w:t>2020</w:t>
            </w:r>
          </w:p>
        </w:tc>
        <w:tc>
          <w:tcPr>
            <w:tcW w:w="440" w:type="dxa"/>
            <w:vAlign w:val="bottom"/>
          </w:tcPr>
          <w:p>
            <w:pPr>
              <w:spacing w:after="0"/>
              <w:rPr>
                <w:sz w:val="18"/>
                <w:szCs w:val="18"/>
                <w:color w:val="auto"/>
              </w:rPr>
            </w:pPr>
          </w:p>
        </w:tc>
        <w:tc>
          <w:tcPr>
            <w:tcW w:w="1180" w:type="dxa"/>
            <w:vAlign w:val="bottom"/>
          </w:tcPr>
          <w:p>
            <w:pPr>
              <w:jc w:val="right"/>
              <w:ind w:right="51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48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Income Statement Data:</w:t>
            </w: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8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860" w:type="dxa"/>
            <w:vAlign w:val="bottom"/>
          </w:tcPr>
          <w:p>
            <w:pPr>
              <w:ind w:left="20"/>
              <w:spacing w:after="0" w:line="263" w:lineRule="exact"/>
              <w:rPr>
                <w:sz w:val="20"/>
                <w:szCs w:val="20"/>
                <w:color w:val="auto"/>
              </w:rPr>
            </w:pPr>
            <w:r>
              <w:rPr>
                <w:rFonts w:ascii="Arial" w:cs="Arial" w:eastAsia="Arial" w:hAnsi="Arial"/>
                <w:sz w:val="18"/>
                <w:szCs w:val="18"/>
                <w:color w:val="auto"/>
              </w:rPr>
              <w:t xml:space="preserve">DGPV Holdco 3 </w:t>
            </w:r>
            <w:r>
              <w:rPr>
                <w:rFonts w:ascii="Arial" w:cs="Arial" w:eastAsia="Arial" w:hAnsi="Arial"/>
                <w:sz w:val="23"/>
                <w:szCs w:val="23"/>
                <w:color w:val="auto"/>
                <w:vertAlign w:val="superscript"/>
              </w:rPr>
              <w:t>(a)</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860" w:type="dxa"/>
            <w:vAlign w:val="bottom"/>
          </w:tcPr>
          <w:p>
            <w:pPr>
              <w:ind w:left="12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RPV Holdco </w:t>
            </w:r>
            <w:r>
              <w:rPr>
                <w:rFonts w:ascii="Arial" w:cs="Arial" w:eastAsia="Arial" w:hAnsi="Arial"/>
                <w:sz w:val="23"/>
                <w:szCs w:val="23"/>
                <w:color w:val="auto"/>
                <w:vertAlign w:val="superscript"/>
              </w:rPr>
              <w:t>(b)</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revenue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860" w:type="dxa"/>
            <w:vAlign w:val="bottom"/>
          </w:tcPr>
          <w:p>
            <w:pPr>
              <w:ind w:left="12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(loss) income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GenConn</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revenue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4860" w:type="dxa"/>
            <w:vAlign w:val="bottom"/>
          </w:tcPr>
          <w:p>
            <w:pPr>
              <w:ind w:left="12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48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Desert Sunlight</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revenue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w:t>
            </w: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95</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4860" w:type="dxa"/>
            <w:vAlign w:val="bottom"/>
          </w:tcPr>
          <w:p>
            <w:pPr>
              <w:ind w:left="12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48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63</w:t>
            </w:r>
          </w:p>
        </w:tc>
        <w:tc>
          <w:tcPr>
            <w:tcW w:w="4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(c)</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revenue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w:t>
            </w: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136</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3"/>
        </w:trPr>
        <w:tc>
          <w:tcPr>
            <w:tcW w:w="4860" w:type="dxa"/>
            <w:vAlign w:val="bottom"/>
          </w:tcPr>
          <w:p>
            <w:pPr>
              <w:ind w:left="12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48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52</w:t>
            </w:r>
          </w:p>
        </w:tc>
        <w:tc>
          <w:tcPr>
            <w:tcW w:w="4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22</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8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Year to date as of the reconsideration event on May 29, 2020.</w:t>
      </w:r>
    </w:p>
    <w:p>
      <w:pPr>
        <w:ind w:left="180" w:hanging="172"/>
        <w:spacing w:after="0" w:line="214" w:lineRule="auto"/>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 xml:space="preserve">Year to date as of the sale on May 14, 2020 as described in </w:t>
      </w:r>
      <w:r>
        <w:rPr>
          <w:rFonts w:ascii="Arial" w:cs="Arial" w:eastAsia="Arial" w:hAnsi="Arial"/>
          <w:sz w:val="17"/>
          <w:szCs w:val="17"/>
          <w:color w:val="auto"/>
        </w:rPr>
        <w:t>Note 3</w:t>
      </w:r>
      <w:r>
        <w:rPr>
          <w:rFonts w:ascii="Arial" w:cs="Arial" w:eastAsia="Arial" w:hAnsi="Arial"/>
          <w:sz w:val="16"/>
          <w:szCs w:val="16"/>
          <w:color w:val="auto"/>
        </w:rPr>
        <w:t xml:space="preserve">, </w:t>
      </w:r>
      <w:r>
        <w:rPr>
          <w:rFonts w:ascii="Arial" w:cs="Arial" w:eastAsia="Arial" w:hAnsi="Arial"/>
          <w:sz w:val="17"/>
          <w:szCs w:val="17"/>
          <w:i w:val="1"/>
          <w:iCs w:val="1"/>
          <w:color w:val="auto"/>
        </w:rPr>
        <w:t>Acquisition and Dispositions</w:t>
      </w:r>
      <w:r>
        <w:rPr>
          <w:rFonts w:ascii="Arial" w:cs="Arial" w:eastAsia="Arial" w:hAnsi="Arial"/>
          <w:sz w:val="16"/>
          <w:szCs w:val="16"/>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(c</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Includes Agua Caliente, DGPV Holdco 1, DGPV Holdco 2, Elkhorn Ridge, Utah Solar Portfolio and San Juan Mesa.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0"/>
        </w:trPr>
        <w:tc>
          <w:tcPr>
            <w:tcW w:w="5520" w:type="dxa"/>
            <w:vAlign w:val="bottom"/>
          </w:tcPr>
          <w:p>
            <w:pPr>
              <w:spacing w:after="0"/>
              <w:rPr>
                <w:sz w:val="18"/>
                <w:szCs w:val="18"/>
                <w:color w:val="auto"/>
              </w:rPr>
            </w:pPr>
          </w:p>
        </w:tc>
        <w:tc>
          <w:tcPr>
            <w:tcW w:w="2160" w:type="dxa"/>
            <w:vAlign w:val="bottom"/>
          </w:tcPr>
          <w:p>
            <w:pPr>
              <w:jc w:val="right"/>
              <w:ind w:right="15"/>
              <w:spacing w:after="0"/>
              <w:rPr>
                <w:sz w:val="20"/>
                <w:szCs w:val="20"/>
                <w:color w:val="auto"/>
              </w:rPr>
            </w:pPr>
            <w:r>
              <w:rPr>
                <w:rFonts w:ascii="Arial" w:cs="Arial" w:eastAsia="Arial" w:hAnsi="Arial"/>
                <w:sz w:val="16"/>
                <w:szCs w:val="16"/>
                <w:b w:val="1"/>
                <w:bCs w:val="1"/>
                <w:color w:val="auto"/>
              </w:rPr>
              <w:t>As of June 30, 2020</w:t>
            </w: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40" w:type="dxa"/>
            <w:vAlign w:val="bottom"/>
          </w:tcPr>
          <w:p>
            <w:pPr>
              <w:jc w:val="right"/>
              <w:ind w:right="470"/>
              <w:spacing w:after="0"/>
              <w:rPr>
                <w:sz w:val="20"/>
                <w:szCs w:val="20"/>
                <w:color w:val="auto"/>
              </w:rPr>
            </w:pPr>
            <w:r>
              <w:rPr>
                <w:rFonts w:ascii="Arial" w:cs="Arial" w:eastAsia="Arial" w:hAnsi="Arial"/>
                <w:sz w:val="16"/>
                <w:szCs w:val="16"/>
                <w:b w:val="1"/>
                <w:bCs w:val="1"/>
                <w:color w:val="auto"/>
                <w:w w:val="93"/>
              </w:rPr>
              <w:t>As of December 31, 2019</w:t>
            </w:r>
          </w:p>
        </w:tc>
        <w:tc>
          <w:tcPr>
            <w:tcW w:w="0" w:type="dxa"/>
            <w:vAlign w:val="bottom"/>
          </w:tcPr>
          <w:p>
            <w:pPr>
              <w:spacing w:after="0"/>
              <w:rPr>
                <w:sz w:val="1"/>
                <w:szCs w:val="1"/>
                <w:color w:val="auto"/>
              </w:rPr>
            </w:pPr>
          </w:p>
        </w:tc>
      </w:tr>
      <w:tr>
        <w:trPr>
          <w:trHeight w:val="33"/>
        </w:trPr>
        <w:tc>
          <w:tcPr>
            <w:tcW w:w="5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Balance Sheet Data:</w:t>
            </w:r>
          </w:p>
        </w:tc>
        <w:tc>
          <w:tcPr>
            <w:tcW w:w="2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20" w:type="dxa"/>
            <w:vAlign w:val="bottom"/>
            <w:vMerge w:val="continue"/>
          </w:tcPr>
          <w:p>
            <w:pPr>
              <w:spacing w:after="0"/>
              <w:rPr>
                <w:sz w:val="19"/>
                <w:szCs w:val="19"/>
                <w:color w:val="auto"/>
              </w:rPr>
            </w:pPr>
          </w:p>
        </w:tc>
        <w:tc>
          <w:tcPr>
            <w:tcW w:w="2160" w:type="dxa"/>
            <w:vAlign w:val="bottom"/>
          </w:tcPr>
          <w:p>
            <w:pPr>
              <w:spacing w:after="0"/>
              <w:rPr>
                <w:sz w:val="19"/>
                <w:szCs w:val="19"/>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rPr>
              <w:t>(In millions)</w:t>
            </w: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520" w:type="dxa"/>
            <w:vAlign w:val="bottom"/>
          </w:tcPr>
          <w:p>
            <w:pPr>
              <w:ind w:left="20"/>
              <w:spacing w:after="0" w:line="256" w:lineRule="exact"/>
              <w:rPr>
                <w:sz w:val="20"/>
                <w:szCs w:val="20"/>
                <w:color w:val="auto"/>
              </w:rPr>
            </w:pPr>
            <w:r>
              <w:rPr>
                <w:rFonts w:ascii="Arial" w:cs="Arial" w:eastAsia="Arial" w:hAnsi="Arial"/>
                <w:sz w:val="18"/>
                <w:szCs w:val="18"/>
                <w:color w:val="auto"/>
              </w:rPr>
              <w:t xml:space="preserve">DGPV Holdco 3 </w:t>
            </w:r>
            <w:r>
              <w:rPr>
                <w:rFonts w:ascii="Arial" w:cs="Arial" w:eastAsia="Arial" w:hAnsi="Arial"/>
                <w:sz w:val="23"/>
                <w:szCs w:val="23"/>
                <w:color w:val="auto"/>
                <w:vertAlign w:val="superscript"/>
              </w:rPr>
              <w:t>(a)</w:t>
            </w:r>
          </w:p>
        </w:tc>
        <w:tc>
          <w:tcPr>
            <w:tcW w:w="2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Current assets</w:t>
            </w:r>
          </w:p>
        </w:tc>
        <w:tc>
          <w:tcPr>
            <w:tcW w:w="2160" w:type="dxa"/>
            <w:vAlign w:val="bottom"/>
            <w:tcBorders>
              <w:bottom w:val="single" w:sz="8" w:color="CCEEFF"/>
            </w:tcBorders>
            <w:shd w:val="clear" w:color="auto" w:fill="CCEEFF"/>
          </w:tcPr>
          <w:p>
            <w:pPr>
              <w:jc w:val="right"/>
              <w:ind w:right="1975"/>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2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5520" w:type="dxa"/>
            <w:vAlign w:val="bottom"/>
          </w:tcPr>
          <w:p>
            <w:pPr>
              <w:ind w:left="120"/>
              <w:spacing w:after="0"/>
              <w:rPr>
                <w:sz w:val="20"/>
                <w:szCs w:val="20"/>
                <w:color w:val="auto"/>
              </w:rPr>
            </w:pPr>
            <w:r>
              <w:rPr>
                <w:rFonts w:ascii="Arial" w:cs="Arial" w:eastAsia="Arial" w:hAnsi="Arial"/>
                <w:sz w:val="18"/>
                <w:szCs w:val="18"/>
                <w:color w:val="auto"/>
              </w:rPr>
              <w:t>Non-current assets</w:t>
            </w:r>
          </w:p>
        </w:tc>
        <w:tc>
          <w:tcPr>
            <w:tcW w:w="216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2340" w:type="dxa"/>
            <w:vAlign w:val="bottom"/>
          </w:tcPr>
          <w:p>
            <w:pPr>
              <w:jc w:val="right"/>
              <w:ind w:right="7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Current liabilities</w:t>
            </w:r>
          </w:p>
        </w:tc>
        <w:tc>
          <w:tcPr>
            <w:tcW w:w="2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5520" w:type="dxa"/>
            <w:vAlign w:val="bottom"/>
          </w:tcPr>
          <w:p>
            <w:pPr>
              <w:ind w:left="120"/>
              <w:spacing w:after="0"/>
              <w:rPr>
                <w:sz w:val="20"/>
                <w:szCs w:val="20"/>
                <w:color w:val="auto"/>
              </w:rPr>
            </w:pPr>
            <w:r>
              <w:rPr>
                <w:rFonts w:ascii="Arial" w:cs="Arial" w:eastAsia="Arial" w:hAnsi="Arial"/>
                <w:sz w:val="18"/>
                <w:szCs w:val="18"/>
                <w:color w:val="auto"/>
              </w:rPr>
              <w:t>Non-current liabilities</w:t>
            </w:r>
          </w:p>
        </w:tc>
        <w:tc>
          <w:tcPr>
            <w:tcW w:w="216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2340" w:type="dxa"/>
            <w:vAlign w:val="bottom"/>
          </w:tcPr>
          <w:p>
            <w:pPr>
              <w:jc w:val="right"/>
              <w:ind w:right="7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Redeemable noncontrolling interest</w:t>
            </w:r>
          </w:p>
        </w:tc>
        <w:tc>
          <w:tcPr>
            <w:tcW w:w="2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RPV Holdco </w:t>
            </w:r>
            <w:r>
              <w:rPr>
                <w:rFonts w:ascii="Arial" w:cs="Arial" w:eastAsia="Arial" w:hAnsi="Arial"/>
                <w:sz w:val="23"/>
                <w:szCs w:val="23"/>
                <w:color w:val="auto"/>
                <w:vertAlign w:val="superscript"/>
              </w:rPr>
              <w:t>(a)</w:t>
            </w:r>
          </w:p>
        </w:tc>
        <w:tc>
          <w:tcPr>
            <w:tcW w:w="2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Current assets</w:t>
            </w:r>
          </w:p>
        </w:tc>
        <w:tc>
          <w:tcPr>
            <w:tcW w:w="2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520" w:type="dxa"/>
            <w:vAlign w:val="bottom"/>
          </w:tcPr>
          <w:p>
            <w:pPr>
              <w:ind w:left="120"/>
              <w:spacing w:after="0"/>
              <w:rPr>
                <w:sz w:val="20"/>
                <w:szCs w:val="20"/>
                <w:color w:val="auto"/>
              </w:rPr>
            </w:pPr>
            <w:r>
              <w:rPr>
                <w:rFonts w:ascii="Arial" w:cs="Arial" w:eastAsia="Arial" w:hAnsi="Arial"/>
                <w:sz w:val="18"/>
                <w:szCs w:val="18"/>
                <w:color w:val="auto"/>
              </w:rPr>
              <w:t>Non-current assets</w:t>
            </w:r>
          </w:p>
        </w:tc>
        <w:tc>
          <w:tcPr>
            <w:tcW w:w="216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2340" w:type="dxa"/>
            <w:vAlign w:val="bottom"/>
          </w:tcPr>
          <w:p>
            <w:pPr>
              <w:jc w:val="right"/>
              <w:ind w:right="7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Current liabilities</w:t>
            </w:r>
          </w:p>
        </w:tc>
        <w:tc>
          <w:tcPr>
            <w:tcW w:w="2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520" w:type="dxa"/>
            <w:vAlign w:val="bottom"/>
          </w:tcPr>
          <w:p>
            <w:pPr>
              <w:ind w:left="120"/>
              <w:spacing w:after="0"/>
              <w:rPr>
                <w:sz w:val="20"/>
                <w:szCs w:val="20"/>
                <w:color w:val="auto"/>
              </w:rPr>
            </w:pPr>
            <w:r>
              <w:rPr>
                <w:rFonts w:ascii="Arial" w:cs="Arial" w:eastAsia="Arial" w:hAnsi="Arial"/>
                <w:sz w:val="18"/>
                <w:szCs w:val="18"/>
                <w:color w:val="auto"/>
              </w:rPr>
              <w:t>Non-current liabilities</w:t>
            </w:r>
          </w:p>
        </w:tc>
        <w:tc>
          <w:tcPr>
            <w:tcW w:w="216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234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Redeemable noncontrolling interest</w:t>
            </w:r>
          </w:p>
        </w:tc>
        <w:tc>
          <w:tcPr>
            <w:tcW w:w="2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GenConn</w:t>
            </w:r>
          </w:p>
        </w:tc>
        <w:tc>
          <w:tcPr>
            <w:tcW w:w="2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Current assets</w:t>
            </w:r>
          </w:p>
        </w:tc>
        <w:tc>
          <w:tcPr>
            <w:tcW w:w="2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w:t>
            </w:r>
          </w:p>
        </w:tc>
        <w:tc>
          <w:tcPr>
            <w:tcW w:w="58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5520" w:type="dxa"/>
            <w:vAlign w:val="bottom"/>
          </w:tcPr>
          <w:p>
            <w:pPr>
              <w:ind w:left="120"/>
              <w:spacing w:after="0"/>
              <w:rPr>
                <w:sz w:val="20"/>
                <w:szCs w:val="20"/>
                <w:color w:val="auto"/>
              </w:rPr>
            </w:pPr>
            <w:r>
              <w:rPr>
                <w:rFonts w:ascii="Arial" w:cs="Arial" w:eastAsia="Arial" w:hAnsi="Arial"/>
                <w:sz w:val="18"/>
                <w:szCs w:val="18"/>
                <w:color w:val="auto"/>
              </w:rPr>
              <w:t>Non-current assets</w:t>
            </w:r>
          </w:p>
        </w:tc>
        <w:tc>
          <w:tcPr>
            <w:tcW w:w="216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352</w:t>
            </w:r>
          </w:p>
        </w:tc>
        <w:tc>
          <w:tcPr>
            <w:tcW w:w="580" w:type="dxa"/>
            <w:vAlign w:val="bottom"/>
          </w:tcPr>
          <w:p>
            <w:pPr>
              <w:spacing w:after="0"/>
              <w:rPr>
                <w:sz w:val="21"/>
                <w:szCs w:val="21"/>
                <w:color w:val="auto"/>
              </w:rPr>
            </w:pPr>
          </w:p>
        </w:tc>
        <w:tc>
          <w:tcPr>
            <w:tcW w:w="2340" w:type="dxa"/>
            <w:vAlign w:val="bottom"/>
          </w:tcPr>
          <w:p>
            <w:pPr>
              <w:jc w:val="right"/>
              <w:ind w:right="7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Current liabilities</w:t>
            </w:r>
          </w:p>
        </w:tc>
        <w:tc>
          <w:tcPr>
            <w:tcW w:w="2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w:t>
            </w:r>
          </w:p>
        </w:tc>
        <w:tc>
          <w:tcPr>
            <w:tcW w:w="58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5520" w:type="dxa"/>
            <w:vAlign w:val="bottom"/>
          </w:tcPr>
          <w:p>
            <w:pPr>
              <w:ind w:left="120"/>
              <w:spacing w:after="0"/>
              <w:rPr>
                <w:sz w:val="20"/>
                <w:szCs w:val="20"/>
                <w:color w:val="auto"/>
              </w:rPr>
            </w:pPr>
            <w:r>
              <w:rPr>
                <w:rFonts w:ascii="Arial" w:cs="Arial" w:eastAsia="Arial" w:hAnsi="Arial"/>
                <w:sz w:val="18"/>
                <w:szCs w:val="18"/>
                <w:color w:val="auto"/>
              </w:rPr>
              <w:t>Non-current liabilities</w:t>
            </w:r>
          </w:p>
        </w:tc>
        <w:tc>
          <w:tcPr>
            <w:tcW w:w="216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190</w:t>
            </w:r>
          </w:p>
        </w:tc>
        <w:tc>
          <w:tcPr>
            <w:tcW w:w="580" w:type="dxa"/>
            <w:vAlign w:val="bottom"/>
          </w:tcPr>
          <w:p>
            <w:pPr>
              <w:spacing w:after="0"/>
              <w:rPr>
                <w:sz w:val="21"/>
                <w:szCs w:val="21"/>
                <w:color w:val="auto"/>
              </w:rPr>
            </w:pPr>
          </w:p>
        </w:tc>
        <w:tc>
          <w:tcPr>
            <w:tcW w:w="2340" w:type="dxa"/>
            <w:vAlign w:val="bottom"/>
          </w:tcPr>
          <w:p>
            <w:pPr>
              <w:jc w:val="right"/>
              <w:ind w:right="7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Desert Sunlight</w:t>
            </w:r>
          </w:p>
        </w:tc>
        <w:tc>
          <w:tcPr>
            <w:tcW w:w="2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120"/>
              <w:spacing w:after="0"/>
              <w:rPr>
                <w:sz w:val="20"/>
                <w:szCs w:val="20"/>
                <w:color w:val="auto"/>
              </w:rPr>
            </w:pPr>
            <w:r>
              <w:rPr>
                <w:rFonts w:ascii="Arial" w:cs="Arial" w:eastAsia="Arial" w:hAnsi="Arial"/>
                <w:sz w:val="18"/>
                <w:szCs w:val="18"/>
                <w:color w:val="auto"/>
              </w:rPr>
              <w:t>Current assets</w:t>
            </w:r>
          </w:p>
        </w:tc>
        <w:tc>
          <w:tcPr>
            <w:tcW w:w="216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261</w:t>
            </w:r>
          </w:p>
        </w:tc>
        <w:tc>
          <w:tcPr>
            <w:tcW w:w="580" w:type="dxa"/>
            <w:vAlign w:val="bottom"/>
          </w:tcPr>
          <w:p>
            <w:pPr>
              <w:spacing w:after="0"/>
              <w:rPr>
                <w:sz w:val="21"/>
                <w:szCs w:val="21"/>
                <w:color w:val="auto"/>
              </w:rPr>
            </w:pPr>
          </w:p>
        </w:tc>
        <w:tc>
          <w:tcPr>
            <w:tcW w:w="2340" w:type="dxa"/>
            <w:vAlign w:val="bottom"/>
          </w:tcPr>
          <w:p>
            <w:pPr>
              <w:jc w:val="right"/>
              <w:ind w:right="7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Non-current assets</w:t>
            </w:r>
          </w:p>
        </w:tc>
        <w:tc>
          <w:tcPr>
            <w:tcW w:w="2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1,271</w:t>
            </w:r>
          </w:p>
        </w:tc>
        <w:tc>
          <w:tcPr>
            <w:tcW w:w="58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43"/>
        </w:trPr>
        <w:tc>
          <w:tcPr>
            <w:tcW w:w="5520" w:type="dxa"/>
            <w:vAlign w:val="bottom"/>
          </w:tcPr>
          <w:p>
            <w:pPr>
              <w:ind w:left="120"/>
              <w:spacing w:after="0"/>
              <w:rPr>
                <w:sz w:val="20"/>
                <w:szCs w:val="20"/>
                <w:color w:val="auto"/>
              </w:rPr>
            </w:pPr>
            <w:r>
              <w:rPr>
                <w:rFonts w:ascii="Arial" w:cs="Arial" w:eastAsia="Arial" w:hAnsi="Arial"/>
                <w:sz w:val="18"/>
                <w:szCs w:val="18"/>
                <w:color w:val="auto"/>
              </w:rPr>
              <w:t>Current liabilities</w:t>
            </w:r>
          </w:p>
        </w:tc>
        <w:tc>
          <w:tcPr>
            <w:tcW w:w="216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545</w:t>
            </w:r>
          </w:p>
        </w:tc>
        <w:tc>
          <w:tcPr>
            <w:tcW w:w="580" w:type="dxa"/>
            <w:vAlign w:val="bottom"/>
          </w:tcPr>
          <w:p>
            <w:pPr>
              <w:spacing w:after="0"/>
              <w:rPr>
                <w:sz w:val="21"/>
                <w:szCs w:val="21"/>
                <w:color w:val="auto"/>
              </w:rPr>
            </w:pPr>
          </w:p>
        </w:tc>
        <w:tc>
          <w:tcPr>
            <w:tcW w:w="2340" w:type="dxa"/>
            <w:vAlign w:val="bottom"/>
          </w:tcPr>
          <w:p>
            <w:pPr>
              <w:jc w:val="right"/>
              <w:ind w:right="7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Non-current liabilities</w:t>
            </w:r>
          </w:p>
        </w:tc>
        <w:tc>
          <w:tcPr>
            <w:tcW w:w="2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482</w:t>
            </w:r>
          </w:p>
        </w:tc>
        <w:tc>
          <w:tcPr>
            <w:tcW w:w="58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(b)</w:t>
            </w:r>
          </w:p>
        </w:tc>
        <w:tc>
          <w:tcPr>
            <w:tcW w:w="2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Current assets</w:t>
            </w:r>
          </w:p>
        </w:tc>
        <w:tc>
          <w:tcPr>
            <w:tcW w:w="2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275</w:t>
            </w:r>
          </w:p>
        </w:tc>
        <w:tc>
          <w:tcPr>
            <w:tcW w:w="58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5520" w:type="dxa"/>
            <w:vAlign w:val="bottom"/>
          </w:tcPr>
          <w:p>
            <w:pPr>
              <w:ind w:left="120"/>
              <w:spacing w:after="0"/>
              <w:rPr>
                <w:sz w:val="20"/>
                <w:szCs w:val="20"/>
                <w:color w:val="auto"/>
              </w:rPr>
            </w:pPr>
            <w:r>
              <w:rPr>
                <w:rFonts w:ascii="Arial" w:cs="Arial" w:eastAsia="Arial" w:hAnsi="Arial"/>
                <w:sz w:val="18"/>
                <w:szCs w:val="18"/>
                <w:color w:val="auto"/>
              </w:rPr>
              <w:t>Non-current assets</w:t>
            </w:r>
          </w:p>
        </w:tc>
        <w:tc>
          <w:tcPr>
            <w:tcW w:w="216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2,807</w:t>
            </w:r>
          </w:p>
        </w:tc>
        <w:tc>
          <w:tcPr>
            <w:tcW w:w="580" w:type="dxa"/>
            <w:vAlign w:val="bottom"/>
          </w:tcPr>
          <w:p>
            <w:pPr>
              <w:spacing w:after="0"/>
              <w:rPr>
                <w:sz w:val="21"/>
                <w:szCs w:val="21"/>
                <w:color w:val="auto"/>
              </w:rPr>
            </w:pPr>
          </w:p>
        </w:tc>
        <w:tc>
          <w:tcPr>
            <w:tcW w:w="2340" w:type="dxa"/>
            <w:vAlign w:val="bottom"/>
          </w:tcPr>
          <w:p>
            <w:pPr>
              <w:jc w:val="right"/>
              <w:ind w:right="70"/>
              <w:spacing w:after="0"/>
              <w:rPr>
                <w:sz w:val="20"/>
                <w:szCs w:val="20"/>
                <w:color w:val="auto"/>
              </w:rPr>
            </w:pPr>
            <w:r>
              <w:rPr>
                <w:rFonts w:ascii="Arial" w:cs="Arial" w:eastAsia="Arial" w:hAnsi="Arial"/>
                <w:sz w:val="18"/>
                <w:szCs w:val="18"/>
                <w:color w:val="auto"/>
              </w:rPr>
              <w:t>2,879</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Current liabilities</w:t>
            </w:r>
          </w:p>
        </w:tc>
        <w:tc>
          <w:tcPr>
            <w:tcW w:w="2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71</w:t>
            </w:r>
          </w:p>
        </w:tc>
        <w:tc>
          <w:tcPr>
            <w:tcW w:w="58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43"/>
        </w:trPr>
        <w:tc>
          <w:tcPr>
            <w:tcW w:w="5520" w:type="dxa"/>
            <w:vAlign w:val="bottom"/>
          </w:tcPr>
          <w:p>
            <w:pPr>
              <w:ind w:left="120"/>
              <w:spacing w:after="0"/>
              <w:rPr>
                <w:sz w:val="20"/>
                <w:szCs w:val="20"/>
                <w:color w:val="auto"/>
              </w:rPr>
            </w:pPr>
            <w:r>
              <w:rPr>
                <w:rFonts w:ascii="Arial" w:cs="Arial" w:eastAsia="Arial" w:hAnsi="Arial"/>
                <w:sz w:val="18"/>
                <w:szCs w:val="18"/>
                <w:color w:val="auto"/>
              </w:rPr>
              <w:t>Non-current liabilities</w:t>
            </w:r>
          </w:p>
        </w:tc>
        <w:tc>
          <w:tcPr>
            <w:tcW w:w="216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991</w:t>
            </w:r>
          </w:p>
        </w:tc>
        <w:tc>
          <w:tcPr>
            <w:tcW w:w="580" w:type="dxa"/>
            <w:vAlign w:val="bottom"/>
          </w:tcPr>
          <w:p>
            <w:pPr>
              <w:spacing w:after="0"/>
              <w:rPr>
                <w:sz w:val="21"/>
                <w:szCs w:val="21"/>
                <w:color w:val="auto"/>
              </w:rPr>
            </w:pPr>
          </w:p>
        </w:tc>
        <w:tc>
          <w:tcPr>
            <w:tcW w:w="2340" w:type="dxa"/>
            <w:vAlign w:val="bottom"/>
          </w:tcPr>
          <w:p>
            <w:pPr>
              <w:jc w:val="right"/>
              <w:ind w:right="7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As of June 30, 2020, these are no longer equity method investments</w:t>
      </w:r>
    </w:p>
    <w:p>
      <w:pPr>
        <w:spacing w:after="0"/>
        <w:rPr>
          <w:sz w:val="20"/>
          <w:szCs w:val="20"/>
          <w:color w:val="auto"/>
        </w:rPr>
      </w:pPr>
      <w:r>
        <w:rPr>
          <w:rFonts w:ascii="Arial" w:cs="Arial" w:eastAsia="Arial" w:hAnsi="Arial"/>
          <w:sz w:val="23"/>
          <w:szCs w:val="23"/>
          <w:color w:val="auto"/>
          <w:vertAlign w:val="superscript"/>
        </w:rPr>
        <w:t>(b</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Includes Agua Caliente, DGPV Holdco 1, DGPV Holdco 2, Elkhorn Ridge, Utah Solar Portfolio and San Juan Mesa.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 </w:t>
      </w:r>
      <w:r>
        <w:rPr>
          <w:rFonts w:ascii="Arial" w:cs="Arial" w:eastAsia="Arial" w:hAnsi="Arial"/>
          <w:sz w:val="18"/>
          <w:szCs w:val="18"/>
          <w:b w:val="1"/>
          <w:bCs w:val="1"/>
          <w:i w:val="1"/>
          <w:iCs w:val="1"/>
          <w:color w:val="auto"/>
        </w:rPr>
        <w:t>Fair Value of Financial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Accounting under ASC 820</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ASC 820 establishes a fair value hierarchy that prioritizes the inputs to valuation techniques used to measure fair value into three levels as follows:</w:t>
      </w:r>
    </w:p>
    <w:p>
      <w:pPr>
        <w:spacing w:after="0" w:line="86" w:lineRule="exact"/>
        <w:rPr>
          <w:sz w:val="20"/>
          <w:szCs w:val="20"/>
          <w:color w:val="auto"/>
        </w:rPr>
      </w:pPr>
    </w:p>
    <w:p>
      <w:pPr>
        <w:ind w:left="1220" w:hanging="240"/>
        <w:spacing w:after="0" w:line="277" w:lineRule="auto"/>
        <w:tabs>
          <w:tab w:leader="none" w:pos="12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or liabilities that the Company has the ability to access as of the measurement date.</w:t>
      </w:r>
    </w:p>
    <w:p>
      <w:pPr>
        <w:spacing w:after="0" w:line="8" w:lineRule="exact"/>
        <w:rPr>
          <w:rFonts w:ascii="Arial" w:cs="Arial" w:eastAsia="Arial" w:hAnsi="Arial"/>
          <w:sz w:val="18"/>
          <w:szCs w:val="18"/>
          <w:color w:val="auto"/>
        </w:rPr>
      </w:pPr>
    </w:p>
    <w:p>
      <w:pPr>
        <w:ind w:left="1220" w:hanging="240"/>
        <w:spacing w:after="0" w:line="277" w:lineRule="auto"/>
        <w:tabs>
          <w:tab w:leader="none" w:pos="12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8" w:lineRule="exact"/>
        <w:rPr>
          <w:rFonts w:ascii="Arial" w:cs="Arial" w:eastAsia="Arial" w:hAnsi="Arial"/>
          <w:sz w:val="18"/>
          <w:szCs w:val="18"/>
          <w:color w:val="auto"/>
        </w:rPr>
      </w:pPr>
    </w:p>
    <w:p>
      <w:pPr>
        <w:ind w:left="1220" w:right="20" w:hanging="240"/>
        <w:spacing w:after="0" w:line="277" w:lineRule="auto"/>
        <w:tabs>
          <w:tab w:leader="none" w:pos="12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3—unobservable inputs for the asset or liability only used when there is little, if any, market activity for the asset or liability at the measurement date.</w:t>
      </w:r>
    </w:p>
    <w:p>
      <w:pPr>
        <w:spacing w:after="0" w:line="11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3" w:name="page24"/>
    <w:bookmarkEnd w:id="23"/>
    <w:p>
      <w:pPr>
        <w:jc w:val="both"/>
        <w:ind w:firstLine="405"/>
        <w:spacing w:after="0" w:line="263" w:lineRule="auto"/>
        <w:rPr>
          <w:sz w:val="20"/>
          <w:szCs w:val="20"/>
          <w:color w:val="auto"/>
        </w:rPr>
      </w:pPr>
      <w:r>
        <w:rPr>
          <w:rFonts w:ascii="Arial" w:cs="Arial" w:eastAsia="Arial" w:hAnsi="Arial"/>
          <w:sz w:val="18"/>
          <w:szCs w:val="18"/>
          <w:color w:val="auto"/>
        </w:rPr>
        <w:t>For cash and cash equivalents, restricted cash, accounts receivable, accounts receivable - affiliate, accounts payable, accounts payable - affiliate, accrued expenses and other liabilities, the carrying amounts approximate fair value because of the short-term maturity of those instruments and are classified as Level 1 within the fair value hierarchy.</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estimated carrying amounts and fair values of the Company’s recorded financial instruments not carried at fair market value are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4"/>
                <w:szCs w:val="14"/>
                <w:b w:val="1"/>
                <w:bCs w:val="1"/>
                <w:color w:val="auto"/>
              </w:rPr>
              <w:t>As of June 30, 2020</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4"/>
                <w:szCs w:val="14"/>
                <w:b w:val="1"/>
                <w:bCs w:val="1"/>
                <w:color w:val="auto"/>
              </w:rPr>
              <w:t>As of December 31, 2019</w:t>
            </w:r>
          </w:p>
        </w:tc>
      </w:tr>
      <w:tr>
        <w:trPr>
          <w:trHeight w:val="196"/>
        </w:trPr>
        <w:tc>
          <w:tcPr>
            <w:tcW w:w="6020" w:type="dxa"/>
            <w:vAlign w:val="bottom"/>
          </w:tcPr>
          <w:p>
            <w:pPr>
              <w:spacing w:after="0"/>
              <w:rPr>
                <w:sz w:val="17"/>
                <w:szCs w:val="17"/>
                <w:color w:val="auto"/>
              </w:rPr>
            </w:pPr>
          </w:p>
        </w:tc>
        <w:tc>
          <w:tcPr>
            <w:tcW w:w="12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w w:val="99"/>
              </w:rPr>
              <w:t>Carrying Amount</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2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w w:val="97"/>
              </w:rPr>
              <w:t>Carrying Amount</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60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76"/>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Long-term debt, including current portion </w:t>
            </w:r>
            <w:r>
              <w:rPr>
                <w:rFonts w:ascii="Arial" w:cs="Arial" w:eastAsia="Arial" w:hAnsi="Arial"/>
                <w:sz w:val="23"/>
                <w:szCs w:val="23"/>
                <w:color w:val="auto"/>
                <w:vertAlign w:val="superscript"/>
              </w:rPr>
              <w:t>(a)</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6,813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6,917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6,858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6,957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3798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9"/>
          <w:szCs w:val="9"/>
          <w:color w:val="auto"/>
        </w:rPr>
      </w:pPr>
      <w:r>
        <w:rPr>
          <w:rFonts w:ascii="Arial" w:cs="Arial" w:eastAsia="Arial" w:hAnsi="Arial"/>
          <w:sz w:val="14"/>
          <w:szCs w:val="14"/>
          <w:color w:val="auto"/>
        </w:rPr>
        <w:t>Excludes net debt issuance costs, which are recorded as a reduction to long-term debt on the Company's consolidated balance sheets.</w:t>
      </w:r>
    </w:p>
    <w:p>
      <w:pPr>
        <w:spacing w:after="0" w:line="167"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The fair value of the Company's publicly-traded long-term debt is based on quoted market prices and is classified as Level 2 within the fair value hierarchy. The fair value of non-publicly traded long-term debt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June 30, 2020 and December 31, 2019:</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As of June 30, 2020</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4"/>
                <w:szCs w:val="14"/>
                <w:b w:val="1"/>
                <w:bCs w:val="1"/>
                <w:color w:val="auto"/>
                <w:w w:val="99"/>
              </w:rPr>
              <w:t>As of December 31, 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ind w:left="140"/>
              <w:spacing w:after="0"/>
              <w:rPr>
                <w:sz w:val="20"/>
                <w:szCs w:val="20"/>
                <w:color w:val="auto"/>
              </w:rPr>
            </w:pPr>
            <w:r>
              <w:rPr>
                <w:rFonts w:ascii="Arial" w:cs="Arial" w:eastAsia="Arial" w:hAnsi="Arial"/>
                <w:sz w:val="14"/>
                <w:szCs w:val="14"/>
                <w:b w:val="1"/>
                <w:bCs w:val="1"/>
                <w:color w:val="auto"/>
              </w:rPr>
              <w:t>Level 2</w:t>
            </w:r>
          </w:p>
        </w:tc>
        <w:tc>
          <w:tcPr>
            <w:tcW w:w="36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7"/>
                <w:szCs w:val="17"/>
                <w:color w:val="auto"/>
              </w:rPr>
            </w:pPr>
          </w:p>
        </w:tc>
        <w:tc>
          <w:tcPr>
            <w:tcW w:w="840" w:type="dxa"/>
            <w:vAlign w:val="bottom"/>
          </w:tcPr>
          <w:p>
            <w:pPr>
              <w:jc w:val="right"/>
              <w:ind w:right="282"/>
              <w:spacing w:after="0"/>
              <w:rPr>
                <w:sz w:val="20"/>
                <w:szCs w:val="20"/>
                <w:color w:val="auto"/>
              </w:rPr>
            </w:pPr>
            <w:r>
              <w:rPr>
                <w:rFonts w:ascii="Arial" w:cs="Arial" w:eastAsia="Arial" w:hAnsi="Arial"/>
                <w:sz w:val="14"/>
                <w:szCs w:val="14"/>
                <w:b w:val="1"/>
                <w:bCs w:val="1"/>
                <w:color w:val="auto"/>
                <w:w w:val="96"/>
              </w:rPr>
              <w:t>Level 2</w:t>
            </w:r>
          </w:p>
        </w:tc>
        <w:tc>
          <w:tcPr>
            <w:tcW w:w="360" w:type="dxa"/>
            <w:vAlign w:val="bottom"/>
          </w:tcPr>
          <w:p>
            <w:pPr>
              <w:spacing w:after="0"/>
              <w:rPr>
                <w:sz w:val="17"/>
                <w:szCs w:val="17"/>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 including current portion</w:t>
            </w:r>
          </w:p>
        </w:tc>
        <w:tc>
          <w:tcPr>
            <w:tcW w:w="1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ind w:left="400"/>
              <w:spacing w:after="0"/>
              <w:rPr>
                <w:sz w:val="20"/>
                <w:szCs w:val="20"/>
                <w:color w:val="auto"/>
              </w:rPr>
            </w:pPr>
            <w:r>
              <w:rPr>
                <w:rFonts w:ascii="Arial" w:cs="Arial" w:eastAsia="Arial" w:hAnsi="Arial"/>
                <w:sz w:val="18"/>
                <w:szCs w:val="18"/>
                <w:color w:val="auto"/>
              </w:rPr>
              <w:t>1,849</w:t>
            </w:r>
          </w:p>
        </w:tc>
        <w:tc>
          <w:tcPr>
            <w:tcW w:w="3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82"/>
              <w:spacing w:after="0"/>
              <w:rPr>
                <w:sz w:val="20"/>
                <w:szCs w:val="20"/>
                <w:color w:val="auto"/>
              </w:rPr>
            </w:pPr>
            <w:r>
              <w:rPr>
                <w:rFonts w:ascii="Arial" w:cs="Arial" w:eastAsia="Arial" w:hAnsi="Arial"/>
                <w:sz w:val="18"/>
                <w:szCs w:val="18"/>
                <w:color w:val="auto"/>
              </w:rPr>
              <w:t>5,068</w:t>
            </w:r>
          </w:p>
        </w:tc>
        <w:tc>
          <w:tcPr>
            <w:tcW w:w="100" w:type="dxa"/>
            <w:vAlign w:val="bottom"/>
            <w:shd w:val="clear" w:color="auto" w:fill="CCEEFF"/>
          </w:tcPr>
          <w:p>
            <w:pPr>
              <w:spacing w:after="0"/>
              <w:rPr>
                <w:sz w:val="20"/>
                <w:szCs w:val="20"/>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62"/>
              <w:spacing w:after="0"/>
              <w:rPr>
                <w:sz w:val="20"/>
                <w:szCs w:val="20"/>
                <w:color w:val="auto"/>
              </w:rPr>
            </w:pPr>
            <w:r>
              <w:rPr>
                <w:rFonts w:ascii="Arial" w:cs="Arial" w:eastAsia="Arial" w:hAnsi="Arial"/>
                <w:sz w:val="18"/>
                <w:szCs w:val="18"/>
                <w:color w:val="auto"/>
              </w:rPr>
              <w:t>1,736</w:t>
            </w:r>
          </w:p>
        </w:tc>
        <w:tc>
          <w:tcPr>
            <w:tcW w:w="3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79"/>
              <w:spacing w:after="0"/>
              <w:rPr>
                <w:sz w:val="20"/>
                <w:szCs w:val="20"/>
                <w:color w:val="auto"/>
              </w:rPr>
            </w:pPr>
            <w:r>
              <w:rPr>
                <w:rFonts w:ascii="Arial" w:cs="Arial" w:eastAsia="Arial" w:hAnsi="Arial"/>
                <w:sz w:val="18"/>
                <w:szCs w:val="18"/>
                <w:color w:val="auto"/>
              </w:rPr>
              <w:t>5,221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4320" w:type="dxa"/>
            <w:vAlign w:val="bottom"/>
            <w:tcBorders>
              <w:bottom w:val="single" w:sz="8" w:color="CCEEFF"/>
            </w:tcBorders>
            <w:shd w:val="clear" w:color="auto" w:fill="CCEEFF"/>
          </w:tcPr>
          <w:p>
            <w:pPr>
              <w:spacing w:after="0"/>
              <w:rPr>
                <w:sz w:val="12"/>
                <w:szCs w:val="12"/>
                <w:color w:val="auto"/>
              </w:rPr>
            </w:pPr>
          </w:p>
        </w:tc>
        <w:tc>
          <w:tcPr>
            <w:tcW w:w="1960" w:type="dxa"/>
            <w:vAlign w:val="bottom"/>
            <w:tcBorders>
              <w:bottom w:val="single" w:sz="8" w:color="CCEEFF"/>
            </w:tcBorders>
            <w:gridSpan w:val="2"/>
            <w:vMerge w:val="continue"/>
            <w:shd w:val="clear" w:color="auto" w:fill="CCEEFF"/>
          </w:tcPr>
          <w:p>
            <w:pPr>
              <w:spacing w:after="0"/>
              <w:rPr>
                <w:sz w:val="12"/>
                <w:szCs w:val="12"/>
                <w:color w:val="auto"/>
              </w:rPr>
            </w:pP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360" w:type="dxa"/>
            <w:vAlign w:val="bottom"/>
            <w:tcBorders>
              <w:bottom w:val="single" w:sz="8" w:color="CCEEFF"/>
            </w:tcBorders>
            <w:vMerge w:val="continue"/>
            <w:shd w:val="clear" w:color="auto" w:fill="CCEEFF"/>
          </w:tcPr>
          <w:p>
            <w:pPr>
              <w:spacing w:after="0"/>
              <w:rPr>
                <w:sz w:val="12"/>
                <w:szCs w:val="12"/>
                <w:color w:val="auto"/>
              </w:rPr>
            </w:pPr>
          </w:p>
        </w:tc>
        <w:tc>
          <w:tcPr>
            <w:tcW w:w="9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vMerge w:val="continue"/>
            <w:shd w:val="clear" w:color="auto" w:fill="CCEEFF"/>
          </w:tcPr>
          <w:p>
            <w:pPr>
              <w:spacing w:after="0"/>
              <w:rPr>
                <w:sz w:val="12"/>
                <w:szCs w:val="12"/>
                <w:color w:val="auto"/>
              </w:rPr>
            </w:pPr>
          </w:p>
        </w:tc>
        <w:tc>
          <w:tcPr>
            <w:tcW w:w="840" w:type="dxa"/>
            <w:vAlign w:val="bottom"/>
            <w:tcBorders>
              <w:bottom w:val="single" w:sz="8" w:color="CCEEFF"/>
            </w:tcBorders>
            <w:vMerge w:val="continue"/>
            <w:shd w:val="clear" w:color="auto" w:fill="CCEEFF"/>
          </w:tcPr>
          <w:p>
            <w:pPr>
              <w:spacing w:after="0"/>
              <w:rPr>
                <w:sz w:val="12"/>
                <w:szCs w:val="12"/>
                <w:color w:val="auto"/>
              </w:rPr>
            </w:pPr>
          </w:p>
        </w:tc>
        <w:tc>
          <w:tcPr>
            <w:tcW w:w="360" w:type="dxa"/>
            <w:vAlign w:val="bottom"/>
            <w:tcBorders>
              <w:bottom w:val="single" w:sz="8" w:color="CCEEFF"/>
            </w:tcBorders>
            <w:vMerge w:val="continue"/>
            <w:shd w:val="clear" w:color="auto" w:fill="CCEEFF"/>
          </w:tcPr>
          <w:p>
            <w:pPr>
              <w:spacing w:after="0"/>
              <w:rPr>
                <w:sz w:val="12"/>
                <w:szCs w:val="12"/>
                <w:color w:val="auto"/>
              </w:rPr>
            </w:pPr>
          </w:p>
        </w:tc>
        <w:tc>
          <w:tcPr>
            <w:tcW w:w="980" w:type="dxa"/>
            <w:vAlign w:val="bottom"/>
            <w:tcBorders>
              <w:bottom w:val="single" w:sz="8" w:color="CCEEFF"/>
            </w:tcBorders>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4"/>
        </w:trPr>
        <w:tc>
          <w:tcPr>
            <w:tcW w:w="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720" w:type="dxa"/>
            <w:vAlign w:val="bottom"/>
          </w:tcPr>
          <w:p>
            <w:pPr>
              <w:jc w:val="right"/>
              <w:ind w:right="270"/>
              <w:spacing w:after="0"/>
              <w:rPr>
                <w:sz w:val="20"/>
                <w:szCs w:val="20"/>
                <w:color w:val="auto"/>
              </w:rPr>
            </w:pPr>
            <w:r>
              <w:rPr>
                <w:rFonts w:ascii="Arial" w:cs="Arial" w:eastAsia="Arial" w:hAnsi="Arial"/>
                <w:sz w:val="18"/>
                <w:szCs w:val="18"/>
                <w:color w:val="231F20"/>
              </w:rPr>
              <w:t>24</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records its derivative assets and liabilities at fair value on its consolidated balance sheet. The following table presents assets and liabilities measured and recorded at fair value on the Company's consolidated balance sheets on a recurring basis and their level within the fair value hierarchy:</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As of June 30, 2020</w:t>
            </w: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As of December 31, 2019</w:t>
            </w:r>
          </w:p>
        </w:tc>
      </w:tr>
      <w:tr>
        <w:trPr>
          <w:trHeight w:val="186"/>
        </w:trPr>
        <w:tc>
          <w:tcPr>
            <w:tcW w:w="5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9"/>
                <w:szCs w:val="9"/>
                <w:b w:val="1"/>
                <w:bCs w:val="1"/>
                <w:color w:val="auto"/>
              </w:rPr>
              <w:t>(a)</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9"/>
                <w:szCs w:val="9"/>
                <w:b w:val="1"/>
                <w:bCs w:val="1"/>
                <w:color w:val="auto"/>
              </w:rPr>
              <w:t>(a)</w:t>
            </w:r>
          </w:p>
        </w:tc>
        <w:tc>
          <w:tcPr>
            <w:tcW w:w="920" w:type="dxa"/>
            <w:vAlign w:val="bottom"/>
            <w:tcBorders>
              <w:bottom w:val="single" w:sz="8" w:color="auto"/>
            </w:tcBorders>
          </w:tcPr>
          <w:p>
            <w:pPr>
              <w:spacing w:after="0"/>
              <w:rPr>
                <w:sz w:val="16"/>
                <w:szCs w:val="16"/>
                <w:color w:val="auto"/>
              </w:rPr>
            </w:pPr>
          </w:p>
        </w:tc>
      </w:tr>
      <w:tr>
        <w:trPr>
          <w:trHeight w:val="192"/>
        </w:trPr>
        <w:tc>
          <w:tcPr>
            <w:tcW w:w="56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36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380" w:type="dxa"/>
            <w:vAlign w:val="bottom"/>
          </w:tcPr>
          <w:p>
            <w:pPr>
              <w:spacing w:after="0"/>
              <w:rPr>
                <w:sz w:val="16"/>
                <w:szCs w:val="16"/>
                <w:color w:val="auto"/>
              </w:rPr>
            </w:pPr>
          </w:p>
        </w:tc>
        <w:tc>
          <w:tcPr>
            <w:tcW w:w="920" w:type="dxa"/>
            <w:vAlign w:val="bottom"/>
          </w:tcPr>
          <w:p>
            <w:pPr>
              <w:jc w:val="right"/>
              <w:ind w:right="335"/>
              <w:spacing w:after="0"/>
              <w:rPr>
                <w:sz w:val="20"/>
                <w:szCs w:val="20"/>
                <w:color w:val="auto"/>
              </w:rPr>
            </w:pPr>
            <w:r>
              <w:rPr>
                <w:rFonts w:ascii="Arial" w:cs="Arial" w:eastAsia="Arial" w:hAnsi="Arial"/>
                <w:sz w:val="14"/>
                <w:szCs w:val="14"/>
                <w:b w:val="1"/>
                <w:bCs w:val="1"/>
                <w:color w:val="auto"/>
              </w:rPr>
              <w:t>Level 3</w:t>
            </w: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Commodity contracts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Interest rate contracts</w:t>
            </w:r>
          </w:p>
        </w:tc>
        <w:tc>
          <w:tcPr>
            <w:tcW w:w="260" w:type="dxa"/>
            <w:vAlign w:val="bottom"/>
          </w:tcPr>
          <w:p>
            <w:pPr>
              <w:spacing w:after="0"/>
              <w:rPr>
                <w:sz w:val="21"/>
                <w:szCs w:val="21"/>
                <w:color w:val="auto"/>
              </w:rPr>
            </w:pPr>
          </w:p>
        </w:tc>
        <w:tc>
          <w:tcPr>
            <w:tcW w:w="1040" w:type="dxa"/>
            <w:vAlign w:val="bottom"/>
          </w:tcPr>
          <w:p>
            <w:pPr>
              <w:jc w:val="right"/>
              <w:ind w:right="79"/>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ind w:left="680"/>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75"/>
              <w:spacing w:after="0"/>
              <w:rPr>
                <w:sz w:val="20"/>
                <w:szCs w:val="20"/>
                <w:color w:val="auto"/>
              </w:rPr>
            </w:pPr>
            <w:r>
              <w:rPr>
                <w:rFonts w:ascii="Arial" w:cs="Arial" w:eastAsia="Arial" w:hAnsi="Arial"/>
                <w:sz w:val="18"/>
                <w:szCs w:val="18"/>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8"/>
        </w:trPr>
        <w:tc>
          <w:tcPr>
            <w:tcW w:w="5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216</w:t>
            </w: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83</w:t>
            </w:r>
          </w:p>
        </w:tc>
        <w:tc>
          <w:tcPr>
            <w:tcW w:w="1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480" w:hanging="148"/>
        <w:spacing w:after="0"/>
        <w:tabs>
          <w:tab w:leader="none" w:pos="48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There were no derivative assets classified as Level 1, Level 2 or Level 3 and no liabilities classified as Level 1 as of June 30, 2020 and as of December 31, 2019.</w:t>
      </w:r>
    </w:p>
    <w:p>
      <w:pPr>
        <w:spacing w:after="0" w:line="140" w:lineRule="exact"/>
        <w:rPr>
          <w:sz w:val="20"/>
          <w:szCs w:val="20"/>
          <w:color w:val="auto"/>
        </w:rPr>
      </w:pPr>
    </w:p>
    <w:p>
      <w:pPr>
        <w:ind w:right="440" w:firstLine="405"/>
        <w:spacing w:after="0" w:line="271" w:lineRule="auto"/>
        <w:rPr>
          <w:sz w:val="20"/>
          <w:szCs w:val="20"/>
          <w:color w:val="auto"/>
        </w:rPr>
      </w:pPr>
      <w:r>
        <w:rPr>
          <w:rFonts w:ascii="Arial" w:cs="Arial" w:eastAsia="Arial" w:hAnsi="Arial"/>
          <w:sz w:val="18"/>
          <w:szCs w:val="18"/>
          <w:color w:val="auto"/>
        </w:rPr>
        <w:t>The following table reconciles the beginning and ending balances for instruments that are recognized at fair value in the condensed consolidated financial statements using significant unobservable inputs:</w:t>
      </w:r>
    </w:p>
    <w:tbl>
      <w:tblPr>
        <w:tblLayout w:type="fixed"/>
        <w:tblInd w:w="0" w:type="dxa"/>
        <w:tblCellMar>
          <w:top w:w="0" w:type="dxa"/>
          <w:left w:w="0" w:type="dxa"/>
          <w:bottom w:w="0" w:type="dxa"/>
          <w:right w:w="0" w:type="dxa"/>
        </w:tblCellMar>
      </w:tblPr>
      <w:tr>
        <w:trPr>
          <w:trHeight w:val="181"/>
        </w:trPr>
        <w:tc>
          <w:tcPr>
            <w:tcW w:w="6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gridSpan w:val="6"/>
          </w:tcPr>
          <w:p>
            <w:pPr>
              <w:jc w:val="center"/>
              <w:ind w:right="200"/>
              <w:spacing w:after="0" w:line="182" w:lineRule="exact"/>
              <w:rPr>
                <w:sz w:val="20"/>
                <w:szCs w:val="20"/>
                <w:color w:val="auto"/>
              </w:rPr>
            </w:pPr>
            <w:r>
              <w:rPr>
                <w:rFonts w:ascii="Arial" w:cs="Arial" w:eastAsia="Arial" w:hAnsi="Arial"/>
                <w:sz w:val="18"/>
                <w:szCs w:val="18"/>
                <w:b w:val="1"/>
                <w:bCs w:val="1"/>
                <w:color w:val="auto"/>
                <w:w w:val="88"/>
              </w:rPr>
              <w:t>Three months ended June</w:t>
            </w:r>
          </w:p>
        </w:tc>
        <w:tc>
          <w:tcPr>
            <w:tcW w:w="140" w:type="dxa"/>
            <w:vAlign w:val="bottom"/>
          </w:tcPr>
          <w:p>
            <w:pPr>
              <w:spacing w:after="0"/>
              <w:rPr>
                <w:sz w:val="15"/>
                <w:szCs w:val="15"/>
                <w:color w:val="auto"/>
              </w:rPr>
            </w:pPr>
          </w:p>
        </w:tc>
        <w:tc>
          <w:tcPr>
            <w:tcW w:w="2160" w:type="dxa"/>
            <w:vAlign w:val="bottom"/>
            <w:gridSpan w:val="5"/>
            <w:vMerge w:val="restart"/>
          </w:tcPr>
          <w:p>
            <w:pPr>
              <w:jc w:val="center"/>
              <w:spacing w:after="0"/>
              <w:rPr>
                <w:sz w:val="20"/>
                <w:szCs w:val="20"/>
                <w:color w:val="auto"/>
              </w:rPr>
            </w:pPr>
            <w:r>
              <w:rPr>
                <w:rFonts w:ascii="Arial" w:cs="Arial" w:eastAsia="Arial" w:hAnsi="Arial"/>
                <w:sz w:val="18"/>
                <w:szCs w:val="18"/>
                <w:b w:val="1"/>
                <w:bCs w:val="1"/>
                <w:color w:val="auto"/>
                <w:w w:val="87"/>
              </w:rPr>
              <w:t>Six months ended June 30,</w:t>
            </w:r>
          </w:p>
        </w:tc>
        <w:tc>
          <w:tcPr>
            <w:tcW w:w="0" w:type="dxa"/>
            <w:vAlign w:val="bottom"/>
          </w:tcPr>
          <w:p>
            <w:pPr>
              <w:spacing w:after="0"/>
              <w:rPr>
                <w:sz w:val="1"/>
                <w:szCs w:val="1"/>
                <w:color w:val="auto"/>
              </w:rPr>
            </w:pPr>
          </w:p>
        </w:tc>
      </w:tr>
      <w:tr>
        <w:trPr>
          <w:trHeight w:val="229"/>
        </w:trPr>
        <w:tc>
          <w:tcPr>
            <w:tcW w:w="6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w w:val="87"/>
              </w:rPr>
              <w:t>30,</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8"/>
        </w:trPr>
        <w:tc>
          <w:tcPr>
            <w:tcW w:w="6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60" w:type="dxa"/>
            <w:vAlign w:val="bottom"/>
            <w:gridSpan w:val="6"/>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91"/>
              </w:rPr>
              <w:t>Fair Value Measurement</w:t>
            </w:r>
          </w:p>
        </w:tc>
        <w:tc>
          <w:tcPr>
            <w:tcW w:w="140" w:type="dxa"/>
            <w:vAlign w:val="bottom"/>
            <w:shd w:val="clear" w:color="auto" w:fill="CCEEFF"/>
          </w:tcPr>
          <w:p>
            <w:pPr>
              <w:spacing w:after="0"/>
              <w:rPr>
                <w:sz w:val="18"/>
                <w:szCs w:val="18"/>
                <w:color w:val="auto"/>
              </w:rPr>
            </w:pPr>
          </w:p>
        </w:tc>
        <w:tc>
          <w:tcPr>
            <w:tcW w:w="2160" w:type="dxa"/>
            <w:vAlign w:val="bottom"/>
            <w:gridSpan w:val="5"/>
            <w:shd w:val="clear" w:color="auto" w:fill="CCEEFF"/>
          </w:tcPr>
          <w:p>
            <w:pPr>
              <w:jc w:val="center"/>
              <w:ind w:right="50"/>
              <w:spacing w:after="0"/>
              <w:rPr>
                <w:sz w:val="20"/>
                <w:szCs w:val="20"/>
                <w:color w:val="auto"/>
              </w:rPr>
            </w:pPr>
            <w:r>
              <w:rPr>
                <w:rFonts w:ascii="Arial" w:cs="Arial" w:eastAsia="Arial" w:hAnsi="Arial"/>
                <w:sz w:val="18"/>
                <w:szCs w:val="18"/>
                <w:b w:val="1"/>
                <w:bCs w:val="1"/>
                <w:color w:val="auto"/>
                <w:w w:val="91"/>
              </w:rPr>
              <w:t>Fair Value Measurement</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60" w:type="dxa"/>
            <w:vAlign w:val="bottom"/>
            <w:gridSpan w:val="6"/>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88"/>
              </w:rPr>
              <w:t>Using Significant</w:t>
            </w:r>
          </w:p>
        </w:tc>
        <w:tc>
          <w:tcPr>
            <w:tcW w:w="140" w:type="dxa"/>
            <w:vAlign w:val="bottom"/>
            <w:shd w:val="clear" w:color="auto" w:fill="CCEEFF"/>
          </w:tcPr>
          <w:p>
            <w:pPr>
              <w:spacing w:after="0"/>
              <w:rPr>
                <w:sz w:val="18"/>
                <w:szCs w:val="18"/>
                <w:color w:val="auto"/>
              </w:rPr>
            </w:pPr>
          </w:p>
        </w:tc>
        <w:tc>
          <w:tcPr>
            <w:tcW w:w="2160" w:type="dxa"/>
            <w:vAlign w:val="bottom"/>
            <w:gridSpan w:val="5"/>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89"/>
              </w:rPr>
              <w:t>Using Significant</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18"/>
                <w:szCs w:val="18"/>
                <w:color w:val="auto"/>
              </w:rPr>
            </w:pPr>
          </w:p>
        </w:tc>
        <w:tc>
          <w:tcPr>
            <w:tcW w:w="2400" w:type="dxa"/>
            <w:vAlign w:val="bottom"/>
            <w:gridSpan w:val="7"/>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1"/>
              </w:rPr>
              <w:t>Unobservable Inputs (Level</w:t>
            </w:r>
          </w:p>
        </w:tc>
        <w:tc>
          <w:tcPr>
            <w:tcW w:w="2300" w:type="dxa"/>
            <w:vAlign w:val="bottom"/>
            <w:gridSpan w:val="6"/>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Unobservable Inputs (Level</w:t>
            </w:r>
          </w:p>
        </w:tc>
        <w:tc>
          <w:tcPr>
            <w:tcW w:w="0" w:type="dxa"/>
            <w:vAlign w:val="bottom"/>
          </w:tcPr>
          <w:p>
            <w:pPr>
              <w:spacing w:after="0"/>
              <w:rPr>
                <w:sz w:val="1"/>
                <w:szCs w:val="1"/>
                <w:color w:val="auto"/>
              </w:rPr>
            </w:pPr>
          </w:p>
        </w:tc>
      </w:tr>
      <w:tr>
        <w:trPr>
          <w:trHeight w:val="255"/>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w:t>
            </w:r>
          </w:p>
        </w:tc>
        <w:tc>
          <w:tcPr>
            <w:tcW w:w="8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gridSpan w:val="3"/>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87"/>
              </w:rPr>
              <w:t>3)</w:t>
            </w:r>
          </w:p>
        </w:tc>
        <w:tc>
          <w:tcPr>
            <w:tcW w:w="8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Beginning balance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ind w:left="54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losses for the period included in earnings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Purchases</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ind w:left="5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180"/>
              <w:spacing w:after="0" w:line="163" w:lineRule="exact"/>
              <w:rPr>
                <w:sz w:val="20"/>
                <w:szCs w:val="20"/>
                <w:color w:val="auto"/>
              </w:rPr>
            </w:pPr>
            <w:r>
              <w:rPr>
                <w:rFonts w:ascii="Arial" w:cs="Arial" w:eastAsia="Arial" w:hAnsi="Arial"/>
                <w:sz w:val="18"/>
                <w:szCs w:val="18"/>
                <w:color w:val="auto"/>
                <w:w w:val="95"/>
              </w:rPr>
              <w:t>Change in unrealized losses included in earnings for derivatives held as of June 30,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540" w:type="dxa"/>
            <w:vAlign w:val="bottom"/>
            <w:vMerge w:val="continue"/>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2020</w:t>
            </w:r>
          </w:p>
        </w:tc>
        <w:tc>
          <w:tcPr>
            <w:tcW w:w="14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Fair Value Measurements</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Company's contracts are non-exchange-traded and valued using prices provided by external sources. For some of the Company’s energy contracts, management receives quotes from multiple sources. To the extent that multiple quotes are received, the prices reflect the average of the bid-ask mid-point prices obtained from all sources believed to provide the most liquid market for the commodity. The remainder of the assets and liabilities represent contracts for which external sources or observable market quotes are not available. These contracts are valued based on various valuation techniques including, but not limited to, internal models based on a fundamental analysis of the market and extrapolation of the observable market data with similar characteristics. As of June 30, 2020, contracts valued with prices provided by models and other valuation techniques make up 7% of derivative liabilities.</w:t>
      </w:r>
    </w:p>
    <w:p>
      <w:pPr>
        <w:spacing w:after="0" w:line="14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significant position classified as Level 3 includes physical power executed in illiquid markets. The significant unobservable inputs used in developing fair value include illiquid power tenors and location pricing, which is derived by extrapolating pricing and as a basis to liquid locations. The tenor pricing and basis spread are based on observable market data when available or derived from historic prices and forward market prices from similar observable markets when not available.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5" w:name="page26"/>
    <w:bookmarkEnd w:id="25"/>
    <w:p>
      <w:pPr>
        <w:ind w:right="120" w:firstLine="405"/>
        <w:spacing w:after="0" w:line="277" w:lineRule="auto"/>
        <w:rPr>
          <w:sz w:val="20"/>
          <w:szCs w:val="20"/>
          <w:color w:val="auto"/>
        </w:rPr>
      </w:pPr>
      <w:r>
        <w:rPr>
          <w:rFonts w:ascii="Arial" w:cs="Arial" w:eastAsia="Arial" w:hAnsi="Arial"/>
          <w:sz w:val="18"/>
          <w:szCs w:val="18"/>
          <w:color w:val="auto"/>
        </w:rPr>
        <w:t>The following tables quantify the significant unobservable inputs used in developing the fair value of the Company's Level 3 positions as of June 30, 2020:</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June 30, 2020</w:t>
            </w:r>
          </w:p>
        </w:tc>
        <w:tc>
          <w:tcPr>
            <w:tcW w:w="1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20" w:type="dxa"/>
            <w:vAlign w:val="bottom"/>
          </w:tcPr>
          <w:p>
            <w:pPr>
              <w:ind w:left="100"/>
              <w:spacing w:after="0"/>
              <w:rPr>
                <w:sz w:val="20"/>
                <w:szCs w:val="20"/>
                <w:color w:val="auto"/>
              </w:rPr>
            </w:pPr>
            <w:r>
              <w:rPr>
                <w:rFonts w:ascii="Arial" w:cs="Arial" w:eastAsia="Arial" w:hAnsi="Arial"/>
                <w:sz w:val="18"/>
                <w:szCs w:val="18"/>
                <w:b w:val="1"/>
                <w:bCs w:val="1"/>
                <w:color w:val="auto"/>
              </w:rPr>
              <w:t>Fair Value</w:t>
            </w: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Input/Range</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Significant</w:t>
            </w:r>
          </w:p>
        </w:tc>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3"/>
              </w:rPr>
              <w:t>Valuation</w:t>
            </w:r>
          </w:p>
        </w:tc>
        <w:tc>
          <w:tcPr>
            <w:tcW w:w="16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Unobservable</w:t>
            </w:r>
          </w:p>
        </w:tc>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34"/>
        </w:trPr>
        <w:tc>
          <w:tcPr>
            <w:tcW w:w="1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ind w:left="140"/>
              <w:spacing w:after="0"/>
              <w:rPr>
                <w:sz w:val="20"/>
                <w:szCs w:val="20"/>
                <w:color w:val="auto"/>
              </w:rPr>
            </w:pPr>
            <w:r>
              <w:rPr>
                <w:rFonts w:ascii="Arial" w:cs="Arial" w:eastAsia="Arial" w:hAnsi="Arial"/>
                <w:sz w:val="18"/>
                <w:szCs w:val="18"/>
                <w:b w:val="1"/>
                <w:bCs w:val="1"/>
                <w:color w:val="auto"/>
              </w:rPr>
              <w:t>Assets</w:t>
            </w:r>
          </w:p>
        </w:tc>
        <w:tc>
          <w:tcPr>
            <w:tcW w:w="1120" w:type="dxa"/>
            <w:vAlign w:val="bottom"/>
          </w:tcPr>
          <w:p>
            <w:pPr>
              <w:ind w:left="100"/>
              <w:spacing w:after="0"/>
              <w:rPr>
                <w:sz w:val="20"/>
                <w:szCs w:val="20"/>
                <w:color w:val="auto"/>
              </w:rPr>
            </w:pPr>
            <w:r>
              <w:rPr>
                <w:rFonts w:ascii="Arial" w:cs="Arial" w:eastAsia="Arial" w:hAnsi="Arial"/>
                <w:sz w:val="18"/>
                <w:szCs w:val="18"/>
                <w:b w:val="1"/>
                <w:bCs w:val="1"/>
                <w:color w:val="auto"/>
              </w:rPr>
              <w:t>Liabilities</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8"/>
              </w:rPr>
              <w:t>Technique</w:t>
            </w:r>
          </w:p>
        </w:tc>
        <w:tc>
          <w:tcPr>
            <w:tcW w:w="160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Input</w:t>
            </w: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Low</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4"/>
              </w:rPr>
              <w:t>High</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7"/>
        </w:trPr>
        <w:tc>
          <w:tcPr>
            <w:tcW w:w="18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8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Discounted Cash</w:t>
            </w:r>
          </w:p>
        </w:tc>
        <w:tc>
          <w:tcPr>
            <w:tcW w:w="160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3"/>
              </w:rPr>
              <w:t>Forward Market</w:t>
            </w:r>
          </w:p>
        </w:tc>
        <w:tc>
          <w:tcPr>
            <w:tcW w:w="1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Power Contracts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Flow</w:t>
            </w:r>
          </w:p>
        </w:tc>
        <w:tc>
          <w:tcPr>
            <w:tcW w:w="160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4"/>
              </w:rPr>
              <w:t>Price (per MWh)</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8.71</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40.55</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7"/>
        </w:trPr>
        <w:tc>
          <w:tcPr>
            <w:tcW w:w="18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provides sensitivity of fair value measurements to increases/(decreases) in significant unobservable inputs as of June 30, 2020:</w:t>
      </w:r>
    </w:p>
    <w:p>
      <w:pPr>
        <w:spacing w:after="0" w:line="82"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3"/>
              </w:rPr>
              <w:t>Impact on Fair Value</w:t>
            </w:r>
          </w:p>
        </w:tc>
      </w:tr>
      <w:tr>
        <w:trPr>
          <w:trHeight w:val="234"/>
        </w:trPr>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91"/>
              </w:rPr>
              <w:t>Significant Observable Input</w:t>
            </w:r>
          </w:p>
        </w:tc>
        <w:tc>
          <w:tcPr>
            <w:tcW w:w="1940" w:type="dxa"/>
            <w:vAlign w:val="bottom"/>
          </w:tcPr>
          <w:p>
            <w:pPr>
              <w:jc w:val="center"/>
              <w:ind w:left="70"/>
              <w:spacing w:after="0"/>
              <w:rPr>
                <w:sz w:val="20"/>
                <w:szCs w:val="20"/>
                <w:color w:val="auto"/>
              </w:rPr>
            </w:pPr>
            <w:r>
              <w:rPr>
                <w:rFonts w:ascii="Arial" w:cs="Arial" w:eastAsia="Arial" w:hAnsi="Arial"/>
                <w:sz w:val="18"/>
                <w:szCs w:val="18"/>
                <w:b w:val="1"/>
                <w:bCs w:val="1"/>
                <w:color w:val="auto"/>
                <w:w w:val="87"/>
              </w:rPr>
              <w:t>Position</w:t>
            </w:r>
          </w:p>
        </w:tc>
        <w:tc>
          <w:tcPr>
            <w:tcW w:w="232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Change In Input</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89"/>
              </w:rPr>
              <w:t>Measurement</w:t>
            </w:r>
          </w:p>
        </w:tc>
      </w:tr>
      <w:tr>
        <w:trPr>
          <w:trHeight w:val="27"/>
        </w:trPr>
        <w:tc>
          <w:tcPr>
            <w:tcW w:w="36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43"/>
        </w:trPr>
        <w:tc>
          <w:tcPr>
            <w:tcW w:w="3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Forward Market Price Power</w:t>
            </w:r>
          </w:p>
        </w:tc>
        <w:tc>
          <w:tcPr>
            <w:tcW w:w="194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6"/>
              </w:rPr>
              <w:t>Buy</w:t>
            </w:r>
          </w:p>
        </w:tc>
        <w:tc>
          <w:tcPr>
            <w:tcW w:w="232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88"/>
              </w:rPr>
              <w:t>Increase/(Decrease)</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Higher/(Lower)</w:t>
            </w:r>
          </w:p>
        </w:tc>
      </w:tr>
      <w:tr>
        <w:trPr>
          <w:trHeight w:val="243"/>
        </w:trPr>
        <w:tc>
          <w:tcPr>
            <w:tcW w:w="3680" w:type="dxa"/>
            <w:vAlign w:val="bottom"/>
          </w:tcPr>
          <w:p>
            <w:pPr>
              <w:jc w:val="center"/>
              <w:spacing w:after="0"/>
              <w:rPr>
                <w:sz w:val="20"/>
                <w:szCs w:val="20"/>
                <w:color w:val="auto"/>
              </w:rPr>
            </w:pPr>
            <w:r>
              <w:rPr>
                <w:rFonts w:ascii="Arial" w:cs="Arial" w:eastAsia="Arial" w:hAnsi="Arial"/>
                <w:sz w:val="18"/>
                <w:szCs w:val="18"/>
                <w:color w:val="auto"/>
                <w:w w:val="92"/>
              </w:rPr>
              <w:t>Forward Market Price Power</w:t>
            </w:r>
          </w:p>
        </w:tc>
        <w:tc>
          <w:tcPr>
            <w:tcW w:w="1940" w:type="dxa"/>
            <w:vAlign w:val="bottom"/>
          </w:tcPr>
          <w:p>
            <w:pPr>
              <w:jc w:val="center"/>
              <w:ind w:left="90"/>
              <w:spacing w:after="0"/>
              <w:rPr>
                <w:sz w:val="20"/>
                <w:szCs w:val="20"/>
                <w:color w:val="auto"/>
              </w:rPr>
            </w:pPr>
            <w:r>
              <w:rPr>
                <w:rFonts w:ascii="Arial" w:cs="Arial" w:eastAsia="Arial" w:hAnsi="Arial"/>
                <w:sz w:val="18"/>
                <w:szCs w:val="18"/>
                <w:color w:val="auto"/>
                <w:w w:val="93"/>
              </w:rPr>
              <w:t>Sell</w:t>
            </w:r>
          </w:p>
        </w:tc>
        <w:tc>
          <w:tcPr>
            <w:tcW w:w="2320" w:type="dxa"/>
            <w:vAlign w:val="bottom"/>
          </w:tcPr>
          <w:p>
            <w:pPr>
              <w:jc w:val="center"/>
              <w:ind w:left="190"/>
              <w:spacing w:after="0"/>
              <w:rPr>
                <w:sz w:val="20"/>
                <w:szCs w:val="20"/>
                <w:color w:val="auto"/>
              </w:rPr>
            </w:pPr>
            <w:r>
              <w:rPr>
                <w:rFonts w:ascii="Arial" w:cs="Arial" w:eastAsia="Arial" w:hAnsi="Arial"/>
                <w:sz w:val="18"/>
                <w:szCs w:val="18"/>
                <w:color w:val="auto"/>
                <w:w w:val="88"/>
              </w:rPr>
              <w:t>Increase/(Decrease)</w:t>
            </w:r>
          </w:p>
        </w:tc>
        <w:tc>
          <w:tcPr>
            <w:tcW w:w="2220" w:type="dxa"/>
            <w:vAlign w:val="bottom"/>
          </w:tcPr>
          <w:p>
            <w:pPr>
              <w:jc w:val="center"/>
              <w:spacing w:after="0"/>
              <w:rPr>
                <w:sz w:val="20"/>
                <w:szCs w:val="20"/>
                <w:color w:val="auto"/>
              </w:rPr>
            </w:pPr>
            <w:r>
              <w:rPr>
                <w:rFonts w:ascii="Arial" w:cs="Arial" w:eastAsia="Arial" w:hAnsi="Arial"/>
                <w:sz w:val="18"/>
                <w:szCs w:val="18"/>
                <w:color w:val="auto"/>
                <w:w w:val="94"/>
              </w:rPr>
              <w:t>Lower/(Higher)</w:t>
            </w:r>
          </w:p>
        </w:tc>
      </w:tr>
    </w:tbl>
    <w:p>
      <w:pPr>
        <w:spacing w:after="0" w:line="17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June 30, 2020, the non-performance reserve was a $13 million gain recorded primarily in interest expense in the consolidated statements of operations. It is possible that future market prices could vary from those used in recording assets and liabilities and such variations could be material.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 xml:space="preserve">In addition to the credit risk discussion in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w:t>
      </w:r>
      <w:r>
        <w:rPr>
          <w:rFonts w:ascii="Arial" w:cs="Arial" w:eastAsia="Arial" w:hAnsi="Arial"/>
          <w:sz w:val="17"/>
          <w:szCs w:val="17"/>
          <w:color w:val="231F20"/>
        </w:rPr>
        <w:t>to the</w:t>
      </w:r>
      <w:r>
        <w:rPr>
          <w:rFonts w:ascii="Arial" w:cs="Arial" w:eastAsia="Arial" w:hAnsi="Arial"/>
          <w:sz w:val="17"/>
          <w:szCs w:val="17"/>
          <w:color w:val="auto"/>
        </w:rPr>
        <w:t xml:space="preserve"> consolidated financial statements included in the </w:t>
      </w:r>
      <w:r>
        <w:rPr>
          <w:rFonts w:ascii="Arial" w:cs="Arial" w:eastAsia="Arial" w:hAnsi="Arial"/>
          <w:sz w:val="17"/>
          <w:szCs w:val="17"/>
          <w:color w:val="231F20"/>
        </w:rPr>
        <w:t xml:space="preserve">Company's </w:t>
      </w:r>
      <w:r>
        <w:rPr>
          <w:rFonts w:ascii="Arial" w:cs="Arial" w:eastAsia="Arial" w:hAnsi="Arial"/>
          <w:sz w:val="17"/>
          <w:szCs w:val="17"/>
          <w:color w:val="000000"/>
        </w:rPr>
        <w:t>2019 Form 10-K, the following is a discussion of the concentration of credit risk for the Company's financial instruments. Credit risk relates to</w:t>
      </w:r>
      <w:r>
        <w:rPr>
          <w:rFonts w:ascii="Arial" w:cs="Arial" w:eastAsia="Arial" w:hAnsi="Arial"/>
          <w:sz w:val="17"/>
          <w:szCs w:val="17"/>
          <w:color w:val="231F20"/>
        </w:rPr>
        <w:t xml:space="preserve"> </w:t>
      </w:r>
      <w:r>
        <w:rPr>
          <w:rFonts w:ascii="Arial" w:cs="Arial" w:eastAsia="Arial" w:hAnsi="Arial"/>
          <w:sz w:val="17"/>
          <w:szCs w:val="17"/>
          <w:color w:val="000000"/>
        </w:rPr>
        <w:t>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(iii)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2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The majority of these power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w:t>
      </w:r>
    </w:p>
    <w:p>
      <w:pPr>
        <w:spacing w:after="0" w:line="1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January 31, 2019, PG&amp;E filed for reorganization under Chapter 11 of the U.S. Bankruptcy Code. On June 20, 2020, the Bankruptcy Court confirmed the PG&amp;E Plan, which provided for PG&amp;E to assume all of its PPAs with the Company. On July 1, 2020, PG&amp;E emerged from bankruptcy. The Company had $5 million in accounts receivable due from PG&amp;E for its consolidated projects that was previously recorded to non-current assets, and reclassified to current assets as of June 30, 2020, all of which was received in July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 xml:space="preserve">Note 6 — </w:t>
      </w:r>
      <w:r>
        <w:rPr>
          <w:rFonts w:ascii="Arial" w:cs="Arial" w:eastAsia="Arial" w:hAnsi="Arial"/>
          <w:sz w:val="18"/>
          <w:szCs w:val="18"/>
          <w:b w:val="1"/>
          <w:bCs w:val="1"/>
          <w:i w:val="1"/>
          <w:iCs w:val="1"/>
          <w:color w:val="auto"/>
        </w:rPr>
        <w:t>Derivative Instruments and Hedging Activities</w:t>
      </w:r>
    </w:p>
    <w:p>
      <w:pPr>
        <w:spacing w:after="0" w:line="17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 xml:space="preserve">This footnote should be read in conjunction with the complete description under Note 7, Accounting for Derivative Instruments and Hedging Activities, </w:t>
      </w:r>
      <w:r>
        <w:rPr>
          <w:rFonts w:ascii="Arial" w:cs="Arial" w:eastAsia="Arial" w:hAnsi="Arial"/>
          <w:sz w:val="18"/>
          <w:szCs w:val="18"/>
          <w:color w:val="231F20"/>
        </w:rPr>
        <w:t>to the</w:t>
      </w:r>
      <w:r>
        <w:rPr>
          <w:rFonts w:ascii="Arial" w:cs="Arial" w:eastAsia="Arial" w:hAnsi="Arial"/>
          <w:sz w:val="18"/>
          <w:szCs w:val="18"/>
          <w:color w:val="auto"/>
        </w:rPr>
        <w:t xml:space="preserve"> consolidated financial statements included in the Company's 2019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7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Company enters into interest rate swap agreements in order to hedge the variability of expected future cash interest payments. As of June 30, 2020, the Company had interest rate derivative instruments on non-recourse debt extending through 2043, a portion of which were designated as cash flow hedges. Under the interest rate swap agreements, the Company pays a fixed rate and the counterparties to the agreements pay a variable interest rate.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Energy-Related Commodities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June 30, 2020, the Company had energy-related derivative instruments extending through 2029. At June 30, 2020, these contracts were not designated as cash flow or fair value hedges.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Volumetric Underlying Derivative Transactions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net notional volume buy of the Company's open derivative transactions broken out by type: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20" w:type="dxa"/>
            <w:vAlign w:val="bottom"/>
            <w:gridSpan w:val="3"/>
          </w:tcPr>
          <w:p>
            <w:pPr>
              <w:jc w:val="right"/>
              <w:ind w:right="1255"/>
              <w:spacing w:after="0"/>
              <w:rPr>
                <w:sz w:val="20"/>
                <w:szCs w:val="20"/>
                <w:color w:val="auto"/>
              </w:rPr>
            </w:pPr>
            <w:r>
              <w:rPr>
                <w:rFonts w:ascii="Arial" w:cs="Arial" w:eastAsia="Arial" w:hAnsi="Arial"/>
                <w:sz w:val="14"/>
                <w:szCs w:val="14"/>
                <w:b w:val="1"/>
                <w:bCs w:val="1"/>
                <w:color w:val="auto"/>
              </w:rPr>
              <w:t>Total Volume</w:t>
            </w:r>
          </w:p>
        </w:tc>
      </w:tr>
      <w:tr>
        <w:trPr>
          <w:trHeight w:val="208"/>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June 30, 2020</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6"/>
              </w:rPr>
              <w:t>December 31, 2019</w:t>
            </w:r>
          </w:p>
        </w:tc>
      </w:tr>
      <w:tr>
        <w:trPr>
          <w:trHeight w:val="162"/>
        </w:trPr>
        <w:tc>
          <w:tcPr>
            <w:tcW w:w="2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Commodity</w:t>
            </w:r>
          </w:p>
        </w:tc>
        <w:tc>
          <w:tcPr>
            <w:tcW w:w="6440" w:type="dxa"/>
            <w:vAlign w:val="bottom"/>
            <w:gridSpan w:val="2"/>
          </w:tcPr>
          <w:p>
            <w:pPr>
              <w:spacing w:after="0"/>
              <w:rPr>
                <w:sz w:val="20"/>
                <w:szCs w:val="20"/>
                <w:color w:val="auto"/>
              </w:rPr>
            </w:pPr>
            <w:r>
              <w:rPr>
                <w:rFonts w:ascii="Arial" w:cs="Arial" w:eastAsia="Arial" w:hAnsi="Arial"/>
                <w:sz w:val="14"/>
                <w:szCs w:val="14"/>
                <w:b w:val="1"/>
                <w:bCs w:val="1"/>
                <w:color w:val="auto"/>
              </w:rPr>
              <w:t>Units</w:t>
            </w:r>
          </w:p>
        </w:tc>
        <w:tc>
          <w:tcPr>
            <w:tcW w:w="260" w:type="dxa"/>
            <w:vAlign w:val="bottom"/>
          </w:tcPr>
          <w:p>
            <w:pPr>
              <w:spacing w:after="0"/>
              <w:rPr>
                <w:sz w:val="14"/>
                <w:szCs w:val="14"/>
                <w:color w:val="auto"/>
              </w:rPr>
            </w:pPr>
          </w:p>
        </w:tc>
        <w:tc>
          <w:tcPr>
            <w:tcW w:w="3220" w:type="dxa"/>
            <w:vAlign w:val="bottom"/>
            <w:gridSpan w:val="3"/>
          </w:tcPr>
          <w:p>
            <w:pPr>
              <w:ind w:left="1100"/>
              <w:spacing w:after="0"/>
              <w:rPr>
                <w:sz w:val="20"/>
                <w:szCs w:val="20"/>
                <w:color w:val="auto"/>
              </w:rPr>
            </w:pPr>
            <w:r>
              <w:rPr>
                <w:rFonts w:ascii="Arial" w:cs="Arial" w:eastAsia="Arial" w:hAnsi="Arial"/>
                <w:sz w:val="14"/>
                <w:szCs w:val="14"/>
                <w:b w:val="1"/>
                <w:bCs w:val="1"/>
                <w:color w:val="auto"/>
              </w:rPr>
              <w:t>(In millions)</w:t>
            </w:r>
          </w:p>
        </w:tc>
      </w:tr>
      <w:tr>
        <w:trPr>
          <w:trHeight w:val="21"/>
        </w:trPr>
        <w:tc>
          <w:tcPr>
            <w:tcW w:w="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Natural Gas</w:t>
            </w:r>
          </w:p>
        </w:tc>
        <w:tc>
          <w:tcPr>
            <w:tcW w:w="6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MMBtu</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w:t>
            </w:r>
          </w:p>
        </w:tc>
      </w:tr>
      <w:tr>
        <w:trPr>
          <w:trHeight w:val="243"/>
        </w:trPr>
        <w:tc>
          <w:tcPr>
            <w:tcW w:w="20" w:type="dxa"/>
            <w:vAlign w:val="bottom"/>
          </w:tcPr>
          <w:p>
            <w:pPr>
              <w:spacing w:after="0"/>
              <w:rPr>
                <w:sz w:val="21"/>
                <w:szCs w:val="21"/>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Power</w:t>
            </w:r>
          </w:p>
        </w:tc>
        <w:tc>
          <w:tcPr>
            <w:tcW w:w="6440" w:type="dxa"/>
            <w:vAlign w:val="bottom"/>
            <w:gridSpan w:val="2"/>
          </w:tcPr>
          <w:p>
            <w:pPr>
              <w:spacing w:after="0"/>
              <w:rPr>
                <w:sz w:val="20"/>
                <w:szCs w:val="20"/>
                <w:color w:val="auto"/>
              </w:rPr>
            </w:pPr>
            <w:r>
              <w:rPr>
                <w:rFonts w:ascii="Arial" w:cs="Arial" w:eastAsia="Arial" w:hAnsi="Arial"/>
                <w:sz w:val="18"/>
                <w:szCs w:val="18"/>
                <w:color w:val="auto"/>
              </w:rPr>
              <w:t>MWh</w:t>
            </w:r>
          </w:p>
        </w:tc>
        <w:tc>
          <w:tcPr>
            <w:tcW w:w="260" w:type="dxa"/>
            <w:vAlign w:val="bottom"/>
          </w:tcPr>
          <w:p>
            <w:pPr>
              <w:spacing w:after="0"/>
              <w:rPr>
                <w:sz w:val="21"/>
                <w:szCs w:val="21"/>
                <w:color w:val="auto"/>
              </w:rPr>
            </w:pPr>
          </w:p>
        </w:tc>
        <w:tc>
          <w:tcPr>
            <w:tcW w:w="1440" w:type="dxa"/>
            <w:vAlign w:val="bottom"/>
          </w:tcPr>
          <w:p>
            <w:pPr>
              <w:ind w:left="110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(2)</w:t>
            </w: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Dollars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1,965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1,788</w:t>
            </w:r>
          </w:p>
        </w:tc>
      </w:tr>
      <w:tr>
        <w:trPr>
          <w:trHeight w:val="27"/>
        </w:trPr>
        <w:tc>
          <w:tcPr>
            <w:tcW w:w="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fair value within the derivative instrument valuation on the balance sheet: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Fair Value</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80" w:type="dxa"/>
            <w:vAlign w:val="bottom"/>
            <w:tcBorders>
              <w:bottom w:val="single" w:sz="8" w:color="auto"/>
            </w:tcBorders>
            <w:gridSpan w:val="5"/>
          </w:tcPr>
          <w:p>
            <w:pPr>
              <w:jc w:val="right"/>
              <w:ind w:right="1012"/>
              <w:spacing w:after="0"/>
              <w:rPr>
                <w:sz w:val="20"/>
                <w:szCs w:val="20"/>
                <w:color w:val="auto"/>
              </w:rPr>
            </w:pPr>
            <w:r>
              <w:rPr>
                <w:rFonts w:ascii="Arial" w:cs="Arial" w:eastAsia="Arial" w:hAnsi="Arial"/>
                <w:sz w:val="14"/>
                <w:szCs w:val="14"/>
                <w:b w:val="1"/>
                <w:bCs w:val="1"/>
                <w:color w:val="auto"/>
              </w:rPr>
              <w:t>Derivative Liabilities</w:t>
            </w: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2020</w:t>
            </w:r>
          </w:p>
        </w:tc>
        <w:tc>
          <w:tcPr>
            <w:tcW w:w="4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December 31, 2019</w:t>
            </w: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w w:val="99"/>
              </w:rPr>
              <w:t>(In millions)</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4780" w:type="dxa"/>
            <w:vAlign w:val="bottom"/>
          </w:tcPr>
          <w:p>
            <w:pPr>
              <w:ind w:left="20"/>
              <w:spacing w:after="0"/>
              <w:rPr>
                <w:sz w:val="20"/>
                <w:szCs w:val="20"/>
                <w:color w:val="auto"/>
              </w:rPr>
            </w:pPr>
            <w:r>
              <w:rPr>
                <w:rFonts w:ascii="Arial" w:cs="Arial" w:eastAsia="Arial" w:hAnsi="Arial"/>
                <w:sz w:val="18"/>
                <w:szCs w:val="18"/>
                <w:color w:val="auto"/>
              </w:rPr>
              <w:t>Derivatives Designated as Cash Flow Hedges:</w:t>
            </w:r>
          </w:p>
        </w:tc>
        <w:tc>
          <w:tcPr>
            <w:tcW w:w="2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rate contracts current</w:t>
            </w:r>
          </w:p>
        </w:tc>
        <w:tc>
          <w:tcPr>
            <w:tcW w:w="4240" w:type="dxa"/>
            <w:vAlign w:val="bottom"/>
            <w:tcBorders>
              <w:bottom w:val="single" w:sz="8" w:color="CCEEFF"/>
            </w:tcBorders>
            <w:gridSpan w:val="3"/>
            <w:shd w:val="clear" w:color="auto" w:fill="CCEEFF"/>
          </w:tcPr>
          <w:p>
            <w:pPr>
              <w:jc w:val="right"/>
              <w:ind w:right="108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780" w:type="dxa"/>
            <w:vAlign w:val="bottom"/>
          </w:tcPr>
          <w:p>
            <w:pPr>
              <w:ind w:left="120"/>
              <w:spacing w:after="0"/>
              <w:rPr>
                <w:sz w:val="20"/>
                <w:szCs w:val="20"/>
                <w:color w:val="auto"/>
              </w:rPr>
            </w:pPr>
            <w:r>
              <w:rPr>
                <w:rFonts w:ascii="Arial" w:cs="Arial" w:eastAsia="Arial" w:hAnsi="Arial"/>
                <w:sz w:val="18"/>
                <w:szCs w:val="18"/>
                <w:color w:val="auto"/>
              </w:rPr>
              <w:t>Interest rate contracts long-term</w:t>
            </w:r>
          </w:p>
        </w:tc>
        <w:tc>
          <w:tcPr>
            <w:tcW w:w="2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20" w:type="dxa"/>
            <w:vAlign w:val="bottom"/>
          </w:tcPr>
          <w:p>
            <w:pPr>
              <w:jc w:val="right"/>
              <w:ind w:right="5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Derivatives Designated as Cash Flow Hedges</w:t>
            </w:r>
          </w:p>
        </w:tc>
        <w:tc>
          <w:tcPr>
            <w:tcW w:w="2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Derivatives Not Designated as Cash Flow Hedges:</w:t>
            </w: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rate contracts current</w:t>
            </w:r>
          </w:p>
        </w:tc>
        <w:tc>
          <w:tcPr>
            <w:tcW w:w="2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780" w:type="dxa"/>
            <w:vAlign w:val="bottom"/>
          </w:tcPr>
          <w:p>
            <w:pPr>
              <w:ind w:left="120"/>
              <w:spacing w:after="0"/>
              <w:rPr>
                <w:sz w:val="20"/>
                <w:szCs w:val="20"/>
                <w:color w:val="auto"/>
              </w:rPr>
            </w:pPr>
            <w:r>
              <w:rPr>
                <w:rFonts w:ascii="Arial" w:cs="Arial" w:eastAsia="Arial" w:hAnsi="Arial"/>
                <w:sz w:val="18"/>
                <w:szCs w:val="18"/>
                <w:color w:val="auto"/>
              </w:rPr>
              <w:t>Interest rate contracts long-term</w:t>
            </w:r>
          </w:p>
        </w:tc>
        <w:tc>
          <w:tcPr>
            <w:tcW w:w="2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20" w:type="dxa"/>
            <w:vAlign w:val="bottom"/>
          </w:tcPr>
          <w:p>
            <w:pPr>
              <w:jc w:val="right"/>
              <w:ind w:right="53"/>
              <w:spacing w:after="0"/>
              <w:rPr>
                <w:sz w:val="20"/>
                <w:szCs w:val="20"/>
                <w:color w:val="auto"/>
              </w:rPr>
            </w:pPr>
            <w:r>
              <w:rPr>
                <w:rFonts w:ascii="Arial" w:cs="Arial" w:eastAsia="Arial" w:hAnsi="Arial"/>
                <w:sz w:val="18"/>
                <w:szCs w:val="18"/>
                <w:color w:val="auto"/>
                <w:w w:val="86"/>
              </w:rPr>
              <w:t>155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Commodity contracts current</w:t>
            </w:r>
          </w:p>
        </w:tc>
        <w:tc>
          <w:tcPr>
            <w:tcW w:w="2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80" w:type="dxa"/>
            <w:vAlign w:val="bottom"/>
          </w:tcPr>
          <w:p>
            <w:pPr>
              <w:ind w:left="120"/>
              <w:spacing w:after="0"/>
              <w:rPr>
                <w:sz w:val="20"/>
                <w:szCs w:val="20"/>
                <w:color w:val="auto"/>
              </w:rPr>
            </w:pPr>
            <w:r>
              <w:rPr>
                <w:rFonts w:ascii="Arial" w:cs="Arial" w:eastAsia="Arial" w:hAnsi="Arial"/>
                <w:sz w:val="18"/>
                <w:szCs w:val="18"/>
                <w:color w:val="auto"/>
              </w:rPr>
              <w:t>Commodity contracts long-term</w:t>
            </w:r>
          </w:p>
        </w:tc>
        <w:tc>
          <w:tcPr>
            <w:tcW w:w="2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20" w:type="dxa"/>
            <w:vAlign w:val="bottom"/>
          </w:tcPr>
          <w:p>
            <w:pPr>
              <w:jc w:val="right"/>
              <w:ind w:right="5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Derivatives Not Designated as Cash Flow Hedges</w:t>
            </w:r>
          </w:p>
        </w:tc>
        <w:tc>
          <w:tcPr>
            <w:tcW w:w="2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86"/>
              </w:rPr>
              <w:t>205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64"/>
        </w:trPr>
        <w:tc>
          <w:tcPr>
            <w:tcW w:w="4780" w:type="dxa"/>
            <w:vAlign w:val="bottom"/>
          </w:tcPr>
          <w:p>
            <w:pPr>
              <w:ind w:left="20"/>
              <w:spacing w:after="0"/>
              <w:rPr>
                <w:sz w:val="20"/>
                <w:szCs w:val="20"/>
                <w:color w:val="auto"/>
              </w:rPr>
            </w:pPr>
            <w:r>
              <w:rPr>
                <w:rFonts w:ascii="Arial" w:cs="Arial" w:eastAsia="Arial" w:hAnsi="Arial"/>
                <w:sz w:val="18"/>
                <w:szCs w:val="18"/>
                <w:color w:val="auto"/>
              </w:rPr>
              <w:t>Total Derivatives</w:t>
            </w:r>
          </w:p>
        </w:tc>
        <w:tc>
          <w:tcPr>
            <w:tcW w:w="2980" w:type="dxa"/>
            <w:vAlign w:val="bottom"/>
            <w:gridSpan w:val="2"/>
          </w:tcPr>
          <w:p>
            <w:pPr>
              <w:spacing w:after="0"/>
              <w:rPr>
                <w:sz w:val="22"/>
                <w:szCs w:val="22"/>
                <w:color w:val="auto"/>
              </w:rPr>
            </w:pPr>
          </w:p>
        </w:tc>
        <w:tc>
          <w:tcPr>
            <w:tcW w:w="1260" w:type="dxa"/>
            <w:vAlign w:val="bottom"/>
            <w:tcBorders>
              <w:top w:val="single" w:sz="8" w:color="auto"/>
              <w:bottom w:val="single" w:sz="8" w:color="auto"/>
            </w:tcBorders>
          </w:tcPr>
          <w:p>
            <w:pPr>
              <w:jc w:val="right"/>
              <w:ind w:right="1082"/>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w w:val="86"/>
              </w:rPr>
              <w:t>233</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860" w:type="dxa"/>
            <w:vAlign w:val="bottom"/>
            <w:vMerge w:val="restart"/>
          </w:tcPr>
          <w:p>
            <w:pPr>
              <w:jc w:val="right"/>
              <w:ind w:right="1830"/>
              <w:spacing w:after="0"/>
              <w:rPr>
                <w:sz w:val="20"/>
                <w:szCs w:val="20"/>
                <w:color w:val="auto"/>
              </w:rPr>
            </w:pPr>
            <w:r>
              <w:rPr>
                <w:rFonts w:ascii="Arial" w:cs="Arial" w:eastAsia="Arial" w:hAnsi="Arial"/>
                <w:sz w:val="18"/>
                <w:szCs w:val="18"/>
                <w:color w:val="231F20"/>
              </w:rPr>
              <w:t>27</w:t>
            </w: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478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78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p>
      <w:pPr>
        <w:jc w:val="both"/>
        <w:ind w:firstLine="405"/>
        <w:spacing w:after="0" w:line="301" w:lineRule="auto"/>
        <w:rPr>
          <w:sz w:val="20"/>
          <w:szCs w:val="20"/>
          <w:color w:val="auto"/>
        </w:rPr>
      </w:pPr>
      <w:r>
        <w:rPr>
          <w:rFonts w:ascii="Arial" w:cs="Arial" w:eastAsia="Arial" w:hAnsi="Arial"/>
          <w:sz w:val="16"/>
          <w:szCs w:val="16"/>
          <w:color w:val="auto"/>
        </w:rPr>
        <w:t>The Company has elected to present derivative assets and liabilities on the balance sheet on a trade-by-trade basis and does not offset amounts at the counterparty master agreement level. As of June 30, 2020 and December 31, 2019, there was no outstanding collateral paid or received. The following tables summarize the offsetting of derivatives by the counterparty master agreement level as of June 30, 2020 and December 31, 2019:</w:t>
      </w: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552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As of June 30, 2020</w:t>
            </w:r>
          </w:p>
        </w:tc>
        <w:tc>
          <w:tcPr>
            <w:tcW w:w="220" w:type="dxa"/>
            <w:vAlign w:val="bottom"/>
          </w:tcPr>
          <w:p>
            <w:pPr>
              <w:spacing w:after="0"/>
              <w:rPr>
                <w:sz w:val="13"/>
                <w:szCs w:val="13"/>
                <w:color w:val="auto"/>
              </w:rPr>
            </w:pPr>
          </w:p>
        </w:tc>
        <w:tc>
          <w:tcPr>
            <w:tcW w:w="1720" w:type="dxa"/>
            <w:vAlign w:val="bottom"/>
            <w:gridSpan w:val="3"/>
          </w:tcPr>
          <w:p>
            <w:pPr>
              <w:ind w:left="140"/>
              <w:spacing w:after="0" w:line="150" w:lineRule="exact"/>
              <w:rPr>
                <w:sz w:val="20"/>
                <w:szCs w:val="20"/>
                <w:color w:val="auto"/>
              </w:rPr>
            </w:pPr>
            <w:r>
              <w:rPr>
                <w:rFonts w:ascii="Arial" w:cs="Arial" w:eastAsia="Arial" w:hAnsi="Arial"/>
                <w:sz w:val="14"/>
                <w:szCs w:val="14"/>
                <w:b w:val="1"/>
                <w:bCs w:val="1"/>
                <w:color w:val="auto"/>
              </w:rPr>
              <w:t>Gross Amounts of</w:t>
            </w:r>
          </w:p>
        </w:tc>
        <w:tc>
          <w:tcPr>
            <w:tcW w:w="140" w:type="dxa"/>
            <w:vAlign w:val="bottom"/>
          </w:tcPr>
          <w:p>
            <w:pPr>
              <w:spacing w:after="0"/>
              <w:rPr>
                <w:sz w:val="13"/>
                <w:szCs w:val="13"/>
                <w:color w:val="auto"/>
              </w:rPr>
            </w:pPr>
          </w:p>
        </w:tc>
        <w:tc>
          <w:tcPr>
            <w:tcW w:w="17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4"/>
              </w:rPr>
              <w:t>Derivative Instruments</w:t>
            </w:r>
          </w:p>
        </w:tc>
        <w:tc>
          <w:tcPr>
            <w:tcW w:w="320" w:type="dxa"/>
            <w:vAlign w:val="bottom"/>
          </w:tcPr>
          <w:p>
            <w:pPr>
              <w:spacing w:after="0"/>
              <w:rPr>
                <w:sz w:val="13"/>
                <w:szCs w:val="13"/>
                <w:color w:val="auto"/>
              </w:rPr>
            </w:pPr>
          </w:p>
        </w:tc>
        <w:tc>
          <w:tcPr>
            <w:tcW w:w="150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520" w:type="dxa"/>
            <w:vAlign w:val="bottom"/>
            <w:gridSpan w:val="2"/>
            <w:vMerge w:val="continue"/>
          </w:tcPr>
          <w:p>
            <w:pPr>
              <w:spacing w:after="0"/>
              <w:rPr>
                <w:sz w:val="16"/>
                <w:szCs w:val="16"/>
                <w:color w:val="auto"/>
              </w:rPr>
            </w:pPr>
          </w:p>
        </w:tc>
        <w:tc>
          <w:tcPr>
            <w:tcW w:w="19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6"/>
              </w:rPr>
              <w:t>Recognized Assets/Liabilities</w:t>
            </w: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Commodity contracts:</w:t>
            </w: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5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Derivative liabilities</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gridSpan w:val="2"/>
          </w:tcPr>
          <w:p>
            <w:pPr>
              <w:ind w:left="20"/>
              <w:spacing w:after="0"/>
              <w:rPr>
                <w:sz w:val="20"/>
                <w:szCs w:val="20"/>
                <w:color w:val="auto"/>
              </w:rPr>
            </w:pPr>
            <w:r>
              <w:rPr>
                <w:rFonts w:ascii="Arial" w:cs="Arial" w:eastAsia="Arial" w:hAnsi="Arial"/>
                <w:sz w:val="18"/>
                <w:szCs w:val="18"/>
                <w:color w:val="auto"/>
              </w:rPr>
              <w:t>Total commodity contracts</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gridSpan w:val="2"/>
          </w:tcPr>
          <w:p>
            <w:pPr>
              <w:ind w:left="200"/>
              <w:spacing w:after="0"/>
              <w:rPr>
                <w:sz w:val="20"/>
                <w:szCs w:val="20"/>
                <w:color w:val="auto"/>
              </w:rPr>
            </w:pPr>
            <w:r>
              <w:rPr>
                <w:rFonts w:ascii="Arial" w:cs="Arial" w:eastAsia="Arial" w:hAnsi="Arial"/>
                <w:sz w:val="18"/>
                <w:szCs w:val="18"/>
                <w:color w:val="auto"/>
              </w:rPr>
              <w:t>Derivative liabilities</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interest rate contracts</w:t>
            </w: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20" w:type="dxa"/>
            <w:vAlign w:val="bottom"/>
            <w:gridSpan w:val="2"/>
          </w:tcPr>
          <w:p>
            <w:pPr>
              <w:ind w:left="20"/>
              <w:spacing w:after="0"/>
              <w:rPr>
                <w:sz w:val="20"/>
                <w:szCs w:val="20"/>
                <w:color w:val="auto"/>
              </w:rPr>
            </w:pPr>
            <w:r>
              <w:rPr>
                <w:rFonts w:ascii="Arial" w:cs="Arial" w:eastAsia="Arial" w:hAnsi="Arial"/>
                <w:sz w:val="18"/>
                <w:szCs w:val="18"/>
                <w:color w:val="auto"/>
              </w:rPr>
              <w:t>Total derivative instruments</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4"/>
        </w:trPr>
        <w:tc>
          <w:tcPr>
            <w:tcW w:w="20" w:type="dxa"/>
            <w:vAlign w:val="bottom"/>
          </w:tcPr>
          <w:p>
            <w:pPr>
              <w:spacing w:after="0"/>
              <w:rPr>
                <w:sz w:val="24"/>
                <w:szCs w:val="24"/>
                <w:color w:val="auto"/>
              </w:rPr>
            </w:pPr>
          </w:p>
        </w:tc>
        <w:tc>
          <w:tcPr>
            <w:tcW w:w="552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As of December 31, 2019</w:t>
            </w:r>
          </w:p>
        </w:tc>
        <w:tc>
          <w:tcPr>
            <w:tcW w:w="220" w:type="dxa"/>
            <w:vAlign w:val="bottom"/>
          </w:tcPr>
          <w:p>
            <w:pPr>
              <w:spacing w:after="0"/>
              <w:rPr>
                <w:sz w:val="24"/>
                <w:szCs w:val="24"/>
                <w:color w:val="auto"/>
              </w:rPr>
            </w:pPr>
          </w:p>
        </w:tc>
        <w:tc>
          <w:tcPr>
            <w:tcW w:w="1720" w:type="dxa"/>
            <w:vAlign w:val="bottom"/>
            <w:gridSpan w:val="3"/>
          </w:tcPr>
          <w:p>
            <w:pPr>
              <w:ind w:left="120"/>
              <w:spacing w:after="0"/>
              <w:rPr>
                <w:sz w:val="20"/>
                <w:szCs w:val="20"/>
                <w:color w:val="auto"/>
              </w:rPr>
            </w:pPr>
            <w:r>
              <w:rPr>
                <w:rFonts w:ascii="Arial" w:cs="Arial" w:eastAsia="Arial" w:hAnsi="Arial"/>
                <w:sz w:val="14"/>
                <w:szCs w:val="14"/>
                <w:b w:val="1"/>
                <w:bCs w:val="1"/>
                <w:color w:val="auto"/>
              </w:rPr>
              <w:t>Gross Amounts of</w:t>
            </w:r>
          </w:p>
        </w:tc>
        <w:tc>
          <w:tcPr>
            <w:tcW w:w="140" w:type="dxa"/>
            <w:vAlign w:val="bottom"/>
          </w:tcPr>
          <w:p>
            <w:pPr>
              <w:spacing w:after="0"/>
              <w:rPr>
                <w:sz w:val="24"/>
                <w:szCs w:val="24"/>
                <w:color w:val="auto"/>
              </w:rPr>
            </w:pPr>
          </w:p>
        </w:tc>
        <w:tc>
          <w:tcPr>
            <w:tcW w:w="178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4"/>
              </w:rPr>
              <w:t>Derivative Instruments</w:t>
            </w:r>
          </w:p>
        </w:tc>
        <w:tc>
          <w:tcPr>
            <w:tcW w:w="320" w:type="dxa"/>
            <w:vAlign w:val="bottom"/>
          </w:tcPr>
          <w:p>
            <w:pPr>
              <w:spacing w:after="0"/>
              <w:rPr>
                <w:sz w:val="24"/>
                <w:szCs w:val="24"/>
                <w:color w:val="auto"/>
              </w:rPr>
            </w:pPr>
          </w:p>
        </w:tc>
        <w:tc>
          <w:tcPr>
            <w:tcW w:w="150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520" w:type="dxa"/>
            <w:vAlign w:val="bottom"/>
            <w:gridSpan w:val="2"/>
            <w:vMerge w:val="continue"/>
          </w:tcPr>
          <w:p>
            <w:pPr>
              <w:spacing w:after="0"/>
              <w:rPr>
                <w:sz w:val="16"/>
                <w:szCs w:val="16"/>
                <w:color w:val="auto"/>
              </w:rPr>
            </w:pPr>
          </w:p>
        </w:tc>
        <w:tc>
          <w:tcPr>
            <w:tcW w:w="1940" w:type="dxa"/>
            <w:vAlign w:val="bottom"/>
            <w:gridSpan w:val="4"/>
          </w:tcPr>
          <w:p>
            <w:pPr>
              <w:ind w:left="20"/>
              <w:spacing w:after="0"/>
              <w:rPr>
                <w:sz w:val="20"/>
                <w:szCs w:val="20"/>
                <w:color w:val="auto"/>
              </w:rPr>
            </w:pPr>
            <w:r>
              <w:rPr>
                <w:rFonts w:ascii="Arial" w:cs="Arial" w:eastAsia="Arial" w:hAnsi="Arial"/>
                <w:sz w:val="14"/>
                <w:szCs w:val="14"/>
                <w:b w:val="1"/>
                <w:bCs w:val="1"/>
                <w:color w:val="auto"/>
                <w:w w:val="96"/>
              </w:rPr>
              <w:t>Recognized Assets/Liabilities</w:t>
            </w:r>
          </w:p>
        </w:tc>
        <w:tc>
          <w:tcPr>
            <w:tcW w:w="140" w:type="dxa"/>
            <w:vAlign w:val="bottom"/>
          </w:tcPr>
          <w:p>
            <w:pPr>
              <w:spacing w:after="0"/>
              <w:rPr>
                <w:sz w:val="16"/>
                <w:szCs w:val="16"/>
                <w:color w:val="auto"/>
              </w:rPr>
            </w:pPr>
          </w:p>
        </w:tc>
        <w:tc>
          <w:tcPr>
            <w:tcW w:w="178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b w:val="1"/>
                <w:bCs w:val="1"/>
                <w:color w:val="auto"/>
              </w:rPr>
              <w:t>Commodity contracts:</w:t>
            </w: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Derivative liabilities</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Total commodity contracts</w:t>
            </w: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contracts:</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gridSpan w:val="2"/>
          </w:tcPr>
          <w:p>
            <w:pPr>
              <w:ind w:left="200"/>
              <w:spacing w:after="0"/>
              <w:rPr>
                <w:sz w:val="20"/>
                <w:szCs w:val="20"/>
                <w:color w:val="auto"/>
              </w:rPr>
            </w:pPr>
            <w:r>
              <w:rPr>
                <w:rFonts w:ascii="Arial" w:cs="Arial" w:eastAsia="Arial" w:hAnsi="Arial"/>
                <w:sz w:val="18"/>
                <w:szCs w:val="18"/>
                <w:color w:val="auto"/>
              </w:rPr>
              <w:t>Derivative liabilities</w:t>
            </w:r>
          </w:p>
        </w:tc>
        <w:tc>
          <w:tcPr>
            <w:tcW w:w="220" w:type="dxa"/>
            <w:vAlign w:val="bottom"/>
          </w:tcPr>
          <w:p>
            <w:pPr>
              <w:spacing w:after="0"/>
              <w:rPr>
                <w:sz w:val="21"/>
                <w:szCs w:val="21"/>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75"/>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rate contracts</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Total derivative instruments</w:t>
            </w:r>
          </w:p>
        </w:tc>
        <w:tc>
          <w:tcPr>
            <w:tcW w:w="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8"/>
          <w:szCs w:val="18"/>
          <w:color w:val="auto"/>
        </w:rPr>
        <w:t>The following table summarizes the effects on the Company’s accumulated OCL balance attributable to interest rate swaps designated as cash flow hedge derivatives, net of tax:</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270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6"/>
                <w:szCs w:val="16"/>
                <w:color w:val="auto"/>
              </w:rPr>
            </w:pPr>
          </w:p>
        </w:tc>
        <w:tc>
          <w:tcPr>
            <w:tcW w:w="2200" w:type="dxa"/>
            <w:vAlign w:val="bottom"/>
            <w:gridSpan w:val="4"/>
          </w:tcPr>
          <w:p>
            <w:pPr>
              <w:ind w:left="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594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5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OCL beginning balance</w:t>
            </w:r>
          </w:p>
        </w:tc>
        <w:tc>
          <w:tcPr>
            <w:tcW w:w="800" w:type="dxa"/>
            <w:vAlign w:val="bottom"/>
            <w:tcBorders>
              <w:bottom w:val="single" w:sz="8" w:color="CCEEFF"/>
            </w:tcBorders>
            <w:shd w:val="clear" w:color="auto" w:fill="CCEEFF"/>
          </w:tcPr>
          <w:p>
            <w:pPr>
              <w:jc w:val="right"/>
              <w:ind w:right="597"/>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(43)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center"/>
              <w:ind w:left="353"/>
              <w:spacing w:after="0"/>
              <w:rPr>
                <w:sz w:val="20"/>
                <w:szCs w:val="20"/>
                <w:color w:val="auto"/>
              </w:rPr>
            </w:pPr>
            <w:r>
              <w:rPr>
                <w:rFonts w:ascii="Arial" w:cs="Arial" w:eastAsia="Arial" w:hAnsi="Arial"/>
                <w:sz w:val="18"/>
                <w:szCs w:val="18"/>
                <w:color w:val="auto"/>
                <w:w w:val="93"/>
              </w:rPr>
              <w:t>(38)</w:t>
            </w:r>
          </w:p>
        </w:tc>
        <w:tc>
          <w:tcPr>
            <w:tcW w:w="0" w:type="dxa"/>
            <w:vAlign w:val="bottom"/>
          </w:tcPr>
          <w:p>
            <w:pPr>
              <w:spacing w:after="0"/>
              <w:rPr>
                <w:sz w:val="1"/>
                <w:szCs w:val="1"/>
                <w:color w:val="auto"/>
              </w:rPr>
            </w:pPr>
          </w:p>
        </w:tc>
      </w:tr>
      <w:tr>
        <w:trPr>
          <w:trHeight w:val="176"/>
        </w:trPr>
        <w:tc>
          <w:tcPr>
            <w:tcW w:w="5940" w:type="dxa"/>
            <w:vAlign w:val="bottom"/>
          </w:tcPr>
          <w:p>
            <w:pPr>
              <w:ind w:left="20"/>
              <w:spacing w:after="0" w:line="176" w:lineRule="exact"/>
              <w:rPr>
                <w:sz w:val="20"/>
                <w:szCs w:val="20"/>
                <w:color w:val="auto"/>
              </w:rPr>
            </w:pPr>
            <w:r>
              <w:rPr>
                <w:rFonts w:ascii="Arial" w:cs="Arial" w:eastAsia="Arial" w:hAnsi="Arial"/>
                <w:sz w:val="18"/>
                <w:szCs w:val="18"/>
                <w:color w:val="auto"/>
                <w:w w:val="95"/>
              </w:rPr>
              <w:t>Reclassified from accumulated OCL to income due to realization of previously</w:t>
            </w:r>
          </w:p>
        </w:tc>
        <w:tc>
          <w:tcPr>
            <w:tcW w:w="800" w:type="dxa"/>
            <w:vAlign w:val="bottom"/>
          </w:tcPr>
          <w:p>
            <w:pPr>
              <w:spacing w:after="0"/>
              <w:rPr>
                <w:sz w:val="15"/>
                <w:szCs w:val="15"/>
                <w:color w:val="auto"/>
              </w:rPr>
            </w:pPr>
          </w:p>
        </w:tc>
        <w:tc>
          <w:tcPr>
            <w:tcW w:w="440" w:type="dxa"/>
            <w:vAlign w:val="bottom"/>
            <w:vMerge w:val="restart"/>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restart"/>
          </w:tcPr>
          <w:p>
            <w:pPr>
              <w:jc w:val="right"/>
              <w:ind w:right="75"/>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vMerge w:val="restart"/>
          </w:tcPr>
          <w:p>
            <w:pPr>
              <w:jc w:val="right"/>
              <w:ind w:right="5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restart"/>
          </w:tcPr>
          <w:p>
            <w:pPr>
              <w:jc w:val="center"/>
              <w:ind w:left="353"/>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deferred amounts</w:t>
            </w:r>
          </w:p>
        </w:tc>
        <w:tc>
          <w:tcPr>
            <w:tcW w:w="80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Mark-to-market of cash flow hedge accounting contracts</w:t>
            </w:r>
          </w:p>
        </w:tc>
        <w:tc>
          <w:tcPr>
            <w:tcW w:w="80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center"/>
              <w:ind w:left="353"/>
              <w:spacing w:after="0"/>
              <w:rPr>
                <w:sz w:val="20"/>
                <w:szCs w:val="20"/>
                <w:color w:val="auto"/>
              </w:rPr>
            </w:pPr>
            <w:r>
              <w:rPr>
                <w:rFonts w:ascii="Arial" w:cs="Arial" w:eastAsia="Arial" w:hAnsi="Arial"/>
                <w:sz w:val="18"/>
                <w:szCs w:val="18"/>
                <w:color w:val="auto"/>
                <w:w w:val="93"/>
              </w:rPr>
              <w:t>(14)</w:t>
            </w:r>
          </w:p>
        </w:tc>
        <w:tc>
          <w:tcPr>
            <w:tcW w:w="0" w:type="dxa"/>
            <w:vAlign w:val="bottom"/>
          </w:tcPr>
          <w:p>
            <w:pPr>
              <w:spacing w:after="0"/>
              <w:rPr>
                <w:sz w:val="1"/>
                <w:szCs w:val="1"/>
                <w:color w:val="auto"/>
              </w:rPr>
            </w:pPr>
          </w:p>
        </w:tc>
      </w:tr>
      <w:tr>
        <w:trPr>
          <w:trHeight w:val="156"/>
        </w:trPr>
        <w:tc>
          <w:tcPr>
            <w:tcW w:w="5940" w:type="dxa"/>
            <w:vAlign w:val="bottom"/>
          </w:tcPr>
          <w:p>
            <w:pPr>
              <w:ind w:left="20"/>
              <w:spacing w:after="0" w:line="156" w:lineRule="exact"/>
              <w:rPr>
                <w:sz w:val="20"/>
                <w:szCs w:val="20"/>
                <w:color w:val="auto"/>
              </w:rPr>
            </w:pPr>
            <w:r>
              <w:rPr>
                <w:rFonts w:ascii="Arial" w:cs="Arial" w:eastAsia="Arial" w:hAnsi="Arial"/>
                <w:sz w:val="18"/>
                <w:szCs w:val="18"/>
                <w:color w:val="auto"/>
                <w:w w:val="95"/>
              </w:rPr>
              <w:t>Accumulated OCL ending balance, net of income tax benefit of $7, $6, $7 and</w:t>
            </w:r>
          </w:p>
        </w:tc>
        <w:tc>
          <w:tcPr>
            <w:tcW w:w="800" w:type="dxa"/>
            <w:vAlign w:val="bottom"/>
          </w:tcPr>
          <w:p>
            <w:pPr>
              <w:spacing w:after="0"/>
              <w:rPr>
                <w:sz w:val="13"/>
                <w:szCs w:val="13"/>
                <w:color w:val="auto"/>
              </w:rPr>
            </w:pPr>
          </w:p>
        </w:tc>
        <w:tc>
          <w:tcPr>
            <w:tcW w:w="44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(39)</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vMerge w:val="restart"/>
          </w:tcPr>
          <w:p>
            <w:pPr>
              <w:jc w:val="right"/>
              <w:ind w:right="15"/>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vMerge w:val="restart"/>
          </w:tcPr>
          <w:p>
            <w:pPr>
              <w:jc w:val="right"/>
              <w:ind w:right="14"/>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vMerge w:val="restart"/>
          </w:tcPr>
          <w:p>
            <w:pPr>
              <w:jc w:val="center"/>
              <w:ind w:left="353"/>
              <w:spacing w:after="0"/>
              <w:rPr>
                <w:sz w:val="20"/>
                <w:szCs w:val="20"/>
                <w:color w:val="auto"/>
              </w:rPr>
            </w:pPr>
            <w:r>
              <w:rPr>
                <w:rFonts w:ascii="Arial" w:cs="Arial" w:eastAsia="Arial" w:hAnsi="Arial"/>
                <w:sz w:val="18"/>
                <w:szCs w:val="18"/>
                <w:color w:val="auto"/>
                <w:w w:val="93"/>
              </w:rPr>
              <w:t>(35)</w:t>
            </w:r>
          </w:p>
        </w:tc>
        <w:tc>
          <w:tcPr>
            <w:tcW w:w="0" w:type="dxa"/>
            <w:vAlign w:val="bottom"/>
          </w:tcPr>
          <w:p>
            <w:pPr>
              <w:spacing w:after="0"/>
              <w:rPr>
                <w:sz w:val="1"/>
                <w:szCs w:val="1"/>
                <w:color w:val="auto"/>
              </w:rPr>
            </w:pPr>
          </w:p>
        </w:tc>
      </w:tr>
      <w:tr>
        <w:trPr>
          <w:trHeight w:val="229"/>
        </w:trPr>
        <w:tc>
          <w:tcPr>
            <w:tcW w:w="5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$6, respectively</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Accumulated OCL attributable to noncontrolling interests</w:t>
            </w:r>
          </w:p>
        </w:tc>
        <w:tc>
          <w:tcPr>
            <w:tcW w:w="80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(20)</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center"/>
              <w:ind w:left="353"/>
              <w:spacing w:after="0"/>
              <w:rPr>
                <w:sz w:val="20"/>
                <w:szCs w:val="20"/>
                <w:color w:val="auto"/>
              </w:rPr>
            </w:pPr>
            <w:r>
              <w:rPr>
                <w:rFonts w:ascii="Arial" w:cs="Arial" w:eastAsia="Arial" w:hAnsi="Arial"/>
                <w:sz w:val="18"/>
                <w:szCs w:val="18"/>
                <w:color w:val="auto"/>
                <w:w w:val="93"/>
              </w:rPr>
              <w:t>(19)</w:t>
            </w:r>
          </w:p>
        </w:tc>
        <w:tc>
          <w:tcPr>
            <w:tcW w:w="0" w:type="dxa"/>
            <w:vAlign w:val="bottom"/>
          </w:tcPr>
          <w:p>
            <w:pPr>
              <w:spacing w:after="0"/>
              <w:rPr>
                <w:sz w:val="1"/>
                <w:szCs w:val="1"/>
                <w:color w:val="auto"/>
              </w:rPr>
            </w:pPr>
          </w:p>
        </w:tc>
      </w:tr>
      <w:tr>
        <w:trPr>
          <w:trHeight w:val="263"/>
        </w:trPr>
        <w:tc>
          <w:tcPr>
            <w:tcW w:w="5940" w:type="dxa"/>
            <w:vAlign w:val="bottom"/>
          </w:tcPr>
          <w:p>
            <w:pPr>
              <w:ind w:left="300"/>
              <w:spacing w:after="0"/>
              <w:rPr>
                <w:sz w:val="20"/>
                <w:szCs w:val="20"/>
                <w:color w:val="auto"/>
              </w:rPr>
            </w:pPr>
            <w:r>
              <w:rPr>
                <w:rFonts w:ascii="Arial" w:cs="Arial" w:eastAsia="Arial" w:hAnsi="Arial"/>
                <w:sz w:val="18"/>
                <w:szCs w:val="18"/>
                <w:color w:val="auto"/>
              </w:rPr>
              <w:t>Accumulated OCL attributable to Clearway Energy, Inc.</w:t>
            </w:r>
          </w:p>
        </w:tc>
        <w:tc>
          <w:tcPr>
            <w:tcW w:w="800" w:type="dxa"/>
            <w:vAlign w:val="bottom"/>
            <w:tcBorders>
              <w:bottom w:val="single" w:sz="8" w:color="auto"/>
            </w:tcBorders>
          </w:tcPr>
          <w:p>
            <w:pPr>
              <w:jc w:val="right"/>
              <w:ind w:right="597"/>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(19)</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center"/>
              <w:ind w:left="353"/>
              <w:spacing w:after="0"/>
              <w:rPr>
                <w:sz w:val="20"/>
                <w:szCs w:val="20"/>
                <w:color w:val="auto"/>
              </w:rPr>
            </w:pPr>
            <w:r>
              <w:rPr>
                <w:rFonts w:ascii="Arial" w:cs="Arial" w:eastAsia="Arial" w:hAnsi="Arial"/>
                <w:sz w:val="18"/>
                <w:szCs w:val="18"/>
                <w:color w:val="auto"/>
                <w:w w:val="93"/>
              </w:rPr>
              <w:t>(16)</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94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Losses expected to be realized from OCL during the next 12 months, net of</w:t>
            </w:r>
          </w:p>
        </w:tc>
        <w:tc>
          <w:tcPr>
            <w:tcW w:w="800" w:type="dxa"/>
            <w:vAlign w:val="bottom"/>
            <w:vMerge w:val="restart"/>
            <w:shd w:val="clear" w:color="auto" w:fill="CCEEFF"/>
          </w:tcPr>
          <w:p>
            <w:pPr>
              <w:jc w:val="right"/>
              <w:ind w:right="597"/>
              <w:spacing w:after="0"/>
              <w:rPr>
                <w:sz w:val="20"/>
                <w:szCs w:val="20"/>
                <w:color w:val="auto"/>
              </w:rPr>
            </w:pPr>
            <w:r>
              <w:rPr>
                <w:rFonts w:ascii="Arial" w:cs="Arial" w:eastAsia="Arial" w:hAnsi="Arial"/>
                <w:sz w:val="18"/>
                <w:szCs w:val="18"/>
                <w:color w:val="auto"/>
                <w:w w:val="99"/>
              </w:rPr>
              <w:t>$</w:t>
            </w:r>
          </w:p>
        </w:tc>
        <w:tc>
          <w:tcPr>
            <w:tcW w:w="4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(10)</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benefit of $4</w:t>
            </w:r>
          </w:p>
        </w:tc>
        <w:tc>
          <w:tcPr>
            <w:tcW w:w="800" w:type="dxa"/>
            <w:vAlign w:val="bottom"/>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88"/>
        </w:trPr>
        <w:tc>
          <w:tcPr>
            <w:tcW w:w="5940" w:type="dxa"/>
            <w:vAlign w:val="bottom"/>
          </w:tcPr>
          <w:p>
            <w:pPr>
              <w:ind w:left="5540"/>
              <w:spacing w:after="0"/>
              <w:rPr>
                <w:sz w:val="20"/>
                <w:szCs w:val="20"/>
                <w:color w:val="auto"/>
              </w:rPr>
            </w:pPr>
            <w:r>
              <w:rPr>
                <w:rFonts w:ascii="Arial" w:cs="Arial" w:eastAsia="Arial" w:hAnsi="Arial"/>
                <w:sz w:val="18"/>
                <w:szCs w:val="18"/>
                <w:color w:val="231F20"/>
              </w:rPr>
              <w:t>28</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9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Derivative Instruments on the Statements of Operations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Gains and losses related to the Company's derivatives are recorded in the consolidated statements of operations as follows:</w:t>
      </w:r>
    </w:p>
    <w:p>
      <w:pPr>
        <w:spacing w:after="0" w:line="55" w:lineRule="exact"/>
        <w:rPr>
          <w:sz w:val="20"/>
          <w:szCs w:val="20"/>
          <w:color w:val="auto"/>
        </w:rPr>
      </w:pPr>
    </w:p>
    <w:tbl>
      <w:tblPr>
        <w:tblLayout w:type="fixed"/>
        <w:tblInd w:w="54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2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160" w:type="dxa"/>
            <w:vAlign w:val="bottom"/>
          </w:tcPr>
          <w:p>
            <w:pPr>
              <w:spacing w:after="0"/>
              <w:rPr>
                <w:sz w:val="17"/>
                <w:szCs w:val="17"/>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r>
      <w:tr>
        <w:trPr>
          <w:trHeight w:val="196"/>
        </w:trPr>
        <w:tc>
          <w:tcPr>
            <w:tcW w:w="4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6"/>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Contracts (Interest Expense)</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(92)</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w:t>
            </w:r>
          </w:p>
        </w:tc>
      </w:tr>
      <w:tr>
        <w:trPr>
          <w:trHeight w:val="352"/>
        </w:trPr>
        <w:tc>
          <w:tcPr>
            <w:tcW w:w="4160" w:type="dxa"/>
            <w:vAlign w:val="bottom"/>
          </w:tcPr>
          <w:p>
            <w:pPr>
              <w:ind w:left="20"/>
              <w:spacing w:after="0"/>
              <w:rPr>
                <w:sz w:val="20"/>
                <w:szCs w:val="20"/>
                <w:color w:val="auto"/>
              </w:rPr>
            </w:pPr>
            <w:r>
              <w:rPr>
                <w:rFonts w:ascii="Arial" w:cs="Arial" w:eastAsia="Arial" w:hAnsi="Arial"/>
                <w:sz w:val="18"/>
                <w:szCs w:val="18"/>
                <w:color w:val="auto"/>
              </w:rPr>
              <w:t xml:space="preserve">Mark-to-market economic hedging activities </w:t>
            </w:r>
            <w:r>
              <w:rPr>
                <w:rFonts w:ascii="Arial" w:cs="Arial" w:eastAsia="Arial" w:hAnsi="Arial"/>
                <w:sz w:val="23"/>
                <w:szCs w:val="23"/>
                <w:color w:val="auto"/>
                <w:vertAlign w:val="superscript"/>
              </w:rPr>
              <w:t>(a)</w:t>
            </w:r>
          </w:p>
        </w:tc>
        <w:tc>
          <w:tcPr>
            <w:tcW w:w="940" w:type="dxa"/>
            <w:vAlign w:val="bottom"/>
          </w:tcPr>
          <w:p>
            <w:pPr>
              <w:spacing w:after="0"/>
              <w:rPr>
                <w:sz w:val="24"/>
                <w:szCs w:val="24"/>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0" w:type="dxa"/>
            <w:vAlign w:val="bottom"/>
          </w:tcPr>
          <w:p>
            <w:pPr>
              <w:spacing w:after="0"/>
              <w:rPr>
                <w:sz w:val="24"/>
                <w:szCs w:val="24"/>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480" w:type="dxa"/>
            <w:vAlign w:val="bottom"/>
          </w:tcPr>
          <w:p>
            <w:pPr>
              <w:spacing w:after="0"/>
              <w:rPr>
                <w:sz w:val="24"/>
                <w:szCs w:val="24"/>
                <w:color w:val="auto"/>
              </w:rPr>
            </w:pPr>
          </w:p>
        </w:tc>
        <w:tc>
          <w:tcPr>
            <w:tcW w:w="980" w:type="dxa"/>
            <w:vAlign w:val="bottom"/>
          </w:tcPr>
          <w:p>
            <w:pPr>
              <w:jc w:val="right"/>
              <w:ind w:right="39"/>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24"/>
                <w:szCs w:val="24"/>
                <w:color w:val="auto"/>
              </w:rPr>
            </w:pPr>
          </w:p>
        </w:tc>
        <w:tc>
          <w:tcPr>
            <w:tcW w:w="1100" w:type="dxa"/>
            <w:vAlign w:val="bottom"/>
          </w:tcPr>
          <w:p>
            <w:pPr>
              <w:jc w:val="center"/>
              <w:ind w:left="556"/>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153670</wp:posOffset>
            </wp:positionV>
            <wp:extent cx="18770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325" w:lineRule="exact"/>
        <w:rPr>
          <w:sz w:val="20"/>
          <w:szCs w:val="20"/>
          <w:color w:val="auto"/>
        </w:rPr>
      </w:pPr>
    </w:p>
    <w:p>
      <w:pPr>
        <w:ind w:left="620" w:hanging="126"/>
        <w:spacing w:after="0"/>
        <w:tabs>
          <w:tab w:leader="none" w:pos="620" w:val="left"/>
        </w:tabs>
        <w:numPr>
          <w:ilvl w:val="0"/>
          <w:numId w:val="14"/>
        </w:numPr>
        <w:rPr>
          <w:rFonts w:ascii="Arial" w:cs="Arial" w:eastAsia="Arial" w:hAnsi="Arial"/>
          <w:sz w:val="9"/>
          <w:szCs w:val="9"/>
          <w:color w:val="auto"/>
        </w:rPr>
      </w:pPr>
      <w:r>
        <w:rPr>
          <w:rFonts w:ascii="Arial" w:cs="Arial" w:eastAsia="Arial" w:hAnsi="Arial"/>
          <w:sz w:val="14"/>
          <w:szCs w:val="14"/>
          <w:color w:val="auto"/>
        </w:rPr>
        <w:t>Relates to long-term power hedge at Elbow Creek Wind Project LLC, or Elbow Creek.</w:t>
      </w:r>
    </w:p>
    <w:p>
      <w:pPr>
        <w:spacing w:after="0" w:line="2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 portion of the Company’s derivative commodity contracts relates to its Thermal Business for the purchase of fuel commodities based on the forecasted usage of the thermal district energy centers. Realized gains and losses on these contracts are reflected in the fuel costs that are permitted to be billed to customers through the related customer contracts or tariffs and, accordingly, no gains or losses are reflected in the consolidated statements of operations for these contracts.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Note 5,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for a discussion regarding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 xml:space="preserve">Note 7 — </w:t>
      </w:r>
      <w:r>
        <w:rPr>
          <w:rFonts w:ascii="Arial" w:cs="Arial" w:eastAsia="Arial" w:hAnsi="Arial"/>
          <w:sz w:val="18"/>
          <w:szCs w:val="18"/>
          <w:b w:val="1"/>
          <w:bCs w:val="1"/>
          <w:i w:val="1"/>
          <w:iCs w:val="1"/>
          <w:color w:val="auto"/>
        </w:rPr>
        <w:t>Long-term Debt</w:t>
      </w:r>
    </w:p>
    <w:p>
      <w:pPr>
        <w:spacing w:after="0" w:line="121" w:lineRule="exact"/>
        <w:rPr>
          <w:sz w:val="20"/>
          <w:szCs w:val="20"/>
          <w:color w:val="auto"/>
        </w:rPr>
      </w:pPr>
    </w:p>
    <w:p>
      <w:pPr>
        <w:ind w:right="440" w:firstLine="405"/>
        <w:spacing w:after="0" w:line="276" w:lineRule="auto"/>
        <w:rPr>
          <w:sz w:val="20"/>
          <w:szCs w:val="20"/>
          <w:color w:val="auto"/>
        </w:rPr>
      </w:pPr>
      <w:r>
        <w:rPr>
          <w:rFonts w:ascii="Arial" w:cs="Arial" w:eastAsia="Arial" w:hAnsi="Arial"/>
          <w:sz w:val="18"/>
          <w:szCs w:val="18"/>
          <w:color w:val="auto"/>
        </w:rPr>
        <w:t xml:space="preserve">This note should be read in conjunction with the complete description under Note 10,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to the consolidated financial statements included in the Company's 2019 Form 10-K. Long-term debt consisted of the following:</w:t>
      </w:r>
    </w:p>
    <w:tbl>
      <w:tblPr>
        <w:tblLayout w:type="fixed"/>
        <w:tblInd w:w="5880" w:type="dxa"/>
        <w:tblCellMar>
          <w:top w:w="0" w:type="dxa"/>
          <w:left w:w="0" w:type="dxa"/>
          <w:bottom w:w="0" w:type="dxa"/>
          <w:right w:w="0" w:type="dxa"/>
        </w:tblCellMar>
      </w:tblPr>
      <w:tr>
        <w:trPr>
          <w:trHeight w:val="150"/>
        </w:trPr>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160" w:type="dxa"/>
            <w:vAlign w:val="bottom"/>
          </w:tcPr>
          <w:p>
            <w:pPr>
              <w:jc w:val="center"/>
              <w:ind w:left="68"/>
              <w:spacing w:after="0" w:line="150" w:lineRule="exact"/>
              <w:rPr>
                <w:sz w:val="20"/>
                <w:szCs w:val="20"/>
                <w:color w:val="auto"/>
              </w:rPr>
            </w:pPr>
            <w:r>
              <w:rPr>
                <w:rFonts w:ascii="Arial" w:cs="Arial" w:eastAsia="Arial" w:hAnsi="Arial"/>
                <w:sz w:val="14"/>
                <w:szCs w:val="14"/>
                <w:b w:val="1"/>
                <w:bCs w:val="1"/>
                <w:color w:val="auto"/>
                <w:w w:val="94"/>
              </w:rPr>
              <w:t>Letters of Credit</w:t>
            </w:r>
          </w:p>
        </w:tc>
        <w:tc>
          <w:tcPr>
            <w:tcW w:w="0" w:type="dxa"/>
            <w:vAlign w:val="bottom"/>
          </w:tcPr>
          <w:p>
            <w:pPr>
              <w:spacing w:after="0"/>
              <w:rPr>
                <w:sz w:val="1"/>
                <w:szCs w:val="1"/>
                <w:color w:val="auto"/>
              </w:rPr>
            </w:pPr>
          </w:p>
        </w:tc>
      </w:tr>
      <w:tr>
        <w:trPr>
          <w:trHeight w:val="158"/>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June 30, 2020</w:t>
            </w:r>
          </w:p>
        </w:tc>
        <w:tc>
          <w:tcPr>
            <w:tcW w:w="11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December 31,</w:t>
            </w:r>
          </w:p>
        </w:tc>
        <w:tc>
          <w:tcPr>
            <w:tcW w:w="1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June 30, 2020, interest rate</w:t>
            </w:r>
          </w:p>
        </w:tc>
        <w:tc>
          <w:tcPr>
            <w:tcW w:w="1160" w:type="dxa"/>
            <w:vAlign w:val="bottom"/>
          </w:tcPr>
          <w:p>
            <w:pPr>
              <w:jc w:val="center"/>
              <w:ind w:left="88"/>
              <w:spacing w:after="0" w:line="158" w:lineRule="exact"/>
              <w:rPr>
                <w:sz w:val="20"/>
                <w:szCs w:val="20"/>
                <w:color w:val="auto"/>
              </w:rPr>
            </w:pPr>
            <w:r>
              <w:rPr>
                <w:rFonts w:ascii="Arial" w:cs="Arial" w:eastAsia="Arial" w:hAnsi="Arial"/>
                <w:sz w:val="14"/>
                <w:szCs w:val="14"/>
                <w:b w:val="1"/>
                <w:bCs w:val="1"/>
                <w:color w:val="auto"/>
                <w:w w:val="93"/>
              </w:rPr>
              <w:t>Outstanding at</w:t>
            </w:r>
          </w:p>
        </w:tc>
        <w:tc>
          <w:tcPr>
            <w:tcW w:w="0" w:type="dxa"/>
            <w:vAlign w:val="bottom"/>
          </w:tcPr>
          <w:p>
            <w:pPr>
              <w:spacing w:after="0"/>
              <w:rPr>
                <w:sz w:val="1"/>
                <w:szCs w:val="1"/>
                <w:color w:val="auto"/>
              </w:rPr>
            </w:pPr>
          </w:p>
        </w:tc>
      </w:tr>
      <w:tr>
        <w:trPr>
          <w:trHeight w:val="223"/>
        </w:trPr>
        <w:tc>
          <w:tcPr>
            <w:tcW w:w="1000" w:type="dxa"/>
            <w:vAlign w:val="bottom"/>
            <w:vMerge w:val="continue"/>
          </w:tcPr>
          <w:p>
            <w:pPr>
              <w:spacing w:after="0"/>
              <w:rPr>
                <w:sz w:val="19"/>
                <w:szCs w:val="19"/>
                <w:color w:val="auto"/>
              </w:rPr>
            </w:pPr>
          </w:p>
        </w:tc>
        <w:tc>
          <w:tcPr>
            <w:tcW w:w="1140" w:type="dxa"/>
            <w:vAlign w:val="bottom"/>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940" w:type="dxa"/>
            <w:vAlign w:val="bottom"/>
          </w:tcPr>
          <w:p>
            <w:pPr>
              <w:jc w:val="center"/>
              <w:spacing w:after="0" w:line="222"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9"/>
                <w:szCs w:val="9"/>
                <w:b w:val="1"/>
                <w:bCs w:val="1"/>
                <w:color w:val="auto"/>
              </w:rPr>
              <w:t xml:space="preserve"> (a)</w:t>
            </w:r>
          </w:p>
        </w:tc>
        <w:tc>
          <w:tcPr>
            <w:tcW w:w="1160" w:type="dxa"/>
            <w:vAlign w:val="bottom"/>
          </w:tcPr>
          <w:p>
            <w:pPr>
              <w:jc w:val="center"/>
              <w:ind w:left="68"/>
              <w:spacing w:after="0"/>
              <w:rPr>
                <w:sz w:val="20"/>
                <w:szCs w:val="20"/>
                <w:color w:val="auto"/>
              </w:rPr>
            </w:pPr>
            <w:r>
              <w:rPr>
                <w:rFonts w:ascii="Arial" w:cs="Arial" w:eastAsia="Arial" w:hAnsi="Arial"/>
                <w:sz w:val="14"/>
                <w:szCs w:val="14"/>
                <w:b w:val="1"/>
                <w:bCs w:val="1"/>
                <w:color w:val="auto"/>
                <w:w w:val="90"/>
              </w:rPr>
              <w:t>June 30, 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-20955</wp:posOffset>
            </wp:positionV>
            <wp:extent cx="34544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ind w:left="7740"/>
        <w:spacing w:after="0"/>
        <w:rPr>
          <w:sz w:val="20"/>
          <w:szCs w:val="20"/>
          <w:color w:val="auto"/>
        </w:rPr>
      </w:pPr>
      <w:r>
        <w:rPr>
          <w:rFonts w:ascii="Arial" w:cs="Arial" w:eastAsia="Arial" w:hAnsi="Arial"/>
          <w:sz w:val="14"/>
          <w:szCs w:val="14"/>
          <w:b w:val="1"/>
          <w:bCs w:val="1"/>
          <w:color w:val="auto"/>
        </w:rPr>
        <w:t>(In millions, except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120"/>
          </w:cols>
          <w:pgMar w:left="320" w:top="891" w:right="459" w:bottom="1440" w:gutter="0" w:footer="0" w:header="0"/>
        </w:sectPr>
      </w:pP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 xml:space="preserve">2020 Convertible Notes </w:t>
            </w:r>
            <w:r>
              <w:rPr>
                <w:rFonts w:ascii="Arial" w:cs="Arial" w:eastAsia="Arial" w:hAnsi="Arial"/>
                <w:sz w:val="21"/>
                <w:szCs w:val="21"/>
                <w:color w:val="auto"/>
                <w:vertAlign w:val="superscript"/>
              </w:rPr>
              <w:t>(e)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 xml:space="preserve">2024 Senior Notes </w:t>
            </w:r>
            <w:r>
              <w:rPr>
                <w:rFonts w:ascii="Arial" w:cs="Arial" w:eastAsia="Arial" w:hAnsi="Arial"/>
                <w:sz w:val="21"/>
                <w:szCs w:val="21"/>
                <w:color w:val="auto"/>
                <w:vertAlign w:val="superscript"/>
              </w:rPr>
              <w:t>(b)</w:t>
            </w:r>
          </w:p>
        </w:tc>
        <w:tc>
          <w:tcPr>
            <w:tcW w:w="26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6"/>
                <w:szCs w:val="16"/>
                <w:color w:val="auto"/>
              </w:rPr>
              <w:t>2025 Senior Notes</w:t>
            </w:r>
          </w:p>
        </w:tc>
        <w:tc>
          <w:tcPr>
            <w:tcW w:w="260" w:type="dxa"/>
            <w:vAlign w:val="bottom"/>
          </w:tcPr>
          <w:p>
            <w:pPr>
              <w:spacing w:after="0"/>
              <w:rPr>
                <w:sz w:val="20"/>
                <w:szCs w:val="20"/>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2026 Senior Notes</w:t>
            </w:r>
          </w:p>
        </w:tc>
        <w:tc>
          <w:tcPr>
            <w:tcW w:w="260" w:type="dxa"/>
            <w:vAlign w:val="bottom"/>
          </w:tcPr>
          <w:p>
            <w:pPr>
              <w:spacing w:after="0"/>
              <w:rPr>
                <w:sz w:val="23"/>
                <w:szCs w:val="23"/>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2028 Senior Notes</w:t>
            </w:r>
          </w:p>
        </w:tc>
        <w:tc>
          <w:tcPr>
            <w:tcW w:w="260" w:type="dxa"/>
            <w:vAlign w:val="bottom"/>
          </w:tcPr>
          <w:p>
            <w:pPr>
              <w:spacing w:after="0"/>
              <w:rPr>
                <w:sz w:val="23"/>
                <w:szCs w:val="23"/>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193"/>
        </w:trPr>
        <w:tc>
          <w:tcPr>
            <w:tcW w:w="5780" w:type="dxa"/>
            <w:vAlign w:val="bottom"/>
          </w:tcPr>
          <w:p>
            <w:pPr>
              <w:spacing w:after="0"/>
              <w:rPr>
                <w:sz w:val="20"/>
                <w:szCs w:val="20"/>
                <w:color w:val="auto"/>
              </w:rPr>
            </w:pPr>
            <w:r>
              <w:rPr>
                <w:rFonts w:ascii="Arial" w:cs="Arial" w:eastAsia="Arial" w:hAnsi="Arial"/>
                <w:sz w:val="16"/>
                <w:szCs w:val="16"/>
                <w:color w:val="auto"/>
                <w:w w:val="95"/>
              </w:rPr>
              <w:t>Clearway Energy LLC and Clearway Energy Operating LLC Revolving Credit Facility,</w:t>
            </w:r>
          </w:p>
        </w:tc>
        <w:tc>
          <w:tcPr>
            <w:tcW w:w="260" w:type="dxa"/>
            <w:vAlign w:val="bottom"/>
          </w:tcPr>
          <w:p>
            <w:pPr>
              <w:spacing w:after="0"/>
              <w:rPr>
                <w:sz w:val="16"/>
                <w:szCs w:val="16"/>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8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780" w:type="dxa"/>
            <w:vAlign w:val="bottom"/>
          </w:tcPr>
          <w:p>
            <w:pPr>
              <w:spacing w:after="0" w:line="226" w:lineRule="exact"/>
              <w:rPr>
                <w:sz w:val="20"/>
                <w:szCs w:val="20"/>
                <w:color w:val="auto"/>
              </w:rPr>
            </w:pPr>
            <w:r>
              <w:rPr>
                <w:rFonts w:ascii="Arial" w:cs="Arial" w:eastAsia="Arial" w:hAnsi="Arial"/>
                <w:sz w:val="16"/>
                <w:szCs w:val="16"/>
                <w:color w:val="auto"/>
              </w:rPr>
              <w:t xml:space="preserve">due 2023 </w:t>
            </w:r>
            <w:r>
              <w:rPr>
                <w:rFonts w:ascii="Arial" w:cs="Arial" w:eastAsia="Arial" w:hAnsi="Arial"/>
                <w:sz w:val="21"/>
                <w:szCs w:val="21"/>
                <w:color w:val="auto"/>
                <w:vertAlign w:val="superscript"/>
              </w:rPr>
              <w:t>(c)</w:t>
            </w:r>
          </w:p>
        </w:tc>
        <w:tc>
          <w:tcPr>
            <w:tcW w:w="26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780" w:type="dxa"/>
            <w:vAlign w:val="bottom"/>
          </w:tcPr>
          <w:p>
            <w:pPr>
              <w:spacing w:after="0"/>
              <w:rPr>
                <w:sz w:val="20"/>
                <w:szCs w:val="20"/>
                <w:color w:val="auto"/>
              </w:rPr>
            </w:pPr>
            <w:r>
              <w:rPr>
                <w:rFonts w:ascii="Arial" w:cs="Arial" w:eastAsia="Arial" w:hAnsi="Arial"/>
                <w:sz w:val="16"/>
                <w:szCs w:val="16"/>
                <w:b w:val="1"/>
                <w:bCs w:val="1"/>
                <w:color w:val="auto"/>
              </w:rPr>
              <w:t>Project-level debt:</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5780" w:type="dxa"/>
            <w:vAlign w:val="bottom"/>
          </w:tcPr>
          <w:p>
            <w:pPr>
              <w:spacing w:after="0"/>
              <w:rPr>
                <w:sz w:val="20"/>
                <w:szCs w:val="20"/>
                <w:color w:val="auto"/>
              </w:rPr>
            </w:pPr>
            <w:r>
              <w:rPr>
                <w:rFonts w:ascii="Arial" w:cs="Arial" w:eastAsia="Arial" w:hAnsi="Arial"/>
                <w:sz w:val="16"/>
                <w:szCs w:val="16"/>
                <w:color w:val="auto"/>
              </w:rPr>
              <w:t xml:space="preserve">Alpine, due 2022 </w:t>
            </w:r>
            <w:r>
              <w:rPr>
                <w:rFonts w:ascii="Arial" w:cs="Arial" w:eastAsia="Arial" w:hAnsi="Arial"/>
                <w:sz w:val="21"/>
                <w:szCs w:val="21"/>
                <w:color w:val="auto"/>
                <w:vertAlign w:val="superscript"/>
              </w:rPr>
              <w:t>(d)</w:t>
            </w:r>
          </w:p>
        </w:tc>
        <w:tc>
          <w:tcPr>
            <w:tcW w:w="260" w:type="dxa"/>
            <w:vAlign w:val="bottom"/>
          </w:tcPr>
          <w:p>
            <w:pPr>
              <w:spacing w:after="0"/>
              <w:rPr>
                <w:sz w:val="24"/>
                <w:szCs w:val="24"/>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6"/>
                <w:szCs w:val="16"/>
                <w:color w:val="auto"/>
              </w:rPr>
              <w:t>Alta Wind I-V lease financing arrangements, due 2034 and 2035</w:t>
            </w:r>
          </w:p>
        </w:tc>
        <w:tc>
          <w:tcPr>
            <w:tcW w:w="260" w:type="dxa"/>
            <w:vAlign w:val="bottom"/>
          </w:tcPr>
          <w:p>
            <w:pPr>
              <w:spacing w:after="0"/>
              <w:rPr>
                <w:sz w:val="20"/>
                <w:szCs w:val="20"/>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816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Buckthorn Solar, due 2025</w:t>
            </w:r>
          </w:p>
        </w:tc>
        <w:tc>
          <w:tcPr>
            <w:tcW w:w="260" w:type="dxa"/>
            <w:vAlign w:val="bottom"/>
          </w:tcPr>
          <w:p>
            <w:pPr>
              <w:spacing w:after="0"/>
              <w:rPr>
                <w:sz w:val="23"/>
                <w:szCs w:val="23"/>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Carlsbad Holdco, due 2038</w:t>
            </w:r>
          </w:p>
        </w:tc>
        <w:tc>
          <w:tcPr>
            <w:tcW w:w="260" w:type="dxa"/>
            <w:vAlign w:val="bottom"/>
          </w:tcPr>
          <w:p>
            <w:pPr>
              <w:spacing w:after="0"/>
              <w:rPr>
                <w:sz w:val="23"/>
                <w:szCs w:val="23"/>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Carlsbad Energy Holdings LLC, due 2027 and 2038</w:t>
            </w:r>
          </w:p>
        </w:tc>
        <w:tc>
          <w:tcPr>
            <w:tcW w:w="260" w:type="dxa"/>
            <w:vAlign w:val="bottom"/>
          </w:tcPr>
          <w:p>
            <w:pPr>
              <w:spacing w:after="0"/>
              <w:rPr>
                <w:sz w:val="23"/>
                <w:szCs w:val="23"/>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Chestnut Borrower, LLC, due 2024</w:t>
            </w:r>
          </w:p>
        </w:tc>
        <w:tc>
          <w:tcPr>
            <w:tcW w:w="260" w:type="dxa"/>
            <w:vAlign w:val="bottom"/>
          </w:tcPr>
          <w:p>
            <w:pPr>
              <w:spacing w:after="0"/>
              <w:rPr>
                <w:sz w:val="23"/>
                <w:szCs w:val="23"/>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CS4 Borrower, due 2026</w:t>
            </w:r>
          </w:p>
        </w:tc>
        <w:tc>
          <w:tcPr>
            <w:tcW w:w="260" w:type="dxa"/>
            <w:vAlign w:val="bottom"/>
          </w:tcPr>
          <w:p>
            <w:pPr>
              <w:spacing w:after="0"/>
              <w:rPr>
                <w:sz w:val="23"/>
                <w:szCs w:val="23"/>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5780" w:type="dxa"/>
            <w:vAlign w:val="bottom"/>
          </w:tcPr>
          <w:p>
            <w:pPr>
              <w:spacing w:after="0"/>
              <w:rPr>
                <w:sz w:val="20"/>
                <w:szCs w:val="20"/>
                <w:color w:val="auto"/>
              </w:rPr>
            </w:pPr>
            <w:r>
              <w:rPr>
                <w:rFonts w:ascii="Arial" w:cs="Arial" w:eastAsia="Arial" w:hAnsi="Arial"/>
                <w:sz w:val="16"/>
                <w:szCs w:val="16"/>
                <w:color w:val="auto"/>
              </w:rPr>
              <w:t xml:space="preserve">CVSR, due 2037 </w:t>
            </w:r>
            <w:r>
              <w:rPr>
                <w:rFonts w:ascii="Arial" w:cs="Arial" w:eastAsia="Arial" w:hAnsi="Arial"/>
                <w:sz w:val="21"/>
                <w:szCs w:val="21"/>
                <w:color w:val="auto"/>
                <w:vertAlign w:val="superscript"/>
              </w:rPr>
              <w:t>(d)</w:t>
            </w:r>
          </w:p>
        </w:tc>
        <w:tc>
          <w:tcPr>
            <w:tcW w:w="260" w:type="dxa"/>
            <w:vAlign w:val="bottom"/>
          </w:tcPr>
          <w:p>
            <w:pPr>
              <w:spacing w:after="0"/>
              <w:rPr>
                <w:sz w:val="24"/>
                <w:szCs w:val="24"/>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 xml:space="preserve">CVSR Holdco Notes, due 2037 </w:t>
            </w:r>
            <w:r>
              <w:rPr>
                <w:rFonts w:ascii="Arial" w:cs="Arial" w:eastAsia="Arial" w:hAnsi="Arial"/>
                <w:sz w:val="21"/>
                <w:szCs w:val="21"/>
                <w:color w:val="auto"/>
                <w:vertAlign w:val="superscript"/>
              </w:rPr>
              <w:t>(d)</w:t>
            </w:r>
          </w:p>
        </w:tc>
        <w:tc>
          <w:tcPr>
            <w:tcW w:w="260" w:type="dxa"/>
            <w:vAlign w:val="bottom"/>
          </w:tcPr>
          <w:p>
            <w:pPr>
              <w:spacing w:after="0"/>
              <w:rPr>
                <w:sz w:val="23"/>
                <w:szCs w:val="23"/>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6"/>
                <w:szCs w:val="16"/>
                <w:color w:val="auto"/>
              </w:rPr>
              <w:t>Duquesne, due 2059</w:t>
            </w:r>
          </w:p>
        </w:tc>
        <w:tc>
          <w:tcPr>
            <w:tcW w:w="260" w:type="dxa"/>
            <w:vAlign w:val="bottom"/>
          </w:tcPr>
          <w:p>
            <w:pPr>
              <w:spacing w:after="0"/>
              <w:rPr>
                <w:sz w:val="20"/>
                <w:szCs w:val="20"/>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El Segundo Energy Center, due 2023</w:t>
            </w:r>
          </w:p>
        </w:tc>
        <w:tc>
          <w:tcPr>
            <w:tcW w:w="260" w:type="dxa"/>
            <w:vAlign w:val="bottom"/>
          </w:tcPr>
          <w:p>
            <w:pPr>
              <w:spacing w:after="0"/>
              <w:rPr>
                <w:sz w:val="23"/>
                <w:szCs w:val="23"/>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Energy Center Minneapolis Series D, E, F, G, H Notes, due 2025-2037</w:t>
            </w:r>
          </w:p>
        </w:tc>
        <w:tc>
          <w:tcPr>
            <w:tcW w:w="260" w:type="dxa"/>
            <w:vAlign w:val="bottom"/>
          </w:tcPr>
          <w:p>
            <w:pPr>
              <w:spacing w:after="0"/>
              <w:rPr>
                <w:sz w:val="23"/>
                <w:szCs w:val="23"/>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Laredo Ridge, due 2028</w:t>
            </w:r>
          </w:p>
        </w:tc>
        <w:tc>
          <w:tcPr>
            <w:tcW w:w="260" w:type="dxa"/>
            <w:vAlign w:val="bottom"/>
          </w:tcPr>
          <w:p>
            <w:pPr>
              <w:spacing w:after="0"/>
              <w:rPr>
                <w:sz w:val="23"/>
                <w:szCs w:val="23"/>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10"/>
        </w:trPr>
        <w:tc>
          <w:tcPr>
            <w:tcW w:w="5780" w:type="dxa"/>
            <w:vAlign w:val="bottom"/>
          </w:tcPr>
          <w:p>
            <w:pPr>
              <w:spacing w:after="0"/>
              <w:rPr>
                <w:sz w:val="20"/>
                <w:szCs w:val="20"/>
                <w:color w:val="auto"/>
              </w:rPr>
            </w:pPr>
            <w:r>
              <w:rPr>
                <w:rFonts w:ascii="Arial" w:cs="Arial" w:eastAsia="Arial" w:hAnsi="Arial"/>
                <w:sz w:val="16"/>
                <w:szCs w:val="16"/>
                <w:color w:val="auto"/>
              </w:rPr>
              <w:t xml:space="preserve">Kansas South, due 2030 </w:t>
            </w:r>
            <w:r>
              <w:rPr>
                <w:rFonts w:ascii="Arial" w:cs="Arial" w:eastAsia="Arial" w:hAnsi="Arial"/>
                <w:sz w:val="21"/>
                <w:szCs w:val="21"/>
                <w:color w:val="auto"/>
                <w:vertAlign w:val="superscript"/>
              </w:rPr>
              <w:t>(d)</w:t>
            </w:r>
          </w:p>
        </w:tc>
        <w:tc>
          <w:tcPr>
            <w:tcW w:w="260" w:type="dxa"/>
            <w:vAlign w:val="bottom"/>
          </w:tcPr>
          <w:p>
            <w:pPr>
              <w:spacing w:after="0"/>
              <w:rPr>
                <w:sz w:val="24"/>
                <w:szCs w:val="24"/>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6"/>
                <w:szCs w:val="16"/>
                <w:color w:val="auto"/>
              </w:rPr>
              <w:t>Kawailoa Solar Holdings LLC, due 2026</w:t>
            </w:r>
          </w:p>
        </w:tc>
        <w:tc>
          <w:tcPr>
            <w:tcW w:w="260" w:type="dxa"/>
            <w:vAlign w:val="bottom"/>
          </w:tcPr>
          <w:p>
            <w:pPr>
              <w:spacing w:after="0"/>
              <w:rPr>
                <w:sz w:val="20"/>
                <w:szCs w:val="20"/>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310"/>
        </w:trPr>
        <w:tc>
          <w:tcPr>
            <w:tcW w:w="5780" w:type="dxa"/>
            <w:vAlign w:val="bottom"/>
          </w:tcPr>
          <w:p>
            <w:pPr>
              <w:spacing w:after="0"/>
              <w:rPr>
                <w:sz w:val="20"/>
                <w:szCs w:val="20"/>
                <w:color w:val="auto"/>
              </w:rPr>
            </w:pPr>
            <w:r>
              <w:rPr>
                <w:rFonts w:ascii="Arial" w:cs="Arial" w:eastAsia="Arial" w:hAnsi="Arial"/>
                <w:sz w:val="16"/>
                <w:szCs w:val="16"/>
                <w:color w:val="auto"/>
              </w:rPr>
              <w:t xml:space="preserve">Marsh Landing, due 2023 </w:t>
            </w:r>
            <w:r>
              <w:rPr>
                <w:rFonts w:ascii="Arial" w:cs="Arial" w:eastAsia="Arial" w:hAnsi="Arial"/>
                <w:sz w:val="21"/>
                <w:szCs w:val="21"/>
                <w:color w:val="auto"/>
                <w:vertAlign w:val="superscript"/>
              </w:rPr>
              <w:t>(d)</w:t>
            </w:r>
          </w:p>
        </w:tc>
        <w:tc>
          <w:tcPr>
            <w:tcW w:w="260" w:type="dxa"/>
            <w:vAlign w:val="bottom"/>
          </w:tcPr>
          <w:p>
            <w:pPr>
              <w:spacing w:after="0"/>
              <w:rPr>
                <w:sz w:val="24"/>
                <w:szCs w:val="24"/>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6"/>
                <w:szCs w:val="16"/>
                <w:color w:val="auto"/>
              </w:rPr>
              <w:t>Oahu Solar Holdings LLC, due 2026</w:t>
            </w:r>
          </w:p>
        </w:tc>
        <w:tc>
          <w:tcPr>
            <w:tcW w:w="260" w:type="dxa"/>
            <w:vAlign w:val="bottom"/>
          </w:tcPr>
          <w:p>
            <w:pPr>
              <w:spacing w:after="0"/>
              <w:rPr>
                <w:sz w:val="20"/>
                <w:szCs w:val="20"/>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310"/>
        </w:trPr>
        <w:tc>
          <w:tcPr>
            <w:tcW w:w="5780" w:type="dxa"/>
            <w:vAlign w:val="bottom"/>
          </w:tcPr>
          <w:p>
            <w:pPr>
              <w:spacing w:after="0"/>
              <w:rPr>
                <w:sz w:val="20"/>
                <w:szCs w:val="20"/>
                <w:color w:val="auto"/>
              </w:rPr>
            </w:pPr>
            <w:r>
              <w:rPr>
                <w:rFonts w:ascii="Arial" w:cs="Arial" w:eastAsia="Arial" w:hAnsi="Arial"/>
                <w:sz w:val="16"/>
                <w:szCs w:val="16"/>
                <w:color w:val="auto"/>
              </w:rPr>
              <w:t xml:space="preserve">Repowering Partnership Holdco LLC, due 2020 </w:t>
            </w:r>
            <w:r>
              <w:rPr>
                <w:rFonts w:ascii="Arial" w:cs="Arial" w:eastAsia="Arial" w:hAnsi="Arial"/>
                <w:sz w:val="21"/>
                <w:szCs w:val="21"/>
                <w:color w:val="auto"/>
                <w:vertAlign w:val="superscript"/>
              </w:rPr>
              <w:t>(b)</w:t>
            </w:r>
          </w:p>
        </w:tc>
        <w:tc>
          <w:tcPr>
            <w:tcW w:w="260" w:type="dxa"/>
            <w:vAlign w:val="bottom"/>
          </w:tcPr>
          <w:p>
            <w:pPr>
              <w:spacing w:after="0"/>
              <w:rPr>
                <w:sz w:val="24"/>
                <w:szCs w:val="2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6"/>
                <w:szCs w:val="16"/>
                <w:color w:val="auto"/>
              </w:rPr>
              <w:t>South Trent, due 2028</w:t>
            </w:r>
          </w:p>
        </w:tc>
        <w:tc>
          <w:tcPr>
            <w:tcW w:w="260" w:type="dxa"/>
            <w:vAlign w:val="bottom"/>
          </w:tcPr>
          <w:p>
            <w:pPr>
              <w:spacing w:after="0"/>
              <w:rPr>
                <w:sz w:val="20"/>
                <w:szCs w:val="20"/>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Tapestry, due 2031</w:t>
            </w:r>
          </w:p>
        </w:tc>
        <w:tc>
          <w:tcPr>
            <w:tcW w:w="260" w:type="dxa"/>
            <w:vAlign w:val="bottom"/>
          </w:tcPr>
          <w:p>
            <w:pPr>
              <w:spacing w:after="0"/>
              <w:rPr>
                <w:sz w:val="23"/>
                <w:szCs w:val="23"/>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Utah Solar Portfolio, due 2022</w:t>
            </w:r>
          </w:p>
        </w:tc>
        <w:tc>
          <w:tcPr>
            <w:tcW w:w="260" w:type="dxa"/>
            <w:vAlign w:val="bottom"/>
          </w:tcPr>
          <w:p>
            <w:pPr>
              <w:spacing w:after="0"/>
              <w:rPr>
                <w:sz w:val="23"/>
                <w:szCs w:val="23"/>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Viento, due 2023</w:t>
            </w:r>
          </w:p>
        </w:tc>
        <w:tc>
          <w:tcPr>
            <w:tcW w:w="260" w:type="dxa"/>
            <w:vAlign w:val="bottom"/>
          </w:tcPr>
          <w:p>
            <w:pPr>
              <w:spacing w:after="0"/>
              <w:rPr>
                <w:sz w:val="23"/>
                <w:szCs w:val="23"/>
                <w:color w:val="auto"/>
              </w:rPr>
            </w:pPr>
          </w:p>
        </w:tc>
        <w:tc>
          <w:tcPr>
            <w:tcW w:w="720" w:type="dxa"/>
            <w:vAlign w:val="bottom"/>
          </w:tcPr>
          <w:p>
            <w:pPr>
              <w:jc w:val="right"/>
              <w:ind w:right="51"/>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Walnut Creek, due 2023</w:t>
            </w:r>
          </w:p>
        </w:tc>
        <w:tc>
          <w:tcPr>
            <w:tcW w:w="260" w:type="dxa"/>
            <w:vAlign w:val="bottom"/>
          </w:tcPr>
          <w:p>
            <w:pPr>
              <w:spacing w:after="0"/>
              <w:rPr>
                <w:sz w:val="23"/>
                <w:szCs w:val="23"/>
                <w:color w:val="auto"/>
              </w:rPr>
            </w:pPr>
          </w:p>
        </w:tc>
        <w:tc>
          <w:tcPr>
            <w:tcW w:w="720" w:type="dxa"/>
            <w:vAlign w:val="bottom"/>
          </w:tcPr>
          <w:p>
            <w:pPr>
              <w:jc w:val="right"/>
              <w:ind w:right="51"/>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23"/>
                <w:szCs w:val="23"/>
                <w:color w:val="auto"/>
              </w:rPr>
            </w:pPr>
          </w:p>
        </w:tc>
        <w:tc>
          <w:tcPr>
            <w:tcW w:w="720" w:type="dxa"/>
            <w:vAlign w:val="bottom"/>
          </w:tcPr>
          <w:p>
            <w:pPr>
              <w:jc w:val="right"/>
              <w:ind w:right="51"/>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80" w:type="dxa"/>
            <w:vAlign w:val="bottom"/>
          </w:tcPr>
          <w:p>
            <w:pPr>
              <w:ind w:left="100"/>
              <w:spacing w:after="0"/>
              <w:rPr>
                <w:sz w:val="20"/>
                <w:szCs w:val="20"/>
                <w:color w:val="auto"/>
              </w:rPr>
            </w:pPr>
            <w:r>
              <w:rPr>
                <w:rFonts w:ascii="Arial" w:cs="Arial" w:eastAsia="Arial" w:hAnsi="Arial"/>
                <w:sz w:val="16"/>
                <w:szCs w:val="16"/>
                <w:color w:val="auto"/>
              </w:rPr>
              <w:t>Subtotal project-level debt:</w:t>
            </w:r>
          </w:p>
        </w:tc>
        <w:tc>
          <w:tcPr>
            <w:tcW w:w="260" w:type="dxa"/>
            <w:vAlign w:val="bottom"/>
          </w:tcPr>
          <w:p>
            <w:pPr>
              <w:spacing w:after="0"/>
              <w:rPr>
                <w:sz w:val="20"/>
                <w:szCs w:val="20"/>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5,008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5,175</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80" w:type="dxa"/>
            <w:vAlign w:val="bottom"/>
          </w:tcPr>
          <w:p>
            <w:pPr>
              <w:ind w:left="200"/>
              <w:spacing w:after="0"/>
              <w:rPr>
                <w:sz w:val="20"/>
                <w:szCs w:val="20"/>
                <w:color w:val="auto"/>
              </w:rPr>
            </w:pPr>
            <w:r>
              <w:rPr>
                <w:rFonts w:ascii="Arial" w:cs="Arial" w:eastAsia="Arial" w:hAnsi="Arial"/>
                <w:sz w:val="16"/>
                <w:szCs w:val="16"/>
                <w:color w:val="auto"/>
              </w:rPr>
              <w:t>Total debt</w:t>
            </w:r>
          </w:p>
        </w:tc>
        <w:tc>
          <w:tcPr>
            <w:tcW w:w="260" w:type="dxa"/>
            <w:vAlign w:val="bottom"/>
          </w:tcPr>
          <w:p>
            <w:pPr>
              <w:spacing w:after="0"/>
              <w:rPr>
                <w:sz w:val="20"/>
                <w:szCs w:val="20"/>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6,808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6,858</w:t>
            </w:r>
          </w:p>
        </w:tc>
        <w:tc>
          <w:tcPr>
            <w:tcW w:w="0" w:type="dxa"/>
            <w:vAlign w:val="bottom"/>
          </w:tcPr>
          <w:p>
            <w:pPr>
              <w:spacing w:after="0"/>
              <w:rPr>
                <w:sz w:val="1"/>
                <w:szCs w:val="1"/>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Less current maturities</w:t>
            </w:r>
          </w:p>
        </w:tc>
        <w:tc>
          <w:tcPr>
            <w:tcW w:w="26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Less net debt issuance costs</w:t>
            </w:r>
          </w:p>
        </w:tc>
        <w:tc>
          <w:tcPr>
            <w:tcW w:w="26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97"/>
        </w:trPr>
        <w:tc>
          <w:tcPr>
            <w:tcW w:w="5780" w:type="dxa"/>
            <w:vAlign w:val="bottom"/>
          </w:tcPr>
          <w:p>
            <w:pPr>
              <w:spacing w:after="0"/>
              <w:rPr>
                <w:sz w:val="20"/>
                <w:szCs w:val="20"/>
                <w:color w:val="auto"/>
              </w:rPr>
            </w:pPr>
            <w:r>
              <w:rPr>
                <w:rFonts w:ascii="Arial" w:cs="Arial" w:eastAsia="Arial" w:hAnsi="Arial"/>
                <w:sz w:val="16"/>
                <w:szCs w:val="16"/>
                <w:color w:val="auto"/>
              </w:rPr>
              <w:t>Add premiums</w:t>
            </w:r>
            <w:r>
              <w:rPr>
                <w:rFonts w:ascii="Arial" w:cs="Arial" w:eastAsia="Arial" w:hAnsi="Arial"/>
                <w:sz w:val="21"/>
                <w:szCs w:val="21"/>
                <w:color w:val="auto"/>
                <w:vertAlign w:val="superscript"/>
              </w:rPr>
              <w:t>(f)</w:t>
            </w: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1"/>
        </w:trPr>
        <w:tc>
          <w:tcPr>
            <w:tcW w:w="5780" w:type="dxa"/>
            <w:vAlign w:val="bottom"/>
          </w:tcPr>
          <w:p>
            <w:pPr>
              <w:ind w:left="200"/>
              <w:spacing w:after="0"/>
              <w:rPr>
                <w:sz w:val="20"/>
                <w:szCs w:val="20"/>
                <w:color w:val="auto"/>
              </w:rPr>
            </w:pPr>
            <w:r>
              <w:rPr>
                <w:rFonts w:ascii="Arial" w:cs="Arial" w:eastAsia="Arial" w:hAnsi="Arial"/>
                <w:sz w:val="16"/>
                <w:szCs w:val="16"/>
                <w:color w:val="auto"/>
              </w:rPr>
              <w:t>Total long-term debt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6,377</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4,956</w:t>
            </w:r>
          </w:p>
        </w:tc>
        <w:tc>
          <w:tcPr>
            <w:tcW w:w="0" w:type="dxa"/>
            <w:vAlign w:val="bottom"/>
          </w:tcPr>
          <w:p>
            <w:pPr>
              <w:spacing w:after="0"/>
              <w:rPr>
                <w:sz w:val="1"/>
                <w:szCs w:val="1"/>
                <w:color w:val="auto"/>
              </w:rPr>
            </w:pPr>
          </w:p>
        </w:tc>
      </w:tr>
      <w:tr>
        <w:trPr>
          <w:trHeight w:val="23"/>
        </w:trPr>
        <w:tc>
          <w:tcPr>
            <w:tcW w:w="5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-6120130</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-5777230</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-5365750</wp:posOffset>
            </wp:positionV>
            <wp:extent cx="7132320"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-5031105</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-4688205</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-4345305</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-4002405</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-3659505</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-3316605</wp:posOffset>
            </wp:positionV>
            <wp:extent cx="71323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-2973705</wp:posOffset>
            </wp:positionV>
            <wp:extent cx="71323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-2630805</wp:posOffset>
            </wp:positionV>
            <wp:extent cx="71323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-2287905</wp:posOffset>
            </wp:positionV>
            <wp:extent cx="71323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-1945005</wp:posOffset>
            </wp:positionV>
            <wp:extent cx="71323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-1602105</wp:posOffset>
            </wp:positionV>
            <wp:extent cx="71323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-1259205</wp:posOffset>
            </wp:positionV>
            <wp:extent cx="71323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-908050</wp:posOffset>
            </wp:positionV>
            <wp:extent cx="7132320" cy="1803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-556260</wp:posOffset>
            </wp:positionV>
            <wp:extent cx="71323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1968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3.250</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5.375</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5.750</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5.000</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4.750</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780" w:type="dxa"/>
            <w:vAlign w:val="bottom"/>
          </w:tcPr>
          <w:p>
            <w:pPr>
              <w:jc w:val="right"/>
              <w:ind w:right="390"/>
              <w:spacing w:after="0"/>
              <w:rPr>
                <w:sz w:val="20"/>
                <w:szCs w:val="20"/>
                <w:color w:val="auto"/>
              </w:rPr>
            </w:pPr>
            <w:r>
              <w:rPr>
                <w:rFonts w:ascii="Arial" w:cs="Arial" w:eastAsia="Arial" w:hAnsi="Arial"/>
                <w:sz w:val="18"/>
                <w:szCs w:val="18"/>
                <w:color w:val="auto"/>
              </w:rPr>
              <w:t>L+2.00</w:t>
            </w:r>
          </w:p>
        </w:tc>
        <w:tc>
          <w:tcPr>
            <w:tcW w:w="7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527"/>
        </w:trPr>
        <w:tc>
          <w:tcPr>
            <w:tcW w:w="1780" w:type="dxa"/>
            <w:vAlign w:val="bottom"/>
          </w:tcPr>
          <w:p>
            <w:pPr>
              <w:jc w:val="right"/>
              <w:ind w:right="390"/>
              <w:spacing w:after="0"/>
              <w:rPr>
                <w:sz w:val="20"/>
                <w:szCs w:val="20"/>
                <w:color w:val="auto"/>
              </w:rPr>
            </w:pPr>
            <w:r>
              <w:rPr>
                <w:rFonts w:ascii="Arial" w:cs="Arial" w:eastAsia="Arial" w:hAnsi="Arial"/>
                <w:sz w:val="18"/>
                <w:szCs w:val="18"/>
                <w:color w:val="auto"/>
              </w:rPr>
              <w:t>L+2.00</w:t>
            </w: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1780" w:type="dxa"/>
            <w:vAlign w:val="bottom"/>
          </w:tcPr>
          <w:p>
            <w:pPr>
              <w:jc w:val="right"/>
              <w:ind w:right="390"/>
              <w:spacing w:after="0"/>
              <w:rPr>
                <w:sz w:val="20"/>
                <w:szCs w:val="20"/>
                <w:color w:val="auto"/>
              </w:rPr>
            </w:pPr>
            <w:r>
              <w:rPr>
                <w:rFonts w:ascii="Arial" w:cs="Arial" w:eastAsia="Arial" w:hAnsi="Arial"/>
                <w:sz w:val="18"/>
                <w:szCs w:val="18"/>
                <w:color w:val="auto"/>
              </w:rPr>
              <w:t>5.696 - 7.015</w:t>
            </w: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1780" w:type="dxa"/>
            <w:vAlign w:val="bottom"/>
          </w:tcPr>
          <w:p>
            <w:pPr>
              <w:jc w:val="right"/>
              <w:ind w:right="390"/>
              <w:spacing w:after="0"/>
              <w:rPr>
                <w:sz w:val="20"/>
                <w:szCs w:val="20"/>
                <w:color w:val="auto"/>
              </w:rPr>
            </w:pPr>
            <w:r>
              <w:rPr>
                <w:rFonts w:ascii="Arial" w:cs="Arial" w:eastAsia="Arial" w:hAnsi="Arial"/>
                <w:sz w:val="18"/>
                <w:szCs w:val="18"/>
                <w:color w:val="auto"/>
              </w:rPr>
              <w:t>L+1.750</w:t>
            </w: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1780" w:type="dxa"/>
            <w:vAlign w:val="bottom"/>
          </w:tcPr>
          <w:p>
            <w:pPr>
              <w:ind w:left="760"/>
              <w:spacing w:after="0"/>
              <w:rPr>
                <w:sz w:val="20"/>
                <w:szCs w:val="20"/>
                <w:color w:val="auto"/>
              </w:rPr>
            </w:pPr>
            <w:r>
              <w:rPr>
                <w:rFonts w:ascii="Arial" w:cs="Arial" w:eastAsia="Arial" w:hAnsi="Arial"/>
                <w:sz w:val="18"/>
                <w:szCs w:val="18"/>
                <w:color w:val="auto"/>
              </w:rPr>
              <w:t>4.210</w:t>
            </w: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1780" w:type="dxa"/>
            <w:vAlign w:val="bottom"/>
          </w:tcPr>
          <w:p>
            <w:pPr>
              <w:ind w:left="760"/>
              <w:spacing w:after="0"/>
              <w:rPr>
                <w:sz w:val="20"/>
                <w:szCs w:val="20"/>
                <w:color w:val="auto"/>
              </w:rPr>
            </w:pPr>
            <w:r>
              <w:rPr>
                <w:rFonts w:ascii="Arial" w:cs="Arial" w:eastAsia="Arial" w:hAnsi="Arial"/>
                <w:sz w:val="18"/>
                <w:szCs w:val="18"/>
                <w:color w:val="auto"/>
              </w:rPr>
              <w:t>various</w:t>
            </w:r>
          </w:p>
        </w:tc>
        <w:tc>
          <w:tcPr>
            <w:tcW w:w="7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97"/>
        </w:trPr>
        <w:tc>
          <w:tcPr>
            <w:tcW w:w="1780" w:type="dxa"/>
            <w:vAlign w:val="bottom"/>
          </w:tcPr>
          <w:p>
            <w:pPr>
              <w:jc w:val="right"/>
              <w:ind w:right="390"/>
              <w:spacing w:after="0"/>
              <w:rPr>
                <w:sz w:val="20"/>
                <w:szCs w:val="20"/>
                <w:color w:val="auto"/>
              </w:rPr>
            </w:pPr>
            <w:r>
              <w:rPr>
                <w:rFonts w:ascii="Arial" w:cs="Arial" w:eastAsia="Arial" w:hAnsi="Arial"/>
                <w:sz w:val="18"/>
                <w:szCs w:val="18"/>
                <w:color w:val="auto"/>
              </w:rPr>
              <w:t>L+2.50</w:t>
            </w: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1780" w:type="dxa"/>
            <w:vAlign w:val="bottom"/>
          </w:tcPr>
          <w:p>
            <w:pPr>
              <w:jc w:val="right"/>
              <w:ind w:right="390"/>
              <w:spacing w:after="0"/>
              <w:rPr>
                <w:sz w:val="20"/>
                <w:szCs w:val="20"/>
                <w:color w:val="auto"/>
              </w:rPr>
            </w:pPr>
            <w:r>
              <w:rPr>
                <w:rFonts w:ascii="Arial" w:cs="Arial" w:eastAsia="Arial" w:hAnsi="Arial"/>
                <w:sz w:val="18"/>
                <w:szCs w:val="18"/>
                <w:color w:val="auto"/>
              </w:rPr>
              <w:t>L+2.00</w:t>
            </w: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1780" w:type="dxa"/>
            <w:vAlign w:val="bottom"/>
          </w:tcPr>
          <w:p>
            <w:pPr>
              <w:jc w:val="right"/>
              <w:ind w:right="390"/>
              <w:spacing w:after="0"/>
              <w:rPr>
                <w:sz w:val="20"/>
                <w:szCs w:val="20"/>
                <w:color w:val="auto"/>
              </w:rPr>
            </w:pPr>
            <w:r>
              <w:rPr>
                <w:rFonts w:ascii="Arial" w:cs="Arial" w:eastAsia="Arial" w:hAnsi="Arial"/>
                <w:sz w:val="18"/>
                <w:szCs w:val="18"/>
                <w:color w:val="auto"/>
              </w:rPr>
              <w:t>2.339 - 3.775</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1780" w:type="dxa"/>
            <w:vAlign w:val="bottom"/>
          </w:tcPr>
          <w:p>
            <w:pPr>
              <w:ind w:left="760"/>
              <w:spacing w:after="0"/>
              <w:rPr>
                <w:sz w:val="20"/>
                <w:szCs w:val="20"/>
                <w:color w:val="auto"/>
              </w:rPr>
            </w:pPr>
            <w:r>
              <w:rPr>
                <w:rFonts w:ascii="Arial" w:cs="Arial" w:eastAsia="Arial" w:hAnsi="Arial"/>
                <w:sz w:val="18"/>
                <w:szCs w:val="18"/>
                <w:color w:val="auto"/>
              </w:rPr>
              <w:t>4.680</w:t>
            </w: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1780" w:type="dxa"/>
            <w:vAlign w:val="bottom"/>
          </w:tcPr>
          <w:p>
            <w:pPr>
              <w:ind w:left="760"/>
              <w:spacing w:after="0"/>
              <w:rPr>
                <w:sz w:val="20"/>
                <w:szCs w:val="20"/>
                <w:color w:val="auto"/>
              </w:rPr>
            </w:pPr>
            <w:r>
              <w:rPr>
                <w:rFonts w:ascii="Arial" w:cs="Arial" w:eastAsia="Arial" w:hAnsi="Arial"/>
                <w:sz w:val="18"/>
                <w:szCs w:val="18"/>
                <w:color w:val="auto"/>
              </w:rPr>
              <w:t>4.620</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1780" w:type="dxa"/>
            <w:vAlign w:val="bottom"/>
          </w:tcPr>
          <w:p>
            <w:pPr>
              <w:jc w:val="right"/>
              <w:ind w:right="390"/>
              <w:spacing w:after="0"/>
              <w:rPr>
                <w:sz w:val="20"/>
                <w:szCs w:val="20"/>
                <w:color w:val="auto"/>
              </w:rPr>
            </w:pPr>
            <w:r>
              <w:rPr>
                <w:rFonts w:ascii="Arial" w:cs="Arial" w:eastAsia="Arial" w:hAnsi="Arial"/>
                <w:sz w:val="18"/>
                <w:szCs w:val="18"/>
                <w:color w:val="auto"/>
                <w:w w:val="93"/>
              </w:rPr>
              <w:t>L+1.75 - L+2.375</w:t>
            </w:r>
          </w:p>
        </w:tc>
        <w:tc>
          <w:tcPr>
            <w:tcW w:w="7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43"/>
        </w:trPr>
        <w:tc>
          <w:tcPr>
            <w:tcW w:w="1780" w:type="dxa"/>
            <w:vAlign w:val="bottom"/>
          </w:tcPr>
          <w:p>
            <w:pPr>
              <w:ind w:left="760"/>
              <w:spacing w:after="0"/>
              <w:rPr>
                <w:sz w:val="20"/>
                <w:szCs w:val="20"/>
                <w:color w:val="auto"/>
              </w:rPr>
            </w:pPr>
            <w:r>
              <w:rPr>
                <w:rFonts w:ascii="Arial" w:cs="Arial" w:eastAsia="Arial" w:hAnsi="Arial"/>
                <w:sz w:val="18"/>
                <w:szCs w:val="18"/>
                <w:color w:val="auto"/>
              </w:rPr>
              <w:t>various</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1780" w:type="dxa"/>
            <w:vAlign w:val="bottom"/>
          </w:tcPr>
          <w:p>
            <w:pPr>
              <w:jc w:val="right"/>
              <w:ind w:right="390"/>
              <w:spacing w:after="0"/>
              <w:rPr>
                <w:sz w:val="20"/>
                <w:szCs w:val="20"/>
                <w:color w:val="auto"/>
              </w:rPr>
            </w:pPr>
            <w:r>
              <w:rPr>
                <w:rFonts w:ascii="Arial" w:cs="Arial" w:eastAsia="Arial" w:hAnsi="Arial"/>
                <w:sz w:val="18"/>
                <w:szCs w:val="18"/>
                <w:color w:val="auto"/>
              </w:rPr>
              <w:t>L+2.125</w:t>
            </w: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1780" w:type="dxa"/>
            <w:vAlign w:val="bottom"/>
          </w:tcPr>
          <w:p>
            <w:pPr>
              <w:jc w:val="right"/>
              <w:ind w:right="390"/>
              <w:spacing w:after="0"/>
              <w:rPr>
                <w:sz w:val="20"/>
                <w:szCs w:val="20"/>
                <w:color w:val="auto"/>
              </w:rPr>
            </w:pPr>
            <w:r>
              <w:rPr>
                <w:rFonts w:ascii="Arial" w:cs="Arial" w:eastAsia="Arial" w:hAnsi="Arial"/>
                <w:sz w:val="18"/>
                <w:szCs w:val="18"/>
                <w:color w:val="auto"/>
              </w:rPr>
              <w:t>L+2.25</w:t>
            </w: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1780" w:type="dxa"/>
            <w:vAlign w:val="bottom"/>
          </w:tcPr>
          <w:p>
            <w:pPr>
              <w:jc w:val="right"/>
              <w:ind w:right="390"/>
              <w:spacing w:after="0"/>
              <w:rPr>
                <w:sz w:val="20"/>
                <w:szCs w:val="20"/>
                <w:color w:val="auto"/>
              </w:rPr>
            </w:pPr>
            <w:r>
              <w:rPr>
                <w:rFonts w:ascii="Arial" w:cs="Arial" w:eastAsia="Arial" w:hAnsi="Arial"/>
                <w:sz w:val="18"/>
                <w:szCs w:val="18"/>
                <w:color w:val="auto"/>
              </w:rPr>
              <w:t>L+1.375</w:t>
            </w: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1780" w:type="dxa"/>
            <w:vAlign w:val="bottom"/>
          </w:tcPr>
          <w:p>
            <w:pPr>
              <w:jc w:val="right"/>
              <w:ind w:right="390"/>
              <w:spacing w:after="0"/>
              <w:rPr>
                <w:sz w:val="20"/>
                <w:szCs w:val="20"/>
                <w:color w:val="auto"/>
              </w:rPr>
            </w:pPr>
            <w:r>
              <w:rPr>
                <w:rFonts w:ascii="Arial" w:cs="Arial" w:eastAsia="Arial" w:hAnsi="Arial"/>
                <w:sz w:val="18"/>
                <w:szCs w:val="18"/>
                <w:color w:val="auto"/>
              </w:rPr>
              <w:t>L+2.125</w:t>
            </w:r>
          </w:p>
        </w:tc>
        <w:tc>
          <w:tcPr>
            <w:tcW w:w="7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1780" w:type="dxa"/>
            <w:vAlign w:val="bottom"/>
          </w:tcPr>
          <w:p>
            <w:pPr>
              <w:jc w:val="right"/>
              <w:ind w:right="390"/>
              <w:spacing w:after="0"/>
              <w:rPr>
                <w:sz w:val="20"/>
                <w:szCs w:val="20"/>
                <w:color w:val="auto"/>
              </w:rPr>
            </w:pPr>
            <w:r>
              <w:rPr>
                <w:rFonts w:ascii="Arial" w:cs="Arial" w:eastAsia="Arial" w:hAnsi="Arial"/>
                <w:sz w:val="18"/>
                <w:szCs w:val="18"/>
                <w:color w:val="auto"/>
              </w:rPr>
              <w:t>L+1.375</w:t>
            </w: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780" w:type="dxa"/>
            <w:vAlign w:val="bottom"/>
          </w:tcPr>
          <w:p>
            <w:pPr>
              <w:jc w:val="right"/>
              <w:ind w:right="390"/>
              <w:spacing w:after="0"/>
              <w:rPr>
                <w:sz w:val="20"/>
                <w:szCs w:val="20"/>
                <w:color w:val="auto"/>
              </w:rPr>
            </w:pPr>
            <w:r>
              <w:rPr>
                <w:rFonts w:ascii="Arial" w:cs="Arial" w:eastAsia="Arial" w:hAnsi="Arial"/>
                <w:sz w:val="18"/>
                <w:szCs w:val="18"/>
                <w:color w:val="auto"/>
              </w:rPr>
              <w:t>L+.85</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1780" w:type="dxa"/>
            <w:vAlign w:val="bottom"/>
          </w:tcPr>
          <w:p>
            <w:pPr>
              <w:jc w:val="right"/>
              <w:ind w:right="390"/>
              <w:spacing w:after="0"/>
              <w:rPr>
                <w:sz w:val="20"/>
                <w:szCs w:val="20"/>
                <w:color w:val="auto"/>
              </w:rPr>
            </w:pPr>
            <w:r>
              <w:rPr>
                <w:rFonts w:ascii="Arial" w:cs="Arial" w:eastAsia="Arial" w:hAnsi="Arial"/>
                <w:sz w:val="18"/>
                <w:szCs w:val="18"/>
                <w:color w:val="auto"/>
              </w:rPr>
              <w:t>L+1.350</w:t>
            </w: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1780" w:type="dxa"/>
            <w:vAlign w:val="bottom"/>
          </w:tcPr>
          <w:p>
            <w:pPr>
              <w:jc w:val="right"/>
              <w:ind w:right="390"/>
              <w:spacing w:after="0"/>
              <w:rPr>
                <w:sz w:val="20"/>
                <w:szCs w:val="20"/>
                <w:color w:val="auto"/>
              </w:rPr>
            </w:pPr>
            <w:r>
              <w:rPr>
                <w:rFonts w:ascii="Arial" w:cs="Arial" w:eastAsia="Arial" w:hAnsi="Arial"/>
                <w:sz w:val="18"/>
                <w:szCs w:val="18"/>
                <w:color w:val="auto"/>
              </w:rPr>
              <w:t>L+1.375</w:t>
            </w: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1780" w:type="dxa"/>
            <w:vAlign w:val="bottom"/>
          </w:tcPr>
          <w:p>
            <w:pPr>
              <w:jc w:val="right"/>
              <w:ind w:right="390"/>
              <w:spacing w:after="0"/>
              <w:rPr>
                <w:sz w:val="20"/>
                <w:szCs w:val="20"/>
                <w:color w:val="auto"/>
              </w:rPr>
            </w:pPr>
            <w:r>
              <w:rPr>
                <w:rFonts w:ascii="Arial" w:cs="Arial" w:eastAsia="Arial" w:hAnsi="Arial"/>
                <w:sz w:val="18"/>
                <w:szCs w:val="18"/>
                <w:color w:val="auto"/>
              </w:rPr>
              <w:t>L+2.625</w:t>
            </w: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1780" w:type="dxa"/>
            <w:vAlign w:val="bottom"/>
          </w:tcPr>
          <w:p>
            <w:pPr>
              <w:jc w:val="right"/>
              <w:ind w:right="390"/>
              <w:spacing w:after="0"/>
              <w:rPr>
                <w:sz w:val="20"/>
                <w:szCs w:val="20"/>
                <w:color w:val="auto"/>
              </w:rPr>
            </w:pPr>
            <w:r>
              <w:rPr>
                <w:rFonts w:ascii="Arial" w:cs="Arial" w:eastAsia="Arial" w:hAnsi="Arial"/>
                <w:sz w:val="18"/>
                <w:szCs w:val="18"/>
                <w:color w:val="auto"/>
              </w:rPr>
              <w:t>L+2.00</w:t>
            </w: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1780" w:type="dxa"/>
            <w:vAlign w:val="bottom"/>
          </w:tcPr>
          <w:p>
            <w:pPr>
              <w:jc w:val="right"/>
              <w:ind w:right="390"/>
              <w:spacing w:after="0"/>
              <w:rPr>
                <w:sz w:val="20"/>
                <w:szCs w:val="20"/>
                <w:color w:val="auto"/>
              </w:rPr>
            </w:pPr>
            <w:r>
              <w:rPr>
                <w:rFonts w:ascii="Arial" w:cs="Arial" w:eastAsia="Arial" w:hAnsi="Arial"/>
                <w:sz w:val="18"/>
                <w:szCs w:val="18"/>
                <w:color w:val="auto"/>
              </w:rPr>
              <w:t>L+1.75</w:t>
            </w:r>
          </w:p>
        </w:tc>
        <w:tc>
          <w:tcPr>
            <w:tcW w:w="7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1780" w:type="dxa"/>
            <w:vAlign w:val="bottom"/>
          </w:tcPr>
          <w:p>
            <w:pPr>
              <w:ind w:left="760"/>
              <w:spacing w:after="0"/>
              <w:rPr>
                <w:sz w:val="20"/>
                <w:szCs w:val="20"/>
                <w:color w:val="auto"/>
              </w:rPr>
            </w:pPr>
            <w:r>
              <w:rPr>
                <w:rFonts w:ascii="Arial" w:cs="Arial" w:eastAsia="Arial" w:hAnsi="Arial"/>
                <w:sz w:val="18"/>
                <w:szCs w:val="18"/>
                <w:color w:val="auto"/>
              </w:rPr>
              <w:t>various</w:t>
            </w:r>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1941" w:lineRule="exact"/>
        <w:rPr>
          <w:sz w:val="20"/>
          <w:szCs w:val="20"/>
          <w:color w:val="auto"/>
        </w:rPr>
      </w:pPr>
    </w:p>
    <w:p>
      <w:pPr>
        <w:sectPr>
          <w:pgSz w:w="11900" w:h="16838" w:orient="portrait"/>
          <w:cols w:equalWidth="0" w:num="2">
            <w:col w:w="8020" w:space="540"/>
            <w:col w:w="2560"/>
          </w:cols>
          <w:pgMar w:left="320" w:top="891" w:right="459" w:bottom="1440" w:gutter="0" w:footer="0" w:header="0"/>
          <w:type w:val="continuous"/>
        </w:sectPr>
      </w:pPr>
    </w:p>
    <w:p>
      <w:pPr>
        <w:spacing w:after="0" w:line="6" w:lineRule="exact"/>
        <w:rPr>
          <w:sz w:val="20"/>
          <w:szCs w:val="20"/>
          <w:color w:val="auto"/>
        </w:rPr>
      </w:pPr>
    </w:p>
    <w:p>
      <w:pPr>
        <w:ind w:right="80" w:firstLine="8"/>
        <w:spacing w:after="0" w:line="263" w:lineRule="auto"/>
        <w:tabs>
          <w:tab w:leader="none" w:pos="156" w:val="left"/>
        </w:tabs>
        <w:numPr>
          <w:ilvl w:val="0"/>
          <w:numId w:val="15"/>
        </w:numPr>
        <w:rPr>
          <w:rFonts w:ascii="Arial" w:cs="Arial" w:eastAsia="Arial" w:hAnsi="Arial"/>
          <w:sz w:val="18"/>
          <w:szCs w:val="18"/>
          <w:color w:val="auto"/>
          <w:vertAlign w:val="superscript"/>
        </w:rPr>
      </w:pPr>
      <w:r>
        <w:rPr>
          <w:rFonts w:ascii="Arial" w:cs="Arial" w:eastAsia="Arial" w:hAnsi="Arial"/>
          <w:sz w:val="13"/>
          <w:szCs w:val="13"/>
          <w:color w:val="auto"/>
        </w:rPr>
        <w:t>As of June 30, 2020, L+ equals 3 month LIBOR plus x%, except for Viento, due 2023 and Kansas South, due 2030 where L+ equals 6 month LIBOR plus x% and Utah Solar Portfolio, where L+ equals 1 month LIBOR plus 2.625%</w:t>
      </w:r>
    </w:p>
    <w:p>
      <w:pPr>
        <w:spacing w:after="0" w:line="1" w:lineRule="exact"/>
        <w:rPr>
          <w:rFonts w:ascii="Arial" w:cs="Arial" w:eastAsia="Arial" w:hAnsi="Arial"/>
          <w:sz w:val="18"/>
          <w:szCs w:val="18"/>
          <w:color w:val="auto"/>
          <w:vertAlign w:val="superscript"/>
        </w:rPr>
      </w:pPr>
    </w:p>
    <w:p>
      <w:pPr>
        <w:ind w:left="180" w:hanging="172"/>
        <w:spacing w:after="0" w:line="187" w:lineRule="auto"/>
        <w:tabs>
          <w:tab w:leader="none" w:pos="180" w:val="left"/>
        </w:tabs>
        <w:numPr>
          <w:ilvl w:val="0"/>
          <w:numId w:val="15"/>
        </w:numPr>
        <w:rPr>
          <w:rFonts w:ascii="Arial" w:cs="Arial" w:eastAsia="Arial" w:hAnsi="Arial"/>
          <w:sz w:val="21"/>
          <w:szCs w:val="21"/>
          <w:color w:val="auto"/>
          <w:vertAlign w:val="superscript"/>
        </w:rPr>
      </w:pPr>
      <w:r>
        <w:rPr>
          <w:rFonts w:ascii="Arial" w:cs="Arial" w:eastAsia="Arial" w:hAnsi="Arial"/>
          <w:sz w:val="15"/>
          <w:szCs w:val="15"/>
          <w:color w:val="auto"/>
        </w:rPr>
        <w:t>Repaid in the first quarter of 2020, as further described below</w:t>
      </w:r>
    </w:p>
    <w:p>
      <w:pPr>
        <w:ind w:left="180" w:hanging="172"/>
        <w:spacing w:after="0" w:line="187" w:lineRule="auto"/>
        <w:tabs>
          <w:tab w:leader="none" w:pos="180" w:val="left"/>
        </w:tabs>
        <w:numPr>
          <w:ilvl w:val="0"/>
          <w:numId w:val="15"/>
        </w:numPr>
        <w:rPr>
          <w:rFonts w:ascii="Arial" w:cs="Arial" w:eastAsia="Arial" w:hAnsi="Arial"/>
          <w:sz w:val="21"/>
          <w:szCs w:val="21"/>
          <w:color w:val="auto"/>
          <w:vertAlign w:val="superscript"/>
        </w:rPr>
      </w:pPr>
      <w:r>
        <w:rPr>
          <w:rFonts w:ascii="Arial" w:cs="Arial" w:eastAsia="Arial" w:hAnsi="Arial"/>
          <w:sz w:val="15"/>
          <w:szCs w:val="15"/>
          <w:color w:val="auto"/>
        </w:rPr>
        <w:t>Applicable rate is determined by the borrower leverage ratio, as defined in the credit agreement</w:t>
      </w:r>
    </w:p>
    <w:p>
      <w:pPr>
        <w:ind w:left="180" w:hanging="172"/>
        <w:spacing w:after="0" w:line="187" w:lineRule="auto"/>
        <w:tabs>
          <w:tab w:leader="none" w:pos="180" w:val="left"/>
        </w:tabs>
        <w:numPr>
          <w:ilvl w:val="0"/>
          <w:numId w:val="15"/>
        </w:numPr>
        <w:rPr>
          <w:rFonts w:ascii="Arial" w:cs="Arial" w:eastAsia="Arial" w:hAnsi="Arial"/>
          <w:sz w:val="21"/>
          <w:szCs w:val="21"/>
          <w:color w:val="auto"/>
          <w:vertAlign w:val="superscript"/>
        </w:rPr>
      </w:pPr>
      <w:r>
        <w:rPr>
          <w:rFonts w:ascii="Arial" w:cs="Arial" w:eastAsia="Arial" w:hAnsi="Arial"/>
          <w:sz w:val="15"/>
          <w:szCs w:val="15"/>
          <w:color w:val="auto"/>
        </w:rPr>
        <w:t>Entities affected by PG&amp;E Bankruptcy, see further discussion below</w:t>
      </w:r>
    </w:p>
    <w:p>
      <w:pPr>
        <w:ind w:left="160" w:hanging="152"/>
        <w:spacing w:after="0" w:line="219" w:lineRule="auto"/>
        <w:tabs>
          <w:tab w:leader="none" w:pos="160" w:val="left"/>
        </w:tabs>
        <w:numPr>
          <w:ilvl w:val="0"/>
          <w:numId w:val="15"/>
        </w:numPr>
        <w:rPr>
          <w:rFonts w:ascii="Arial" w:cs="Arial" w:eastAsia="Arial" w:hAnsi="Arial"/>
          <w:sz w:val="18"/>
          <w:szCs w:val="18"/>
          <w:color w:val="auto"/>
          <w:vertAlign w:val="superscript"/>
        </w:rPr>
      </w:pPr>
      <w:r>
        <w:rPr>
          <w:rFonts w:ascii="Arial" w:cs="Arial" w:eastAsia="Arial" w:hAnsi="Arial"/>
          <w:sz w:val="13"/>
          <w:szCs w:val="13"/>
          <w:color w:val="auto"/>
        </w:rPr>
        <w:t>Matured and repaid on June 1, 2020</w:t>
      </w:r>
    </w:p>
    <w:p>
      <w:pPr>
        <w:ind w:left="160" w:hanging="152"/>
        <w:spacing w:after="0" w:line="182" w:lineRule="auto"/>
        <w:tabs>
          <w:tab w:leader="none" w:pos="16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Premiums relate to the 2028 Senior Notes</w:t>
      </w:r>
    </w:p>
    <w:p>
      <w:pPr>
        <w:spacing w:after="0" w:line="200" w:lineRule="exact"/>
        <w:rPr>
          <w:sz w:val="20"/>
          <w:szCs w:val="20"/>
          <w:color w:val="auto"/>
        </w:rPr>
      </w:pPr>
    </w:p>
    <w:p>
      <w:pPr>
        <w:spacing w:after="0" w:line="3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231F20"/>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891" w:right="459" w:bottom="1440" w:gutter="0" w:footer="0" w:header="0"/>
          <w:type w:val="continuous"/>
        </w:sectPr>
      </w:pPr>
    </w:p>
    <w:bookmarkStart w:id="30" w:name="page31"/>
    <w:bookmarkEnd w:id="30"/>
    <w:p>
      <w:pPr>
        <w:jc w:val="both"/>
        <w:ind w:firstLine="405"/>
        <w:spacing w:after="0" w:line="259" w:lineRule="auto"/>
        <w:rPr>
          <w:sz w:val="20"/>
          <w:szCs w:val="20"/>
          <w:color w:val="auto"/>
        </w:rPr>
      </w:pPr>
      <w:r>
        <w:rPr>
          <w:rFonts w:ascii="Arial" w:cs="Arial" w:eastAsia="Arial" w:hAnsi="Arial"/>
          <w:sz w:val="18"/>
          <w:szCs w:val="18"/>
          <w:color w:val="auto"/>
        </w:rPr>
        <w:t>The financing arrangements listed above contain certain covenants, including financial covenants that the Company is required to be in compliance with during the term of the respective arrangement. As of June 30, 2020, the Company was in compliance with all of the required covenants, other than any covenants impacted by the PG&amp;E Bankruptcy, as discussed below. The discussion below describes material changes to or additions of long-term debt for the six months ended June 30, 2020.</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Clearway Energy LLC and Clearway Energy Operating LLC Revolving Credit Facility</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As of June 30, 2020, the Company had no outstanding borrowings under the revolving credit facility and $56 million in letters of credit outstanding. During the six months ended June 30, 2020, the Company borrowed $265 million under the revolving credit facility, and subsequently repaid $265 million utilizing the proceeds from the issuance of additional 2028 Senior Notes, as described below, and cash on hand.</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2028 Senior Notes</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On May 21, 2020, the Company completed the issuance of an additional $250 million in aggregate principal amount of its 4.750% Senior Notes due 2028. The 2028 Senior Notes bear interest at 4.75% and mature on March 15, 2028. Interest on the 2028 Senior Notes is payable semi-annually on March 15 and September 15 of each year, and interest payments will commence on September 15, 2020. The 2028 Senior Notes are unsecured obligations of Clearway Energy Operating, LLC and are guaranteed by Clearway Energy, LLC and by certain of Clearway Energy Operating LLC’s wholly owned current and future subsidiaries. The notes were issued at a price of 102% of par plus accrued interest from December 11, 2019. The net proceeds were utilized to repay the $45 million outstanding principal amount of the Company's 2020 Convertible Notes on June 1, 2020, as well as to repay amounts outstanding under the Company’s revolving credit facility and for general corporate purposes.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2024 Senior Notes Redemption</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January 3, 2020, the Company redeemed the $88 million aggregate principal amount of the 2024 Senior Notes that remained outstanding following the Company's tender offer for the 2024 Senior Notes in December 2019. The redemption was effectuated at a premium of 102.7% for a total consideration of $90 million and as a result, the Company recorded a loss on debt extinguishment in the amount of $3 million, which also included the write off of previously deferred financing fees related to the 2024 Senior Notes.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Project - level Debt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PG&amp;E Bankruptcy</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of June 30, 2020, distributions from all PG&amp;E affected projects to Clearway Energy Operating LLC were prohibited under the related debt agreements. On July 1, 2020, PG&amp;E emerged from bankruptcy and assumed the Company's contracts without modification. In addition, PG&amp;E paid to the Company's applicable projects the portion of the invoices corresponding to the electricity delivered between January 1 and January 28, 2019. These invoices related to the pre-petition period services and any payment therefore required the approval of the Bankruptcy Court. The Company has reclassified the related debt to non-current based on its original maturity as of June 30, 2020.</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Repowering Partnership Holdco LLC, due 2020</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In February 2020, the Company repaid $260 million of construction debt outstanding under the construction loan facility. The repayment was effectuated with the proceeds from the tax equity contributions for Wildorado TE Holdco, as further descried in Note 4, </w:t>
      </w:r>
      <w:r>
        <w:rPr>
          <w:rFonts w:ascii="Arial" w:cs="Arial" w:eastAsia="Arial" w:hAnsi="Arial"/>
          <w:sz w:val="18"/>
          <w:szCs w:val="18"/>
          <w:i w:val="1"/>
          <w:iCs w:val="1"/>
          <w:color w:val="auto"/>
        </w:rPr>
        <w:t>Investments Accounted for by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Equity Method and Variable Interest Entities </w:t>
      </w:r>
      <w:r>
        <w:rPr>
          <w:rFonts w:ascii="Arial" w:cs="Arial" w:eastAsia="Arial" w:hAnsi="Arial"/>
          <w:sz w:val="18"/>
          <w:szCs w:val="18"/>
          <w:color w:val="auto"/>
        </w:rPr>
        <w:t>as well as with the contributions by the Company</w:t>
      </w:r>
      <w:r>
        <w:rPr>
          <w:rFonts w:ascii="Arial" w:cs="Arial" w:eastAsia="Arial" w:hAnsi="Arial"/>
          <w:sz w:val="18"/>
          <w:szCs w:val="18"/>
          <w:i w:val="1"/>
          <w:iCs w:val="1"/>
          <w:color w:val="auto"/>
        </w:rPr>
        <w: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Consolidation of DGPV Holdco 3</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Upon consolidation of DGPV Holdco 3, as described in Note 4,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the Company consolidates additional non-recourse debt for certain subsidiaries as further described below.</w:t>
      </w:r>
    </w:p>
    <w:p>
      <w:pPr>
        <w:spacing w:after="0" w:line="116"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Renew CS4 Borrower LLC, or CS4 Borrower, a consolidated subsidiary of DGPV Holdco 3, is party to a credit agreement for construction loans up to $97.4 million, an investment tax credit bridge loan, or ITC bridge loan, for up to $89.9 million and letter of credit facilities up to $4.9 million. The construction loan and the ITC bridge loan both have an interest rate of LIBOR plus an applicable margin of 2.00% per annum. As of June 30, 2020, all construction loans were converted to term loans and the ITC bridge loans were repaid in connection with tax equity funding. The term loan bears annual interest at a rate of LIBOR plus an applicable margin, which is 2.00% per annum through the third anniversary of the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1" w:name="page32"/>
    <w:bookmarkEnd w:id="31"/>
    <w:p>
      <w:pPr>
        <w:jc w:val="both"/>
        <w:spacing w:after="0" w:line="277" w:lineRule="auto"/>
        <w:rPr>
          <w:sz w:val="20"/>
          <w:szCs w:val="20"/>
          <w:color w:val="auto"/>
        </w:rPr>
      </w:pPr>
      <w:r>
        <w:rPr>
          <w:rFonts w:ascii="Arial" w:cs="Arial" w:eastAsia="Arial" w:hAnsi="Arial"/>
          <w:sz w:val="18"/>
          <w:szCs w:val="18"/>
          <w:color w:val="auto"/>
        </w:rPr>
        <w:t>term conversion, and 2.25% per annum thereafter through the maturity date in June 2026. The borrowings are secured by the membership interests in the project companies.</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Chestnut Borrower LLC, a consolidated subsidiary of DGPV Holdco 3, is party to a credit agreement for term loans of up to $120.3 million and letters of credit of up to $7.9 million. The loans bear annual interest at a rate of LIBOR plus an applicable margin, which is 2.50% per annum through the fifth anniversary of the financial closing date, or July 2022, and 2.75% per annum thereafter through the maturity date in April 2024. The borrowings are secured by the membership interests in the project companies.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 </w:t>
      </w:r>
      <w:r>
        <w:rPr>
          <w:rFonts w:ascii="Arial" w:cs="Arial" w:eastAsia="Arial" w:hAnsi="Arial"/>
          <w:sz w:val="18"/>
          <w:szCs w:val="18"/>
          <w:b w:val="1"/>
          <w:bCs w:val="1"/>
          <w:i w:val="1"/>
          <w:iCs w:val="1"/>
          <w:color w:val="auto"/>
        </w:rPr>
        <w:t>Earnings Per Share</w:t>
      </w:r>
    </w:p>
    <w:p>
      <w:pPr>
        <w:spacing w:after="0" w:line="17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Basic earnings per common share is computed by dividing net income by the weighted average number of common shares outstanding. Shares issued during the year are weighted for the portion of the year that they were outstanding. Diluted earnings per share is computed in a manner consistent with that of basic earnings per share while giving effect to all potentially dilutive common shares that were outstanding during the period.</w:t>
      </w:r>
    </w:p>
    <w:p>
      <w:pPr>
        <w:spacing w:after="0" w:line="11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The reconciliation of Clearway Energy, Inc.'s basic and diluted earnings per share is shown in the following tables:</w:t>
      </w:r>
    </w:p>
    <w:p>
      <w:pPr>
        <w:spacing w:after="0" w:line="109" w:lineRule="exact"/>
        <w:rPr>
          <w:sz w:val="20"/>
          <w:szCs w:val="20"/>
          <w:color w:val="auto"/>
        </w:rPr>
      </w:pPr>
    </w:p>
    <w:tbl>
      <w:tblPr>
        <w:tblLayout w:type="fixed"/>
        <w:tblInd w:w="30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4"/>
              </w:rPr>
              <w:t>Three months ended June 30,</w:t>
            </w: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w w:val="89"/>
              </w:rPr>
              <w:t>2020</w:t>
            </w: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652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 xml:space="preserve">(In millions, except per share data) </w:t>
            </w:r>
            <w:r>
              <w:rPr>
                <w:rFonts w:ascii="Arial" w:cs="Arial" w:eastAsia="Arial" w:hAnsi="Arial"/>
                <w:sz w:val="9"/>
                <w:szCs w:val="9"/>
                <w:b w:val="1"/>
                <w:bCs w:val="1"/>
                <w:color w:val="auto"/>
              </w:rPr>
              <w:t>(a)</w:t>
            </w:r>
          </w:p>
        </w:tc>
        <w:tc>
          <w:tcPr>
            <w:tcW w:w="960" w:type="dxa"/>
            <w:vAlign w:val="bottom"/>
            <w:gridSpan w:val="2"/>
            <w:shd w:val="clear" w:color="auto" w:fill="CCEEFF"/>
          </w:tcPr>
          <w:p>
            <w:pPr>
              <w:ind w:left="40"/>
              <w:spacing w:after="0" w:line="153" w:lineRule="exact"/>
              <w:rPr>
                <w:sz w:val="20"/>
                <w:szCs w:val="20"/>
                <w:color w:val="auto"/>
              </w:rPr>
            </w:pPr>
            <w:r>
              <w:rPr>
                <w:rFonts w:ascii="Arial" w:cs="Arial" w:eastAsia="Arial" w:hAnsi="Arial"/>
                <w:sz w:val="14"/>
                <w:szCs w:val="14"/>
                <w:b w:val="1"/>
                <w:bCs w:val="1"/>
                <w:color w:val="auto"/>
                <w:w w:val="88"/>
              </w:rPr>
              <w:t>Common Class</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gridSpan w:val="3"/>
            <w:shd w:val="clear" w:color="auto" w:fill="CCEEFF"/>
          </w:tcPr>
          <w:p>
            <w:pPr>
              <w:ind w:left="40"/>
              <w:spacing w:after="0" w:line="153" w:lineRule="exact"/>
              <w:rPr>
                <w:sz w:val="20"/>
                <w:szCs w:val="20"/>
                <w:color w:val="auto"/>
              </w:rPr>
            </w:pPr>
            <w:r>
              <w:rPr>
                <w:rFonts w:ascii="Arial" w:cs="Arial" w:eastAsia="Arial" w:hAnsi="Arial"/>
                <w:sz w:val="14"/>
                <w:szCs w:val="14"/>
                <w:b w:val="1"/>
                <w:bCs w:val="1"/>
                <w:color w:val="auto"/>
              </w:rPr>
              <w:t>Common Class</w:t>
            </w:r>
          </w:p>
        </w:tc>
        <w:tc>
          <w:tcPr>
            <w:tcW w:w="1120" w:type="dxa"/>
            <w:vAlign w:val="bottom"/>
            <w:gridSpan w:val="3"/>
            <w:shd w:val="clear" w:color="auto" w:fill="CCEEFF"/>
          </w:tcPr>
          <w:p>
            <w:pPr>
              <w:ind w:left="40"/>
              <w:spacing w:after="0" w:line="153" w:lineRule="exact"/>
              <w:rPr>
                <w:sz w:val="20"/>
                <w:szCs w:val="20"/>
                <w:color w:val="auto"/>
              </w:rPr>
            </w:pPr>
            <w:r>
              <w:rPr>
                <w:rFonts w:ascii="Arial" w:cs="Arial" w:eastAsia="Arial" w:hAnsi="Arial"/>
                <w:sz w:val="14"/>
                <w:szCs w:val="14"/>
                <w:b w:val="1"/>
                <w:bCs w:val="1"/>
                <w:color w:val="auto"/>
              </w:rPr>
              <w:t>Common Class</w:t>
            </w:r>
          </w:p>
        </w:tc>
        <w:tc>
          <w:tcPr>
            <w:tcW w:w="100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w w:val="92"/>
              </w:rPr>
              <w:t>Common Class</w:t>
            </w:r>
          </w:p>
        </w:tc>
        <w:tc>
          <w:tcPr>
            <w:tcW w:w="0" w:type="dxa"/>
            <w:vAlign w:val="bottom"/>
          </w:tcPr>
          <w:p>
            <w:pPr>
              <w:spacing w:after="0"/>
              <w:rPr>
                <w:sz w:val="1"/>
                <w:szCs w:val="1"/>
                <w:color w:val="auto"/>
              </w:rPr>
            </w:pPr>
          </w:p>
        </w:tc>
      </w:tr>
      <w:tr>
        <w:trPr>
          <w:trHeight w:val="198"/>
        </w:trPr>
        <w:tc>
          <w:tcPr>
            <w:tcW w:w="652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15"/>
              <w:spacing w:after="0"/>
              <w:rPr>
                <w:sz w:val="20"/>
                <w:szCs w:val="20"/>
                <w:color w:val="auto"/>
              </w:rPr>
            </w:pPr>
            <w:r>
              <w:rPr>
                <w:rFonts w:ascii="Arial" w:cs="Arial" w:eastAsia="Arial" w:hAnsi="Arial"/>
                <w:sz w:val="14"/>
                <w:szCs w:val="14"/>
                <w:b w:val="1"/>
                <w:bCs w:val="1"/>
                <w:color w:val="auto"/>
              </w:rPr>
              <w:t>A</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C</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A</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55"/>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w w:val="92"/>
              </w:rPr>
              <w:t>Basic and diluted income (loss) per share attributable to Clearway Energy, Inc. common</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stockholders</w:t>
            </w: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Clearway Energy, Inc.</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w:t>
            </w:r>
          </w:p>
        </w:tc>
        <w:tc>
          <w:tcPr>
            <w:tcW w:w="4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Weighted average number of common shares outstanding — basic and diluted</w:t>
            </w:r>
          </w:p>
        </w:tc>
        <w:tc>
          <w:tcPr>
            <w:tcW w:w="280" w:type="dxa"/>
            <w:vAlign w:val="bottom"/>
          </w:tcPr>
          <w:p>
            <w:pPr>
              <w:spacing w:after="0"/>
              <w:rPr>
                <w:sz w:val="21"/>
                <w:szCs w:val="21"/>
                <w:color w:val="auto"/>
              </w:rPr>
            </w:pPr>
          </w:p>
        </w:tc>
        <w:tc>
          <w:tcPr>
            <w:tcW w:w="680" w:type="dxa"/>
            <w:vAlign w:val="bottom"/>
          </w:tcPr>
          <w:p>
            <w:pPr>
              <w:jc w:val="right"/>
              <w:ind w:right="155"/>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57"/>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57"/>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55"/>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per weighted average common share — basic and diluted</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0.41</w:t>
            </w:r>
          </w:p>
        </w:tc>
        <w:tc>
          <w:tcPr>
            <w:tcW w:w="4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0.41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ind w:left="400" w:hanging="149"/>
        <w:spacing w:after="0"/>
        <w:tabs>
          <w:tab w:leader="none" w:pos="40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Basic and diluted earnings (losses) per share might not recalculate due to presenting values in millions rather than whole dollars.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2020</w:t>
            </w: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666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 xml:space="preserve">(In millions, except per share data) </w:t>
            </w:r>
            <w:r>
              <w:rPr>
                <w:rFonts w:ascii="Arial" w:cs="Arial" w:eastAsia="Arial" w:hAnsi="Arial"/>
                <w:sz w:val="9"/>
                <w:szCs w:val="9"/>
                <w:color w:val="auto"/>
              </w:rPr>
              <w:t>(a)</w:t>
            </w:r>
          </w:p>
        </w:tc>
        <w:tc>
          <w:tcPr>
            <w:tcW w:w="100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w w:val="94"/>
              </w:rPr>
              <w:t>Common Class</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Common Class</w:t>
            </w:r>
          </w:p>
        </w:tc>
        <w:tc>
          <w:tcPr>
            <w:tcW w:w="1100" w:type="dxa"/>
            <w:vAlign w:val="bottom"/>
            <w:gridSpan w:val="3"/>
            <w:shd w:val="clear" w:color="auto" w:fill="CCEEFF"/>
          </w:tcPr>
          <w:p>
            <w:pPr>
              <w:ind w:left="40"/>
              <w:spacing w:after="0" w:line="153" w:lineRule="exact"/>
              <w:rPr>
                <w:sz w:val="20"/>
                <w:szCs w:val="20"/>
                <w:color w:val="auto"/>
              </w:rPr>
            </w:pPr>
            <w:r>
              <w:rPr>
                <w:rFonts w:ascii="Arial" w:cs="Arial" w:eastAsia="Arial" w:hAnsi="Arial"/>
                <w:sz w:val="14"/>
                <w:szCs w:val="14"/>
                <w:b w:val="1"/>
                <w:bCs w:val="1"/>
                <w:color w:val="auto"/>
              </w:rPr>
              <w:t>Common Class</w:t>
            </w:r>
          </w:p>
        </w:tc>
        <w:tc>
          <w:tcPr>
            <w:tcW w:w="100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w w:val="94"/>
              </w:rPr>
              <w:t>Common Class</w:t>
            </w:r>
          </w:p>
        </w:tc>
        <w:tc>
          <w:tcPr>
            <w:tcW w:w="0" w:type="dxa"/>
            <w:vAlign w:val="bottom"/>
          </w:tcPr>
          <w:p>
            <w:pPr>
              <w:spacing w:after="0"/>
              <w:rPr>
                <w:sz w:val="1"/>
                <w:szCs w:val="1"/>
                <w:color w:val="auto"/>
              </w:rPr>
            </w:pPr>
          </w:p>
        </w:tc>
      </w:tr>
      <w:tr>
        <w:trPr>
          <w:trHeight w:val="198"/>
        </w:trPr>
        <w:tc>
          <w:tcPr>
            <w:tcW w:w="666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35"/>
              <w:spacing w:after="0"/>
              <w:rPr>
                <w:sz w:val="20"/>
                <w:szCs w:val="20"/>
                <w:color w:val="auto"/>
              </w:rPr>
            </w:pPr>
            <w:r>
              <w:rPr>
                <w:rFonts w:ascii="Arial" w:cs="Arial" w:eastAsia="Arial" w:hAnsi="Arial"/>
                <w:sz w:val="14"/>
                <w:szCs w:val="14"/>
                <w:b w:val="1"/>
                <w:bCs w:val="1"/>
                <w:color w:val="auto"/>
              </w:rPr>
              <w:t>A</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w w:val="98"/>
              </w:rPr>
              <w:t>C</w:t>
            </w:r>
          </w:p>
        </w:tc>
        <w:tc>
          <w:tcPr>
            <w:tcW w:w="2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A</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55"/>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w w:val="94"/>
              </w:rPr>
              <w:t>Basic and diluted income (loss) per share attributable to Clearway Energy, Inc. common</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stockholders</w:t>
            </w: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Clearway Energy, Inc.</w:t>
            </w: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w:t>
            </w:r>
          </w:p>
        </w:tc>
        <w:tc>
          <w:tcPr>
            <w:tcW w:w="34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Weighted average number of common shares outstanding — basic and diluted</w:t>
            </w:r>
          </w:p>
        </w:tc>
        <w:tc>
          <w:tcPr>
            <w:tcW w:w="300" w:type="dxa"/>
            <w:vAlign w:val="bottom"/>
          </w:tcPr>
          <w:p>
            <w:pPr>
              <w:spacing w:after="0"/>
              <w:rPr>
                <w:sz w:val="21"/>
                <w:szCs w:val="21"/>
                <w:color w:val="auto"/>
              </w:rPr>
            </w:pPr>
          </w:p>
        </w:tc>
        <w:tc>
          <w:tcPr>
            <w:tcW w:w="700" w:type="dxa"/>
            <w:vAlign w:val="bottom"/>
          </w:tcPr>
          <w:p>
            <w:pPr>
              <w:jc w:val="right"/>
              <w:ind w:right="175"/>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77"/>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77"/>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55"/>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per weighted average common share — basic and diluted</w:t>
            </w: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0.16</w:t>
            </w:r>
          </w:p>
        </w:tc>
        <w:tc>
          <w:tcPr>
            <w:tcW w:w="34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400" w:hanging="149"/>
        <w:spacing w:after="0"/>
        <w:tabs>
          <w:tab w:leader="none" w:pos="40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Basic and diluted earnings (losses) per share might not recalculate due to presenting values in millions rather than whole dollars.</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the Company's outstanding equity instruments that are anti-dilutive and were not included in the computation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diluted earnings per share, the 2020 Convertible Notes were repaid on June 1, 2020: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Three months ended June</w:t>
            </w:r>
          </w:p>
        </w:tc>
        <w:tc>
          <w:tcPr>
            <w:tcW w:w="100" w:type="dxa"/>
            <w:vAlign w:val="bottom"/>
          </w:tcPr>
          <w:p>
            <w:pPr>
              <w:spacing w:after="0"/>
              <w:rPr>
                <w:sz w:val="14"/>
                <w:szCs w:val="14"/>
                <w:color w:val="auto"/>
              </w:rPr>
            </w:pPr>
          </w:p>
        </w:tc>
        <w:tc>
          <w:tcPr>
            <w:tcW w:w="1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192"/>
        </w:trPr>
        <w:tc>
          <w:tcPr>
            <w:tcW w:w="7740" w:type="dxa"/>
            <w:vAlign w:val="bottom"/>
          </w:tcPr>
          <w:p>
            <w:pPr>
              <w:spacing w:after="0"/>
              <w:rPr>
                <w:sz w:val="16"/>
                <w:szCs w:val="16"/>
                <w:color w:val="auto"/>
              </w:rPr>
            </w:pPr>
          </w:p>
        </w:tc>
        <w:tc>
          <w:tcPr>
            <w:tcW w:w="1060" w:type="dxa"/>
            <w:vAlign w:val="bottom"/>
            <w:tcBorders>
              <w:bottom w:val="single" w:sz="8" w:color="auto"/>
            </w:tcBorders>
            <w:gridSpan w:val="2"/>
          </w:tcPr>
          <w:p>
            <w:pPr>
              <w:ind w:left="760"/>
              <w:spacing w:after="0"/>
              <w:rPr>
                <w:sz w:val="20"/>
                <w:szCs w:val="20"/>
                <w:color w:val="auto"/>
              </w:rPr>
            </w:pPr>
            <w:r>
              <w:rPr>
                <w:rFonts w:ascii="Arial" w:cs="Arial" w:eastAsia="Arial" w:hAnsi="Arial"/>
                <w:sz w:val="14"/>
                <w:szCs w:val="14"/>
                <w:b w:val="1"/>
                <w:bCs w:val="1"/>
                <w:color w:val="auto"/>
              </w:rPr>
              <w:t>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840" w:type="dxa"/>
            <w:vAlign w:val="bottom"/>
            <w:gridSpan w:val="2"/>
          </w:tcPr>
          <w:p>
            <w:pPr>
              <w:spacing w:after="0"/>
              <w:rPr>
                <w:sz w:val="17"/>
                <w:szCs w:val="17"/>
                <w:color w:val="auto"/>
              </w:rPr>
            </w:pPr>
          </w:p>
        </w:tc>
        <w:tc>
          <w:tcPr>
            <w:tcW w:w="96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w w:val="89"/>
              </w:rPr>
              <w:t>2019</w:t>
            </w:r>
          </w:p>
        </w:tc>
        <w:tc>
          <w:tcPr>
            <w:tcW w:w="640" w:type="dxa"/>
            <w:vAlign w:val="bottom"/>
            <w:tcBorders>
              <w:bottom w:val="single" w:sz="8" w:color="auto"/>
            </w:tcBorders>
          </w:tcPr>
          <w:p>
            <w:pPr>
              <w:spacing w:after="0"/>
              <w:rPr>
                <w:sz w:val="17"/>
                <w:szCs w:val="17"/>
                <w:color w:val="auto"/>
              </w:rPr>
            </w:pPr>
          </w:p>
        </w:tc>
        <w:tc>
          <w:tcPr>
            <w:tcW w:w="200" w:type="dxa"/>
            <w:vAlign w:val="bottom"/>
            <w:gridSpan w:val="2"/>
          </w:tcPr>
          <w:p>
            <w:pPr>
              <w:spacing w:after="0"/>
              <w:rPr>
                <w:sz w:val="17"/>
                <w:szCs w:val="17"/>
                <w:color w:val="auto"/>
              </w:rPr>
            </w:pPr>
          </w:p>
        </w:tc>
        <w:tc>
          <w:tcPr>
            <w:tcW w:w="16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7"/>
        </w:trPr>
        <w:tc>
          <w:tcPr>
            <w:tcW w:w="7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40" w:type="dxa"/>
            <w:vAlign w:val="bottom"/>
            <w:gridSpan w:val="4"/>
          </w:tcPr>
          <w:p>
            <w:pPr>
              <w:jc w:val="right"/>
              <w:ind w:right="1008"/>
              <w:spacing w:after="0"/>
              <w:rPr>
                <w:sz w:val="20"/>
                <w:szCs w:val="20"/>
                <w:color w:val="auto"/>
              </w:rPr>
            </w:pPr>
            <w:r>
              <w:rPr>
                <w:rFonts w:ascii="Arial" w:cs="Arial" w:eastAsia="Arial" w:hAnsi="Arial"/>
                <w:sz w:val="14"/>
                <w:szCs w:val="14"/>
                <w:b w:val="1"/>
                <w:bCs w:val="1"/>
                <w:color w:val="auto"/>
                <w:w w:val="92"/>
              </w:rPr>
              <w:t>(In millions of shares)</w:t>
            </w:r>
          </w:p>
        </w:tc>
        <w:tc>
          <w:tcPr>
            <w:tcW w:w="0" w:type="dxa"/>
            <w:vAlign w:val="bottom"/>
          </w:tcPr>
          <w:p>
            <w:pPr>
              <w:spacing w:after="0"/>
              <w:rPr>
                <w:sz w:val="1"/>
                <w:szCs w:val="1"/>
                <w:color w:val="auto"/>
              </w:rPr>
            </w:pPr>
          </w:p>
        </w:tc>
      </w:tr>
      <w:tr>
        <w:trPr>
          <w:trHeight w:val="251"/>
        </w:trPr>
        <w:tc>
          <w:tcPr>
            <w:tcW w:w="88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2020 Convertible Notes - Common Class C</w:t>
            </w: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2</w:t>
            </w:r>
          </w:p>
        </w:tc>
        <w:tc>
          <w:tcPr>
            <w:tcW w:w="180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877"/>
        </w:trPr>
        <w:tc>
          <w:tcPr>
            <w:tcW w:w="7740" w:type="dxa"/>
            <w:vAlign w:val="bottom"/>
          </w:tcPr>
          <w:p>
            <w:pPr>
              <w:jc w:val="right"/>
              <w:ind w:right="1930"/>
              <w:spacing w:after="0"/>
              <w:rPr>
                <w:sz w:val="20"/>
                <w:szCs w:val="20"/>
                <w:color w:val="auto"/>
              </w:rPr>
            </w:pPr>
            <w:r>
              <w:rPr>
                <w:rFonts w:ascii="Arial" w:cs="Arial" w:eastAsia="Arial" w:hAnsi="Arial"/>
                <w:sz w:val="18"/>
                <w:szCs w:val="18"/>
                <w:color w:val="231F20"/>
              </w:rPr>
              <w:t>32</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7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 xml:space="preserve">Note 9 — </w:t>
      </w:r>
      <w:r>
        <w:rPr>
          <w:rFonts w:ascii="Arial" w:cs="Arial" w:eastAsia="Arial" w:hAnsi="Arial"/>
          <w:sz w:val="18"/>
          <w:szCs w:val="18"/>
          <w:b w:val="1"/>
          <w:bCs w:val="1"/>
          <w:i w:val="1"/>
          <w:iCs w:val="1"/>
          <w:color w:val="auto"/>
        </w:rPr>
        <w:t>Changes in Capital Structure</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At-the-Market Equity Offering Program, or the ATM Program</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Clearway Energy, Inc. is party to an equity distribution agreement with Barclays Capital Inc., Credit Suisse Securities (USA) LLC, J.P. Morgan Securities LLC and RBC Capital Markets, LLC, as sales agents. Pursuant to the terms of the equity distribution agreement, Clearway Energy, Inc. was able to offer and sell shares of its Class C common stock from time to time through the sales agents up to an aggregate sales price of $150 million through an at-the-market equity offering program, or the ATM Program. As of June 30, 2020, the Company had completed the issuance of shares of Class C common stock available under the ATM Program.</w:t>
      </w:r>
    </w:p>
    <w:p>
      <w:pPr>
        <w:spacing w:after="0" w:line="13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six months ended June 30, 2020, Clearway Energy, Inc. issued and sold 1,749,665 shares of Class C common stock for net proceeds of $38 million</w:t>
      </w:r>
      <w:r>
        <w:rPr>
          <w:rFonts w:ascii="Arial" w:cs="Arial" w:eastAsia="Arial" w:hAnsi="Arial"/>
          <w:sz w:val="18"/>
          <w:szCs w:val="18"/>
          <w:b w:val="1"/>
          <w:bCs w:val="1"/>
          <w:color w:val="auto"/>
        </w:rPr>
        <w:t>.</w:t>
      </w:r>
      <w:r>
        <w:rPr>
          <w:rFonts w:ascii="Arial" w:cs="Arial" w:eastAsia="Arial" w:hAnsi="Arial"/>
          <w:sz w:val="18"/>
          <w:szCs w:val="18"/>
          <w:color w:val="auto"/>
        </w:rPr>
        <w:t xml:space="preserve"> The Company utilized the proceeds of the sales to acquire 1,749,665 Class C units of Clearway Energy LLC and, as a result, the Company currently owns 57.41% of the economic interests of Clearway Energy LLC, with CEG retaining 42.59% of the economic interests of Clearway Energy LLC.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to Class A and Class C common stockholders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lists the dividends paid on the Company's Class A common stock and Class C common stock during the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2020: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Second Quarter</w:t>
            </w:r>
          </w:p>
        </w:tc>
        <w:tc>
          <w:tcPr>
            <w:tcW w:w="120" w:type="dxa"/>
            <w:vAlign w:val="bottom"/>
          </w:tcPr>
          <w:p>
            <w:pPr>
              <w:spacing w:after="0"/>
              <w:rPr>
                <w:sz w:val="14"/>
                <w:szCs w:val="14"/>
                <w:color w:val="auto"/>
              </w:rPr>
            </w:pPr>
          </w:p>
        </w:tc>
        <w:tc>
          <w:tcPr>
            <w:tcW w:w="128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5"/>
              </w:rPr>
              <w:t>First Quarter 2020</w:t>
            </w:r>
          </w:p>
        </w:tc>
        <w:tc>
          <w:tcPr>
            <w:tcW w:w="0" w:type="dxa"/>
            <w:vAlign w:val="bottom"/>
          </w:tcPr>
          <w:p>
            <w:pPr>
              <w:spacing w:after="0"/>
              <w:rPr>
                <w:sz w:val="1"/>
                <w:szCs w:val="1"/>
                <w:color w:val="auto"/>
              </w:rPr>
            </w:pPr>
          </w:p>
        </w:tc>
      </w:tr>
      <w:tr>
        <w:trPr>
          <w:trHeight w:val="192"/>
        </w:trPr>
        <w:tc>
          <w:tcPr>
            <w:tcW w:w="86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per Class A share</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Dividends per Class C share</w:t>
            </w: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76"/>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6"/>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Dividends on the Class A common stock 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spacing w:after="0" w:line="13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July 30, 2020, the Company declared quarterly dividends on its Class A common stock and Class C common stock of $0.3125 per share payable on September 15, 2020, to stockholders of record as of September 1, 2020.</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also has authorized 10 million shares of preferred stock, par value $0.01 per share. None of the shares of preferred stock have been issued.</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 </w:t>
      </w:r>
      <w:r>
        <w:rPr>
          <w:rFonts w:ascii="Arial" w:cs="Arial" w:eastAsia="Arial" w:hAnsi="Arial"/>
          <w:sz w:val="18"/>
          <w:szCs w:val="18"/>
          <w:b w:val="1"/>
          <w:bCs w:val="1"/>
          <w:i w:val="1"/>
          <w:iCs w:val="1"/>
          <w:color w:val="auto"/>
        </w:rPr>
        <w:t>Segment Reporting</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segment structure reflects how management currently operates and allocates resources. The Company's businesses are segregated based on conventional power generation, renewable businesses which consist of solar and wind, and the thermal and chilled water business. The Corporate segment reflects the Company's corporate costs. The Company's chief operating decision maker, its Chief Executive Officer, evaluates the performance of its segments based on operational measures including adjusted earnings before interest, taxes, depreciation and amortization, or Adjusted EBITDA, and CAFD, as well as economic gross margin and net income (loss).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13"/>
          </w:tcPr>
          <w:p>
            <w:pPr>
              <w:jc w:val="center"/>
              <w:ind w:right="240"/>
              <w:spacing w:after="0"/>
              <w:rPr>
                <w:sz w:val="20"/>
                <w:szCs w:val="20"/>
                <w:color w:val="auto"/>
              </w:rPr>
            </w:pPr>
            <w:r>
              <w:rPr>
                <w:rFonts w:ascii="Arial" w:cs="Arial" w:eastAsia="Arial" w:hAnsi="Arial"/>
                <w:sz w:val="14"/>
                <w:szCs w:val="14"/>
                <w:b w:val="1"/>
                <w:bCs w:val="1"/>
                <w:color w:val="auto"/>
                <w:w w:val="91"/>
              </w:rPr>
              <w:t>Three months ended June 30, 2020</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1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Conventional</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Renewables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9"/>
              </w:rPr>
              <w:t>Thermal</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Corporate</w:t>
            </w:r>
          </w:p>
        </w:tc>
        <w:tc>
          <w:tcPr>
            <w:tcW w:w="8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Borders>
              <w:bottom w:val="single" w:sz="8" w:color="BFE4FF"/>
            </w:tcBorders>
          </w:tcPr>
          <w:p>
            <w:pPr>
              <w:spacing w:after="0"/>
              <w:rPr>
                <w:sz w:val="16"/>
                <w:szCs w:val="16"/>
                <w:color w:val="auto"/>
              </w:rPr>
            </w:pPr>
          </w:p>
        </w:tc>
        <w:tc>
          <w:tcPr>
            <w:tcW w:w="5140" w:type="dxa"/>
            <w:vAlign w:val="bottom"/>
            <w:tcBorders>
              <w:bottom w:val="single" w:sz="8" w:color="BFE4FF"/>
            </w:tcBorders>
            <w:vMerge w:val="continue"/>
          </w:tcPr>
          <w:p>
            <w:pPr>
              <w:spacing w:after="0"/>
              <w:rPr>
                <w:sz w:val="16"/>
                <w:szCs w:val="16"/>
                <w:color w:val="auto"/>
              </w:rPr>
            </w:pPr>
          </w:p>
        </w:tc>
        <w:tc>
          <w:tcPr>
            <w:tcW w:w="20" w:type="dxa"/>
            <w:vAlign w:val="bottom"/>
            <w:tcBorders>
              <w:bottom w:val="single" w:sz="8" w:color="BFE4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Generation</w:t>
            </w:r>
          </w:p>
        </w:tc>
        <w:tc>
          <w:tcPr>
            <w:tcW w:w="80" w:type="dxa"/>
            <w:vAlign w:val="bottom"/>
            <w:tcBorders>
              <w:bottom w:val="single" w:sz="8" w:color="BFE4FF"/>
            </w:tcBorders>
          </w:tcPr>
          <w:p>
            <w:pPr>
              <w:spacing w:after="0"/>
              <w:rPr>
                <w:sz w:val="16"/>
                <w:szCs w:val="16"/>
                <w:color w:val="auto"/>
              </w:rPr>
            </w:pPr>
          </w:p>
        </w:tc>
        <w:tc>
          <w:tcPr>
            <w:tcW w:w="20" w:type="dxa"/>
            <w:vAlign w:val="bottom"/>
            <w:tcBorders>
              <w:bottom w:val="single" w:sz="8" w:color="BFE4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BFE4FF"/>
            </w:tcBorders>
          </w:tcPr>
          <w:p>
            <w:pPr>
              <w:spacing w:after="0"/>
              <w:rPr>
                <w:sz w:val="16"/>
                <w:szCs w:val="16"/>
                <w:color w:val="auto"/>
              </w:rPr>
            </w:pPr>
          </w:p>
        </w:tc>
        <w:tc>
          <w:tcPr>
            <w:tcW w:w="20" w:type="dxa"/>
            <w:vAlign w:val="bottom"/>
            <w:tcBorders>
              <w:bottom w:val="single" w:sz="8" w:color="BFE4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BFE4FF"/>
            </w:tcBorders>
          </w:tcPr>
          <w:p>
            <w:pPr>
              <w:spacing w:after="0"/>
              <w:rPr>
                <w:sz w:val="16"/>
                <w:szCs w:val="16"/>
                <w:color w:val="auto"/>
              </w:rPr>
            </w:pPr>
          </w:p>
        </w:tc>
        <w:tc>
          <w:tcPr>
            <w:tcW w:w="40" w:type="dxa"/>
            <w:vAlign w:val="bottom"/>
            <w:tcBorders>
              <w:bottom w:val="single" w:sz="8" w:color="BFE4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BFE4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Borders>
              <w:bottom w:val="single" w:sz="8" w:color="BFE4FF"/>
            </w:tcBorders>
            <w:shd w:val="clear" w:color="auto" w:fill="BFE4FF"/>
          </w:tcPr>
          <w:p>
            <w:pPr>
              <w:spacing w:after="0"/>
              <w:rPr>
                <w:sz w:val="21"/>
                <w:szCs w:val="21"/>
                <w:color w:val="auto"/>
              </w:rPr>
            </w:pPr>
          </w:p>
        </w:tc>
        <w:tc>
          <w:tcPr>
            <w:tcW w:w="5140" w:type="dxa"/>
            <w:vAlign w:val="bottom"/>
            <w:tcBorders>
              <w:bottom w:val="single" w:sz="8" w:color="BFE4FF"/>
            </w:tcBorders>
            <w:shd w:val="clear" w:color="auto" w:fill="BFE4FF"/>
          </w:tcPr>
          <w:p>
            <w:pPr>
              <w:spacing w:after="0"/>
              <w:rPr>
                <w:sz w:val="20"/>
                <w:szCs w:val="20"/>
                <w:color w:val="auto"/>
              </w:rPr>
            </w:pPr>
            <w:r>
              <w:rPr>
                <w:rFonts w:ascii="Arial" w:cs="Arial" w:eastAsia="Arial" w:hAnsi="Arial"/>
                <w:sz w:val="18"/>
                <w:szCs w:val="18"/>
                <w:color w:val="auto"/>
              </w:rPr>
              <w:t>Operating revenues</w:t>
            </w:r>
          </w:p>
        </w:tc>
        <w:tc>
          <w:tcPr>
            <w:tcW w:w="140" w:type="dxa"/>
            <w:vAlign w:val="bottom"/>
            <w:tcBorders>
              <w:bottom w:val="single" w:sz="8" w:color="BFE4FF"/>
            </w:tcBorders>
            <w:gridSpan w:val="2"/>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107</w:t>
            </w:r>
          </w:p>
        </w:tc>
        <w:tc>
          <w:tcPr>
            <w:tcW w:w="4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gridSpan w:val="3"/>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BFE4FF"/>
            </w:tcBorders>
            <w:shd w:val="clear" w:color="auto" w:fill="BFE4FF"/>
          </w:tcPr>
          <w:p>
            <w:pPr>
              <w:jc w:val="right"/>
              <w:ind w:right="52"/>
              <w:spacing w:after="0"/>
              <w:rPr>
                <w:sz w:val="20"/>
                <w:szCs w:val="20"/>
                <w:color w:val="auto"/>
              </w:rPr>
            </w:pPr>
            <w:r>
              <w:rPr>
                <w:rFonts w:ascii="Arial" w:cs="Arial" w:eastAsia="Arial" w:hAnsi="Arial"/>
                <w:sz w:val="18"/>
                <w:szCs w:val="18"/>
                <w:color w:val="auto"/>
              </w:rPr>
              <w:t>180</w:t>
            </w:r>
          </w:p>
        </w:tc>
        <w:tc>
          <w:tcPr>
            <w:tcW w:w="2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gridSpan w:val="3"/>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42</w:t>
            </w:r>
          </w:p>
        </w:tc>
        <w:tc>
          <w:tcPr>
            <w:tcW w:w="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gridSpan w:val="3"/>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BFE4FF"/>
            </w:tcBorders>
            <w:gridSpan w:val="3"/>
            <w:shd w:val="clear" w:color="auto" w:fill="BFE4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BFE4FF"/>
            </w:tcBorders>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329</w:t>
            </w:r>
          </w:p>
        </w:tc>
        <w:tc>
          <w:tcPr>
            <w:tcW w:w="2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Cost of operations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BFE4FF"/>
            </w:tcBorders>
            <w:shd w:val="clear" w:color="auto" w:fill="BFE4FF"/>
          </w:tcPr>
          <w:p>
            <w:pPr>
              <w:spacing w:after="0"/>
              <w:rPr>
                <w:sz w:val="21"/>
                <w:szCs w:val="21"/>
                <w:color w:val="auto"/>
              </w:rPr>
            </w:pPr>
          </w:p>
        </w:tc>
        <w:tc>
          <w:tcPr>
            <w:tcW w:w="5140" w:type="dxa"/>
            <w:vAlign w:val="bottom"/>
            <w:tcBorders>
              <w:bottom w:val="single" w:sz="8" w:color="BFE4FF"/>
            </w:tcBorders>
            <w:shd w:val="clear" w:color="auto" w:fill="BFE4FF"/>
          </w:tcPr>
          <w:p>
            <w:pPr>
              <w:ind w:left="160"/>
              <w:spacing w:after="0"/>
              <w:rPr>
                <w:sz w:val="20"/>
                <w:szCs w:val="20"/>
                <w:color w:val="auto"/>
              </w:rPr>
            </w:pPr>
            <w:r>
              <w:rPr>
                <w:rFonts w:ascii="Arial" w:cs="Arial" w:eastAsia="Arial" w:hAnsi="Arial"/>
                <w:sz w:val="18"/>
                <w:szCs w:val="18"/>
                <w:color w:val="auto"/>
              </w:rPr>
              <w:t>Depreciation, amortization and accretion</w:t>
            </w:r>
          </w:p>
        </w:tc>
        <w:tc>
          <w:tcPr>
            <w:tcW w:w="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33</w:t>
            </w:r>
          </w:p>
        </w:tc>
        <w:tc>
          <w:tcPr>
            <w:tcW w:w="40" w:type="dxa"/>
            <w:vAlign w:val="bottom"/>
            <w:tcBorders>
              <w:bottom w:val="single" w:sz="8" w:color="BFE4FF"/>
            </w:tcBorders>
            <w:shd w:val="clear" w:color="auto" w:fill="BFE4FF"/>
          </w:tcPr>
          <w:p>
            <w:pPr>
              <w:spacing w:after="0"/>
              <w:rPr>
                <w:sz w:val="21"/>
                <w:szCs w:val="21"/>
                <w:color w:val="auto"/>
              </w:rPr>
            </w:pPr>
          </w:p>
        </w:tc>
        <w:tc>
          <w:tcPr>
            <w:tcW w:w="80" w:type="dxa"/>
            <w:vAlign w:val="bottom"/>
            <w:tcBorders>
              <w:bottom w:val="single" w:sz="8" w:color="BFE4FF"/>
            </w:tcBorders>
            <w:shd w:val="clear" w:color="auto" w:fill="BFE4FF"/>
          </w:tcPr>
          <w:p>
            <w:pPr>
              <w:spacing w:after="0"/>
              <w:rPr>
                <w:sz w:val="21"/>
                <w:szCs w:val="21"/>
                <w:color w:val="auto"/>
              </w:rPr>
            </w:pPr>
          </w:p>
        </w:tc>
        <w:tc>
          <w:tcPr>
            <w:tcW w:w="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ind w:right="52"/>
              <w:spacing w:after="0"/>
              <w:rPr>
                <w:sz w:val="20"/>
                <w:szCs w:val="20"/>
                <w:color w:val="auto"/>
              </w:rPr>
            </w:pPr>
            <w:r>
              <w:rPr>
                <w:rFonts w:ascii="Arial" w:cs="Arial" w:eastAsia="Arial" w:hAnsi="Arial"/>
                <w:sz w:val="18"/>
                <w:szCs w:val="18"/>
                <w:color w:val="auto"/>
              </w:rPr>
              <w:t>59</w:t>
            </w:r>
          </w:p>
        </w:tc>
        <w:tc>
          <w:tcPr>
            <w:tcW w:w="20" w:type="dxa"/>
            <w:vAlign w:val="bottom"/>
            <w:tcBorders>
              <w:bottom w:val="single" w:sz="8" w:color="BFE4FF"/>
            </w:tcBorders>
            <w:shd w:val="clear" w:color="auto" w:fill="BFE4FF"/>
          </w:tcPr>
          <w:p>
            <w:pPr>
              <w:spacing w:after="0"/>
              <w:rPr>
                <w:sz w:val="21"/>
                <w:szCs w:val="21"/>
                <w:color w:val="auto"/>
              </w:rPr>
            </w:pPr>
          </w:p>
        </w:tc>
        <w:tc>
          <w:tcPr>
            <w:tcW w:w="80" w:type="dxa"/>
            <w:vAlign w:val="bottom"/>
            <w:tcBorders>
              <w:bottom w:val="single" w:sz="8" w:color="BFE4FF"/>
            </w:tcBorders>
            <w:shd w:val="clear" w:color="auto" w:fill="BFE4FF"/>
          </w:tcPr>
          <w:p>
            <w:pPr>
              <w:spacing w:after="0"/>
              <w:rPr>
                <w:sz w:val="21"/>
                <w:szCs w:val="21"/>
                <w:color w:val="auto"/>
              </w:rPr>
            </w:pPr>
          </w:p>
        </w:tc>
        <w:tc>
          <w:tcPr>
            <w:tcW w:w="2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BFE4FF"/>
            </w:tcBorders>
            <w:shd w:val="clear" w:color="auto" w:fill="BFE4FF"/>
          </w:tcPr>
          <w:p>
            <w:pPr>
              <w:spacing w:after="0"/>
              <w:rPr>
                <w:sz w:val="21"/>
                <w:szCs w:val="21"/>
                <w:color w:val="auto"/>
              </w:rPr>
            </w:pPr>
          </w:p>
        </w:tc>
        <w:tc>
          <w:tcPr>
            <w:tcW w:w="80" w:type="dxa"/>
            <w:vAlign w:val="bottom"/>
            <w:tcBorders>
              <w:bottom w:val="single" w:sz="8" w:color="BFE4FF"/>
            </w:tcBorders>
            <w:shd w:val="clear" w:color="auto" w:fill="BFE4FF"/>
          </w:tcPr>
          <w:p>
            <w:pPr>
              <w:spacing w:after="0"/>
              <w:rPr>
                <w:sz w:val="21"/>
                <w:szCs w:val="21"/>
                <w:color w:val="auto"/>
              </w:rPr>
            </w:pPr>
          </w:p>
        </w:tc>
        <w:tc>
          <w:tcPr>
            <w:tcW w:w="4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gridSpan w:val="3"/>
            <w:shd w:val="clear" w:color="auto" w:fill="BFE4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99</w:t>
            </w:r>
          </w:p>
        </w:tc>
        <w:tc>
          <w:tcPr>
            <w:tcW w:w="2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BFE4FF"/>
            </w:tcBorders>
            <w:shd w:val="clear" w:color="auto" w:fill="BFE4FF"/>
          </w:tcPr>
          <w:p>
            <w:pPr>
              <w:spacing w:after="0"/>
              <w:rPr>
                <w:sz w:val="23"/>
                <w:szCs w:val="23"/>
                <w:color w:val="auto"/>
              </w:rPr>
            </w:pPr>
          </w:p>
        </w:tc>
        <w:tc>
          <w:tcPr>
            <w:tcW w:w="5140" w:type="dxa"/>
            <w:vAlign w:val="bottom"/>
            <w:tcBorders>
              <w:bottom w:val="single" w:sz="8" w:color="BFE4FF"/>
            </w:tcBorders>
            <w:shd w:val="clear" w:color="auto" w:fill="BFE4FF"/>
          </w:tcPr>
          <w:p>
            <w:pPr>
              <w:ind w:left="160"/>
              <w:spacing w:after="0"/>
              <w:rPr>
                <w:sz w:val="20"/>
                <w:szCs w:val="20"/>
                <w:color w:val="auto"/>
              </w:rPr>
            </w:pPr>
            <w:r>
              <w:rPr>
                <w:rFonts w:ascii="Arial" w:cs="Arial" w:eastAsia="Arial" w:hAnsi="Arial"/>
                <w:sz w:val="18"/>
                <w:szCs w:val="18"/>
                <w:color w:val="auto"/>
              </w:rPr>
              <w:t>Development costs</w:t>
            </w:r>
          </w:p>
        </w:tc>
        <w:tc>
          <w:tcPr>
            <w:tcW w:w="20" w:type="dxa"/>
            <w:vAlign w:val="bottom"/>
            <w:tcBorders>
              <w:bottom w:val="single" w:sz="8" w:color="BFE4FF"/>
            </w:tcBorders>
            <w:shd w:val="clear" w:color="auto" w:fill="BFE4FF"/>
          </w:tcPr>
          <w:p>
            <w:pPr>
              <w:spacing w:after="0"/>
              <w:rPr>
                <w:sz w:val="23"/>
                <w:szCs w:val="23"/>
                <w:color w:val="auto"/>
              </w:rPr>
            </w:pPr>
          </w:p>
        </w:tc>
        <w:tc>
          <w:tcPr>
            <w:tcW w:w="120" w:type="dxa"/>
            <w:vAlign w:val="bottom"/>
            <w:tcBorders>
              <w:bottom w:val="single" w:sz="8" w:color="BFE4FF"/>
            </w:tcBorders>
            <w:shd w:val="clear" w:color="auto" w:fill="BFE4FF"/>
          </w:tcPr>
          <w:p>
            <w:pPr>
              <w:spacing w:after="0"/>
              <w:rPr>
                <w:sz w:val="23"/>
                <w:szCs w:val="23"/>
                <w:color w:val="auto"/>
              </w:rPr>
            </w:pPr>
          </w:p>
        </w:tc>
        <w:tc>
          <w:tcPr>
            <w:tcW w:w="1020" w:type="dxa"/>
            <w:vAlign w:val="bottom"/>
            <w:tcBorders>
              <w:bottom w:val="single" w:sz="8" w:color="BFE4FF"/>
            </w:tcBorders>
            <w:gridSpan w:val="2"/>
            <w:shd w:val="clear" w:color="auto" w:fill="BFE4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BFE4FF"/>
            </w:tcBorders>
            <w:shd w:val="clear" w:color="auto" w:fill="BFE4FF"/>
          </w:tcPr>
          <w:p>
            <w:pPr>
              <w:spacing w:after="0"/>
              <w:rPr>
                <w:sz w:val="23"/>
                <w:szCs w:val="23"/>
                <w:color w:val="auto"/>
              </w:rPr>
            </w:pPr>
          </w:p>
        </w:tc>
        <w:tc>
          <w:tcPr>
            <w:tcW w:w="20" w:type="dxa"/>
            <w:vAlign w:val="bottom"/>
            <w:tcBorders>
              <w:bottom w:val="single" w:sz="8" w:color="BFE4FF"/>
            </w:tcBorders>
            <w:shd w:val="clear" w:color="auto" w:fill="BFE4FF"/>
          </w:tcPr>
          <w:p>
            <w:pPr>
              <w:spacing w:after="0"/>
              <w:rPr>
                <w:sz w:val="23"/>
                <w:szCs w:val="23"/>
                <w:color w:val="auto"/>
              </w:rPr>
            </w:pPr>
          </w:p>
        </w:tc>
        <w:tc>
          <w:tcPr>
            <w:tcW w:w="140" w:type="dxa"/>
            <w:vAlign w:val="bottom"/>
            <w:tcBorders>
              <w:bottom w:val="single" w:sz="8" w:color="BFE4FF"/>
            </w:tcBorders>
            <w:shd w:val="clear" w:color="auto" w:fill="BFE4FF"/>
          </w:tcPr>
          <w:p>
            <w:pPr>
              <w:spacing w:after="0"/>
              <w:rPr>
                <w:sz w:val="23"/>
                <w:szCs w:val="23"/>
                <w:color w:val="auto"/>
              </w:rPr>
            </w:pPr>
          </w:p>
        </w:tc>
        <w:tc>
          <w:tcPr>
            <w:tcW w:w="980" w:type="dxa"/>
            <w:vAlign w:val="bottom"/>
            <w:tcBorders>
              <w:bottom w:val="single" w:sz="8" w:color="BFE4FF"/>
            </w:tcBorders>
            <w:gridSpan w:val="2"/>
            <w:shd w:val="clear" w:color="auto" w:fill="BFE4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BFE4FF"/>
            </w:tcBorders>
            <w:shd w:val="clear" w:color="auto" w:fill="BFE4FF"/>
          </w:tcPr>
          <w:p>
            <w:pPr>
              <w:spacing w:after="0"/>
              <w:rPr>
                <w:sz w:val="23"/>
                <w:szCs w:val="23"/>
                <w:color w:val="auto"/>
              </w:rPr>
            </w:pPr>
          </w:p>
        </w:tc>
        <w:tc>
          <w:tcPr>
            <w:tcW w:w="20" w:type="dxa"/>
            <w:vAlign w:val="bottom"/>
            <w:tcBorders>
              <w:bottom w:val="single" w:sz="8" w:color="BFE4FF"/>
            </w:tcBorders>
            <w:shd w:val="clear" w:color="auto" w:fill="BFE4FF"/>
          </w:tcPr>
          <w:p>
            <w:pPr>
              <w:spacing w:after="0"/>
              <w:rPr>
                <w:sz w:val="23"/>
                <w:szCs w:val="23"/>
                <w:color w:val="auto"/>
              </w:rPr>
            </w:pPr>
          </w:p>
        </w:tc>
        <w:tc>
          <w:tcPr>
            <w:tcW w:w="200" w:type="dxa"/>
            <w:vAlign w:val="bottom"/>
            <w:tcBorders>
              <w:bottom w:val="single" w:sz="8" w:color="BFE4FF"/>
            </w:tcBorders>
            <w:shd w:val="clear" w:color="auto" w:fill="BFE4FF"/>
          </w:tcPr>
          <w:p>
            <w:pPr>
              <w:spacing w:after="0"/>
              <w:rPr>
                <w:sz w:val="23"/>
                <w:szCs w:val="23"/>
                <w:color w:val="auto"/>
              </w:rPr>
            </w:pPr>
          </w:p>
        </w:tc>
        <w:tc>
          <w:tcPr>
            <w:tcW w:w="92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BFE4FF"/>
            </w:tcBorders>
            <w:shd w:val="clear" w:color="auto" w:fill="BFE4FF"/>
          </w:tcPr>
          <w:p>
            <w:pPr>
              <w:spacing w:after="0"/>
              <w:rPr>
                <w:sz w:val="23"/>
                <w:szCs w:val="23"/>
                <w:color w:val="auto"/>
              </w:rPr>
            </w:pPr>
          </w:p>
        </w:tc>
        <w:tc>
          <w:tcPr>
            <w:tcW w:w="80" w:type="dxa"/>
            <w:vAlign w:val="bottom"/>
            <w:tcBorders>
              <w:bottom w:val="single" w:sz="8" w:color="BFE4FF"/>
            </w:tcBorders>
            <w:shd w:val="clear" w:color="auto" w:fill="BFE4FF"/>
          </w:tcPr>
          <w:p>
            <w:pPr>
              <w:spacing w:after="0"/>
              <w:rPr>
                <w:sz w:val="23"/>
                <w:szCs w:val="23"/>
                <w:color w:val="auto"/>
              </w:rPr>
            </w:pPr>
          </w:p>
        </w:tc>
        <w:tc>
          <w:tcPr>
            <w:tcW w:w="40" w:type="dxa"/>
            <w:vAlign w:val="bottom"/>
            <w:tcBorders>
              <w:bottom w:val="single" w:sz="8" w:color="BFE4FF"/>
            </w:tcBorders>
            <w:shd w:val="clear" w:color="auto" w:fill="BFE4FF"/>
          </w:tcPr>
          <w:p>
            <w:pPr>
              <w:spacing w:after="0"/>
              <w:rPr>
                <w:sz w:val="23"/>
                <w:szCs w:val="23"/>
                <w:color w:val="auto"/>
              </w:rPr>
            </w:pPr>
          </w:p>
        </w:tc>
        <w:tc>
          <w:tcPr>
            <w:tcW w:w="160" w:type="dxa"/>
            <w:vAlign w:val="bottom"/>
            <w:tcBorders>
              <w:bottom w:val="single" w:sz="8" w:color="BFE4FF"/>
            </w:tcBorders>
            <w:shd w:val="clear" w:color="auto" w:fill="BFE4FF"/>
          </w:tcPr>
          <w:p>
            <w:pPr>
              <w:spacing w:after="0"/>
              <w:rPr>
                <w:sz w:val="23"/>
                <w:szCs w:val="23"/>
                <w:color w:val="auto"/>
              </w:rPr>
            </w:pPr>
          </w:p>
        </w:tc>
        <w:tc>
          <w:tcPr>
            <w:tcW w:w="1040" w:type="dxa"/>
            <w:vAlign w:val="bottom"/>
            <w:tcBorders>
              <w:bottom w:val="single" w:sz="8" w:color="BFE4FF"/>
            </w:tcBorders>
            <w:gridSpan w:val="3"/>
            <w:shd w:val="clear" w:color="auto" w:fill="BFE4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BFE4FF"/>
            </w:tcBorders>
            <w:shd w:val="clear" w:color="auto" w:fill="BFE4FF"/>
          </w:tcPr>
          <w:p>
            <w:pPr>
              <w:spacing w:after="0"/>
              <w:rPr>
                <w:sz w:val="23"/>
                <w:szCs w:val="23"/>
                <w:color w:val="auto"/>
              </w:rPr>
            </w:pPr>
          </w:p>
        </w:tc>
        <w:tc>
          <w:tcPr>
            <w:tcW w:w="86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BFE4FF"/>
            </w:tcBorders>
            <w:shd w:val="clear" w:color="auto" w:fill="BFE4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Operating income (loss)</w:t>
            </w: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52</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81</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130</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BFE4FF"/>
            </w:tcBorders>
            <w:shd w:val="clear" w:color="auto" w:fill="BFE4FF"/>
          </w:tcPr>
          <w:p>
            <w:pPr>
              <w:spacing w:after="0"/>
              <w:rPr>
                <w:sz w:val="21"/>
                <w:szCs w:val="21"/>
                <w:color w:val="auto"/>
              </w:rPr>
            </w:pPr>
          </w:p>
        </w:tc>
        <w:tc>
          <w:tcPr>
            <w:tcW w:w="5140" w:type="dxa"/>
            <w:vAlign w:val="bottom"/>
            <w:tcBorders>
              <w:bottom w:val="single" w:sz="8" w:color="BFE4FF"/>
            </w:tcBorders>
            <w:shd w:val="clear" w:color="auto" w:fill="BFE4FF"/>
          </w:tcPr>
          <w:p>
            <w:pPr>
              <w:ind w:left="160"/>
              <w:spacing w:after="0"/>
              <w:rPr>
                <w:sz w:val="20"/>
                <w:szCs w:val="20"/>
                <w:color w:val="auto"/>
              </w:rPr>
            </w:pPr>
            <w:r>
              <w:rPr>
                <w:rFonts w:ascii="Arial" w:cs="Arial" w:eastAsia="Arial" w:hAnsi="Arial"/>
                <w:sz w:val="18"/>
                <w:szCs w:val="18"/>
                <w:color w:val="auto"/>
              </w:rPr>
              <w:t>Equity in earnings of unconsolidated affiliates</w:t>
            </w:r>
          </w:p>
        </w:tc>
        <w:tc>
          <w:tcPr>
            <w:tcW w:w="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BFE4FF"/>
            </w:tcBorders>
            <w:shd w:val="clear" w:color="auto" w:fill="BFE4FF"/>
          </w:tcPr>
          <w:p>
            <w:pPr>
              <w:spacing w:after="0"/>
              <w:rPr>
                <w:sz w:val="21"/>
                <w:szCs w:val="21"/>
                <w:color w:val="auto"/>
              </w:rPr>
            </w:pPr>
          </w:p>
        </w:tc>
        <w:tc>
          <w:tcPr>
            <w:tcW w:w="80" w:type="dxa"/>
            <w:vAlign w:val="bottom"/>
            <w:tcBorders>
              <w:bottom w:val="single" w:sz="8" w:color="BFE4FF"/>
            </w:tcBorders>
            <w:shd w:val="clear" w:color="auto" w:fill="BFE4FF"/>
          </w:tcPr>
          <w:p>
            <w:pPr>
              <w:spacing w:after="0"/>
              <w:rPr>
                <w:sz w:val="21"/>
                <w:szCs w:val="21"/>
                <w:color w:val="auto"/>
              </w:rPr>
            </w:pPr>
          </w:p>
        </w:tc>
        <w:tc>
          <w:tcPr>
            <w:tcW w:w="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ind w:right="52"/>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BFE4FF"/>
            </w:tcBorders>
            <w:shd w:val="clear" w:color="auto" w:fill="BFE4FF"/>
          </w:tcPr>
          <w:p>
            <w:pPr>
              <w:spacing w:after="0"/>
              <w:rPr>
                <w:sz w:val="21"/>
                <w:szCs w:val="21"/>
                <w:color w:val="auto"/>
              </w:rPr>
            </w:pPr>
          </w:p>
        </w:tc>
        <w:tc>
          <w:tcPr>
            <w:tcW w:w="80" w:type="dxa"/>
            <w:vAlign w:val="bottom"/>
            <w:tcBorders>
              <w:bottom w:val="single" w:sz="8" w:color="BFE4FF"/>
            </w:tcBorders>
            <w:shd w:val="clear" w:color="auto" w:fill="BFE4FF"/>
          </w:tcPr>
          <w:p>
            <w:pPr>
              <w:spacing w:after="0"/>
              <w:rPr>
                <w:sz w:val="21"/>
                <w:szCs w:val="21"/>
                <w:color w:val="auto"/>
              </w:rPr>
            </w:pPr>
          </w:p>
        </w:tc>
        <w:tc>
          <w:tcPr>
            <w:tcW w:w="2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gridSpan w:val="2"/>
            <w:shd w:val="clear" w:color="auto" w:fill="BFE4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BFE4FF"/>
            </w:tcBorders>
            <w:shd w:val="clear" w:color="auto" w:fill="BFE4FF"/>
          </w:tcPr>
          <w:p>
            <w:pPr>
              <w:spacing w:after="0"/>
              <w:rPr>
                <w:sz w:val="21"/>
                <w:szCs w:val="21"/>
                <w:color w:val="auto"/>
              </w:rPr>
            </w:pPr>
          </w:p>
        </w:tc>
        <w:tc>
          <w:tcPr>
            <w:tcW w:w="4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gridSpan w:val="3"/>
            <w:shd w:val="clear" w:color="auto" w:fill="BFE4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Gain on sale of unconsolidated affiliate</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BFE4FF"/>
            </w:tcBorders>
            <w:shd w:val="clear" w:color="auto" w:fill="BFE4FF"/>
          </w:tcPr>
          <w:p>
            <w:pPr>
              <w:spacing w:after="0"/>
              <w:rPr>
                <w:sz w:val="23"/>
                <w:szCs w:val="23"/>
                <w:color w:val="auto"/>
              </w:rPr>
            </w:pPr>
          </w:p>
        </w:tc>
        <w:tc>
          <w:tcPr>
            <w:tcW w:w="5140" w:type="dxa"/>
            <w:vAlign w:val="bottom"/>
            <w:tcBorders>
              <w:bottom w:val="single" w:sz="8" w:color="BFE4FF"/>
            </w:tcBorders>
            <w:shd w:val="clear" w:color="auto" w:fill="BFE4FF"/>
          </w:tcPr>
          <w:p>
            <w:pPr>
              <w:ind w:left="160"/>
              <w:spacing w:after="0"/>
              <w:rPr>
                <w:sz w:val="20"/>
                <w:szCs w:val="20"/>
                <w:color w:val="auto"/>
              </w:rPr>
            </w:pPr>
            <w:r>
              <w:rPr>
                <w:rFonts w:ascii="Arial" w:cs="Arial" w:eastAsia="Arial" w:hAnsi="Arial"/>
                <w:sz w:val="18"/>
                <w:szCs w:val="18"/>
                <w:color w:val="auto"/>
              </w:rPr>
              <w:t>Interest expense</w:t>
            </w:r>
          </w:p>
        </w:tc>
        <w:tc>
          <w:tcPr>
            <w:tcW w:w="20" w:type="dxa"/>
            <w:vAlign w:val="bottom"/>
            <w:tcBorders>
              <w:bottom w:val="single" w:sz="8" w:color="BFE4FF"/>
            </w:tcBorders>
            <w:shd w:val="clear" w:color="auto" w:fill="BFE4FF"/>
          </w:tcPr>
          <w:p>
            <w:pPr>
              <w:spacing w:after="0"/>
              <w:rPr>
                <w:sz w:val="23"/>
                <w:szCs w:val="23"/>
                <w:color w:val="auto"/>
              </w:rPr>
            </w:pPr>
          </w:p>
        </w:tc>
        <w:tc>
          <w:tcPr>
            <w:tcW w:w="120" w:type="dxa"/>
            <w:vAlign w:val="bottom"/>
            <w:tcBorders>
              <w:bottom w:val="single" w:sz="8" w:color="BFE4FF"/>
            </w:tcBorders>
            <w:shd w:val="clear" w:color="auto" w:fill="BFE4FF"/>
          </w:tcPr>
          <w:p>
            <w:pPr>
              <w:spacing w:after="0"/>
              <w:rPr>
                <w:sz w:val="23"/>
                <w:szCs w:val="23"/>
                <w:color w:val="auto"/>
              </w:rPr>
            </w:pPr>
          </w:p>
        </w:tc>
        <w:tc>
          <w:tcPr>
            <w:tcW w:w="9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(22)</w:t>
            </w:r>
          </w:p>
        </w:tc>
        <w:tc>
          <w:tcPr>
            <w:tcW w:w="40" w:type="dxa"/>
            <w:vAlign w:val="bottom"/>
            <w:tcBorders>
              <w:bottom w:val="single" w:sz="8" w:color="BFE4FF"/>
            </w:tcBorders>
            <w:shd w:val="clear" w:color="auto" w:fill="BFE4FF"/>
          </w:tcPr>
          <w:p>
            <w:pPr>
              <w:spacing w:after="0"/>
              <w:rPr>
                <w:sz w:val="23"/>
                <w:szCs w:val="23"/>
                <w:color w:val="auto"/>
              </w:rPr>
            </w:pPr>
          </w:p>
        </w:tc>
        <w:tc>
          <w:tcPr>
            <w:tcW w:w="80" w:type="dxa"/>
            <w:vAlign w:val="bottom"/>
            <w:tcBorders>
              <w:bottom w:val="single" w:sz="8" w:color="BFE4FF"/>
            </w:tcBorders>
            <w:shd w:val="clear" w:color="auto" w:fill="BFE4FF"/>
          </w:tcPr>
          <w:p>
            <w:pPr>
              <w:spacing w:after="0"/>
              <w:rPr>
                <w:sz w:val="23"/>
                <w:szCs w:val="23"/>
                <w:color w:val="auto"/>
              </w:rPr>
            </w:pPr>
          </w:p>
        </w:tc>
        <w:tc>
          <w:tcPr>
            <w:tcW w:w="20" w:type="dxa"/>
            <w:vAlign w:val="bottom"/>
            <w:tcBorders>
              <w:bottom w:val="single" w:sz="8" w:color="BFE4FF"/>
            </w:tcBorders>
            <w:shd w:val="clear" w:color="auto" w:fill="BFE4FF"/>
          </w:tcPr>
          <w:p>
            <w:pPr>
              <w:spacing w:after="0"/>
              <w:rPr>
                <w:sz w:val="23"/>
                <w:szCs w:val="23"/>
                <w:color w:val="auto"/>
              </w:rPr>
            </w:pPr>
          </w:p>
        </w:tc>
        <w:tc>
          <w:tcPr>
            <w:tcW w:w="140" w:type="dxa"/>
            <w:vAlign w:val="bottom"/>
            <w:tcBorders>
              <w:bottom w:val="single" w:sz="8" w:color="BFE4FF"/>
            </w:tcBorders>
            <w:shd w:val="clear" w:color="auto" w:fill="BFE4FF"/>
          </w:tcPr>
          <w:p>
            <w:pPr>
              <w:spacing w:after="0"/>
              <w:rPr>
                <w:sz w:val="23"/>
                <w:szCs w:val="23"/>
                <w:color w:val="auto"/>
              </w:rPr>
            </w:pPr>
          </w:p>
        </w:tc>
        <w:tc>
          <w:tcPr>
            <w:tcW w:w="9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Borders>
              <w:bottom w:val="single" w:sz="8" w:color="BFE4FF"/>
            </w:tcBorders>
            <w:shd w:val="clear" w:color="auto" w:fill="BFE4FF"/>
          </w:tcPr>
          <w:p>
            <w:pPr>
              <w:spacing w:after="0"/>
              <w:rPr>
                <w:sz w:val="23"/>
                <w:szCs w:val="23"/>
                <w:color w:val="auto"/>
              </w:rPr>
            </w:pPr>
          </w:p>
        </w:tc>
        <w:tc>
          <w:tcPr>
            <w:tcW w:w="80" w:type="dxa"/>
            <w:vAlign w:val="bottom"/>
            <w:tcBorders>
              <w:bottom w:val="single" w:sz="8" w:color="BFE4FF"/>
            </w:tcBorders>
            <w:shd w:val="clear" w:color="auto" w:fill="BFE4FF"/>
          </w:tcPr>
          <w:p>
            <w:pPr>
              <w:spacing w:after="0"/>
              <w:rPr>
                <w:sz w:val="23"/>
                <w:szCs w:val="23"/>
                <w:color w:val="auto"/>
              </w:rPr>
            </w:pPr>
          </w:p>
        </w:tc>
        <w:tc>
          <w:tcPr>
            <w:tcW w:w="20" w:type="dxa"/>
            <w:vAlign w:val="bottom"/>
            <w:tcBorders>
              <w:bottom w:val="single" w:sz="8" w:color="BFE4FF"/>
            </w:tcBorders>
            <w:shd w:val="clear" w:color="auto" w:fill="BFE4FF"/>
          </w:tcPr>
          <w:p>
            <w:pPr>
              <w:spacing w:after="0"/>
              <w:rPr>
                <w:sz w:val="23"/>
                <w:szCs w:val="23"/>
                <w:color w:val="auto"/>
              </w:rPr>
            </w:pPr>
          </w:p>
        </w:tc>
        <w:tc>
          <w:tcPr>
            <w:tcW w:w="200" w:type="dxa"/>
            <w:vAlign w:val="bottom"/>
            <w:tcBorders>
              <w:bottom w:val="single" w:sz="8" w:color="BFE4FF"/>
            </w:tcBorders>
            <w:shd w:val="clear" w:color="auto" w:fill="BFE4FF"/>
          </w:tcPr>
          <w:p>
            <w:pPr>
              <w:spacing w:after="0"/>
              <w:rPr>
                <w:sz w:val="23"/>
                <w:szCs w:val="23"/>
                <w:color w:val="auto"/>
              </w:rPr>
            </w:pPr>
          </w:p>
        </w:tc>
        <w:tc>
          <w:tcPr>
            <w:tcW w:w="9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BFE4FF"/>
            </w:tcBorders>
            <w:shd w:val="clear" w:color="auto" w:fill="BFE4FF"/>
          </w:tcPr>
          <w:p>
            <w:pPr>
              <w:spacing w:after="0"/>
              <w:rPr>
                <w:sz w:val="23"/>
                <w:szCs w:val="23"/>
                <w:color w:val="auto"/>
              </w:rPr>
            </w:pPr>
          </w:p>
        </w:tc>
        <w:tc>
          <w:tcPr>
            <w:tcW w:w="80" w:type="dxa"/>
            <w:vAlign w:val="bottom"/>
            <w:tcBorders>
              <w:bottom w:val="single" w:sz="8" w:color="BFE4FF"/>
            </w:tcBorders>
            <w:shd w:val="clear" w:color="auto" w:fill="BFE4FF"/>
          </w:tcPr>
          <w:p>
            <w:pPr>
              <w:spacing w:after="0"/>
              <w:rPr>
                <w:sz w:val="23"/>
                <w:szCs w:val="23"/>
                <w:color w:val="auto"/>
              </w:rPr>
            </w:pPr>
          </w:p>
        </w:tc>
        <w:tc>
          <w:tcPr>
            <w:tcW w:w="40" w:type="dxa"/>
            <w:vAlign w:val="bottom"/>
            <w:tcBorders>
              <w:bottom w:val="single" w:sz="8" w:color="BFE4FF"/>
            </w:tcBorders>
            <w:shd w:val="clear" w:color="auto" w:fill="BFE4FF"/>
          </w:tcPr>
          <w:p>
            <w:pPr>
              <w:spacing w:after="0"/>
              <w:rPr>
                <w:sz w:val="23"/>
                <w:szCs w:val="23"/>
                <w:color w:val="auto"/>
              </w:rPr>
            </w:pPr>
          </w:p>
        </w:tc>
        <w:tc>
          <w:tcPr>
            <w:tcW w:w="160" w:type="dxa"/>
            <w:vAlign w:val="bottom"/>
            <w:tcBorders>
              <w:bottom w:val="single" w:sz="8" w:color="BFE4FF"/>
            </w:tcBorders>
            <w:shd w:val="clear" w:color="auto" w:fill="BFE4FF"/>
          </w:tcPr>
          <w:p>
            <w:pPr>
              <w:spacing w:after="0"/>
              <w:rPr>
                <w:sz w:val="23"/>
                <w:szCs w:val="23"/>
                <w:color w:val="auto"/>
              </w:rPr>
            </w:pPr>
          </w:p>
        </w:tc>
        <w:tc>
          <w:tcPr>
            <w:tcW w:w="9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(24)</w:t>
            </w:r>
          </w:p>
        </w:tc>
        <w:tc>
          <w:tcPr>
            <w:tcW w:w="40" w:type="dxa"/>
            <w:vAlign w:val="bottom"/>
            <w:tcBorders>
              <w:bottom w:val="single" w:sz="8" w:color="BFE4FF"/>
            </w:tcBorders>
            <w:shd w:val="clear" w:color="auto" w:fill="BFE4FF"/>
          </w:tcPr>
          <w:p>
            <w:pPr>
              <w:spacing w:after="0"/>
              <w:rPr>
                <w:sz w:val="23"/>
                <w:szCs w:val="23"/>
                <w:color w:val="auto"/>
              </w:rPr>
            </w:pPr>
          </w:p>
        </w:tc>
        <w:tc>
          <w:tcPr>
            <w:tcW w:w="80" w:type="dxa"/>
            <w:vAlign w:val="bottom"/>
            <w:tcBorders>
              <w:bottom w:val="single" w:sz="8" w:color="BFE4FF"/>
            </w:tcBorders>
            <w:shd w:val="clear" w:color="auto" w:fill="BFE4FF"/>
          </w:tcPr>
          <w:p>
            <w:pPr>
              <w:spacing w:after="0"/>
              <w:rPr>
                <w:sz w:val="23"/>
                <w:szCs w:val="23"/>
                <w:color w:val="auto"/>
              </w:rPr>
            </w:pPr>
          </w:p>
        </w:tc>
        <w:tc>
          <w:tcPr>
            <w:tcW w:w="260" w:type="dxa"/>
            <w:vAlign w:val="bottom"/>
            <w:tcBorders>
              <w:bottom w:val="single" w:sz="8" w:color="BFE4FF"/>
            </w:tcBorders>
            <w:shd w:val="clear" w:color="auto" w:fill="BFE4FF"/>
          </w:tcPr>
          <w:p>
            <w:pPr>
              <w:spacing w:after="0"/>
              <w:rPr>
                <w:sz w:val="23"/>
                <w:szCs w:val="23"/>
                <w:color w:val="auto"/>
              </w:rPr>
            </w:pPr>
          </w:p>
        </w:tc>
        <w:tc>
          <w:tcPr>
            <w:tcW w:w="8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(93)</w:t>
            </w:r>
          </w:p>
        </w:tc>
        <w:tc>
          <w:tcPr>
            <w:tcW w:w="20" w:type="dxa"/>
            <w:vAlign w:val="bottom"/>
            <w:tcBorders>
              <w:bottom w:val="single" w:sz="8" w:color="BFE4FF"/>
            </w:tcBorders>
            <w:shd w:val="clear" w:color="auto" w:fill="BFE4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w:t>
            </w:r>
          </w:p>
        </w:tc>
        <w:tc>
          <w:tcPr>
            <w:tcW w:w="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54</w:t>
            </w:r>
          </w:p>
        </w:tc>
        <w:tc>
          <w:tcPr>
            <w:tcW w:w="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w:t>
            </w:r>
          </w:p>
        </w:tc>
        <w:tc>
          <w:tcPr>
            <w:tcW w:w="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102</w:t>
            </w:r>
          </w:p>
        </w:tc>
        <w:tc>
          <w:tcPr>
            <w:tcW w:w="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Borders>
              <w:bottom w:val="single" w:sz="8" w:color="BFE4FF"/>
            </w:tcBorders>
            <w:shd w:val="clear" w:color="auto" w:fill="BFE4FF"/>
          </w:tcPr>
          <w:p>
            <w:pPr>
              <w:spacing w:after="0"/>
              <w:rPr>
                <w:sz w:val="23"/>
                <w:szCs w:val="23"/>
                <w:color w:val="auto"/>
              </w:rPr>
            </w:pPr>
          </w:p>
        </w:tc>
        <w:tc>
          <w:tcPr>
            <w:tcW w:w="5140" w:type="dxa"/>
            <w:vAlign w:val="bottom"/>
            <w:tcBorders>
              <w:bottom w:val="single" w:sz="8" w:color="BFE4FF"/>
            </w:tcBorders>
            <w:shd w:val="clear" w:color="auto" w:fill="BFE4FF"/>
          </w:tcPr>
          <w:p>
            <w:pPr>
              <w:ind w:left="160"/>
              <w:spacing w:after="0"/>
              <w:rPr>
                <w:sz w:val="20"/>
                <w:szCs w:val="20"/>
                <w:color w:val="auto"/>
              </w:rPr>
            </w:pPr>
            <w:r>
              <w:rPr>
                <w:rFonts w:ascii="Arial" w:cs="Arial" w:eastAsia="Arial" w:hAnsi="Arial"/>
                <w:sz w:val="18"/>
                <w:szCs w:val="18"/>
                <w:color w:val="auto"/>
              </w:rPr>
              <w:t>Income tax expense</w:t>
            </w:r>
          </w:p>
        </w:tc>
        <w:tc>
          <w:tcPr>
            <w:tcW w:w="20" w:type="dxa"/>
            <w:vAlign w:val="bottom"/>
            <w:tcBorders>
              <w:bottom w:val="single" w:sz="8" w:color="BFE4FF"/>
            </w:tcBorders>
            <w:shd w:val="clear" w:color="auto" w:fill="BFE4FF"/>
          </w:tcPr>
          <w:p>
            <w:pPr>
              <w:spacing w:after="0"/>
              <w:rPr>
                <w:sz w:val="23"/>
                <w:szCs w:val="23"/>
                <w:color w:val="auto"/>
              </w:rPr>
            </w:pPr>
          </w:p>
        </w:tc>
        <w:tc>
          <w:tcPr>
            <w:tcW w:w="120" w:type="dxa"/>
            <w:vAlign w:val="bottom"/>
            <w:tcBorders>
              <w:bottom w:val="single" w:sz="8" w:color="BFE4FF"/>
            </w:tcBorders>
            <w:shd w:val="clear" w:color="auto" w:fill="BFE4FF"/>
          </w:tcPr>
          <w:p>
            <w:pPr>
              <w:spacing w:after="0"/>
              <w:rPr>
                <w:sz w:val="23"/>
                <w:szCs w:val="23"/>
                <w:color w:val="auto"/>
              </w:rPr>
            </w:pPr>
          </w:p>
        </w:tc>
        <w:tc>
          <w:tcPr>
            <w:tcW w:w="1020" w:type="dxa"/>
            <w:vAlign w:val="bottom"/>
            <w:tcBorders>
              <w:bottom w:val="single" w:sz="8" w:color="BFE4FF"/>
            </w:tcBorders>
            <w:gridSpan w:val="2"/>
            <w:shd w:val="clear" w:color="auto" w:fill="BFE4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BFE4FF"/>
            </w:tcBorders>
            <w:shd w:val="clear" w:color="auto" w:fill="BFE4FF"/>
          </w:tcPr>
          <w:p>
            <w:pPr>
              <w:spacing w:after="0"/>
              <w:rPr>
                <w:sz w:val="23"/>
                <w:szCs w:val="23"/>
                <w:color w:val="auto"/>
              </w:rPr>
            </w:pPr>
          </w:p>
        </w:tc>
        <w:tc>
          <w:tcPr>
            <w:tcW w:w="20" w:type="dxa"/>
            <w:vAlign w:val="bottom"/>
            <w:tcBorders>
              <w:bottom w:val="single" w:sz="8" w:color="BFE4FF"/>
            </w:tcBorders>
            <w:shd w:val="clear" w:color="auto" w:fill="BFE4FF"/>
          </w:tcPr>
          <w:p>
            <w:pPr>
              <w:spacing w:after="0"/>
              <w:rPr>
                <w:sz w:val="23"/>
                <w:szCs w:val="23"/>
                <w:color w:val="auto"/>
              </w:rPr>
            </w:pPr>
          </w:p>
        </w:tc>
        <w:tc>
          <w:tcPr>
            <w:tcW w:w="140" w:type="dxa"/>
            <w:vAlign w:val="bottom"/>
            <w:tcBorders>
              <w:bottom w:val="single" w:sz="8" w:color="BFE4FF"/>
            </w:tcBorders>
            <w:shd w:val="clear" w:color="auto" w:fill="BFE4FF"/>
          </w:tcPr>
          <w:p>
            <w:pPr>
              <w:spacing w:after="0"/>
              <w:rPr>
                <w:sz w:val="23"/>
                <w:szCs w:val="23"/>
                <w:color w:val="auto"/>
              </w:rPr>
            </w:pPr>
          </w:p>
        </w:tc>
        <w:tc>
          <w:tcPr>
            <w:tcW w:w="980" w:type="dxa"/>
            <w:vAlign w:val="bottom"/>
            <w:tcBorders>
              <w:bottom w:val="single" w:sz="8" w:color="BFE4FF"/>
            </w:tcBorders>
            <w:gridSpan w:val="2"/>
            <w:shd w:val="clear" w:color="auto" w:fill="BFE4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BFE4FF"/>
            </w:tcBorders>
            <w:shd w:val="clear" w:color="auto" w:fill="BFE4FF"/>
          </w:tcPr>
          <w:p>
            <w:pPr>
              <w:spacing w:after="0"/>
              <w:rPr>
                <w:sz w:val="23"/>
                <w:szCs w:val="23"/>
                <w:color w:val="auto"/>
              </w:rPr>
            </w:pPr>
          </w:p>
        </w:tc>
        <w:tc>
          <w:tcPr>
            <w:tcW w:w="20" w:type="dxa"/>
            <w:vAlign w:val="bottom"/>
            <w:tcBorders>
              <w:bottom w:val="single" w:sz="8" w:color="BFE4FF"/>
            </w:tcBorders>
            <w:shd w:val="clear" w:color="auto" w:fill="BFE4FF"/>
          </w:tcPr>
          <w:p>
            <w:pPr>
              <w:spacing w:after="0"/>
              <w:rPr>
                <w:sz w:val="23"/>
                <w:szCs w:val="23"/>
                <w:color w:val="auto"/>
              </w:rPr>
            </w:pPr>
          </w:p>
        </w:tc>
        <w:tc>
          <w:tcPr>
            <w:tcW w:w="200" w:type="dxa"/>
            <w:vAlign w:val="bottom"/>
            <w:tcBorders>
              <w:bottom w:val="single" w:sz="8" w:color="BFE4FF"/>
            </w:tcBorders>
            <w:shd w:val="clear" w:color="auto" w:fill="BFE4FF"/>
          </w:tcPr>
          <w:p>
            <w:pPr>
              <w:spacing w:after="0"/>
              <w:rPr>
                <w:sz w:val="23"/>
                <w:szCs w:val="23"/>
                <w:color w:val="auto"/>
              </w:rPr>
            </w:pPr>
          </w:p>
        </w:tc>
        <w:tc>
          <w:tcPr>
            <w:tcW w:w="940" w:type="dxa"/>
            <w:vAlign w:val="bottom"/>
            <w:tcBorders>
              <w:bottom w:val="single" w:sz="8" w:color="BFE4FF"/>
            </w:tcBorders>
            <w:gridSpan w:val="2"/>
            <w:shd w:val="clear" w:color="auto" w:fill="BFE4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BFE4FF"/>
            </w:tcBorders>
            <w:shd w:val="clear" w:color="auto" w:fill="BFE4FF"/>
          </w:tcPr>
          <w:p>
            <w:pPr>
              <w:spacing w:after="0"/>
              <w:rPr>
                <w:sz w:val="23"/>
                <w:szCs w:val="23"/>
                <w:color w:val="auto"/>
              </w:rPr>
            </w:pPr>
          </w:p>
        </w:tc>
        <w:tc>
          <w:tcPr>
            <w:tcW w:w="40" w:type="dxa"/>
            <w:vAlign w:val="bottom"/>
            <w:tcBorders>
              <w:bottom w:val="single" w:sz="8" w:color="BFE4FF"/>
            </w:tcBorders>
            <w:shd w:val="clear" w:color="auto" w:fill="BFE4FF"/>
          </w:tcPr>
          <w:p>
            <w:pPr>
              <w:spacing w:after="0"/>
              <w:rPr>
                <w:sz w:val="23"/>
                <w:szCs w:val="23"/>
                <w:color w:val="auto"/>
              </w:rPr>
            </w:pPr>
          </w:p>
        </w:tc>
        <w:tc>
          <w:tcPr>
            <w:tcW w:w="160" w:type="dxa"/>
            <w:vAlign w:val="bottom"/>
            <w:tcBorders>
              <w:bottom w:val="single" w:sz="8" w:color="BFE4FF"/>
            </w:tcBorders>
            <w:shd w:val="clear" w:color="auto" w:fill="BFE4FF"/>
          </w:tcPr>
          <w:p>
            <w:pPr>
              <w:spacing w:after="0"/>
              <w:rPr>
                <w:sz w:val="23"/>
                <w:szCs w:val="23"/>
                <w:color w:val="auto"/>
              </w:rPr>
            </w:pPr>
          </w:p>
        </w:tc>
        <w:tc>
          <w:tcPr>
            <w:tcW w:w="92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26</w:t>
            </w:r>
          </w:p>
        </w:tc>
        <w:tc>
          <w:tcPr>
            <w:tcW w:w="40" w:type="dxa"/>
            <w:vAlign w:val="bottom"/>
            <w:tcBorders>
              <w:bottom w:val="single" w:sz="8" w:color="BFE4FF"/>
            </w:tcBorders>
            <w:shd w:val="clear" w:color="auto" w:fill="BFE4FF"/>
          </w:tcPr>
          <w:p>
            <w:pPr>
              <w:spacing w:after="0"/>
              <w:rPr>
                <w:sz w:val="23"/>
                <w:szCs w:val="23"/>
                <w:color w:val="auto"/>
              </w:rPr>
            </w:pPr>
          </w:p>
        </w:tc>
        <w:tc>
          <w:tcPr>
            <w:tcW w:w="80" w:type="dxa"/>
            <w:vAlign w:val="bottom"/>
            <w:tcBorders>
              <w:bottom w:val="single" w:sz="8" w:color="BFE4FF"/>
            </w:tcBorders>
            <w:shd w:val="clear" w:color="auto" w:fill="BFE4FF"/>
          </w:tcPr>
          <w:p>
            <w:pPr>
              <w:spacing w:after="0"/>
              <w:rPr>
                <w:sz w:val="23"/>
                <w:szCs w:val="23"/>
                <w:color w:val="auto"/>
              </w:rPr>
            </w:pPr>
          </w:p>
        </w:tc>
        <w:tc>
          <w:tcPr>
            <w:tcW w:w="260" w:type="dxa"/>
            <w:vAlign w:val="bottom"/>
            <w:tcBorders>
              <w:bottom w:val="single" w:sz="8" w:color="BFE4FF"/>
            </w:tcBorders>
            <w:shd w:val="clear" w:color="auto" w:fill="BFE4FF"/>
          </w:tcPr>
          <w:p>
            <w:pPr>
              <w:spacing w:after="0"/>
              <w:rPr>
                <w:sz w:val="23"/>
                <w:szCs w:val="23"/>
                <w:color w:val="auto"/>
              </w:rPr>
            </w:pPr>
          </w:p>
        </w:tc>
        <w:tc>
          <w:tcPr>
            <w:tcW w:w="86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BFE4FF"/>
            </w:tcBorders>
            <w:shd w:val="clear" w:color="auto" w:fill="BFE4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Income (Loss)</w:t>
            </w:r>
          </w:p>
        </w:tc>
        <w:tc>
          <w:tcPr>
            <w:tcW w:w="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31</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54</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76</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BFE4FF"/>
            </w:tcBorders>
          </w:tcPr>
          <w:p>
            <w:pPr>
              <w:spacing w:after="0" w:line="20" w:lineRule="exact"/>
              <w:rPr>
                <w:sz w:val="1"/>
                <w:szCs w:val="1"/>
                <w:color w:val="auto"/>
              </w:rPr>
            </w:pPr>
          </w:p>
        </w:tc>
        <w:tc>
          <w:tcPr>
            <w:tcW w:w="5140" w:type="dxa"/>
            <w:vAlign w:val="bottom"/>
            <w:tcBorders>
              <w:bottom w:val="single" w:sz="8" w:color="BFE4FF"/>
            </w:tcBorders>
          </w:tcPr>
          <w:p>
            <w:pPr>
              <w:spacing w:after="0" w:line="20" w:lineRule="exact"/>
              <w:rPr>
                <w:sz w:val="1"/>
                <w:szCs w:val="1"/>
                <w:color w:val="auto"/>
              </w:rPr>
            </w:pPr>
          </w:p>
        </w:tc>
        <w:tc>
          <w:tcPr>
            <w:tcW w:w="20" w:type="dxa"/>
            <w:vAlign w:val="bottom"/>
            <w:tcBorders>
              <w:bottom w:val="single" w:sz="8" w:color="BFE4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BFE4FF"/>
            </w:tcBorders>
          </w:tcPr>
          <w:p>
            <w:pPr>
              <w:spacing w:after="0" w:line="20" w:lineRule="exact"/>
              <w:rPr>
                <w:sz w:val="1"/>
                <w:szCs w:val="1"/>
                <w:color w:val="auto"/>
              </w:rPr>
            </w:pPr>
          </w:p>
        </w:tc>
        <w:tc>
          <w:tcPr>
            <w:tcW w:w="20" w:type="dxa"/>
            <w:vAlign w:val="bottom"/>
            <w:tcBorders>
              <w:bottom w:val="single" w:sz="8" w:color="BFE4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BFE4FF"/>
            </w:tcBorders>
          </w:tcPr>
          <w:p>
            <w:pPr>
              <w:spacing w:after="0" w:line="20" w:lineRule="exact"/>
              <w:rPr>
                <w:sz w:val="1"/>
                <w:szCs w:val="1"/>
                <w:color w:val="auto"/>
              </w:rPr>
            </w:pPr>
          </w:p>
        </w:tc>
        <w:tc>
          <w:tcPr>
            <w:tcW w:w="20" w:type="dxa"/>
            <w:vAlign w:val="bottom"/>
            <w:tcBorders>
              <w:bottom w:val="single" w:sz="8" w:color="BFE4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BFE4FF"/>
            </w:tcBorders>
          </w:tcPr>
          <w:p>
            <w:pPr>
              <w:spacing w:after="0" w:line="20" w:lineRule="exact"/>
              <w:rPr>
                <w:sz w:val="1"/>
                <w:szCs w:val="1"/>
                <w:color w:val="auto"/>
              </w:rPr>
            </w:pPr>
          </w:p>
        </w:tc>
        <w:tc>
          <w:tcPr>
            <w:tcW w:w="40" w:type="dxa"/>
            <w:vAlign w:val="bottom"/>
            <w:tcBorders>
              <w:bottom w:val="single" w:sz="8" w:color="BFE4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BFE4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shd w:val="clear" w:color="auto" w:fill="BFE4FF"/>
          </w:tcPr>
          <w:p>
            <w:pPr>
              <w:spacing w:after="0"/>
              <w:rPr>
                <w:sz w:val="22"/>
                <w:szCs w:val="22"/>
                <w:color w:val="auto"/>
              </w:rPr>
            </w:pPr>
          </w:p>
        </w:tc>
        <w:tc>
          <w:tcPr>
            <w:tcW w:w="5140" w:type="dxa"/>
            <w:vAlign w:val="bottom"/>
            <w:shd w:val="clear" w:color="auto" w:fill="BFE4FF"/>
          </w:tcPr>
          <w:p>
            <w:pPr>
              <w:spacing w:after="0"/>
              <w:rPr>
                <w:sz w:val="20"/>
                <w:szCs w:val="20"/>
                <w:color w:val="auto"/>
              </w:rPr>
            </w:pPr>
            <w:r>
              <w:rPr>
                <w:rFonts w:ascii="Arial" w:cs="Arial" w:eastAsia="Arial" w:hAnsi="Arial"/>
                <w:sz w:val="18"/>
                <w:szCs w:val="18"/>
                <w:color w:val="auto"/>
              </w:rPr>
              <w:t>Total Assets</w:t>
            </w:r>
          </w:p>
        </w:tc>
        <w:tc>
          <w:tcPr>
            <w:tcW w:w="20" w:type="dxa"/>
            <w:vAlign w:val="bottom"/>
            <w:shd w:val="clear" w:color="auto" w:fill="BFE4FF"/>
          </w:tcPr>
          <w:p>
            <w:pPr>
              <w:spacing w:after="0"/>
              <w:rPr>
                <w:sz w:val="22"/>
                <w:szCs w:val="22"/>
                <w:color w:val="auto"/>
              </w:rPr>
            </w:pPr>
          </w:p>
        </w:tc>
        <w:tc>
          <w:tcPr>
            <w:tcW w:w="1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BFE4FF"/>
          </w:tcPr>
          <w:p>
            <w:pPr>
              <w:jc w:val="right"/>
              <w:ind w:right="32"/>
              <w:spacing w:after="0"/>
              <w:rPr>
                <w:sz w:val="20"/>
                <w:szCs w:val="20"/>
                <w:color w:val="auto"/>
              </w:rPr>
            </w:pPr>
            <w:r>
              <w:rPr>
                <w:rFonts w:ascii="Arial" w:cs="Arial" w:eastAsia="Arial" w:hAnsi="Arial"/>
                <w:sz w:val="18"/>
                <w:szCs w:val="18"/>
                <w:color w:val="auto"/>
              </w:rPr>
              <w:t>2,674</w:t>
            </w:r>
          </w:p>
        </w:tc>
        <w:tc>
          <w:tcPr>
            <w:tcW w:w="40" w:type="dxa"/>
            <w:vAlign w:val="bottom"/>
            <w:tcBorders>
              <w:bottom w:val="single" w:sz="8" w:color="auto"/>
            </w:tcBorders>
            <w:shd w:val="clear" w:color="auto" w:fill="BFE4FF"/>
          </w:tcPr>
          <w:p>
            <w:pPr>
              <w:spacing w:after="0"/>
              <w:rPr>
                <w:sz w:val="22"/>
                <w:szCs w:val="22"/>
                <w:color w:val="auto"/>
              </w:rPr>
            </w:pPr>
          </w:p>
        </w:tc>
        <w:tc>
          <w:tcPr>
            <w:tcW w:w="100" w:type="dxa"/>
            <w:vAlign w:val="bottom"/>
            <w:gridSpan w:val="2"/>
            <w:shd w:val="clear" w:color="auto" w:fill="BFE4FF"/>
          </w:tcPr>
          <w:p>
            <w:pPr>
              <w:spacing w:after="0"/>
              <w:rPr>
                <w:sz w:val="22"/>
                <w:szCs w:val="22"/>
                <w:color w:val="auto"/>
              </w:rPr>
            </w:pPr>
          </w:p>
        </w:tc>
        <w:tc>
          <w:tcPr>
            <w:tcW w:w="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BFE4FF"/>
          </w:tcPr>
          <w:p>
            <w:pPr>
              <w:jc w:val="right"/>
              <w:ind w:right="52"/>
              <w:spacing w:after="0"/>
              <w:rPr>
                <w:sz w:val="20"/>
                <w:szCs w:val="20"/>
                <w:color w:val="auto"/>
              </w:rPr>
            </w:pPr>
            <w:r>
              <w:rPr>
                <w:rFonts w:ascii="Arial" w:cs="Arial" w:eastAsia="Arial" w:hAnsi="Arial"/>
                <w:sz w:val="18"/>
                <w:szCs w:val="18"/>
                <w:color w:val="auto"/>
              </w:rPr>
              <w:t>6,290</w:t>
            </w:r>
          </w:p>
        </w:tc>
        <w:tc>
          <w:tcPr>
            <w:tcW w:w="20" w:type="dxa"/>
            <w:vAlign w:val="bottom"/>
            <w:tcBorders>
              <w:bottom w:val="single" w:sz="8" w:color="auto"/>
            </w:tcBorders>
            <w:shd w:val="clear" w:color="auto" w:fill="BFE4FF"/>
          </w:tcPr>
          <w:p>
            <w:pPr>
              <w:spacing w:after="0"/>
              <w:rPr>
                <w:sz w:val="22"/>
                <w:szCs w:val="22"/>
                <w:color w:val="auto"/>
              </w:rPr>
            </w:pPr>
          </w:p>
        </w:tc>
        <w:tc>
          <w:tcPr>
            <w:tcW w:w="100" w:type="dxa"/>
            <w:vAlign w:val="bottom"/>
            <w:gridSpan w:val="2"/>
            <w:shd w:val="clear" w:color="auto" w:fill="BFE4FF"/>
          </w:tcPr>
          <w:p>
            <w:pPr>
              <w:spacing w:after="0"/>
              <w:rPr>
                <w:sz w:val="22"/>
                <w:szCs w:val="22"/>
                <w:color w:val="auto"/>
              </w:rPr>
            </w:pPr>
          </w:p>
        </w:tc>
        <w:tc>
          <w:tcPr>
            <w:tcW w:w="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BFE4FF"/>
          </w:tcPr>
          <w:p>
            <w:pPr>
              <w:jc w:val="right"/>
              <w:ind w:right="31"/>
              <w:spacing w:after="0"/>
              <w:rPr>
                <w:sz w:val="20"/>
                <w:szCs w:val="20"/>
                <w:color w:val="auto"/>
              </w:rPr>
            </w:pPr>
            <w:r>
              <w:rPr>
                <w:rFonts w:ascii="Arial" w:cs="Arial" w:eastAsia="Arial" w:hAnsi="Arial"/>
                <w:sz w:val="18"/>
                <w:szCs w:val="18"/>
                <w:color w:val="auto"/>
              </w:rPr>
              <w:t>613</w:t>
            </w:r>
          </w:p>
        </w:tc>
        <w:tc>
          <w:tcPr>
            <w:tcW w:w="20" w:type="dxa"/>
            <w:vAlign w:val="bottom"/>
            <w:tcBorders>
              <w:bottom w:val="single" w:sz="8" w:color="auto"/>
            </w:tcBorders>
            <w:shd w:val="clear" w:color="auto" w:fill="BFE4FF"/>
          </w:tcPr>
          <w:p>
            <w:pPr>
              <w:spacing w:after="0"/>
              <w:rPr>
                <w:sz w:val="22"/>
                <w:szCs w:val="22"/>
                <w:color w:val="auto"/>
              </w:rPr>
            </w:pPr>
          </w:p>
        </w:tc>
        <w:tc>
          <w:tcPr>
            <w:tcW w:w="120" w:type="dxa"/>
            <w:vAlign w:val="bottom"/>
            <w:gridSpan w:val="2"/>
            <w:shd w:val="clear" w:color="auto" w:fill="BFE4FF"/>
          </w:tcPr>
          <w:p>
            <w:pPr>
              <w:spacing w:after="0"/>
              <w:rPr>
                <w:sz w:val="22"/>
                <w:szCs w:val="22"/>
                <w:color w:val="auto"/>
              </w:rPr>
            </w:pP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BFE4FF"/>
          </w:tcPr>
          <w:p>
            <w:pPr>
              <w:jc w:val="right"/>
              <w:ind w:right="31"/>
              <w:spacing w:after="0"/>
              <w:rPr>
                <w:sz w:val="20"/>
                <w:szCs w:val="20"/>
                <w:color w:val="auto"/>
              </w:rPr>
            </w:pPr>
            <w:r>
              <w:rPr>
                <w:rFonts w:ascii="Arial" w:cs="Arial" w:eastAsia="Arial" w:hAnsi="Arial"/>
                <w:sz w:val="18"/>
                <w:szCs w:val="18"/>
                <w:color w:val="auto"/>
              </w:rPr>
              <w:t>159</w:t>
            </w:r>
          </w:p>
        </w:tc>
        <w:tc>
          <w:tcPr>
            <w:tcW w:w="40" w:type="dxa"/>
            <w:vAlign w:val="bottom"/>
            <w:tcBorders>
              <w:bottom w:val="single" w:sz="8" w:color="auto"/>
            </w:tcBorders>
            <w:shd w:val="clear" w:color="auto" w:fill="BFE4FF"/>
          </w:tcPr>
          <w:p>
            <w:pPr>
              <w:spacing w:after="0"/>
              <w:rPr>
                <w:sz w:val="22"/>
                <w:szCs w:val="22"/>
                <w:color w:val="auto"/>
              </w:rPr>
            </w:pPr>
          </w:p>
        </w:tc>
        <w:tc>
          <w:tcPr>
            <w:tcW w:w="80" w:type="dxa"/>
            <w:vAlign w:val="bottom"/>
            <w:shd w:val="clear" w:color="auto" w:fill="BFE4FF"/>
          </w:tcPr>
          <w:p>
            <w:pPr>
              <w:spacing w:after="0"/>
              <w:rPr>
                <w:sz w:val="22"/>
                <w:szCs w:val="22"/>
                <w:color w:val="auto"/>
              </w:rPr>
            </w:pPr>
          </w:p>
        </w:tc>
        <w:tc>
          <w:tcPr>
            <w:tcW w:w="260" w:type="dxa"/>
            <w:vAlign w:val="bottom"/>
            <w:tcBorders>
              <w:bottom w:val="single" w:sz="8" w:color="auto"/>
            </w:tcBorders>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BFE4FF"/>
          </w:tcPr>
          <w:p>
            <w:pPr>
              <w:jc w:val="right"/>
              <w:ind w:right="51"/>
              <w:spacing w:after="0"/>
              <w:rPr>
                <w:sz w:val="20"/>
                <w:szCs w:val="20"/>
                <w:color w:val="auto"/>
              </w:rPr>
            </w:pPr>
            <w:r>
              <w:rPr>
                <w:rFonts w:ascii="Arial" w:cs="Arial" w:eastAsia="Arial" w:hAnsi="Arial"/>
                <w:sz w:val="18"/>
                <w:szCs w:val="18"/>
                <w:color w:val="auto"/>
              </w:rPr>
              <w:t>9,736</w:t>
            </w:r>
          </w:p>
        </w:tc>
        <w:tc>
          <w:tcPr>
            <w:tcW w:w="20" w:type="dxa"/>
            <w:vAlign w:val="bottom"/>
            <w:tcBorders>
              <w:bottom w:val="single" w:sz="8" w:color="auto"/>
            </w:tcBorders>
            <w:shd w:val="clear" w:color="auto" w:fill="BFE4FF"/>
          </w:tcPr>
          <w:p>
            <w:pPr>
              <w:spacing w:after="0"/>
              <w:rPr>
                <w:sz w:val="22"/>
                <w:szCs w:val="22"/>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13"/>
          </w:tcPr>
          <w:p>
            <w:pPr>
              <w:jc w:val="center"/>
              <w:ind w:right="280"/>
              <w:spacing w:after="0"/>
              <w:rPr>
                <w:sz w:val="20"/>
                <w:szCs w:val="20"/>
                <w:color w:val="auto"/>
              </w:rPr>
            </w:pPr>
            <w:r>
              <w:rPr>
                <w:rFonts w:ascii="Arial" w:cs="Arial" w:eastAsia="Arial" w:hAnsi="Arial"/>
                <w:sz w:val="14"/>
                <w:szCs w:val="14"/>
                <w:b w:val="1"/>
                <w:bCs w:val="1"/>
                <w:color w:val="auto"/>
                <w:w w:val="91"/>
              </w:rPr>
              <w:t>Three months ended June 30, 2019</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Conventional</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1"/>
              </w:rPr>
              <w:t>Renewables</w:t>
            </w:r>
          </w:p>
        </w:tc>
        <w:tc>
          <w:tcPr>
            <w:tcW w:w="2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center"/>
              <w:ind w:right="131"/>
              <w:spacing w:after="0"/>
              <w:rPr>
                <w:sz w:val="20"/>
                <w:szCs w:val="20"/>
                <w:color w:val="auto"/>
              </w:rPr>
            </w:pPr>
            <w:r>
              <w:rPr>
                <w:rFonts w:ascii="Arial" w:cs="Arial" w:eastAsia="Arial" w:hAnsi="Arial"/>
                <w:sz w:val="14"/>
                <w:szCs w:val="14"/>
                <w:b w:val="1"/>
                <w:bCs w:val="1"/>
                <w:color w:val="auto"/>
                <w:w w:val="99"/>
              </w:rPr>
              <w:t>Thermal</w:t>
            </w:r>
          </w:p>
        </w:tc>
        <w:tc>
          <w:tcPr>
            <w:tcW w:w="2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8"/>
              </w:rPr>
              <w:t>Corporate</w:t>
            </w:r>
          </w:p>
        </w:tc>
        <w:tc>
          <w:tcPr>
            <w:tcW w:w="120" w:type="dxa"/>
            <w:vAlign w:val="bottom"/>
            <w:gridSpan w:val="2"/>
            <w:vMerge w:val="restart"/>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40" w:type="dxa"/>
            <w:vAlign w:val="bottom"/>
            <w:tcBorders>
              <w:bottom w:val="single" w:sz="8" w:color="BFE4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Generation</w:t>
            </w:r>
          </w:p>
        </w:tc>
        <w:tc>
          <w:tcPr>
            <w:tcW w:w="40" w:type="dxa"/>
            <w:vAlign w:val="bottom"/>
            <w:tcBorders>
              <w:bottom w:val="single" w:sz="8" w:color="BFE4FF"/>
            </w:tcBorders>
          </w:tcPr>
          <w:p>
            <w:pPr>
              <w:spacing w:after="0"/>
              <w:rPr>
                <w:sz w:val="16"/>
                <w:szCs w:val="16"/>
                <w:color w:val="auto"/>
              </w:rPr>
            </w:pPr>
          </w:p>
        </w:tc>
        <w:tc>
          <w:tcPr>
            <w:tcW w:w="80" w:type="dxa"/>
            <w:vAlign w:val="bottom"/>
            <w:tcBorders>
              <w:bottom w:val="single" w:sz="8" w:color="BFE4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BFE4FF"/>
            </w:tcBorders>
            <w:vMerge w:val="continue"/>
          </w:tcPr>
          <w:p>
            <w:pPr>
              <w:spacing w:after="0"/>
              <w:rPr>
                <w:sz w:val="16"/>
                <w:szCs w:val="16"/>
                <w:color w:val="auto"/>
              </w:rPr>
            </w:pPr>
          </w:p>
        </w:tc>
        <w:tc>
          <w:tcPr>
            <w:tcW w:w="80" w:type="dxa"/>
            <w:vAlign w:val="bottom"/>
            <w:tcBorders>
              <w:bottom w:val="single" w:sz="8" w:color="BFE4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BFE4FF"/>
            </w:tcBorders>
            <w:vMerge w:val="continue"/>
          </w:tcPr>
          <w:p>
            <w:pPr>
              <w:spacing w:after="0"/>
              <w:rPr>
                <w:sz w:val="16"/>
                <w:szCs w:val="16"/>
                <w:color w:val="auto"/>
              </w:rPr>
            </w:pPr>
          </w:p>
        </w:tc>
        <w:tc>
          <w:tcPr>
            <w:tcW w:w="80" w:type="dxa"/>
            <w:vAlign w:val="bottom"/>
            <w:tcBorders>
              <w:bottom w:val="single" w:sz="8" w:color="BFE4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BFE4FF"/>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Operating revenues</w:t>
            </w:r>
          </w:p>
        </w:tc>
        <w:tc>
          <w:tcPr>
            <w:tcW w:w="140" w:type="dxa"/>
            <w:vAlign w:val="bottom"/>
            <w:tcBorders>
              <w:bottom w:val="single" w:sz="8" w:color="BFE4FF"/>
            </w:tcBorders>
            <w:gridSpan w:val="2"/>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BFE4FF"/>
            </w:tcBorders>
            <w:shd w:val="clear" w:color="auto" w:fill="BFE4FF"/>
          </w:tcPr>
          <w:p>
            <w:pPr>
              <w:jc w:val="right"/>
              <w:ind w:right="52"/>
              <w:spacing w:after="0"/>
              <w:rPr>
                <w:sz w:val="20"/>
                <w:szCs w:val="20"/>
                <w:color w:val="auto"/>
              </w:rPr>
            </w:pPr>
            <w:r>
              <w:rPr>
                <w:rFonts w:ascii="Arial" w:cs="Arial" w:eastAsia="Arial" w:hAnsi="Arial"/>
                <w:sz w:val="18"/>
                <w:szCs w:val="18"/>
                <w:color w:val="auto"/>
              </w:rPr>
              <w:t>84</w:t>
            </w:r>
          </w:p>
        </w:tc>
        <w:tc>
          <w:tcPr>
            <w:tcW w:w="4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gridSpan w:val="3"/>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BFE4FF"/>
            </w:tcBorders>
            <w:shd w:val="clear" w:color="auto" w:fill="BFE4FF"/>
          </w:tcPr>
          <w:p>
            <w:pPr>
              <w:jc w:val="right"/>
              <w:ind w:right="72"/>
              <w:spacing w:after="0"/>
              <w:rPr>
                <w:sz w:val="20"/>
                <w:szCs w:val="20"/>
                <w:color w:val="auto"/>
              </w:rPr>
            </w:pPr>
            <w:r>
              <w:rPr>
                <w:rFonts w:ascii="Arial" w:cs="Arial" w:eastAsia="Arial" w:hAnsi="Arial"/>
                <w:sz w:val="18"/>
                <w:szCs w:val="18"/>
                <w:color w:val="auto"/>
              </w:rPr>
              <w:t>153</w:t>
            </w:r>
          </w:p>
        </w:tc>
        <w:tc>
          <w:tcPr>
            <w:tcW w:w="2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gridSpan w:val="3"/>
            <w:shd w:val="clear" w:color="auto" w:fill="BFE4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BFE4FF"/>
            </w:tcBorders>
            <w:shd w:val="clear" w:color="auto" w:fill="BFE4FF"/>
          </w:tcPr>
          <w:p>
            <w:pPr>
              <w:jc w:val="right"/>
              <w:ind w:right="71"/>
              <w:spacing w:after="0"/>
              <w:rPr>
                <w:sz w:val="20"/>
                <w:szCs w:val="20"/>
                <w:color w:val="auto"/>
              </w:rPr>
            </w:pPr>
            <w:r>
              <w:rPr>
                <w:rFonts w:ascii="Arial" w:cs="Arial" w:eastAsia="Arial" w:hAnsi="Arial"/>
                <w:sz w:val="18"/>
                <w:szCs w:val="18"/>
                <w:color w:val="auto"/>
              </w:rPr>
              <w:t>47</w:t>
            </w:r>
          </w:p>
        </w:tc>
        <w:tc>
          <w:tcPr>
            <w:tcW w:w="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gridSpan w:val="3"/>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BFE4FF"/>
            </w:tcBorders>
            <w:gridSpan w:val="3"/>
            <w:shd w:val="clear" w:color="auto" w:fill="BFE4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Cost of operations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BFE4FF"/>
            </w:tcBorders>
            <w:shd w:val="clear" w:color="auto" w:fill="BFE4FF"/>
          </w:tcPr>
          <w:p>
            <w:pPr>
              <w:ind w:left="160"/>
              <w:spacing w:after="0"/>
              <w:rPr>
                <w:sz w:val="20"/>
                <w:szCs w:val="20"/>
                <w:color w:val="auto"/>
              </w:rPr>
            </w:pPr>
            <w:r>
              <w:rPr>
                <w:rFonts w:ascii="Arial" w:cs="Arial" w:eastAsia="Arial" w:hAnsi="Arial"/>
                <w:sz w:val="18"/>
                <w:szCs w:val="18"/>
                <w:color w:val="auto"/>
              </w:rPr>
              <w:t>Depreciation, amortization and accretion</w:t>
            </w:r>
          </w:p>
        </w:tc>
        <w:tc>
          <w:tcPr>
            <w:tcW w:w="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52"/>
              <w:spacing w:after="0"/>
              <w:rPr>
                <w:sz w:val="20"/>
                <w:szCs w:val="20"/>
                <w:color w:val="auto"/>
              </w:rPr>
            </w:pPr>
            <w:r>
              <w:rPr>
                <w:rFonts w:ascii="Arial" w:cs="Arial" w:eastAsia="Arial" w:hAnsi="Arial"/>
                <w:sz w:val="18"/>
                <w:szCs w:val="18"/>
                <w:color w:val="auto"/>
              </w:rPr>
              <w:t>25</w:t>
            </w:r>
          </w:p>
        </w:tc>
        <w:tc>
          <w:tcPr>
            <w:tcW w:w="40" w:type="dxa"/>
            <w:vAlign w:val="bottom"/>
            <w:tcBorders>
              <w:bottom w:val="single" w:sz="8" w:color="BFE4FF"/>
            </w:tcBorders>
            <w:shd w:val="clear" w:color="auto" w:fill="BFE4FF"/>
          </w:tcPr>
          <w:p>
            <w:pPr>
              <w:spacing w:after="0"/>
              <w:rPr>
                <w:sz w:val="21"/>
                <w:szCs w:val="21"/>
                <w:color w:val="auto"/>
              </w:rPr>
            </w:pPr>
          </w:p>
        </w:tc>
        <w:tc>
          <w:tcPr>
            <w:tcW w:w="80" w:type="dxa"/>
            <w:vAlign w:val="bottom"/>
            <w:tcBorders>
              <w:bottom w:val="single" w:sz="8" w:color="BFE4FF"/>
            </w:tcBorders>
            <w:shd w:val="clear" w:color="auto" w:fill="BFE4FF"/>
          </w:tcPr>
          <w:p>
            <w:pPr>
              <w:spacing w:after="0"/>
              <w:rPr>
                <w:sz w:val="21"/>
                <w:szCs w:val="21"/>
                <w:color w:val="auto"/>
              </w:rPr>
            </w:pPr>
          </w:p>
        </w:tc>
        <w:tc>
          <w:tcPr>
            <w:tcW w:w="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ind w:right="72"/>
              <w:spacing w:after="0"/>
              <w:rPr>
                <w:sz w:val="20"/>
                <w:szCs w:val="20"/>
                <w:color w:val="auto"/>
              </w:rPr>
            </w:pPr>
            <w:r>
              <w:rPr>
                <w:rFonts w:ascii="Arial" w:cs="Arial" w:eastAsia="Arial" w:hAnsi="Arial"/>
                <w:sz w:val="18"/>
                <w:szCs w:val="18"/>
                <w:color w:val="auto"/>
              </w:rPr>
              <w:t>58</w:t>
            </w:r>
          </w:p>
        </w:tc>
        <w:tc>
          <w:tcPr>
            <w:tcW w:w="20" w:type="dxa"/>
            <w:vAlign w:val="bottom"/>
            <w:tcBorders>
              <w:bottom w:val="single" w:sz="8" w:color="BFE4FF"/>
            </w:tcBorders>
            <w:shd w:val="clear" w:color="auto" w:fill="BFE4FF"/>
          </w:tcPr>
          <w:p>
            <w:pPr>
              <w:spacing w:after="0"/>
              <w:rPr>
                <w:sz w:val="21"/>
                <w:szCs w:val="21"/>
                <w:color w:val="auto"/>
              </w:rPr>
            </w:pPr>
          </w:p>
        </w:tc>
        <w:tc>
          <w:tcPr>
            <w:tcW w:w="80" w:type="dxa"/>
            <w:vAlign w:val="bottom"/>
            <w:tcBorders>
              <w:bottom w:val="single" w:sz="8" w:color="BFE4FF"/>
            </w:tcBorders>
            <w:shd w:val="clear" w:color="auto" w:fill="BFE4FF"/>
          </w:tcPr>
          <w:p>
            <w:pPr>
              <w:spacing w:after="0"/>
              <w:rPr>
                <w:sz w:val="21"/>
                <w:szCs w:val="21"/>
                <w:color w:val="auto"/>
              </w:rPr>
            </w:pPr>
          </w:p>
        </w:tc>
        <w:tc>
          <w:tcPr>
            <w:tcW w:w="2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jc w:val="right"/>
              <w:ind w:right="71"/>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BFE4FF"/>
            </w:tcBorders>
            <w:shd w:val="clear" w:color="auto" w:fill="BFE4FF"/>
          </w:tcPr>
          <w:p>
            <w:pPr>
              <w:spacing w:after="0"/>
              <w:rPr>
                <w:sz w:val="21"/>
                <w:szCs w:val="21"/>
                <w:color w:val="auto"/>
              </w:rPr>
            </w:pPr>
          </w:p>
        </w:tc>
        <w:tc>
          <w:tcPr>
            <w:tcW w:w="80" w:type="dxa"/>
            <w:vAlign w:val="bottom"/>
            <w:tcBorders>
              <w:bottom w:val="single" w:sz="8" w:color="BFE4FF"/>
            </w:tcBorders>
            <w:shd w:val="clear" w:color="auto" w:fill="BFE4FF"/>
          </w:tcPr>
          <w:p>
            <w:pPr>
              <w:spacing w:after="0"/>
              <w:rPr>
                <w:sz w:val="21"/>
                <w:szCs w:val="21"/>
                <w:color w:val="auto"/>
              </w:rPr>
            </w:pPr>
          </w:p>
        </w:tc>
        <w:tc>
          <w:tcPr>
            <w:tcW w:w="4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gridSpan w:val="3"/>
            <w:shd w:val="clear" w:color="auto" w:fill="BFE4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Impairment losses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BFE4FF"/>
            </w:tcBorders>
            <w:shd w:val="clear" w:color="auto" w:fill="BFE4FF"/>
          </w:tcPr>
          <w:p>
            <w:pPr>
              <w:ind w:left="160"/>
              <w:spacing w:after="0"/>
              <w:rPr>
                <w:sz w:val="20"/>
                <w:szCs w:val="20"/>
                <w:color w:val="auto"/>
              </w:rPr>
            </w:pPr>
            <w:r>
              <w:rPr>
                <w:rFonts w:ascii="Arial" w:cs="Arial" w:eastAsia="Arial" w:hAnsi="Arial"/>
                <w:sz w:val="18"/>
                <w:szCs w:val="18"/>
                <w:color w:val="auto"/>
              </w:rPr>
              <w:t>General and administrative</w:t>
            </w:r>
          </w:p>
        </w:tc>
        <w:tc>
          <w:tcPr>
            <w:tcW w:w="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BFE4FF"/>
            </w:tcBorders>
            <w:shd w:val="clear" w:color="auto" w:fill="BFE4FF"/>
          </w:tcPr>
          <w:p>
            <w:pPr>
              <w:spacing w:after="0"/>
              <w:rPr>
                <w:sz w:val="21"/>
                <w:szCs w:val="21"/>
                <w:color w:val="auto"/>
              </w:rPr>
            </w:pPr>
          </w:p>
        </w:tc>
        <w:tc>
          <w:tcPr>
            <w:tcW w:w="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BFE4FF"/>
            </w:tcBorders>
            <w:shd w:val="clear" w:color="auto" w:fill="BFE4FF"/>
          </w:tcPr>
          <w:p>
            <w:pPr>
              <w:spacing w:after="0"/>
              <w:rPr>
                <w:sz w:val="21"/>
                <w:szCs w:val="21"/>
                <w:color w:val="auto"/>
              </w:rPr>
            </w:pPr>
          </w:p>
        </w:tc>
        <w:tc>
          <w:tcPr>
            <w:tcW w:w="2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BFE4FF"/>
            </w:tcBorders>
            <w:shd w:val="clear" w:color="auto" w:fill="BFE4FF"/>
          </w:tcPr>
          <w:p>
            <w:pPr>
              <w:spacing w:after="0"/>
              <w:rPr>
                <w:sz w:val="21"/>
                <w:szCs w:val="21"/>
                <w:color w:val="auto"/>
              </w:rPr>
            </w:pPr>
          </w:p>
        </w:tc>
        <w:tc>
          <w:tcPr>
            <w:tcW w:w="4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BFE4FF"/>
            </w:tcBorders>
            <w:shd w:val="clear" w:color="auto" w:fill="BFE4FF"/>
          </w:tcPr>
          <w:p>
            <w:pPr>
              <w:spacing w:after="0"/>
              <w:rPr>
                <w:sz w:val="21"/>
                <w:szCs w:val="21"/>
                <w:color w:val="auto"/>
              </w:rPr>
            </w:pPr>
          </w:p>
        </w:tc>
        <w:tc>
          <w:tcPr>
            <w:tcW w:w="8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Acquisition-related transaction and integration costs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tcBorders>
              <w:bottom w:val="single" w:sz="8" w:color="BFE4FF"/>
            </w:tcBorders>
            <w:shd w:val="clear" w:color="auto" w:fill="BFE4FF"/>
          </w:tcPr>
          <w:p>
            <w:pPr>
              <w:ind w:left="160"/>
              <w:spacing w:after="0"/>
              <w:rPr>
                <w:sz w:val="20"/>
                <w:szCs w:val="20"/>
                <w:color w:val="auto"/>
              </w:rPr>
            </w:pPr>
            <w:r>
              <w:rPr>
                <w:rFonts w:ascii="Arial" w:cs="Arial" w:eastAsia="Arial" w:hAnsi="Arial"/>
                <w:sz w:val="18"/>
                <w:szCs w:val="18"/>
                <w:color w:val="auto"/>
              </w:rPr>
              <w:t>Development costs</w:t>
            </w:r>
          </w:p>
        </w:tc>
        <w:tc>
          <w:tcPr>
            <w:tcW w:w="20" w:type="dxa"/>
            <w:vAlign w:val="bottom"/>
            <w:tcBorders>
              <w:bottom w:val="single" w:sz="8" w:color="BFE4FF"/>
            </w:tcBorders>
            <w:shd w:val="clear" w:color="auto" w:fill="BFE4FF"/>
          </w:tcPr>
          <w:p>
            <w:pPr>
              <w:spacing w:after="0"/>
              <w:rPr>
                <w:sz w:val="23"/>
                <w:szCs w:val="23"/>
                <w:color w:val="auto"/>
              </w:rPr>
            </w:pPr>
          </w:p>
        </w:tc>
        <w:tc>
          <w:tcPr>
            <w:tcW w:w="120" w:type="dxa"/>
            <w:vAlign w:val="bottom"/>
            <w:tcBorders>
              <w:bottom w:val="single" w:sz="8" w:color="BFE4FF"/>
            </w:tcBorders>
            <w:shd w:val="clear" w:color="auto" w:fill="BFE4FF"/>
          </w:tcPr>
          <w:p>
            <w:pPr>
              <w:spacing w:after="0"/>
              <w:rPr>
                <w:sz w:val="23"/>
                <w:szCs w:val="23"/>
                <w:color w:val="auto"/>
              </w:rPr>
            </w:pPr>
          </w:p>
        </w:tc>
        <w:tc>
          <w:tcPr>
            <w:tcW w:w="1020" w:type="dxa"/>
            <w:vAlign w:val="bottom"/>
            <w:tcBorders>
              <w:bottom w:val="single" w:sz="8" w:color="BFE4FF"/>
            </w:tcBorders>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BFE4FF"/>
            </w:tcBorders>
            <w:shd w:val="clear" w:color="auto" w:fill="BFE4FF"/>
          </w:tcPr>
          <w:p>
            <w:pPr>
              <w:spacing w:after="0"/>
              <w:rPr>
                <w:sz w:val="23"/>
                <w:szCs w:val="23"/>
                <w:color w:val="auto"/>
              </w:rPr>
            </w:pPr>
          </w:p>
        </w:tc>
        <w:tc>
          <w:tcPr>
            <w:tcW w:w="20" w:type="dxa"/>
            <w:vAlign w:val="bottom"/>
            <w:tcBorders>
              <w:bottom w:val="single" w:sz="8" w:color="BFE4FF"/>
            </w:tcBorders>
            <w:shd w:val="clear" w:color="auto" w:fill="BFE4FF"/>
          </w:tcPr>
          <w:p>
            <w:pPr>
              <w:spacing w:after="0"/>
              <w:rPr>
                <w:sz w:val="23"/>
                <w:szCs w:val="23"/>
                <w:color w:val="auto"/>
              </w:rPr>
            </w:pPr>
          </w:p>
        </w:tc>
        <w:tc>
          <w:tcPr>
            <w:tcW w:w="140" w:type="dxa"/>
            <w:vAlign w:val="bottom"/>
            <w:tcBorders>
              <w:bottom w:val="single" w:sz="8" w:color="BFE4FF"/>
            </w:tcBorders>
            <w:shd w:val="clear" w:color="auto" w:fill="BFE4FF"/>
          </w:tcPr>
          <w:p>
            <w:pPr>
              <w:spacing w:after="0"/>
              <w:rPr>
                <w:sz w:val="23"/>
                <w:szCs w:val="23"/>
                <w:color w:val="auto"/>
              </w:rPr>
            </w:pPr>
          </w:p>
        </w:tc>
        <w:tc>
          <w:tcPr>
            <w:tcW w:w="980" w:type="dxa"/>
            <w:vAlign w:val="bottom"/>
            <w:tcBorders>
              <w:bottom w:val="single" w:sz="8" w:color="BFE4FF"/>
            </w:tcBorders>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BFE4FF"/>
            </w:tcBorders>
            <w:shd w:val="clear" w:color="auto" w:fill="BFE4FF"/>
          </w:tcPr>
          <w:p>
            <w:pPr>
              <w:spacing w:after="0"/>
              <w:rPr>
                <w:sz w:val="23"/>
                <w:szCs w:val="23"/>
                <w:color w:val="auto"/>
              </w:rPr>
            </w:pPr>
          </w:p>
        </w:tc>
        <w:tc>
          <w:tcPr>
            <w:tcW w:w="20" w:type="dxa"/>
            <w:vAlign w:val="bottom"/>
            <w:tcBorders>
              <w:bottom w:val="single" w:sz="8" w:color="BFE4FF"/>
            </w:tcBorders>
            <w:shd w:val="clear" w:color="auto" w:fill="BFE4FF"/>
          </w:tcPr>
          <w:p>
            <w:pPr>
              <w:spacing w:after="0"/>
              <w:rPr>
                <w:sz w:val="23"/>
                <w:szCs w:val="23"/>
                <w:color w:val="auto"/>
              </w:rPr>
            </w:pPr>
          </w:p>
        </w:tc>
        <w:tc>
          <w:tcPr>
            <w:tcW w:w="200" w:type="dxa"/>
            <w:vAlign w:val="bottom"/>
            <w:tcBorders>
              <w:bottom w:val="single" w:sz="8" w:color="BFE4FF"/>
            </w:tcBorders>
            <w:shd w:val="clear" w:color="auto" w:fill="BFE4FF"/>
          </w:tcPr>
          <w:p>
            <w:pPr>
              <w:spacing w:after="0"/>
              <w:rPr>
                <w:sz w:val="23"/>
                <w:szCs w:val="23"/>
                <w:color w:val="auto"/>
              </w:rPr>
            </w:pPr>
          </w:p>
        </w:tc>
        <w:tc>
          <w:tcPr>
            <w:tcW w:w="920" w:type="dxa"/>
            <w:vAlign w:val="bottom"/>
            <w:tcBorders>
              <w:bottom w:val="single" w:sz="8" w:color="BFE4FF"/>
            </w:tcBorders>
            <w:shd w:val="clear" w:color="auto" w:fill="BFE4FF"/>
          </w:tcPr>
          <w:p>
            <w:pPr>
              <w:jc w:val="right"/>
              <w:ind w:right="71"/>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BFE4FF"/>
            </w:tcBorders>
            <w:shd w:val="clear" w:color="auto" w:fill="BFE4FF"/>
          </w:tcPr>
          <w:p>
            <w:pPr>
              <w:spacing w:after="0"/>
              <w:rPr>
                <w:sz w:val="23"/>
                <w:szCs w:val="23"/>
                <w:color w:val="auto"/>
              </w:rPr>
            </w:pPr>
          </w:p>
        </w:tc>
        <w:tc>
          <w:tcPr>
            <w:tcW w:w="80" w:type="dxa"/>
            <w:vAlign w:val="bottom"/>
            <w:tcBorders>
              <w:bottom w:val="single" w:sz="8" w:color="BFE4FF"/>
            </w:tcBorders>
            <w:shd w:val="clear" w:color="auto" w:fill="BFE4FF"/>
          </w:tcPr>
          <w:p>
            <w:pPr>
              <w:spacing w:after="0"/>
              <w:rPr>
                <w:sz w:val="23"/>
                <w:szCs w:val="23"/>
                <w:color w:val="auto"/>
              </w:rPr>
            </w:pPr>
          </w:p>
        </w:tc>
        <w:tc>
          <w:tcPr>
            <w:tcW w:w="40" w:type="dxa"/>
            <w:vAlign w:val="bottom"/>
            <w:tcBorders>
              <w:bottom w:val="single" w:sz="8" w:color="BFE4FF"/>
            </w:tcBorders>
            <w:shd w:val="clear" w:color="auto" w:fill="BFE4FF"/>
          </w:tcPr>
          <w:p>
            <w:pPr>
              <w:spacing w:after="0"/>
              <w:rPr>
                <w:sz w:val="23"/>
                <w:szCs w:val="23"/>
                <w:color w:val="auto"/>
              </w:rPr>
            </w:pPr>
          </w:p>
        </w:tc>
        <w:tc>
          <w:tcPr>
            <w:tcW w:w="160" w:type="dxa"/>
            <w:vAlign w:val="bottom"/>
            <w:tcBorders>
              <w:bottom w:val="single" w:sz="8" w:color="BFE4FF"/>
            </w:tcBorders>
            <w:shd w:val="clear" w:color="auto" w:fill="BFE4FF"/>
          </w:tcPr>
          <w:p>
            <w:pPr>
              <w:spacing w:after="0"/>
              <w:rPr>
                <w:sz w:val="23"/>
                <w:szCs w:val="23"/>
                <w:color w:val="auto"/>
              </w:rPr>
            </w:pPr>
          </w:p>
        </w:tc>
        <w:tc>
          <w:tcPr>
            <w:tcW w:w="1040" w:type="dxa"/>
            <w:vAlign w:val="bottom"/>
            <w:tcBorders>
              <w:bottom w:val="single" w:sz="8" w:color="BFE4FF"/>
            </w:tcBorders>
            <w:gridSpan w:val="3"/>
            <w:shd w:val="clear" w:color="auto" w:fill="BFE4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BFE4FF"/>
            </w:tcBorders>
            <w:shd w:val="clear" w:color="auto" w:fill="BFE4FF"/>
          </w:tcPr>
          <w:p>
            <w:pPr>
              <w:spacing w:after="0"/>
              <w:rPr>
                <w:sz w:val="23"/>
                <w:szCs w:val="23"/>
                <w:color w:val="auto"/>
              </w:rPr>
            </w:pPr>
          </w:p>
        </w:tc>
        <w:tc>
          <w:tcPr>
            <w:tcW w:w="86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BFE4FF"/>
            </w:tcBorders>
            <w:shd w:val="clear" w:color="auto" w:fill="BFE4FF"/>
          </w:tcPr>
          <w:p>
            <w:pPr>
              <w:ind w:left="160"/>
              <w:spacing w:after="0"/>
              <w:rPr>
                <w:sz w:val="20"/>
                <w:szCs w:val="20"/>
                <w:color w:val="auto"/>
              </w:rPr>
            </w:pPr>
            <w:r>
              <w:rPr>
                <w:rFonts w:ascii="Arial" w:cs="Arial" w:eastAsia="Arial" w:hAnsi="Arial"/>
                <w:sz w:val="18"/>
                <w:szCs w:val="18"/>
                <w:color w:val="auto"/>
              </w:rPr>
              <w:t>Equity in earnings of unconsolidated affiliates</w:t>
            </w:r>
          </w:p>
        </w:tc>
        <w:tc>
          <w:tcPr>
            <w:tcW w:w="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52"/>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BFE4FF"/>
            </w:tcBorders>
            <w:shd w:val="clear" w:color="auto" w:fill="BFE4FF"/>
          </w:tcPr>
          <w:p>
            <w:pPr>
              <w:spacing w:after="0"/>
              <w:rPr>
                <w:sz w:val="21"/>
                <w:szCs w:val="21"/>
                <w:color w:val="auto"/>
              </w:rPr>
            </w:pPr>
          </w:p>
        </w:tc>
        <w:tc>
          <w:tcPr>
            <w:tcW w:w="80" w:type="dxa"/>
            <w:vAlign w:val="bottom"/>
            <w:tcBorders>
              <w:bottom w:val="single" w:sz="8" w:color="BFE4FF"/>
            </w:tcBorders>
            <w:shd w:val="clear" w:color="auto" w:fill="BFE4FF"/>
          </w:tcPr>
          <w:p>
            <w:pPr>
              <w:spacing w:after="0"/>
              <w:rPr>
                <w:sz w:val="21"/>
                <w:szCs w:val="21"/>
                <w:color w:val="auto"/>
              </w:rPr>
            </w:pPr>
          </w:p>
        </w:tc>
        <w:tc>
          <w:tcPr>
            <w:tcW w:w="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ind w:right="72"/>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BFE4FF"/>
            </w:tcBorders>
            <w:shd w:val="clear" w:color="auto" w:fill="BFE4FF"/>
          </w:tcPr>
          <w:p>
            <w:pPr>
              <w:spacing w:after="0"/>
              <w:rPr>
                <w:sz w:val="21"/>
                <w:szCs w:val="21"/>
                <w:color w:val="auto"/>
              </w:rPr>
            </w:pPr>
          </w:p>
        </w:tc>
        <w:tc>
          <w:tcPr>
            <w:tcW w:w="80" w:type="dxa"/>
            <w:vAlign w:val="bottom"/>
            <w:tcBorders>
              <w:bottom w:val="single" w:sz="8" w:color="BFE4FF"/>
            </w:tcBorders>
            <w:shd w:val="clear" w:color="auto" w:fill="BFE4FF"/>
          </w:tcPr>
          <w:p>
            <w:pPr>
              <w:spacing w:after="0"/>
              <w:rPr>
                <w:sz w:val="21"/>
                <w:szCs w:val="21"/>
                <w:color w:val="auto"/>
              </w:rPr>
            </w:pPr>
          </w:p>
        </w:tc>
        <w:tc>
          <w:tcPr>
            <w:tcW w:w="2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BFE4FF"/>
            </w:tcBorders>
            <w:shd w:val="clear" w:color="auto" w:fill="BFE4FF"/>
          </w:tcPr>
          <w:p>
            <w:pPr>
              <w:spacing w:after="0"/>
              <w:rPr>
                <w:sz w:val="21"/>
                <w:szCs w:val="21"/>
                <w:color w:val="auto"/>
              </w:rPr>
            </w:pPr>
          </w:p>
        </w:tc>
        <w:tc>
          <w:tcPr>
            <w:tcW w:w="4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gridSpan w:val="3"/>
            <w:shd w:val="clear" w:color="auto" w:fill="BFE4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Other income, net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BFE4FF"/>
            </w:tcBorders>
            <w:shd w:val="clear" w:color="auto" w:fill="BFE4FF"/>
          </w:tcPr>
          <w:p>
            <w:pPr>
              <w:ind w:left="160"/>
              <w:spacing w:after="0"/>
              <w:rPr>
                <w:sz w:val="20"/>
                <w:szCs w:val="20"/>
                <w:color w:val="auto"/>
              </w:rPr>
            </w:pPr>
            <w:r>
              <w:rPr>
                <w:rFonts w:ascii="Arial" w:cs="Arial" w:eastAsia="Arial" w:hAnsi="Arial"/>
                <w:sz w:val="18"/>
                <w:szCs w:val="18"/>
                <w:color w:val="auto"/>
              </w:rPr>
              <w:t>Loss on debt extinguishment</w:t>
            </w:r>
          </w:p>
        </w:tc>
        <w:tc>
          <w:tcPr>
            <w:tcW w:w="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BFE4FF"/>
            </w:tcBorders>
            <w:shd w:val="clear" w:color="auto" w:fill="BFE4FF"/>
          </w:tcPr>
          <w:p>
            <w:pPr>
              <w:spacing w:after="0"/>
              <w:rPr>
                <w:sz w:val="21"/>
                <w:szCs w:val="21"/>
                <w:color w:val="auto"/>
              </w:rPr>
            </w:pPr>
          </w:p>
        </w:tc>
        <w:tc>
          <w:tcPr>
            <w:tcW w:w="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BFE4FF"/>
            </w:tcBorders>
            <w:shd w:val="clear" w:color="auto" w:fill="BFE4FF"/>
          </w:tcPr>
          <w:p>
            <w:pPr>
              <w:spacing w:after="0"/>
              <w:rPr>
                <w:sz w:val="21"/>
                <w:szCs w:val="21"/>
                <w:color w:val="auto"/>
              </w:rPr>
            </w:pPr>
          </w:p>
        </w:tc>
        <w:tc>
          <w:tcPr>
            <w:tcW w:w="80" w:type="dxa"/>
            <w:vAlign w:val="bottom"/>
            <w:tcBorders>
              <w:bottom w:val="single" w:sz="8" w:color="BFE4FF"/>
            </w:tcBorders>
            <w:shd w:val="clear" w:color="auto" w:fill="BFE4FF"/>
          </w:tcPr>
          <w:p>
            <w:pPr>
              <w:spacing w:after="0"/>
              <w:rPr>
                <w:sz w:val="21"/>
                <w:szCs w:val="21"/>
                <w:color w:val="auto"/>
              </w:rPr>
            </w:pPr>
          </w:p>
        </w:tc>
        <w:tc>
          <w:tcPr>
            <w:tcW w:w="2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BFE4FF"/>
            </w:tcBorders>
            <w:shd w:val="clear" w:color="auto" w:fill="BFE4FF"/>
          </w:tcPr>
          <w:p>
            <w:pPr>
              <w:spacing w:after="0"/>
              <w:rPr>
                <w:sz w:val="21"/>
                <w:szCs w:val="21"/>
                <w:color w:val="auto"/>
              </w:rPr>
            </w:pPr>
          </w:p>
        </w:tc>
        <w:tc>
          <w:tcPr>
            <w:tcW w:w="4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gridSpan w:val="3"/>
            <w:shd w:val="clear" w:color="auto" w:fill="BFE4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Borders>
              <w:bottom w:val="single" w:sz="8" w:color="BFE4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BFE4FF"/>
            </w:tcBorders>
          </w:tcPr>
          <w:p>
            <w:pPr>
              <w:spacing w:after="0"/>
              <w:rPr>
                <w:sz w:val="2"/>
                <w:szCs w:val="2"/>
                <w:color w:val="auto"/>
              </w:rPr>
            </w:pPr>
          </w:p>
        </w:tc>
        <w:tc>
          <w:tcPr>
            <w:tcW w:w="80" w:type="dxa"/>
            <w:vAlign w:val="bottom"/>
            <w:tcBorders>
              <w:bottom w:val="single" w:sz="8" w:color="BFE4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BFE4FF"/>
            </w:tcBorders>
          </w:tcPr>
          <w:p>
            <w:pPr>
              <w:spacing w:after="0"/>
              <w:rPr>
                <w:sz w:val="2"/>
                <w:szCs w:val="2"/>
                <w:color w:val="auto"/>
              </w:rPr>
            </w:pPr>
          </w:p>
        </w:tc>
        <w:tc>
          <w:tcPr>
            <w:tcW w:w="80" w:type="dxa"/>
            <w:vAlign w:val="bottom"/>
            <w:tcBorders>
              <w:bottom w:val="single" w:sz="8" w:color="BFE4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BFE4FF"/>
            </w:tcBorders>
          </w:tcPr>
          <w:p>
            <w:pPr>
              <w:spacing w:after="0"/>
              <w:rPr>
                <w:sz w:val="2"/>
                <w:szCs w:val="2"/>
                <w:color w:val="auto"/>
              </w:rPr>
            </w:pPr>
          </w:p>
        </w:tc>
        <w:tc>
          <w:tcPr>
            <w:tcW w:w="80" w:type="dxa"/>
            <w:vAlign w:val="bottom"/>
            <w:tcBorders>
              <w:bottom w:val="single" w:sz="8" w:color="BFE4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BFE4FF"/>
            </w:tcBorders>
          </w:tcPr>
          <w:p>
            <w:pPr>
              <w:spacing w:after="0"/>
              <w:rPr>
                <w:sz w:val="2"/>
                <w:szCs w:val="2"/>
                <w:color w:val="auto"/>
              </w:rPr>
            </w:pPr>
          </w:p>
        </w:tc>
        <w:tc>
          <w:tcPr>
            <w:tcW w:w="8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40" w:type="dxa"/>
            <w:vAlign w:val="bottom"/>
            <w:shd w:val="clear" w:color="auto" w:fill="BFE4FF"/>
          </w:tcPr>
          <w:p>
            <w:pPr>
              <w:ind w:left="20"/>
              <w:spacing w:after="0"/>
              <w:rPr>
                <w:sz w:val="20"/>
                <w:szCs w:val="20"/>
                <w:color w:val="auto"/>
              </w:rPr>
            </w:pPr>
            <w:r>
              <w:rPr>
                <w:rFonts w:ascii="Arial" w:cs="Arial" w:eastAsia="Arial" w:hAnsi="Arial"/>
                <w:sz w:val="18"/>
                <w:szCs w:val="18"/>
                <w:color w:val="auto"/>
              </w:rPr>
              <w:t>Income (loss) before income taxes</w:t>
            </w:r>
          </w:p>
        </w:tc>
        <w:tc>
          <w:tcPr>
            <w:tcW w:w="20" w:type="dxa"/>
            <w:vAlign w:val="bottom"/>
            <w:shd w:val="clear" w:color="auto" w:fill="BFE4FF"/>
          </w:tcPr>
          <w:p>
            <w:pPr>
              <w:spacing w:after="0"/>
              <w:rPr>
                <w:sz w:val="22"/>
                <w:szCs w:val="22"/>
                <w:color w:val="auto"/>
              </w:rPr>
            </w:pPr>
          </w:p>
        </w:tc>
        <w:tc>
          <w:tcPr>
            <w:tcW w:w="120" w:type="dxa"/>
            <w:vAlign w:val="bottom"/>
            <w:shd w:val="clear" w:color="auto" w:fill="BFE4FF"/>
          </w:tcPr>
          <w:p>
            <w:pPr>
              <w:spacing w:after="0"/>
              <w:rPr>
                <w:sz w:val="22"/>
                <w:szCs w:val="22"/>
                <w:color w:val="auto"/>
              </w:rPr>
            </w:pPr>
          </w:p>
        </w:tc>
        <w:tc>
          <w:tcPr>
            <w:tcW w:w="980" w:type="dxa"/>
            <w:vAlign w:val="bottom"/>
            <w:shd w:val="clear" w:color="auto" w:fill="BFE4FF"/>
          </w:tcPr>
          <w:p>
            <w:pPr>
              <w:jc w:val="right"/>
              <w:ind w:right="52"/>
              <w:spacing w:after="0"/>
              <w:rPr>
                <w:sz w:val="20"/>
                <w:szCs w:val="20"/>
                <w:color w:val="auto"/>
              </w:rPr>
            </w:pPr>
            <w:r>
              <w:rPr>
                <w:rFonts w:ascii="Arial" w:cs="Arial" w:eastAsia="Arial" w:hAnsi="Arial"/>
                <w:sz w:val="18"/>
                <w:szCs w:val="18"/>
                <w:color w:val="auto"/>
              </w:rPr>
              <w:t>32</w:t>
            </w:r>
          </w:p>
        </w:tc>
        <w:tc>
          <w:tcPr>
            <w:tcW w:w="40" w:type="dxa"/>
            <w:vAlign w:val="bottom"/>
            <w:shd w:val="clear" w:color="auto" w:fill="BFE4FF"/>
          </w:tcPr>
          <w:p>
            <w:pPr>
              <w:spacing w:after="0"/>
              <w:rPr>
                <w:sz w:val="22"/>
                <w:szCs w:val="22"/>
                <w:color w:val="auto"/>
              </w:rPr>
            </w:pPr>
          </w:p>
        </w:tc>
        <w:tc>
          <w:tcPr>
            <w:tcW w:w="80" w:type="dxa"/>
            <w:vAlign w:val="bottom"/>
            <w:shd w:val="clear" w:color="auto" w:fill="BFE4FF"/>
          </w:tcPr>
          <w:p>
            <w:pPr>
              <w:spacing w:after="0"/>
              <w:rPr>
                <w:sz w:val="22"/>
                <w:szCs w:val="22"/>
                <w:color w:val="auto"/>
              </w:rPr>
            </w:pPr>
          </w:p>
        </w:tc>
        <w:tc>
          <w:tcPr>
            <w:tcW w:w="20" w:type="dxa"/>
            <w:vAlign w:val="bottom"/>
            <w:shd w:val="clear" w:color="auto" w:fill="BFE4FF"/>
          </w:tcPr>
          <w:p>
            <w:pPr>
              <w:spacing w:after="0"/>
              <w:rPr>
                <w:sz w:val="22"/>
                <w:szCs w:val="22"/>
                <w:color w:val="auto"/>
              </w:rPr>
            </w:pPr>
          </w:p>
        </w:tc>
        <w:tc>
          <w:tcPr>
            <w:tcW w:w="140" w:type="dxa"/>
            <w:vAlign w:val="bottom"/>
            <w:shd w:val="clear" w:color="auto" w:fill="BFE4FF"/>
          </w:tcPr>
          <w:p>
            <w:pPr>
              <w:spacing w:after="0"/>
              <w:rPr>
                <w:sz w:val="22"/>
                <w:szCs w:val="22"/>
                <w:color w:val="auto"/>
              </w:rPr>
            </w:pPr>
          </w:p>
        </w:tc>
        <w:tc>
          <w:tcPr>
            <w:tcW w:w="960" w:type="dxa"/>
            <w:vAlign w:val="bottom"/>
            <w:shd w:val="clear" w:color="auto" w:fill="BFE4FF"/>
          </w:tcPr>
          <w:p>
            <w:pPr>
              <w:jc w:val="right"/>
              <w:ind w:right="32"/>
              <w:spacing w:after="0"/>
              <w:rPr>
                <w:sz w:val="20"/>
                <w:szCs w:val="20"/>
                <w:color w:val="auto"/>
              </w:rPr>
            </w:pPr>
            <w:r>
              <w:rPr>
                <w:rFonts w:ascii="Arial" w:cs="Arial" w:eastAsia="Arial" w:hAnsi="Arial"/>
                <w:sz w:val="18"/>
                <w:szCs w:val="18"/>
                <w:color w:val="auto"/>
              </w:rPr>
              <w:t>(20)</w:t>
            </w:r>
          </w:p>
        </w:tc>
        <w:tc>
          <w:tcPr>
            <w:tcW w:w="20" w:type="dxa"/>
            <w:vAlign w:val="bottom"/>
            <w:shd w:val="clear" w:color="auto" w:fill="BFE4FF"/>
          </w:tcPr>
          <w:p>
            <w:pPr>
              <w:spacing w:after="0"/>
              <w:rPr>
                <w:sz w:val="22"/>
                <w:szCs w:val="22"/>
                <w:color w:val="auto"/>
              </w:rPr>
            </w:pPr>
          </w:p>
        </w:tc>
        <w:tc>
          <w:tcPr>
            <w:tcW w:w="80" w:type="dxa"/>
            <w:vAlign w:val="bottom"/>
            <w:shd w:val="clear" w:color="auto" w:fill="BFE4FF"/>
          </w:tcPr>
          <w:p>
            <w:pPr>
              <w:spacing w:after="0"/>
              <w:rPr>
                <w:sz w:val="22"/>
                <w:szCs w:val="22"/>
                <w:color w:val="auto"/>
              </w:rPr>
            </w:pPr>
          </w:p>
        </w:tc>
        <w:tc>
          <w:tcPr>
            <w:tcW w:w="20" w:type="dxa"/>
            <w:vAlign w:val="bottom"/>
            <w:shd w:val="clear" w:color="auto" w:fill="BFE4FF"/>
          </w:tcPr>
          <w:p>
            <w:pPr>
              <w:spacing w:after="0"/>
              <w:rPr>
                <w:sz w:val="22"/>
                <w:szCs w:val="22"/>
                <w:color w:val="auto"/>
              </w:rPr>
            </w:pPr>
          </w:p>
        </w:tc>
        <w:tc>
          <w:tcPr>
            <w:tcW w:w="200" w:type="dxa"/>
            <w:vAlign w:val="bottom"/>
            <w:shd w:val="clear" w:color="auto" w:fill="BFE4FF"/>
          </w:tcPr>
          <w:p>
            <w:pPr>
              <w:spacing w:after="0"/>
              <w:rPr>
                <w:sz w:val="22"/>
                <w:szCs w:val="22"/>
                <w:color w:val="auto"/>
              </w:rPr>
            </w:pPr>
          </w:p>
        </w:tc>
        <w:tc>
          <w:tcPr>
            <w:tcW w:w="920" w:type="dxa"/>
            <w:vAlign w:val="bottom"/>
            <w:shd w:val="clear" w:color="auto" w:fill="BFE4FF"/>
          </w:tcPr>
          <w:p>
            <w:pPr>
              <w:jc w:val="right"/>
              <w:ind w:right="31"/>
              <w:spacing w:after="0"/>
              <w:rPr>
                <w:sz w:val="20"/>
                <w:szCs w:val="20"/>
                <w:color w:val="auto"/>
              </w:rPr>
            </w:pPr>
            <w:r>
              <w:rPr>
                <w:rFonts w:ascii="Arial" w:cs="Arial" w:eastAsia="Arial" w:hAnsi="Arial"/>
                <w:sz w:val="18"/>
                <w:szCs w:val="18"/>
                <w:color w:val="auto"/>
              </w:rPr>
              <w:t>(15)</w:t>
            </w:r>
          </w:p>
        </w:tc>
        <w:tc>
          <w:tcPr>
            <w:tcW w:w="20" w:type="dxa"/>
            <w:vAlign w:val="bottom"/>
            <w:shd w:val="clear" w:color="auto" w:fill="BFE4FF"/>
          </w:tcPr>
          <w:p>
            <w:pPr>
              <w:spacing w:after="0"/>
              <w:rPr>
                <w:sz w:val="22"/>
                <w:szCs w:val="22"/>
                <w:color w:val="auto"/>
              </w:rPr>
            </w:pPr>
          </w:p>
        </w:tc>
        <w:tc>
          <w:tcPr>
            <w:tcW w:w="80" w:type="dxa"/>
            <w:vAlign w:val="bottom"/>
            <w:shd w:val="clear" w:color="auto" w:fill="BFE4FF"/>
          </w:tcPr>
          <w:p>
            <w:pPr>
              <w:spacing w:after="0"/>
              <w:rPr>
                <w:sz w:val="22"/>
                <w:szCs w:val="22"/>
                <w:color w:val="auto"/>
              </w:rPr>
            </w:pPr>
          </w:p>
        </w:tc>
        <w:tc>
          <w:tcPr>
            <w:tcW w:w="40" w:type="dxa"/>
            <w:vAlign w:val="bottom"/>
            <w:shd w:val="clear" w:color="auto" w:fill="BFE4FF"/>
          </w:tcPr>
          <w:p>
            <w:pPr>
              <w:spacing w:after="0"/>
              <w:rPr>
                <w:sz w:val="22"/>
                <w:szCs w:val="22"/>
                <w:color w:val="auto"/>
              </w:rPr>
            </w:pPr>
          </w:p>
        </w:tc>
        <w:tc>
          <w:tcPr>
            <w:tcW w:w="160" w:type="dxa"/>
            <w:vAlign w:val="bottom"/>
            <w:shd w:val="clear" w:color="auto" w:fill="BFE4FF"/>
          </w:tcPr>
          <w:p>
            <w:pPr>
              <w:spacing w:after="0"/>
              <w:rPr>
                <w:sz w:val="22"/>
                <w:szCs w:val="22"/>
                <w:color w:val="auto"/>
              </w:rPr>
            </w:pPr>
          </w:p>
        </w:tc>
        <w:tc>
          <w:tcPr>
            <w:tcW w:w="92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(29)</w:t>
            </w:r>
          </w:p>
        </w:tc>
        <w:tc>
          <w:tcPr>
            <w:tcW w:w="40" w:type="dxa"/>
            <w:vAlign w:val="bottom"/>
            <w:shd w:val="clear" w:color="auto" w:fill="BFE4FF"/>
          </w:tcPr>
          <w:p>
            <w:pPr>
              <w:spacing w:after="0"/>
              <w:rPr>
                <w:sz w:val="22"/>
                <w:szCs w:val="22"/>
                <w:color w:val="auto"/>
              </w:rPr>
            </w:pPr>
          </w:p>
        </w:tc>
        <w:tc>
          <w:tcPr>
            <w:tcW w:w="80" w:type="dxa"/>
            <w:vAlign w:val="bottom"/>
            <w:shd w:val="clear" w:color="auto" w:fill="BFE4FF"/>
          </w:tcPr>
          <w:p>
            <w:pPr>
              <w:spacing w:after="0"/>
              <w:rPr>
                <w:sz w:val="22"/>
                <w:szCs w:val="22"/>
                <w:color w:val="auto"/>
              </w:rPr>
            </w:pPr>
          </w:p>
        </w:tc>
        <w:tc>
          <w:tcPr>
            <w:tcW w:w="260" w:type="dxa"/>
            <w:vAlign w:val="bottom"/>
            <w:shd w:val="clear" w:color="auto" w:fill="BFE4FF"/>
          </w:tcPr>
          <w:p>
            <w:pPr>
              <w:spacing w:after="0"/>
              <w:rPr>
                <w:sz w:val="22"/>
                <w:szCs w:val="22"/>
                <w:color w:val="auto"/>
              </w:rPr>
            </w:pPr>
          </w:p>
        </w:tc>
        <w:tc>
          <w:tcPr>
            <w:tcW w:w="86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BFE4FF"/>
            </w:tcBorders>
          </w:tcPr>
          <w:p>
            <w:pPr>
              <w:spacing w:after="0"/>
              <w:rPr>
                <w:sz w:val="2"/>
                <w:szCs w:val="2"/>
                <w:color w:val="auto"/>
              </w:rPr>
            </w:pPr>
          </w:p>
        </w:tc>
        <w:tc>
          <w:tcPr>
            <w:tcW w:w="8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BFE4FF"/>
            </w:tcBorders>
          </w:tcPr>
          <w:p>
            <w:pPr>
              <w:spacing w:after="0"/>
              <w:rPr>
                <w:sz w:val="2"/>
                <w:szCs w:val="2"/>
                <w:color w:val="auto"/>
              </w:rPr>
            </w:pPr>
          </w:p>
        </w:tc>
        <w:tc>
          <w:tcPr>
            <w:tcW w:w="8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BFE4FF"/>
            </w:tcBorders>
          </w:tcPr>
          <w:p>
            <w:pPr>
              <w:spacing w:after="0"/>
              <w:rPr>
                <w:sz w:val="2"/>
                <w:szCs w:val="2"/>
                <w:color w:val="auto"/>
              </w:rPr>
            </w:pPr>
          </w:p>
        </w:tc>
        <w:tc>
          <w:tcPr>
            <w:tcW w:w="8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BFE4FF"/>
            </w:tcBorders>
          </w:tcPr>
          <w:p>
            <w:pPr>
              <w:spacing w:after="0"/>
              <w:rPr>
                <w:sz w:val="2"/>
                <w:szCs w:val="2"/>
                <w:color w:val="auto"/>
              </w:rPr>
            </w:pPr>
          </w:p>
        </w:tc>
        <w:tc>
          <w:tcPr>
            <w:tcW w:w="8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140" w:type="dxa"/>
            <w:vAlign w:val="bottom"/>
            <w:shd w:val="clear" w:color="auto" w:fill="BFE4FF"/>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gridSpan w:val="2"/>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BFE4FF"/>
          </w:tcPr>
          <w:p>
            <w:pPr>
              <w:jc w:val="right"/>
              <w:ind w:right="52"/>
              <w:spacing w:after="0"/>
              <w:rPr>
                <w:sz w:val="20"/>
                <w:szCs w:val="20"/>
                <w:color w:val="auto"/>
              </w:rPr>
            </w:pPr>
            <w:r>
              <w:rPr>
                <w:rFonts w:ascii="Arial" w:cs="Arial" w:eastAsia="Arial" w:hAnsi="Arial"/>
                <w:sz w:val="18"/>
                <w:szCs w:val="18"/>
                <w:color w:val="auto"/>
              </w:rPr>
              <w:t>32</w:t>
            </w:r>
          </w:p>
        </w:tc>
        <w:tc>
          <w:tcPr>
            <w:tcW w:w="40" w:type="dxa"/>
            <w:vAlign w:val="bottom"/>
            <w:shd w:val="clear" w:color="auto" w:fill="BFE4FF"/>
          </w:tcPr>
          <w:p>
            <w:pPr>
              <w:spacing w:after="0"/>
              <w:rPr>
                <w:sz w:val="24"/>
                <w:szCs w:val="24"/>
                <w:color w:val="auto"/>
              </w:rPr>
            </w:pPr>
          </w:p>
        </w:tc>
        <w:tc>
          <w:tcPr>
            <w:tcW w:w="240" w:type="dxa"/>
            <w:vAlign w:val="bottom"/>
            <w:gridSpan w:val="3"/>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BFE4FF"/>
          </w:tcPr>
          <w:p>
            <w:pPr>
              <w:jc w:val="right"/>
              <w:ind w:right="32"/>
              <w:spacing w:after="0"/>
              <w:rPr>
                <w:sz w:val="20"/>
                <w:szCs w:val="20"/>
                <w:color w:val="auto"/>
              </w:rPr>
            </w:pPr>
            <w:r>
              <w:rPr>
                <w:rFonts w:ascii="Arial" w:cs="Arial" w:eastAsia="Arial" w:hAnsi="Arial"/>
                <w:sz w:val="18"/>
                <w:szCs w:val="18"/>
                <w:color w:val="auto"/>
              </w:rPr>
              <w:t>(20)</w:t>
            </w:r>
          </w:p>
        </w:tc>
        <w:tc>
          <w:tcPr>
            <w:tcW w:w="20" w:type="dxa"/>
            <w:vAlign w:val="bottom"/>
            <w:shd w:val="clear" w:color="auto" w:fill="BFE4FF"/>
          </w:tcPr>
          <w:p>
            <w:pPr>
              <w:spacing w:after="0"/>
              <w:rPr>
                <w:sz w:val="24"/>
                <w:szCs w:val="24"/>
                <w:color w:val="auto"/>
              </w:rPr>
            </w:pPr>
          </w:p>
        </w:tc>
        <w:tc>
          <w:tcPr>
            <w:tcW w:w="300" w:type="dxa"/>
            <w:vAlign w:val="bottom"/>
            <w:gridSpan w:val="3"/>
            <w:shd w:val="clear" w:color="auto" w:fill="BFE4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BFE4FF"/>
          </w:tcPr>
          <w:p>
            <w:pPr>
              <w:jc w:val="right"/>
              <w:ind w:right="31"/>
              <w:spacing w:after="0"/>
              <w:rPr>
                <w:sz w:val="20"/>
                <w:szCs w:val="20"/>
                <w:color w:val="auto"/>
              </w:rPr>
            </w:pPr>
            <w:r>
              <w:rPr>
                <w:rFonts w:ascii="Arial" w:cs="Arial" w:eastAsia="Arial" w:hAnsi="Arial"/>
                <w:sz w:val="18"/>
                <w:szCs w:val="18"/>
                <w:color w:val="auto"/>
              </w:rPr>
              <w:t>(15)</w:t>
            </w:r>
          </w:p>
        </w:tc>
        <w:tc>
          <w:tcPr>
            <w:tcW w:w="20" w:type="dxa"/>
            <w:vAlign w:val="bottom"/>
            <w:shd w:val="clear" w:color="auto" w:fill="BFE4FF"/>
          </w:tcPr>
          <w:p>
            <w:pPr>
              <w:spacing w:after="0"/>
              <w:rPr>
                <w:sz w:val="24"/>
                <w:szCs w:val="24"/>
                <w:color w:val="auto"/>
              </w:rPr>
            </w:pPr>
          </w:p>
        </w:tc>
        <w:tc>
          <w:tcPr>
            <w:tcW w:w="280" w:type="dxa"/>
            <w:vAlign w:val="bottom"/>
            <w:gridSpan w:val="3"/>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(33)</w:t>
            </w:r>
          </w:p>
        </w:tc>
        <w:tc>
          <w:tcPr>
            <w:tcW w:w="40" w:type="dxa"/>
            <w:vAlign w:val="bottom"/>
            <w:shd w:val="clear" w:color="auto" w:fill="BFE4FF"/>
          </w:tcPr>
          <w:p>
            <w:pPr>
              <w:spacing w:after="0"/>
              <w:rPr>
                <w:sz w:val="24"/>
                <w:szCs w:val="24"/>
                <w:color w:val="auto"/>
              </w:rPr>
            </w:pPr>
          </w:p>
        </w:tc>
        <w:tc>
          <w:tcPr>
            <w:tcW w:w="80" w:type="dxa"/>
            <w:vAlign w:val="bottom"/>
            <w:shd w:val="clear" w:color="auto" w:fill="BFE4FF"/>
          </w:tcPr>
          <w:p>
            <w:pPr>
              <w:spacing w:after="0"/>
              <w:rPr>
                <w:sz w:val="24"/>
                <w:szCs w:val="24"/>
                <w:color w:val="auto"/>
              </w:rPr>
            </w:pPr>
          </w:p>
        </w:tc>
        <w:tc>
          <w:tcPr>
            <w:tcW w:w="260" w:type="dxa"/>
            <w:vAlign w:val="bottom"/>
            <w:shd w:val="clear" w:color="auto" w:fill="BFE4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BFE4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BFE4FF"/>
            </w:tcBorders>
          </w:tcPr>
          <w:p>
            <w:pPr>
              <w:spacing w:after="0" w:line="20" w:lineRule="exact"/>
              <w:rPr>
                <w:sz w:val="1"/>
                <w:szCs w:val="1"/>
                <w:color w:val="auto"/>
              </w:rPr>
            </w:pPr>
          </w:p>
        </w:tc>
        <w:tc>
          <w:tcPr>
            <w:tcW w:w="80" w:type="dxa"/>
            <w:vAlign w:val="bottom"/>
            <w:tcBorders>
              <w:top w:val="single" w:sz="8" w:color="BFE4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BFE4FF"/>
            </w:tcBorders>
          </w:tcPr>
          <w:p>
            <w:pPr>
              <w:spacing w:after="0" w:line="20" w:lineRule="exact"/>
              <w:rPr>
                <w:sz w:val="1"/>
                <w:szCs w:val="1"/>
                <w:color w:val="auto"/>
              </w:rPr>
            </w:pPr>
          </w:p>
        </w:tc>
        <w:tc>
          <w:tcPr>
            <w:tcW w:w="80" w:type="dxa"/>
            <w:vAlign w:val="bottom"/>
            <w:tcBorders>
              <w:top w:val="single" w:sz="8" w:color="BFE4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BFE4FF"/>
            </w:tcBorders>
          </w:tcPr>
          <w:p>
            <w:pPr>
              <w:spacing w:after="0" w:line="20" w:lineRule="exact"/>
              <w:rPr>
                <w:sz w:val="1"/>
                <w:szCs w:val="1"/>
                <w:color w:val="auto"/>
              </w:rPr>
            </w:pPr>
          </w:p>
        </w:tc>
        <w:tc>
          <w:tcPr>
            <w:tcW w:w="80" w:type="dxa"/>
            <w:vAlign w:val="bottom"/>
            <w:tcBorders>
              <w:top w:val="single" w:sz="8" w:color="BFE4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BFE4FF"/>
            </w:tcBorders>
          </w:tcPr>
          <w:p>
            <w:pPr>
              <w:spacing w:after="0" w:line="20" w:lineRule="exact"/>
              <w:rPr>
                <w:sz w:val="1"/>
                <w:szCs w:val="1"/>
                <w:color w:val="auto"/>
              </w:rPr>
            </w:pPr>
          </w:p>
        </w:tc>
        <w:tc>
          <w:tcPr>
            <w:tcW w:w="80" w:type="dxa"/>
            <w:vAlign w:val="bottom"/>
            <w:tcBorders>
              <w:top w:val="single" w:sz="8" w:color="BFE4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13"/>
          </w:tcPr>
          <w:p>
            <w:pPr>
              <w:jc w:val="center"/>
              <w:ind w:right="240"/>
              <w:spacing w:after="0"/>
              <w:rPr>
                <w:sz w:val="20"/>
                <w:szCs w:val="20"/>
                <w:color w:val="auto"/>
              </w:rPr>
            </w:pPr>
            <w:r>
              <w:rPr>
                <w:rFonts w:ascii="Arial" w:cs="Arial" w:eastAsia="Arial" w:hAnsi="Arial"/>
                <w:sz w:val="14"/>
                <w:szCs w:val="14"/>
                <w:b w:val="1"/>
                <w:bCs w:val="1"/>
                <w:color w:val="auto"/>
                <w:w w:val="89"/>
              </w:rPr>
              <w:t>Six months ended June 30, 2020</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1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Conventional</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Renewables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9"/>
              </w:rPr>
              <w:t>Thermal</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Corporate</w:t>
            </w:r>
          </w:p>
        </w:tc>
        <w:tc>
          <w:tcPr>
            <w:tcW w:w="8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Borders>
              <w:bottom w:val="single" w:sz="8" w:color="BFE4FF"/>
            </w:tcBorders>
          </w:tcPr>
          <w:p>
            <w:pPr>
              <w:spacing w:after="0"/>
              <w:rPr>
                <w:sz w:val="16"/>
                <w:szCs w:val="16"/>
                <w:color w:val="auto"/>
              </w:rPr>
            </w:pPr>
          </w:p>
        </w:tc>
        <w:tc>
          <w:tcPr>
            <w:tcW w:w="5140" w:type="dxa"/>
            <w:vAlign w:val="bottom"/>
            <w:tcBorders>
              <w:bottom w:val="single" w:sz="8" w:color="BFE4FF"/>
            </w:tcBorders>
            <w:vMerge w:val="continue"/>
          </w:tcPr>
          <w:p>
            <w:pPr>
              <w:spacing w:after="0"/>
              <w:rPr>
                <w:sz w:val="16"/>
                <w:szCs w:val="16"/>
                <w:color w:val="auto"/>
              </w:rPr>
            </w:pPr>
          </w:p>
        </w:tc>
        <w:tc>
          <w:tcPr>
            <w:tcW w:w="20" w:type="dxa"/>
            <w:vAlign w:val="bottom"/>
            <w:tcBorders>
              <w:bottom w:val="single" w:sz="8" w:color="BFE4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Generation</w:t>
            </w:r>
          </w:p>
        </w:tc>
        <w:tc>
          <w:tcPr>
            <w:tcW w:w="80" w:type="dxa"/>
            <w:vAlign w:val="bottom"/>
            <w:tcBorders>
              <w:bottom w:val="single" w:sz="8" w:color="BFE4FF"/>
            </w:tcBorders>
          </w:tcPr>
          <w:p>
            <w:pPr>
              <w:spacing w:after="0"/>
              <w:rPr>
                <w:sz w:val="16"/>
                <w:szCs w:val="16"/>
                <w:color w:val="auto"/>
              </w:rPr>
            </w:pPr>
          </w:p>
        </w:tc>
        <w:tc>
          <w:tcPr>
            <w:tcW w:w="20" w:type="dxa"/>
            <w:vAlign w:val="bottom"/>
            <w:tcBorders>
              <w:bottom w:val="single" w:sz="8" w:color="BFE4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BFE4FF"/>
            </w:tcBorders>
          </w:tcPr>
          <w:p>
            <w:pPr>
              <w:spacing w:after="0"/>
              <w:rPr>
                <w:sz w:val="16"/>
                <w:szCs w:val="16"/>
                <w:color w:val="auto"/>
              </w:rPr>
            </w:pPr>
          </w:p>
        </w:tc>
        <w:tc>
          <w:tcPr>
            <w:tcW w:w="20" w:type="dxa"/>
            <w:vAlign w:val="bottom"/>
            <w:tcBorders>
              <w:bottom w:val="single" w:sz="8" w:color="BFE4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BFE4FF"/>
            </w:tcBorders>
          </w:tcPr>
          <w:p>
            <w:pPr>
              <w:spacing w:after="0"/>
              <w:rPr>
                <w:sz w:val="16"/>
                <w:szCs w:val="16"/>
                <w:color w:val="auto"/>
              </w:rPr>
            </w:pPr>
          </w:p>
        </w:tc>
        <w:tc>
          <w:tcPr>
            <w:tcW w:w="40" w:type="dxa"/>
            <w:vAlign w:val="bottom"/>
            <w:tcBorders>
              <w:bottom w:val="single" w:sz="8" w:color="BFE4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BFE4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BFE4FF"/>
            </w:tcBorders>
            <w:shd w:val="clear" w:color="auto" w:fill="BFE4FF"/>
          </w:tcPr>
          <w:p>
            <w:pPr>
              <w:spacing w:after="0"/>
              <w:rPr>
                <w:sz w:val="21"/>
                <w:szCs w:val="21"/>
                <w:color w:val="auto"/>
              </w:rPr>
            </w:pPr>
          </w:p>
        </w:tc>
        <w:tc>
          <w:tcPr>
            <w:tcW w:w="5140" w:type="dxa"/>
            <w:vAlign w:val="bottom"/>
            <w:tcBorders>
              <w:bottom w:val="single" w:sz="8" w:color="BFE4FF"/>
            </w:tcBorders>
            <w:shd w:val="clear" w:color="auto" w:fill="BFE4FF"/>
          </w:tcPr>
          <w:p>
            <w:pPr>
              <w:spacing w:after="0"/>
              <w:rPr>
                <w:sz w:val="20"/>
                <w:szCs w:val="20"/>
                <w:color w:val="auto"/>
              </w:rPr>
            </w:pPr>
            <w:r>
              <w:rPr>
                <w:rFonts w:ascii="Arial" w:cs="Arial" w:eastAsia="Arial" w:hAnsi="Arial"/>
                <w:sz w:val="18"/>
                <w:szCs w:val="18"/>
                <w:color w:val="auto"/>
              </w:rPr>
              <w:t>Operating revenues</w:t>
            </w:r>
          </w:p>
        </w:tc>
        <w:tc>
          <w:tcPr>
            <w:tcW w:w="140" w:type="dxa"/>
            <w:vAlign w:val="bottom"/>
            <w:tcBorders>
              <w:bottom w:val="single" w:sz="8" w:color="BFE4FF"/>
            </w:tcBorders>
            <w:gridSpan w:val="2"/>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210</w:t>
            </w:r>
          </w:p>
        </w:tc>
        <w:tc>
          <w:tcPr>
            <w:tcW w:w="4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gridSpan w:val="3"/>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BFE4FF"/>
            </w:tcBorders>
            <w:shd w:val="clear" w:color="auto" w:fill="BFE4FF"/>
          </w:tcPr>
          <w:p>
            <w:pPr>
              <w:jc w:val="right"/>
              <w:ind w:right="52"/>
              <w:spacing w:after="0"/>
              <w:rPr>
                <w:sz w:val="20"/>
                <w:szCs w:val="20"/>
                <w:color w:val="auto"/>
              </w:rPr>
            </w:pPr>
            <w:r>
              <w:rPr>
                <w:rFonts w:ascii="Arial" w:cs="Arial" w:eastAsia="Arial" w:hAnsi="Arial"/>
                <w:sz w:val="18"/>
                <w:szCs w:val="18"/>
                <w:color w:val="auto"/>
              </w:rPr>
              <w:t>287</w:t>
            </w:r>
          </w:p>
        </w:tc>
        <w:tc>
          <w:tcPr>
            <w:tcW w:w="2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gridSpan w:val="3"/>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90</w:t>
            </w:r>
          </w:p>
        </w:tc>
        <w:tc>
          <w:tcPr>
            <w:tcW w:w="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gridSpan w:val="3"/>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BFE4FF"/>
            </w:tcBorders>
            <w:gridSpan w:val="3"/>
            <w:shd w:val="clear" w:color="auto" w:fill="BFE4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BFE4FF"/>
            </w:tcBorders>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587</w:t>
            </w:r>
          </w:p>
        </w:tc>
        <w:tc>
          <w:tcPr>
            <w:tcW w:w="2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Cost of operations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BFE4FF"/>
            </w:tcBorders>
            <w:shd w:val="clear" w:color="auto" w:fill="BFE4FF"/>
          </w:tcPr>
          <w:p>
            <w:pPr>
              <w:spacing w:after="0"/>
              <w:rPr>
                <w:sz w:val="21"/>
                <w:szCs w:val="21"/>
                <w:color w:val="auto"/>
              </w:rPr>
            </w:pPr>
          </w:p>
        </w:tc>
        <w:tc>
          <w:tcPr>
            <w:tcW w:w="5140" w:type="dxa"/>
            <w:vAlign w:val="bottom"/>
            <w:tcBorders>
              <w:bottom w:val="single" w:sz="8" w:color="BFE4FF"/>
            </w:tcBorders>
            <w:shd w:val="clear" w:color="auto" w:fill="BFE4FF"/>
          </w:tcPr>
          <w:p>
            <w:pPr>
              <w:ind w:left="160"/>
              <w:spacing w:after="0"/>
              <w:rPr>
                <w:sz w:val="20"/>
                <w:szCs w:val="20"/>
                <w:color w:val="auto"/>
              </w:rPr>
            </w:pPr>
            <w:r>
              <w:rPr>
                <w:rFonts w:ascii="Arial" w:cs="Arial" w:eastAsia="Arial" w:hAnsi="Arial"/>
                <w:sz w:val="18"/>
                <w:szCs w:val="18"/>
                <w:color w:val="auto"/>
              </w:rPr>
              <w:t>Depreciation, amortization and accretion</w:t>
            </w:r>
          </w:p>
        </w:tc>
        <w:tc>
          <w:tcPr>
            <w:tcW w:w="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66</w:t>
            </w:r>
          </w:p>
        </w:tc>
        <w:tc>
          <w:tcPr>
            <w:tcW w:w="40" w:type="dxa"/>
            <w:vAlign w:val="bottom"/>
            <w:tcBorders>
              <w:bottom w:val="single" w:sz="8" w:color="BFE4FF"/>
            </w:tcBorders>
            <w:shd w:val="clear" w:color="auto" w:fill="BFE4FF"/>
          </w:tcPr>
          <w:p>
            <w:pPr>
              <w:spacing w:after="0"/>
              <w:rPr>
                <w:sz w:val="21"/>
                <w:szCs w:val="21"/>
                <w:color w:val="auto"/>
              </w:rPr>
            </w:pPr>
          </w:p>
        </w:tc>
        <w:tc>
          <w:tcPr>
            <w:tcW w:w="80" w:type="dxa"/>
            <w:vAlign w:val="bottom"/>
            <w:tcBorders>
              <w:bottom w:val="single" w:sz="8" w:color="BFE4FF"/>
            </w:tcBorders>
            <w:shd w:val="clear" w:color="auto" w:fill="BFE4FF"/>
          </w:tcPr>
          <w:p>
            <w:pPr>
              <w:spacing w:after="0"/>
              <w:rPr>
                <w:sz w:val="21"/>
                <w:szCs w:val="21"/>
                <w:color w:val="auto"/>
              </w:rPr>
            </w:pPr>
          </w:p>
        </w:tc>
        <w:tc>
          <w:tcPr>
            <w:tcW w:w="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ind w:right="52"/>
              <w:spacing w:after="0"/>
              <w:rPr>
                <w:sz w:val="20"/>
                <w:szCs w:val="20"/>
                <w:color w:val="auto"/>
              </w:rPr>
            </w:pPr>
            <w:r>
              <w:rPr>
                <w:rFonts w:ascii="Arial" w:cs="Arial" w:eastAsia="Arial" w:hAnsi="Arial"/>
                <w:sz w:val="18"/>
                <w:szCs w:val="18"/>
                <w:color w:val="auto"/>
              </w:rPr>
              <w:t>121</w:t>
            </w:r>
          </w:p>
        </w:tc>
        <w:tc>
          <w:tcPr>
            <w:tcW w:w="20" w:type="dxa"/>
            <w:vAlign w:val="bottom"/>
            <w:tcBorders>
              <w:bottom w:val="single" w:sz="8" w:color="BFE4FF"/>
            </w:tcBorders>
            <w:shd w:val="clear" w:color="auto" w:fill="BFE4FF"/>
          </w:tcPr>
          <w:p>
            <w:pPr>
              <w:spacing w:after="0"/>
              <w:rPr>
                <w:sz w:val="21"/>
                <w:szCs w:val="21"/>
                <w:color w:val="auto"/>
              </w:rPr>
            </w:pPr>
          </w:p>
        </w:tc>
        <w:tc>
          <w:tcPr>
            <w:tcW w:w="80" w:type="dxa"/>
            <w:vAlign w:val="bottom"/>
            <w:tcBorders>
              <w:bottom w:val="single" w:sz="8" w:color="BFE4FF"/>
            </w:tcBorders>
            <w:shd w:val="clear" w:color="auto" w:fill="BFE4FF"/>
          </w:tcPr>
          <w:p>
            <w:pPr>
              <w:spacing w:after="0"/>
              <w:rPr>
                <w:sz w:val="21"/>
                <w:szCs w:val="21"/>
                <w:color w:val="auto"/>
              </w:rPr>
            </w:pPr>
          </w:p>
        </w:tc>
        <w:tc>
          <w:tcPr>
            <w:tcW w:w="2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BFE4FF"/>
            </w:tcBorders>
            <w:shd w:val="clear" w:color="auto" w:fill="BFE4FF"/>
          </w:tcPr>
          <w:p>
            <w:pPr>
              <w:spacing w:after="0"/>
              <w:rPr>
                <w:sz w:val="21"/>
                <w:szCs w:val="21"/>
                <w:color w:val="auto"/>
              </w:rPr>
            </w:pPr>
          </w:p>
        </w:tc>
        <w:tc>
          <w:tcPr>
            <w:tcW w:w="80" w:type="dxa"/>
            <w:vAlign w:val="bottom"/>
            <w:tcBorders>
              <w:bottom w:val="single" w:sz="8" w:color="BFE4FF"/>
            </w:tcBorders>
            <w:shd w:val="clear" w:color="auto" w:fill="BFE4FF"/>
          </w:tcPr>
          <w:p>
            <w:pPr>
              <w:spacing w:after="0"/>
              <w:rPr>
                <w:sz w:val="21"/>
                <w:szCs w:val="21"/>
                <w:color w:val="auto"/>
              </w:rPr>
            </w:pPr>
          </w:p>
        </w:tc>
        <w:tc>
          <w:tcPr>
            <w:tcW w:w="4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gridSpan w:val="3"/>
            <w:shd w:val="clear" w:color="auto" w:fill="BFE4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201</w:t>
            </w:r>
          </w:p>
        </w:tc>
        <w:tc>
          <w:tcPr>
            <w:tcW w:w="2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BFE4FF"/>
            </w:tcBorders>
            <w:shd w:val="clear" w:color="auto" w:fill="BFE4FF"/>
          </w:tcPr>
          <w:p>
            <w:pPr>
              <w:spacing w:after="0"/>
              <w:rPr>
                <w:sz w:val="21"/>
                <w:szCs w:val="21"/>
                <w:color w:val="auto"/>
              </w:rPr>
            </w:pPr>
          </w:p>
        </w:tc>
        <w:tc>
          <w:tcPr>
            <w:tcW w:w="5140" w:type="dxa"/>
            <w:vAlign w:val="bottom"/>
            <w:tcBorders>
              <w:bottom w:val="single" w:sz="8" w:color="BFE4FF"/>
            </w:tcBorders>
            <w:shd w:val="clear" w:color="auto" w:fill="BFE4FF"/>
          </w:tcPr>
          <w:p>
            <w:pPr>
              <w:ind w:left="160"/>
              <w:spacing w:after="0"/>
              <w:rPr>
                <w:sz w:val="20"/>
                <w:szCs w:val="20"/>
                <w:color w:val="auto"/>
              </w:rPr>
            </w:pPr>
            <w:r>
              <w:rPr>
                <w:rFonts w:ascii="Arial" w:cs="Arial" w:eastAsia="Arial" w:hAnsi="Arial"/>
                <w:sz w:val="18"/>
                <w:szCs w:val="18"/>
                <w:color w:val="auto"/>
              </w:rPr>
              <w:t>Acquisition-related transaction and integration costs</w:t>
            </w:r>
          </w:p>
        </w:tc>
        <w:tc>
          <w:tcPr>
            <w:tcW w:w="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gridSpan w:val="2"/>
            <w:shd w:val="clear" w:color="auto" w:fill="BFE4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BFE4FF"/>
            </w:tcBorders>
            <w:shd w:val="clear" w:color="auto" w:fill="BFE4FF"/>
          </w:tcPr>
          <w:p>
            <w:pPr>
              <w:spacing w:after="0"/>
              <w:rPr>
                <w:sz w:val="21"/>
                <w:szCs w:val="21"/>
                <w:color w:val="auto"/>
              </w:rPr>
            </w:pPr>
          </w:p>
        </w:tc>
        <w:tc>
          <w:tcPr>
            <w:tcW w:w="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gridSpan w:val="2"/>
            <w:shd w:val="clear" w:color="auto" w:fill="BFE4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BFE4FF"/>
            </w:tcBorders>
            <w:shd w:val="clear" w:color="auto" w:fill="BFE4FF"/>
          </w:tcPr>
          <w:p>
            <w:pPr>
              <w:spacing w:after="0"/>
              <w:rPr>
                <w:sz w:val="21"/>
                <w:szCs w:val="21"/>
                <w:color w:val="auto"/>
              </w:rPr>
            </w:pPr>
          </w:p>
        </w:tc>
        <w:tc>
          <w:tcPr>
            <w:tcW w:w="2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gridSpan w:val="2"/>
            <w:shd w:val="clear" w:color="auto" w:fill="BFE4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BFE4FF"/>
            </w:tcBorders>
            <w:shd w:val="clear" w:color="auto" w:fill="BFE4FF"/>
          </w:tcPr>
          <w:p>
            <w:pPr>
              <w:spacing w:after="0"/>
              <w:rPr>
                <w:sz w:val="21"/>
                <w:szCs w:val="21"/>
                <w:color w:val="auto"/>
              </w:rPr>
            </w:pPr>
          </w:p>
        </w:tc>
        <w:tc>
          <w:tcPr>
            <w:tcW w:w="4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BFE4FF"/>
            </w:tcBorders>
            <w:shd w:val="clear" w:color="auto" w:fill="BFE4FF"/>
          </w:tcPr>
          <w:p>
            <w:pPr>
              <w:spacing w:after="0"/>
              <w:rPr>
                <w:sz w:val="21"/>
                <w:szCs w:val="21"/>
                <w:color w:val="auto"/>
              </w:rPr>
            </w:pPr>
          </w:p>
        </w:tc>
        <w:tc>
          <w:tcPr>
            <w:tcW w:w="8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Development costs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BFE4FF"/>
            </w:tcBorders>
          </w:tcPr>
          <w:p>
            <w:pPr>
              <w:spacing w:after="0"/>
              <w:rPr>
                <w:sz w:val="2"/>
                <w:szCs w:val="2"/>
                <w:color w:val="auto"/>
              </w:rPr>
            </w:pPr>
          </w:p>
        </w:tc>
        <w:tc>
          <w:tcPr>
            <w:tcW w:w="5140" w:type="dxa"/>
            <w:vAlign w:val="bottom"/>
            <w:tcBorders>
              <w:bottom w:val="single" w:sz="8" w:color="BFE4FF"/>
            </w:tcBorders>
          </w:tcPr>
          <w:p>
            <w:pPr>
              <w:spacing w:after="0"/>
              <w:rPr>
                <w:sz w:val="2"/>
                <w:szCs w:val="2"/>
                <w:color w:val="auto"/>
              </w:rPr>
            </w:pPr>
          </w:p>
        </w:tc>
        <w:tc>
          <w:tcPr>
            <w:tcW w:w="2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BFE4FF"/>
            </w:tcBorders>
          </w:tcPr>
          <w:p>
            <w:pPr>
              <w:spacing w:after="0"/>
              <w:rPr>
                <w:sz w:val="2"/>
                <w:szCs w:val="2"/>
                <w:color w:val="auto"/>
              </w:rPr>
            </w:pPr>
          </w:p>
        </w:tc>
        <w:tc>
          <w:tcPr>
            <w:tcW w:w="2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BFE4FF"/>
            </w:tcBorders>
          </w:tcPr>
          <w:p>
            <w:pPr>
              <w:spacing w:after="0"/>
              <w:rPr>
                <w:sz w:val="2"/>
                <w:szCs w:val="2"/>
                <w:color w:val="auto"/>
              </w:rPr>
            </w:pPr>
          </w:p>
        </w:tc>
        <w:tc>
          <w:tcPr>
            <w:tcW w:w="2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BFE4FF"/>
            </w:tcBorders>
          </w:tcPr>
          <w:p>
            <w:pPr>
              <w:spacing w:after="0"/>
              <w:rPr>
                <w:sz w:val="2"/>
                <w:szCs w:val="2"/>
                <w:color w:val="auto"/>
              </w:rPr>
            </w:pPr>
          </w:p>
        </w:tc>
        <w:tc>
          <w:tcPr>
            <w:tcW w:w="4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BFE4FF"/>
          </w:tcPr>
          <w:p>
            <w:pPr>
              <w:spacing w:after="0"/>
              <w:rPr>
                <w:sz w:val="22"/>
                <w:szCs w:val="22"/>
                <w:color w:val="auto"/>
              </w:rPr>
            </w:pPr>
          </w:p>
        </w:tc>
        <w:tc>
          <w:tcPr>
            <w:tcW w:w="5140" w:type="dxa"/>
            <w:vAlign w:val="bottom"/>
            <w:shd w:val="clear" w:color="auto" w:fill="BFE4FF"/>
          </w:tcPr>
          <w:p>
            <w:pPr>
              <w:spacing w:after="0"/>
              <w:rPr>
                <w:sz w:val="20"/>
                <w:szCs w:val="20"/>
                <w:color w:val="auto"/>
              </w:rPr>
            </w:pPr>
            <w:r>
              <w:rPr>
                <w:rFonts w:ascii="Arial" w:cs="Arial" w:eastAsia="Arial" w:hAnsi="Arial"/>
                <w:sz w:val="18"/>
                <w:szCs w:val="18"/>
                <w:color w:val="auto"/>
              </w:rPr>
              <w:t>Operating income (loss)</w:t>
            </w:r>
          </w:p>
        </w:tc>
        <w:tc>
          <w:tcPr>
            <w:tcW w:w="20" w:type="dxa"/>
            <w:vAlign w:val="bottom"/>
            <w:shd w:val="clear" w:color="auto" w:fill="BFE4FF"/>
          </w:tcPr>
          <w:p>
            <w:pPr>
              <w:spacing w:after="0"/>
              <w:rPr>
                <w:sz w:val="22"/>
                <w:szCs w:val="22"/>
                <w:color w:val="auto"/>
              </w:rPr>
            </w:pPr>
          </w:p>
        </w:tc>
        <w:tc>
          <w:tcPr>
            <w:tcW w:w="120" w:type="dxa"/>
            <w:vAlign w:val="bottom"/>
            <w:shd w:val="clear" w:color="auto" w:fill="BFE4FF"/>
          </w:tcPr>
          <w:p>
            <w:pPr>
              <w:spacing w:after="0"/>
              <w:rPr>
                <w:sz w:val="22"/>
                <w:szCs w:val="22"/>
                <w:color w:val="auto"/>
              </w:rPr>
            </w:pPr>
          </w:p>
        </w:tc>
        <w:tc>
          <w:tcPr>
            <w:tcW w:w="980" w:type="dxa"/>
            <w:vAlign w:val="bottom"/>
            <w:shd w:val="clear" w:color="auto" w:fill="BFE4FF"/>
          </w:tcPr>
          <w:p>
            <w:pPr>
              <w:jc w:val="right"/>
              <w:ind w:right="32"/>
              <w:spacing w:after="0"/>
              <w:rPr>
                <w:sz w:val="20"/>
                <w:szCs w:val="20"/>
                <w:color w:val="auto"/>
              </w:rPr>
            </w:pPr>
            <w:r>
              <w:rPr>
                <w:rFonts w:ascii="Arial" w:cs="Arial" w:eastAsia="Arial" w:hAnsi="Arial"/>
                <w:sz w:val="18"/>
                <w:szCs w:val="18"/>
                <w:color w:val="auto"/>
              </w:rPr>
              <w:t>98</w:t>
            </w:r>
          </w:p>
        </w:tc>
        <w:tc>
          <w:tcPr>
            <w:tcW w:w="40" w:type="dxa"/>
            <w:vAlign w:val="bottom"/>
            <w:shd w:val="clear" w:color="auto" w:fill="BFE4FF"/>
          </w:tcPr>
          <w:p>
            <w:pPr>
              <w:spacing w:after="0"/>
              <w:rPr>
                <w:sz w:val="22"/>
                <w:szCs w:val="22"/>
                <w:color w:val="auto"/>
              </w:rPr>
            </w:pPr>
          </w:p>
        </w:tc>
        <w:tc>
          <w:tcPr>
            <w:tcW w:w="80" w:type="dxa"/>
            <w:vAlign w:val="bottom"/>
            <w:shd w:val="clear" w:color="auto" w:fill="BFE4FF"/>
          </w:tcPr>
          <w:p>
            <w:pPr>
              <w:spacing w:after="0"/>
              <w:rPr>
                <w:sz w:val="22"/>
                <w:szCs w:val="22"/>
                <w:color w:val="auto"/>
              </w:rPr>
            </w:pPr>
          </w:p>
        </w:tc>
        <w:tc>
          <w:tcPr>
            <w:tcW w:w="20" w:type="dxa"/>
            <w:vAlign w:val="bottom"/>
            <w:shd w:val="clear" w:color="auto" w:fill="BFE4FF"/>
          </w:tcPr>
          <w:p>
            <w:pPr>
              <w:spacing w:after="0"/>
              <w:rPr>
                <w:sz w:val="22"/>
                <w:szCs w:val="22"/>
                <w:color w:val="auto"/>
              </w:rPr>
            </w:pPr>
          </w:p>
        </w:tc>
        <w:tc>
          <w:tcPr>
            <w:tcW w:w="140" w:type="dxa"/>
            <w:vAlign w:val="bottom"/>
            <w:shd w:val="clear" w:color="auto" w:fill="BFE4FF"/>
          </w:tcPr>
          <w:p>
            <w:pPr>
              <w:spacing w:after="0"/>
              <w:rPr>
                <w:sz w:val="22"/>
                <w:szCs w:val="22"/>
                <w:color w:val="auto"/>
              </w:rPr>
            </w:pPr>
          </w:p>
        </w:tc>
        <w:tc>
          <w:tcPr>
            <w:tcW w:w="960" w:type="dxa"/>
            <w:vAlign w:val="bottom"/>
            <w:shd w:val="clear" w:color="auto" w:fill="BFE4FF"/>
          </w:tcPr>
          <w:p>
            <w:pPr>
              <w:jc w:val="right"/>
              <w:ind w:right="52"/>
              <w:spacing w:after="0"/>
              <w:rPr>
                <w:sz w:val="20"/>
                <w:szCs w:val="20"/>
                <w:color w:val="auto"/>
              </w:rPr>
            </w:pPr>
            <w:r>
              <w:rPr>
                <w:rFonts w:ascii="Arial" w:cs="Arial" w:eastAsia="Arial" w:hAnsi="Arial"/>
                <w:sz w:val="18"/>
                <w:szCs w:val="18"/>
                <w:color w:val="auto"/>
              </w:rPr>
              <w:t>90</w:t>
            </w:r>
          </w:p>
        </w:tc>
        <w:tc>
          <w:tcPr>
            <w:tcW w:w="20" w:type="dxa"/>
            <w:vAlign w:val="bottom"/>
            <w:shd w:val="clear" w:color="auto" w:fill="BFE4FF"/>
          </w:tcPr>
          <w:p>
            <w:pPr>
              <w:spacing w:after="0"/>
              <w:rPr>
                <w:sz w:val="22"/>
                <w:szCs w:val="22"/>
                <w:color w:val="auto"/>
              </w:rPr>
            </w:pPr>
          </w:p>
        </w:tc>
        <w:tc>
          <w:tcPr>
            <w:tcW w:w="80" w:type="dxa"/>
            <w:vAlign w:val="bottom"/>
            <w:shd w:val="clear" w:color="auto" w:fill="BFE4FF"/>
          </w:tcPr>
          <w:p>
            <w:pPr>
              <w:spacing w:after="0"/>
              <w:rPr>
                <w:sz w:val="22"/>
                <w:szCs w:val="22"/>
                <w:color w:val="auto"/>
              </w:rPr>
            </w:pPr>
          </w:p>
        </w:tc>
        <w:tc>
          <w:tcPr>
            <w:tcW w:w="20" w:type="dxa"/>
            <w:vAlign w:val="bottom"/>
            <w:shd w:val="clear" w:color="auto" w:fill="BFE4FF"/>
          </w:tcPr>
          <w:p>
            <w:pPr>
              <w:spacing w:after="0"/>
              <w:rPr>
                <w:sz w:val="22"/>
                <w:szCs w:val="22"/>
                <w:color w:val="auto"/>
              </w:rPr>
            </w:pPr>
          </w:p>
        </w:tc>
        <w:tc>
          <w:tcPr>
            <w:tcW w:w="200" w:type="dxa"/>
            <w:vAlign w:val="bottom"/>
            <w:shd w:val="clear" w:color="auto" w:fill="BFE4FF"/>
          </w:tcPr>
          <w:p>
            <w:pPr>
              <w:spacing w:after="0"/>
              <w:rPr>
                <w:sz w:val="22"/>
                <w:szCs w:val="22"/>
                <w:color w:val="auto"/>
              </w:rPr>
            </w:pPr>
          </w:p>
        </w:tc>
        <w:tc>
          <w:tcPr>
            <w:tcW w:w="920" w:type="dxa"/>
            <w:vAlign w:val="bottom"/>
            <w:shd w:val="clear" w:color="auto" w:fill="BFE4FF"/>
          </w:tcPr>
          <w:p>
            <w:pPr>
              <w:jc w:val="right"/>
              <w:ind w:right="31"/>
              <w:spacing w:after="0"/>
              <w:rPr>
                <w:sz w:val="20"/>
                <w:szCs w:val="20"/>
                <w:color w:val="auto"/>
              </w:rPr>
            </w:pPr>
            <w:r>
              <w:rPr>
                <w:rFonts w:ascii="Arial" w:cs="Arial" w:eastAsia="Arial" w:hAnsi="Arial"/>
                <w:sz w:val="18"/>
                <w:szCs w:val="18"/>
                <w:color w:val="auto"/>
              </w:rPr>
              <w:t>12</w:t>
            </w:r>
          </w:p>
        </w:tc>
        <w:tc>
          <w:tcPr>
            <w:tcW w:w="20" w:type="dxa"/>
            <w:vAlign w:val="bottom"/>
            <w:shd w:val="clear" w:color="auto" w:fill="BFE4FF"/>
          </w:tcPr>
          <w:p>
            <w:pPr>
              <w:spacing w:after="0"/>
              <w:rPr>
                <w:sz w:val="22"/>
                <w:szCs w:val="22"/>
                <w:color w:val="auto"/>
              </w:rPr>
            </w:pPr>
          </w:p>
        </w:tc>
        <w:tc>
          <w:tcPr>
            <w:tcW w:w="80" w:type="dxa"/>
            <w:vAlign w:val="bottom"/>
            <w:shd w:val="clear" w:color="auto" w:fill="BFE4FF"/>
          </w:tcPr>
          <w:p>
            <w:pPr>
              <w:spacing w:after="0"/>
              <w:rPr>
                <w:sz w:val="22"/>
                <w:szCs w:val="22"/>
                <w:color w:val="auto"/>
              </w:rPr>
            </w:pPr>
          </w:p>
        </w:tc>
        <w:tc>
          <w:tcPr>
            <w:tcW w:w="40" w:type="dxa"/>
            <w:vAlign w:val="bottom"/>
            <w:shd w:val="clear" w:color="auto" w:fill="BFE4FF"/>
          </w:tcPr>
          <w:p>
            <w:pPr>
              <w:spacing w:after="0"/>
              <w:rPr>
                <w:sz w:val="22"/>
                <w:szCs w:val="22"/>
                <w:color w:val="auto"/>
              </w:rPr>
            </w:pPr>
          </w:p>
        </w:tc>
        <w:tc>
          <w:tcPr>
            <w:tcW w:w="160" w:type="dxa"/>
            <w:vAlign w:val="bottom"/>
            <w:shd w:val="clear" w:color="auto" w:fill="BFE4FF"/>
          </w:tcPr>
          <w:p>
            <w:pPr>
              <w:spacing w:after="0"/>
              <w:rPr>
                <w:sz w:val="22"/>
                <w:szCs w:val="22"/>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(18)</w:t>
            </w:r>
          </w:p>
        </w:tc>
        <w:tc>
          <w:tcPr>
            <w:tcW w:w="40" w:type="dxa"/>
            <w:vAlign w:val="bottom"/>
            <w:shd w:val="clear" w:color="auto" w:fill="BFE4FF"/>
          </w:tcPr>
          <w:p>
            <w:pPr>
              <w:spacing w:after="0"/>
              <w:rPr>
                <w:sz w:val="22"/>
                <w:szCs w:val="22"/>
                <w:color w:val="auto"/>
              </w:rPr>
            </w:pPr>
          </w:p>
        </w:tc>
        <w:tc>
          <w:tcPr>
            <w:tcW w:w="80" w:type="dxa"/>
            <w:vAlign w:val="bottom"/>
            <w:shd w:val="clear" w:color="auto" w:fill="BFE4FF"/>
          </w:tcPr>
          <w:p>
            <w:pPr>
              <w:spacing w:after="0"/>
              <w:rPr>
                <w:sz w:val="22"/>
                <w:szCs w:val="22"/>
                <w:color w:val="auto"/>
              </w:rPr>
            </w:pPr>
          </w:p>
        </w:tc>
        <w:tc>
          <w:tcPr>
            <w:tcW w:w="260" w:type="dxa"/>
            <w:vAlign w:val="bottom"/>
            <w:shd w:val="clear" w:color="auto" w:fill="BFE4FF"/>
          </w:tcPr>
          <w:p>
            <w:pPr>
              <w:spacing w:after="0"/>
              <w:rPr>
                <w:sz w:val="22"/>
                <w:szCs w:val="22"/>
                <w:color w:val="auto"/>
              </w:rPr>
            </w:pPr>
          </w:p>
        </w:tc>
        <w:tc>
          <w:tcPr>
            <w:tcW w:w="860" w:type="dxa"/>
            <w:vAlign w:val="bottom"/>
            <w:shd w:val="clear" w:color="auto" w:fill="BFE4FF"/>
          </w:tcPr>
          <w:p>
            <w:pPr>
              <w:jc w:val="right"/>
              <w:ind w:right="51"/>
              <w:spacing w:after="0"/>
              <w:rPr>
                <w:sz w:val="20"/>
                <w:szCs w:val="20"/>
                <w:color w:val="auto"/>
              </w:rPr>
            </w:pPr>
            <w:r>
              <w:rPr>
                <w:rFonts w:ascii="Arial" w:cs="Arial" w:eastAsia="Arial" w:hAnsi="Arial"/>
                <w:sz w:val="18"/>
                <w:szCs w:val="18"/>
                <w:color w:val="auto"/>
              </w:rPr>
              <w:t>182</w:t>
            </w:r>
          </w:p>
        </w:tc>
        <w:tc>
          <w:tcPr>
            <w:tcW w:w="20" w:type="dxa"/>
            <w:vAlign w:val="bottom"/>
            <w:shd w:val="clear" w:color="auto" w:fill="BFE4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Equity in earnings (losses) of unconsolidated affiliates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BFE4FF"/>
            </w:tcBorders>
            <w:shd w:val="clear" w:color="auto" w:fill="BFE4FF"/>
          </w:tcPr>
          <w:p>
            <w:pPr>
              <w:spacing w:after="0"/>
              <w:rPr>
                <w:sz w:val="21"/>
                <w:szCs w:val="21"/>
                <w:color w:val="auto"/>
              </w:rPr>
            </w:pPr>
          </w:p>
        </w:tc>
        <w:tc>
          <w:tcPr>
            <w:tcW w:w="5140" w:type="dxa"/>
            <w:vAlign w:val="bottom"/>
            <w:tcBorders>
              <w:bottom w:val="single" w:sz="8" w:color="BFE4FF"/>
            </w:tcBorders>
            <w:shd w:val="clear" w:color="auto" w:fill="BFE4FF"/>
          </w:tcPr>
          <w:p>
            <w:pPr>
              <w:ind w:left="160"/>
              <w:spacing w:after="0"/>
              <w:rPr>
                <w:sz w:val="20"/>
                <w:szCs w:val="20"/>
                <w:color w:val="auto"/>
              </w:rPr>
            </w:pPr>
            <w:r>
              <w:rPr>
                <w:rFonts w:ascii="Arial" w:cs="Arial" w:eastAsia="Arial" w:hAnsi="Arial"/>
                <w:sz w:val="18"/>
                <w:szCs w:val="18"/>
                <w:color w:val="auto"/>
              </w:rPr>
              <w:t>Gain on sale of unconsolidated affiliate</w:t>
            </w:r>
          </w:p>
        </w:tc>
        <w:tc>
          <w:tcPr>
            <w:tcW w:w="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gridSpan w:val="2"/>
            <w:shd w:val="clear" w:color="auto" w:fill="BFE4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BFE4FF"/>
            </w:tcBorders>
            <w:shd w:val="clear" w:color="auto" w:fill="BFE4FF"/>
          </w:tcPr>
          <w:p>
            <w:pPr>
              <w:spacing w:after="0"/>
              <w:rPr>
                <w:sz w:val="21"/>
                <w:szCs w:val="21"/>
                <w:color w:val="auto"/>
              </w:rPr>
            </w:pPr>
          </w:p>
        </w:tc>
        <w:tc>
          <w:tcPr>
            <w:tcW w:w="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gridSpan w:val="2"/>
            <w:shd w:val="clear" w:color="auto" w:fill="BFE4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BFE4FF"/>
            </w:tcBorders>
            <w:shd w:val="clear" w:color="auto" w:fill="BFE4FF"/>
          </w:tcPr>
          <w:p>
            <w:pPr>
              <w:spacing w:after="0"/>
              <w:rPr>
                <w:sz w:val="21"/>
                <w:szCs w:val="21"/>
                <w:color w:val="auto"/>
              </w:rPr>
            </w:pPr>
          </w:p>
        </w:tc>
        <w:tc>
          <w:tcPr>
            <w:tcW w:w="2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gridSpan w:val="2"/>
            <w:shd w:val="clear" w:color="auto" w:fill="BFE4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BFE4FF"/>
            </w:tcBorders>
            <w:shd w:val="clear" w:color="auto" w:fill="BFE4FF"/>
          </w:tcPr>
          <w:p>
            <w:pPr>
              <w:spacing w:after="0"/>
              <w:rPr>
                <w:sz w:val="21"/>
                <w:szCs w:val="21"/>
                <w:color w:val="auto"/>
              </w:rPr>
            </w:pPr>
          </w:p>
        </w:tc>
        <w:tc>
          <w:tcPr>
            <w:tcW w:w="4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49</w:t>
            </w:r>
          </w:p>
        </w:tc>
        <w:tc>
          <w:tcPr>
            <w:tcW w:w="40" w:type="dxa"/>
            <w:vAlign w:val="bottom"/>
            <w:tcBorders>
              <w:bottom w:val="single" w:sz="8" w:color="BFE4FF"/>
            </w:tcBorders>
            <w:shd w:val="clear" w:color="auto" w:fill="BFE4FF"/>
          </w:tcPr>
          <w:p>
            <w:pPr>
              <w:spacing w:after="0"/>
              <w:rPr>
                <w:sz w:val="21"/>
                <w:szCs w:val="21"/>
                <w:color w:val="auto"/>
              </w:rPr>
            </w:pPr>
          </w:p>
        </w:tc>
        <w:tc>
          <w:tcPr>
            <w:tcW w:w="8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49</w:t>
            </w:r>
          </w:p>
        </w:tc>
        <w:tc>
          <w:tcPr>
            <w:tcW w:w="2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Other income, net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BFE4FF"/>
            </w:tcBorders>
            <w:shd w:val="clear" w:color="auto" w:fill="BFE4FF"/>
          </w:tcPr>
          <w:p>
            <w:pPr>
              <w:spacing w:after="0"/>
              <w:rPr>
                <w:sz w:val="21"/>
                <w:szCs w:val="21"/>
                <w:color w:val="auto"/>
              </w:rPr>
            </w:pPr>
          </w:p>
        </w:tc>
        <w:tc>
          <w:tcPr>
            <w:tcW w:w="5140" w:type="dxa"/>
            <w:vAlign w:val="bottom"/>
            <w:tcBorders>
              <w:bottom w:val="single" w:sz="8" w:color="BFE4FF"/>
            </w:tcBorders>
            <w:shd w:val="clear" w:color="auto" w:fill="BFE4FF"/>
          </w:tcPr>
          <w:p>
            <w:pPr>
              <w:ind w:left="160"/>
              <w:spacing w:after="0"/>
              <w:rPr>
                <w:sz w:val="20"/>
                <w:szCs w:val="20"/>
                <w:color w:val="auto"/>
              </w:rPr>
            </w:pPr>
            <w:r>
              <w:rPr>
                <w:rFonts w:ascii="Arial" w:cs="Arial" w:eastAsia="Arial" w:hAnsi="Arial"/>
                <w:sz w:val="18"/>
                <w:szCs w:val="18"/>
                <w:color w:val="auto"/>
              </w:rPr>
              <w:t>Loss on debt extinguishment</w:t>
            </w:r>
          </w:p>
        </w:tc>
        <w:tc>
          <w:tcPr>
            <w:tcW w:w="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gridSpan w:val="2"/>
            <w:shd w:val="clear" w:color="auto" w:fill="BFE4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BFE4FF"/>
            </w:tcBorders>
            <w:shd w:val="clear" w:color="auto" w:fill="BFE4FF"/>
          </w:tcPr>
          <w:p>
            <w:pPr>
              <w:spacing w:after="0"/>
              <w:rPr>
                <w:sz w:val="21"/>
                <w:szCs w:val="21"/>
                <w:color w:val="auto"/>
              </w:rPr>
            </w:pPr>
          </w:p>
        </w:tc>
        <w:tc>
          <w:tcPr>
            <w:tcW w:w="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gridSpan w:val="2"/>
            <w:shd w:val="clear" w:color="auto" w:fill="BFE4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BFE4FF"/>
            </w:tcBorders>
            <w:shd w:val="clear" w:color="auto" w:fill="BFE4FF"/>
          </w:tcPr>
          <w:p>
            <w:pPr>
              <w:spacing w:after="0"/>
              <w:rPr>
                <w:sz w:val="21"/>
                <w:szCs w:val="21"/>
                <w:color w:val="auto"/>
              </w:rPr>
            </w:pPr>
          </w:p>
        </w:tc>
        <w:tc>
          <w:tcPr>
            <w:tcW w:w="2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gridSpan w:val="2"/>
            <w:shd w:val="clear" w:color="auto" w:fill="BFE4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BFE4FF"/>
            </w:tcBorders>
            <w:shd w:val="clear" w:color="auto" w:fill="BFE4FF"/>
          </w:tcPr>
          <w:p>
            <w:pPr>
              <w:spacing w:after="0"/>
              <w:rPr>
                <w:sz w:val="21"/>
                <w:szCs w:val="21"/>
                <w:color w:val="auto"/>
              </w:rPr>
            </w:pPr>
          </w:p>
        </w:tc>
        <w:tc>
          <w:tcPr>
            <w:tcW w:w="4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BFE4FF"/>
            </w:tcBorders>
            <w:shd w:val="clear" w:color="auto" w:fill="BFE4FF"/>
          </w:tcPr>
          <w:p>
            <w:pPr>
              <w:spacing w:after="0"/>
              <w:rPr>
                <w:sz w:val="21"/>
                <w:szCs w:val="21"/>
                <w:color w:val="auto"/>
              </w:rPr>
            </w:pPr>
          </w:p>
        </w:tc>
        <w:tc>
          <w:tcPr>
            <w:tcW w:w="8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BFE4FF"/>
            </w:tcBorders>
          </w:tcPr>
          <w:p>
            <w:pPr>
              <w:spacing w:after="0"/>
              <w:rPr>
                <w:sz w:val="2"/>
                <w:szCs w:val="2"/>
                <w:color w:val="auto"/>
              </w:rPr>
            </w:pPr>
          </w:p>
        </w:tc>
        <w:tc>
          <w:tcPr>
            <w:tcW w:w="5140" w:type="dxa"/>
            <w:vAlign w:val="bottom"/>
            <w:tcBorders>
              <w:bottom w:val="single" w:sz="8" w:color="BFE4FF"/>
            </w:tcBorders>
          </w:tcPr>
          <w:p>
            <w:pPr>
              <w:spacing w:after="0"/>
              <w:rPr>
                <w:sz w:val="2"/>
                <w:szCs w:val="2"/>
                <w:color w:val="auto"/>
              </w:rPr>
            </w:pPr>
          </w:p>
        </w:tc>
        <w:tc>
          <w:tcPr>
            <w:tcW w:w="2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BFE4FF"/>
            </w:tcBorders>
          </w:tcPr>
          <w:p>
            <w:pPr>
              <w:spacing w:after="0"/>
              <w:rPr>
                <w:sz w:val="2"/>
                <w:szCs w:val="2"/>
                <w:color w:val="auto"/>
              </w:rPr>
            </w:pPr>
          </w:p>
        </w:tc>
        <w:tc>
          <w:tcPr>
            <w:tcW w:w="2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BFE4FF"/>
            </w:tcBorders>
          </w:tcPr>
          <w:p>
            <w:pPr>
              <w:spacing w:after="0"/>
              <w:rPr>
                <w:sz w:val="2"/>
                <w:szCs w:val="2"/>
                <w:color w:val="auto"/>
              </w:rPr>
            </w:pPr>
          </w:p>
        </w:tc>
        <w:tc>
          <w:tcPr>
            <w:tcW w:w="2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BFE4FF"/>
            </w:tcBorders>
          </w:tcPr>
          <w:p>
            <w:pPr>
              <w:spacing w:after="0"/>
              <w:rPr>
                <w:sz w:val="2"/>
                <w:szCs w:val="2"/>
                <w:color w:val="auto"/>
              </w:rPr>
            </w:pPr>
          </w:p>
        </w:tc>
        <w:tc>
          <w:tcPr>
            <w:tcW w:w="4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shd w:val="clear" w:color="auto" w:fill="BFE4FF"/>
          </w:tcPr>
          <w:p>
            <w:pPr>
              <w:spacing w:after="0"/>
              <w:rPr>
                <w:sz w:val="22"/>
                <w:szCs w:val="22"/>
                <w:color w:val="auto"/>
              </w:rPr>
            </w:pPr>
          </w:p>
        </w:tc>
        <w:tc>
          <w:tcPr>
            <w:tcW w:w="5140" w:type="dxa"/>
            <w:vAlign w:val="bottom"/>
            <w:shd w:val="clear" w:color="auto" w:fill="BFE4FF"/>
          </w:tcPr>
          <w:p>
            <w:pPr>
              <w:spacing w:after="0"/>
              <w:rPr>
                <w:sz w:val="20"/>
                <w:szCs w:val="20"/>
                <w:color w:val="auto"/>
              </w:rPr>
            </w:pPr>
            <w:r>
              <w:rPr>
                <w:rFonts w:ascii="Arial" w:cs="Arial" w:eastAsia="Arial" w:hAnsi="Arial"/>
                <w:sz w:val="18"/>
                <w:szCs w:val="18"/>
                <w:color w:val="auto"/>
              </w:rPr>
              <w:t>Income (loss) before income taxes</w:t>
            </w:r>
          </w:p>
        </w:tc>
        <w:tc>
          <w:tcPr>
            <w:tcW w:w="20" w:type="dxa"/>
            <w:vAlign w:val="bottom"/>
            <w:shd w:val="clear" w:color="auto" w:fill="BFE4FF"/>
          </w:tcPr>
          <w:p>
            <w:pPr>
              <w:spacing w:after="0"/>
              <w:rPr>
                <w:sz w:val="22"/>
                <w:szCs w:val="22"/>
                <w:color w:val="auto"/>
              </w:rPr>
            </w:pPr>
          </w:p>
        </w:tc>
        <w:tc>
          <w:tcPr>
            <w:tcW w:w="120" w:type="dxa"/>
            <w:vAlign w:val="bottom"/>
            <w:shd w:val="clear" w:color="auto" w:fill="BFE4FF"/>
          </w:tcPr>
          <w:p>
            <w:pPr>
              <w:spacing w:after="0"/>
              <w:rPr>
                <w:sz w:val="22"/>
                <w:szCs w:val="22"/>
                <w:color w:val="auto"/>
              </w:rPr>
            </w:pPr>
          </w:p>
        </w:tc>
        <w:tc>
          <w:tcPr>
            <w:tcW w:w="980" w:type="dxa"/>
            <w:vAlign w:val="bottom"/>
            <w:shd w:val="clear" w:color="auto" w:fill="BFE4FF"/>
          </w:tcPr>
          <w:p>
            <w:pPr>
              <w:jc w:val="right"/>
              <w:ind w:right="32"/>
              <w:spacing w:after="0"/>
              <w:rPr>
                <w:sz w:val="20"/>
                <w:szCs w:val="20"/>
                <w:color w:val="auto"/>
              </w:rPr>
            </w:pPr>
            <w:r>
              <w:rPr>
                <w:rFonts w:ascii="Arial" w:cs="Arial" w:eastAsia="Arial" w:hAnsi="Arial"/>
                <w:sz w:val="18"/>
                <w:szCs w:val="18"/>
                <w:color w:val="auto"/>
              </w:rPr>
              <w:t>49</w:t>
            </w:r>
          </w:p>
        </w:tc>
        <w:tc>
          <w:tcPr>
            <w:tcW w:w="40" w:type="dxa"/>
            <w:vAlign w:val="bottom"/>
            <w:shd w:val="clear" w:color="auto" w:fill="BFE4FF"/>
          </w:tcPr>
          <w:p>
            <w:pPr>
              <w:spacing w:after="0"/>
              <w:rPr>
                <w:sz w:val="22"/>
                <w:szCs w:val="22"/>
                <w:color w:val="auto"/>
              </w:rPr>
            </w:pPr>
          </w:p>
        </w:tc>
        <w:tc>
          <w:tcPr>
            <w:tcW w:w="80" w:type="dxa"/>
            <w:vAlign w:val="bottom"/>
            <w:shd w:val="clear" w:color="auto" w:fill="BFE4FF"/>
          </w:tcPr>
          <w:p>
            <w:pPr>
              <w:spacing w:after="0"/>
              <w:rPr>
                <w:sz w:val="22"/>
                <w:szCs w:val="22"/>
                <w:color w:val="auto"/>
              </w:rPr>
            </w:pPr>
          </w:p>
        </w:tc>
        <w:tc>
          <w:tcPr>
            <w:tcW w:w="20" w:type="dxa"/>
            <w:vAlign w:val="bottom"/>
            <w:shd w:val="clear" w:color="auto" w:fill="BFE4FF"/>
          </w:tcPr>
          <w:p>
            <w:pPr>
              <w:spacing w:after="0"/>
              <w:rPr>
                <w:sz w:val="22"/>
                <w:szCs w:val="22"/>
                <w:color w:val="auto"/>
              </w:rPr>
            </w:pPr>
          </w:p>
        </w:tc>
        <w:tc>
          <w:tcPr>
            <w:tcW w:w="140" w:type="dxa"/>
            <w:vAlign w:val="bottom"/>
            <w:shd w:val="clear" w:color="auto" w:fill="BFE4FF"/>
          </w:tcPr>
          <w:p>
            <w:pPr>
              <w:spacing w:after="0"/>
              <w:rPr>
                <w:sz w:val="22"/>
                <w:szCs w:val="22"/>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(60)</w:t>
            </w:r>
          </w:p>
        </w:tc>
        <w:tc>
          <w:tcPr>
            <w:tcW w:w="20" w:type="dxa"/>
            <w:vAlign w:val="bottom"/>
            <w:shd w:val="clear" w:color="auto" w:fill="BFE4FF"/>
          </w:tcPr>
          <w:p>
            <w:pPr>
              <w:spacing w:after="0"/>
              <w:rPr>
                <w:sz w:val="22"/>
                <w:szCs w:val="22"/>
                <w:color w:val="auto"/>
              </w:rPr>
            </w:pPr>
          </w:p>
        </w:tc>
        <w:tc>
          <w:tcPr>
            <w:tcW w:w="80" w:type="dxa"/>
            <w:vAlign w:val="bottom"/>
            <w:shd w:val="clear" w:color="auto" w:fill="BFE4FF"/>
          </w:tcPr>
          <w:p>
            <w:pPr>
              <w:spacing w:after="0"/>
              <w:rPr>
                <w:sz w:val="22"/>
                <w:szCs w:val="22"/>
                <w:color w:val="auto"/>
              </w:rPr>
            </w:pPr>
          </w:p>
        </w:tc>
        <w:tc>
          <w:tcPr>
            <w:tcW w:w="20" w:type="dxa"/>
            <w:vAlign w:val="bottom"/>
            <w:shd w:val="clear" w:color="auto" w:fill="BFE4FF"/>
          </w:tcPr>
          <w:p>
            <w:pPr>
              <w:spacing w:after="0"/>
              <w:rPr>
                <w:sz w:val="22"/>
                <w:szCs w:val="22"/>
                <w:color w:val="auto"/>
              </w:rPr>
            </w:pPr>
          </w:p>
        </w:tc>
        <w:tc>
          <w:tcPr>
            <w:tcW w:w="200" w:type="dxa"/>
            <w:vAlign w:val="bottom"/>
            <w:shd w:val="clear" w:color="auto" w:fill="BFE4FF"/>
          </w:tcPr>
          <w:p>
            <w:pPr>
              <w:spacing w:after="0"/>
              <w:rPr>
                <w:sz w:val="22"/>
                <w:szCs w:val="22"/>
                <w:color w:val="auto"/>
              </w:rPr>
            </w:pPr>
          </w:p>
        </w:tc>
        <w:tc>
          <w:tcPr>
            <w:tcW w:w="920" w:type="dxa"/>
            <w:vAlign w:val="bottom"/>
            <w:shd w:val="clear" w:color="auto" w:fill="BFE4FF"/>
          </w:tcPr>
          <w:p>
            <w:pPr>
              <w:jc w:val="right"/>
              <w:ind w:right="31"/>
              <w:spacing w:after="0"/>
              <w:rPr>
                <w:sz w:val="20"/>
                <w:szCs w:val="20"/>
                <w:color w:val="auto"/>
              </w:rPr>
            </w:pPr>
            <w:r>
              <w:rPr>
                <w:rFonts w:ascii="Arial" w:cs="Arial" w:eastAsia="Arial" w:hAnsi="Arial"/>
                <w:sz w:val="18"/>
                <w:szCs w:val="18"/>
                <w:color w:val="auto"/>
              </w:rPr>
              <w:t>3</w:t>
            </w:r>
          </w:p>
        </w:tc>
        <w:tc>
          <w:tcPr>
            <w:tcW w:w="20" w:type="dxa"/>
            <w:vAlign w:val="bottom"/>
            <w:shd w:val="clear" w:color="auto" w:fill="BFE4FF"/>
          </w:tcPr>
          <w:p>
            <w:pPr>
              <w:spacing w:after="0"/>
              <w:rPr>
                <w:sz w:val="22"/>
                <w:szCs w:val="22"/>
                <w:color w:val="auto"/>
              </w:rPr>
            </w:pPr>
          </w:p>
        </w:tc>
        <w:tc>
          <w:tcPr>
            <w:tcW w:w="80" w:type="dxa"/>
            <w:vAlign w:val="bottom"/>
            <w:shd w:val="clear" w:color="auto" w:fill="BFE4FF"/>
          </w:tcPr>
          <w:p>
            <w:pPr>
              <w:spacing w:after="0"/>
              <w:rPr>
                <w:sz w:val="22"/>
                <w:szCs w:val="22"/>
                <w:color w:val="auto"/>
              </w:rPr>
            </w:pPr>
          </w:p>
        </w:tc>
        <w:tc>
          <w:tcPr>
            <w:tcW w:w="40" w:type="dxa"/>
            <w:vAlign w:val="bottom"/>
            <w:shd w:val="clear" w:color="auto" w:fill="BFE4FF"/>
          </w:tcPr>
          <w:p>
            <w:pPr>
              <w:spacing w:after="0"/>
              <w:rPr>
                <w:sz w:val="22"/>
                <w:szCs w:val="22"/>
                <w:color w:val="auto"/>
              </w:rPr>
            </w:pPr>
          </w:p>
        </w:tc>
        <w:tc>
          <w:tcPr>
            <w:tcW w:w="160" w:type="dxa"/>
            <w:vAlign w:val="bottom"/>
            <w:shd w:val="clear" w:color="auto" w:fill="BFE4FF"/>
          </w:tcPr>
          <w:p>
            <w:pPr>
              <w:spacing w:after="0"/>
              <w:rPr>
                <w:sz w:val="22"/>
                <w:szCs w:val="22"/>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(19)</w:t>
            </w:r>
          </w:p>
        </w:tc>
        <w:tc>
          <w:tcPr>
            <w:tcW w:w="40" w:type="dxa"/>
            <w:vAlign w:val="bottom"/>
            <w:shd w:val="clear" w:color="auto" w:fill="BFE4FF"/>
          </w:tcPr>
          <w:p>
            <w:pPr>
              <w:spacing w:after="0"/>
              <w:rPr>
                <w:sz w:val="22"/>
                <w:szCs w:val="22"/>
                <w:color w:val="auto"/>
              </w:rPr>
            </w:pPr>
          </w:p>
        </w:tc>
        <w:tc>
          <w:tcPr>
            <w:tcW w:w="80" w:type="dxa"/>
            <w:vAlign w:val="bottom"/>
            <w:shd w:val="clear" w:color="auto" w:fill="BFE4FF"/>
          </w:tcPr>
          <w:p>
            <w:pPr>
              <w:spacing w:after="0"/>
              <w:rPr>
                <w:sz w:val="22"/>
                <w:szCs w:val="22"/>
                <w:color w:val="auto"/>
              </w:rPr>
            </w:pPr>
          </w:p>
        </w:tc>
        <w:tc>
          <w:tcPr>
            <w:tcW w:w="260" w:type="dxa"/>
            <w:vAlign w:val="bottom"/>
            <w:shd w:val="clear" w:color="auto" w:fill="BFE4FF"/>
          </w:tcPr>
          <w:p>
            <w:pPr>
              <w:spacing w:after="0"/>
              <w:rPr>
                <w:sz w:val="22"/>
                <w:szCs w:val="22"/>
                <w:color w:val="auto"/>
              </w:rPr>
            </w:pPr>
          </w:p>
        </w:tc>
        <w:tc>
          <w:tcPr>
            <w:tcW w:w="8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BFE4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BFE4FF"/>
            </w:tcBorders>
          </w:tcPr>
          <w:p>
            <w:pPr>
              <w:spacing w:after="0"/>
              <w:rPr>
                <w:sz w:val="2"/>
                <w:szCs w:val="2"/>
                <w:color w:val="auto"/>
              </w:rPr>
            </w:pPr>
          </w:p>
        </w:tc>
        <w:tc>
          <w:tcPr>
            <w:tcW w:w="5140" w:type="dxa"/>
            <w:vAlign w:val="bottom"/>
            <w:tcBorders>
              <w:bottom w:val="single" w:sz="8" w:color="BFE4FF"/>
            </w:tcBorders>
          </w:tcPr>
          <w:p>
            <w:pPr>
              <w:spacing w:after="0"/>
              <w:rPr>
                <w:sz w:val="2"/>
                <w:szCs w:val="2"/>
                <w:color w:val="auto"/>
              </w:rPr>
            </w:pPr>
          </w:p>
        </w:tc>
        <w:tc>
          <w:tcPr>
            <w:tcW w:w="2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BFE4FF"/>
            </w:tcBorders>
          </w:tcPr>
          <w:p>
            <w:pPr>
              <w:spacing w:after="0"/>
              <w:rPr>
                <w:sz w:val="2"/>
                <w:szCs w:val="2"/>
                <w:color w:val="auto"/>
              </w:rPr>
            </w:pPr>
          </w:p>
        </w:tc>
        <w:tc>
          <w:tcPr>
            <w:tcW w:w="2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BFE4FF"/>
            </w:tcBorders>
          </w:tcPr>
          <w:p>
            <w:pPr>
              <w:spacing w:after="0"/>
              <w:rPr>
                <w:sz w:val="2"/>
                <w:szCs w:val="2"/>
                <w:color w:val="auto"/>
              </w:rPr>
            </w:pPr>
          </w:p>
        </w:tc>
        <w:tc>
          <w:tcPr>
            <w:tcW w:w="2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BFE4FF"/>
            </w:tcBorders>
          </w:tcPr>
          <w:p>
            <w:pPr>
              <w:spacing w:after="0"/>
              <w:rPr>
                <w:sz w:val="2"/>
                <w:szCs w:val="2"/>
                <w:color w:val="auto"/>
              </w:rPr>
            </w:pPr>
          </w:p>
        </w:tc>
        <w:tc>
          <w:tcPr>
            <w:tcW w:w="4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tcBorders>
              <w:bottom w:val="single" w:sz="8" w:color="BFE4FF"/>
            </w:tcBorders>
            <w:shd w:val="clear" w:color="auto" w:fill="BFE4FF"/>
          </w:tcPr>
          <w:p>
            <w:pPr>
              <w:spacing w:after="0"/>
              <w:rPr>
                <w:sz w:val="24"/>
                <w:szCs w:val="24"/>
                <w:color w:val="auto"/>
              </w:rPr>
            </w:pPr>
          </w:p>
        </w:tc>
        <w:tc>
          <w:tcPr>
            <w:tcW w:w="5140" w:type="dxa"/>
            <w:vAlign w:val="bottom"/>
            <w:tcBorders>
              <w:bottom w:val="single" w:sz="8" w:color="BFE4FF"/>
            </w:tcBorders>
            <w:shd w:val="clear" w:color="auto" w:fill="BFE4FF"/>
          </w:tcPr>
          <w:p>
            <w:pPr>
              <w:spacing w:after="0"/>
              <w:rPr>
                <w:sz w:val="20"/>
                <w:szCs w:val="20"/>
                <w:color w:val="auto"/>
              </w:rPr>
            </w:pPr>
            <w:r>
              <w:rPr>
                <w:rFonts w:ascii="Arial" w:cs="Arial" w:eastAsia="Arial" w:hAnsi="Arial"/>
                <w:sz w:val="18"/>
                <w:szCs w:val="18"/>
                <w:color w:val="auto"/>
              </w:rPr>
              <w:t>Net Income (Loss)</w:t>
            </w:r>
          </w:p>
        </w:tc>
        <w:tc>
          <w:tcPr>
            <w:tcW w:w="20" w:type="dxa"/>
            <w:vAlign w:val="bottom"/>
            <w:tcBorders>
              <w:bottom w:val="single" w:sz="8" w:color="BFE4FF"/>
            </w:tcBorders>
            <w:shd w:val="clear" w:color="auto" w:fill="BFE4FF"/>
          </w:tcPr>
          <w:p>
            <w:pPr>
              <w:spacing w:after="0"/>
              <w:rPr>
                <w:sz w:val="24"/>
                <w:szCs w:val="24"/>
                <w:color w:val="auto"/>
              </w:rPr>
            </w:pPr>
          </w:p>
        </w:tc>
        <w:tc>
          <w:tcPr>
            <w:tcW w:w="1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BFE4FF"/>
          </w:tcPr>
          <w:p>
            <w:pPr>
              <w:jc w:val="right"/>
              <w:ind w:right="32"/>
              <w:spacing w:after="0"/>
              <w:rPr>
                <w:sz w:val="20"/>
                <w:szCs w:val="20"/>
                <w:color w:val="auto"/>
              </w:rPr>
            </w:pPr>
            <w:r>
              <w:rPr>
                <w:rFonts w:ascii="Arial" w:cs="Arial" w:eastAsia="Arial" w:hAnsi="Arial"/>
                <w:sz w:val="18"/>
                <w:szCs w:val="18"/>
                <w:color w:val="auto"/>
              </w:rPr>
              <w:t>49</w:t>
            </w:r>
          </w:p>
        </w:tc>
        <w:tc>
          <w:tcPr>
            <w:tcW w:w="40" w:type="dxa"/>
            <w:vAlign w:val="bottom"/>
            <w:tcBorders>
              <w:bottom w:val="single" w:sz="8" w:color="auto"/>
            </w:tcBorders>
            <w:shd w:val="clear" w:color="auto" w:fill="BFE4FF"/>
          </w:tcPr>
          <w:p>
            <w:pPr>
              <w:spacing w:after="0"/>
              <w:rPr>
                <w:sz w:val="24"/>
                <w:szCs w:val="24"/>
                <w:color w:val="auto"/>
              </w:rPr>
            </w:pPr>
          </w:p>
        </w:tc>
        <w:tc>
          <w:tcPr>
            <w:tcW w:w="100" w:type="dxa"/>
            <w:vAlign w:val="bottom"/>
            <w:tcBorders>
              <w:bottom w:val="single" w:sz="8" w:color="BFE4FF"/>
            </w:tcBorders>
            <w:gridSpan w:val="2"/>
            <w:shd w:val="clear" w:color="auto" w:fill="BFE4FF"/>
          </w:tcPr>
          <w:p>
            <w:pPr>
              <w:spacing w:after="0"/>
              <w:rPr>
                <w:sz w:val="24"/>
                <w:szCs w:val="24"/>
                <w:color w:val="auto"/>
              </w:rPr>
            </w:pPr>
          </w:p>
        </w:tc>
        <w:tc>
          <w:tcPr>
            <w:tcW w:w="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Borders>
              <w:bottom w:val="single" w:sz="8" w:color="auto"/>
            </w:tcBorders>
            <w:shd w:val="clear" w:color="auto" w:fill="BFE4FF"/>
          </w:tcPr>
          <w:p>
            <w:pPr>
              <w:spacing w:after="0"/>
              <w:rPr>
                <w:sz w:val="24"/>
                <w:szCs w:val="24"/>
                <w:color w:val="auto"/>
              </w:rPr>
            </w:pPr>
          </w:p>
        </w:tc>
        <w:tc>
          <w:tcPr>
            <w:tcW w:w="100" w:type="dxa"/>
            <w:vAlign w:val="bottom"/>
            <w:tcBorders>
              <w:bottom w:val="single" w:sz="8" w:color="BFE4FF"/>
            </w:tcBorders>
            <w:gridSpan w:val="2"/>
            <w:shd w:val="clear" w:color="auto" w:fill="BFE4FF"/>
          </w:tcPr>
          <w:p>
            <w:pPr>
              <w:spacing w:after="0"/>
              <w:rPr>
                <w:sz w:val="24"/>
                <w:szCs w:val="24"/>
                <w:color w:val="auto"/>
              </w:rPr>
            </w:pPr>
          </w:p>
        </w:tc>
        <w:tc>
          <w:tcPr>
            <w:tcW w:w="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BFE4FF"/>
          </w:tcPr>
          <w:p>
            <w:pPr>
              <w:jc w:val="right"/>
              <w:ind w:right="31"/>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shd w:val="clear" w:color="auto" w:fill="BFE4FF"/>
          </w:tcPr>
          <w:p>
            <w:pPr>
              <w:spacing w:after="0"/>
              <w:rPr>
                <w:sz w:val="24"/>
                <w:szCs w:val="24"/>
                <w:color w:val="auto"/>
              </w:rPr>
            </w:pPr>
          </w:p>
        </w:tc>
        <w:tc>
          <w:tcPr>
            <w:tcW w:w="120" w:type="dxa"/>
            <w:vAlign w:val="bottom"/>
            <w:tcBorders>
              <w:bottom w:val="single" w:sz="8" w:color="BFE4FF"/>
            </w:tcBorders>
            <w:gridSpan w:val="2"/>
            <w:shd w:val="clear" w:color="auto" w:fill="BFE4FF"/>
          </w:tcPr>
          <w:p>
            <w:pPr>
              <w:spacing w:after="0"/>
              <w:rPr>
                <w:sz w:val="24"/>
                <w:szCs w:val="24"/>
                <w:color w:val="auto"/>
              </w:rPr>
            </w:pP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(23)</w:t>
            </w:r>
          </w:p>
        </w:tc>
        <w:tc>
          <w:tcPr>
            <w:tcW w:w="40" w:type="dxa"/>
            <w:vAlign w:val="bottom"/>
            <w:tcBorders>
              <w:bottom w:val="single" w:sz="8" w:color="auto"/>
            </w:tcBorders>
            <w:shd w:val="clear" w:color="auto" w:fill="BFE4FF"/>
          </w:tcPr>
          <w:p>
            <w:pPr>
              <w:spacing w:after="0"/>
              <w:rPr>
                <w:sz w:val="24"/>
                <w:szCs w:val="24"/>
                <w:color w:val="auto"/>
              </w:rPr>
            </w:pPr>
          </w:p>
        </w:tc>
        <w:tc>
          <w:tcPr>
            <w:tcW w:w="80" w:type="dxa"/>
            <w:vAlign w:val="bottom"/>
            <w:tcBorders>
              <w:bottom w:val="single" w:sz="8" w:color="BFE4FF"/>
            </w:tcBorders>
            <w:shd w:val="clear" w:color="auto" w:fill="BFE4FF"/>
          </w:tcPr>
          <w:p>
            <w:pPr>
              <w:spacing w:after="0"/>
              <w:rPr>
                <w:sz w:val="24"/>
                <w:szCs w:val="24"/>
                <w:color w:val="auto"/>
              </w:rPr>
            </w:pPr>
          </w:p>
        </w:tc>
        <w:tc>
          <w:tcPr>
            <w:tcW w:w="260" w:type="dxa"/>
            <w:vAlign w:val="bottom"/>
            <w:tcBorders>
              <w:bottom w:val="single" w:sz="8" w:color="auto"/>
            </w:tcBorders>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Borders>
              <w:bottom w:val="single" w:sz="8" w:color="auto"/>
            </w:tcBorders>
            <w:shd w:val="clear" w:color="auto" w:fill="BFE4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7"/>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13"/>
          </w:tcPr>
          <w:p>
            <w:pPr>
              <w:jc w:val="center"/>
              <w:ind w:right="300"/>
              <w:spacing w:after="0"/>
              <w:rPr>
                <w:sz w:val="20"/>
                <w:szCs w:val="20"/>
                <w:color w:val="auto"/>
              </w:rPr>
            </w:pPr>
            <w:r>
              <w:rPr>
                <w:rFonts w:ascii="Arial" w:cs="Arial" w:eastAsia="Arial" w:hAnsi="Arial"/>
                <w:sz w:val="14"/>
                <w:szCs w:val="14"/>
                <w:b w:val="1"/>
                <w:bCs w:val="1"/>
                <w:color w:val="auto"/>
                <w:w w:val="90"/>
              </w:rPr>
              <w:t>Six months ended June 30, 2019</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Conventional</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1"/>
              </w:rPr>
              <w:t>Renewables</w:t>
            </w:r>
          </w:p>
        </w:tc>
        <w:tc>
          <w:tcPr>
            <w:tcW w:w="2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center"/>
              <w:ind w:right="131"/>
              <w:spacing w:after="0"/>
              <w:rPr>
                <w:sz w:val="20"/>
                <w:szCs w:val="20"/>
                <w:color w:val="auto"/>
              </w:rPr>
            </w:pPr>
            <w:r>
              <w:rPr>
                <w:rFonts w:ascii="Arial" w:cs="Arial" w:eastAsia="Arial" w:hAnsi="Arial"/>
                <w:sz w:val="14"/>
                <w:szCs w:val="14"/>
                <w:b w:val="1"/>
                <w:bCs w:val="1"/>
                <w:color w:val="auto"/>
                <w:w w:val="99"/>
              </w:rPr>
              <w:t>Thermal</w:t>
            </w:r>
          </w:p>
        </w:tc>
        <w:tc>
          <w:tcPr>
            <w:tcW w:w="2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8"/>
              </w:rPr>
              <w:t>Corporate</w:t>
            </w:r>
          </w:p>
        </w:tc>
        <w:tc>
          <w:tcPr>
            <w:tcW w:w="120" w:type="dxa"/>
            <w:vAlign w:val="bottom"/>
            <w:gridSpan w:val="2"/>
            <w:vMerge w:val="restart"/>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40" w:type="dxa"/>
            <w:vAlign w:val="bottom"/>
            <w:tcBorders>
              <w:bottom w:val="single" w:sz="8" w:color="BFE4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Generation</w:t>
            </w:r>
          </w:p>
        </w:tc>
        <w:tc>
          <w:tcPr>
            <w:tcW w:w="40" w:type="dxa"/>
            <w:vAlign w:val="bottom"/>
            <w:tcBorders>
              <w:bottom w:val="single" w:sz="8" w:color="BFE4FF"/>
            </w:tcBorders>
          </w:tcPr>
          <w:p>
            <w:pPr>
              <w:spacing w:after="0"/>
              <w:rPr>
                <w:sz w:val="16"/>
                <w:szCs w:val="16"/>
                <w:color w:val="auto"/>
              </w:rPr>
            </w:pPr>
          </w:p>
        </w:tc>
        <w:tc>
          <w:tcPr>
            <w:tcW w:w="80" w:type="dxa"/>
            <w:vAlign w:val="bottom"/>
            <w:tcBorders>
              <w:bottom w:val="single" w:sz="8" w:color="BFE4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BFE4FF"/>
            </w:tcBorders>
            <w:vMerge w:val="continue"/>
          </w:tcPr>
          <w:p>
            <w:pPr>
              <w:spacing w:after="0"/>
              <w:rPr>
                <w:sz w:val="16"/>
                <w:szCs w:val="16"/>
                <w:color w:val="auto"/>
              </w:rPr>
            </w:pPr>
          </w:p>
        </w:tc>
        <w:tc>
          <w:tcPr>
            <w:tcW w:w="80" w:type="dxa"/>
            <w:vAlign w:val="bottom"/>
            <w:tcBorders>
              <w:bottom w:val="single" w:sz="8" w:color="BFE4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BFE4FF"/>
            </w:tcBorders>
            <w:vMerge w:val="continue"/>
          </w:tcPr>
          <w:p>
            <w:pPr>
              <w:spacing w:after="0"/>
              <w:rPr>
                <w:sz w:val="16"/>
                <w:szCs w:val="16"/>
                <w:color w:val="auto"/>
              </w:rPr>
            </w:pPr>
          </w:p>
        </w:tc>
        <w:tc>
          <w:tcPr>
            <w:tcW w:w="80" w:type="dxa"/>
            <w:vAlign w:val="bottom"/>
            <w:tcBorders>
              <w:bottom w:val="single" w:sz="8" w:color="BFE4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BFE4FF"/>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140" w:type="dxa"/>
            <w:vAlign w:val="bottom"/>
            <w:tcBorders>
              <w:bottom w:val="single" w:sz="8" w:color="BFE4FF"/>
            </w:tcBorders>
            <w:shd w:val="clear" w:color="auto" w:fill="BFE4FF"/>
          </w:tcPr>
          <w:p>
            <w:pPr>
              <w:ind w:left="60"/>
              <w:spacing w:after="0"/>
              <w:rPr>
                <w:sz w:val="20"/>
                <w:szCs w:val="20"/>
                <w:color w:val="auto"/>
              </w:rPr>
            </w:pPr>
            <w:r>
              <w:rPr>
                <w:rFonts w:ascii="Arial" w:cs="Arial" w:eastAsia="Arial" w:hAnsi="Arial"/>
                <w:sz w:val="18"/>
                <w:szCs w:val="18"/>
                <w:color w:val="auto"/>
              </w:rPr>
              <w:t>Operating revenues</w:t>
            </w:r>
          </w:p>
        </w:tc>
        <w:tc>
          <w:tcPr>
            <w:tcW w:w="140" w:type="dxa"/>
            <w:vAlign w:val="bottom"/>
            <w:tcBorders>
              <w:bottom w:val="single" w:sz="8" w:color="BFE4FF"/>
            </w:tcBorders>
            <w:gridSpan w:val="2"/>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BFE4FF"/>
            </w:tcBorders>
            <w:shd w:val="clear" w:color="auto" w:fill="BFE4FF"/>
          </w:tcPr>
          <w:p>
            <w:pPr>
              <w:jc w:val="right"/>
              <w:ind w:right="52"/>
              <w:spacing w:after="0"/>
              <w:rPr>
                <w:sz w:val="20"/>
                <w:szCs w:val="20"/>
                <w:color w:val="auto"/>
              </w:rPr>
            </w:pPr>
            <w:r>
              <w:rPr>
                <w:rFonts w:ascii="Arial" w:cs="Arial" w:eastAsia="Arial" w:hAnsi="Arial"/>
                <w:sz w:val="18"/>
                <w:szCs w:val="18"/>
                <w:color w:val="auto"/>
              </w:rPr>
              <w:t>163</w:t>
            </w:r>
          </w:p>
        </w:tc>
        <w:tc>
          <w:tcPr>
            <w:tcW w:w="4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gridSpan w:val="3"/>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BFE4FF"/>
            </w:tcBorders>
            <w:shd w:val="clear" w:color="auto" w:fill="BFE4FF"/>
          </w:tcPr>
          <w:p>
            <w:pPr>
              <w:jc w:val="right"/>
              <w:ind w:right="72"/>
              <w:spacing w:after="0"/>
              <w:rPr>
                <w:sz w:val="20"/>
                <w:szCs w:val="20"/>
                <w:color w:val="auto"/>
              </w:rPr>
            </w:pPr>
            <w:r>
              <w:rPr>
                <w:rFonts w:ascii="Arial" w:cs="Arial" w:eastAsia="Arial" w:hAnsi="Arial"/>
                <w:sz w:val="18"/>
                <w:szCs w:val="18"/>
                <w:color w:val="auto"/>
              </w:rPr>
              <w:t>241</w:t>
            </w:r>
          </w:p>
        </w:tc>
        <w:tc>
          <w:tcPr>
            <w:tcW w:w="2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gridSpan w:val="3"/>
            <w:shd w:val="clear" w:color="auto" w:fill="BFE4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BFE4FF"/>
            </w:tcBorders>
            <w:shd w:val="clear" w:color="auto" w:fill="BFE4FF"/>
          </w:tcPr>
          <w:p>
            <w:pPr>
              <w:jc w:val="right"/>
              <w:ind w:right="71"/>
              <w:spacing w:after="0"/>
              <w:rPr>
                <w:sz w:val="20"/>
                <w:szCs w:val="20"/>
                <w:color w:val="auto"/>
              </w:rPr>
            </w:pPr>
            <w:r>
              <w:rPr>
                <w:rFonts w:ascii="Arial" w:cs="Arial" w:eastAsia="Arial" w:hAnsi="Arial"/>
                <w:sz w:val="18"/>
                <w:szCs w:val="18"/>
                <w:color w:val="auto"/>
              </w:rPr>
              <w:t>97</w:t>
            </w:r>
          </w:p>
        </w:tc>
        <w:tc>
          <w:tcPr>
            <w:tcW w:w="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gridSpan w:val="3"/>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BFE4FF"/>
            </w:tcBorders>
            <w:gridSpan w:val="3"/>
            <w:shd w:val="clear" w:color="auto" w:fill="BFE4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501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Cost of operations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BFE4FF"/>
            </w:tcBorders>
            <w:shd w:val="clear" w:color="auto" w:fill="BFE4FF"/>
          </w:tcPr>
          <w:p>
            <w:pPr>
              <w:ind w:left="160"/>
              <w:spacing w:after="0"/>
              <w:rPr>
                <w:sz w:val="20"/>
                <w:szCs w:val="20"/>
                <w:color w:val="auto"/>
              </w:rPr>
            </w:pPr>
            <w:r>
              <w:rPr>
                <w:rFonts w:ascii="Arial" w:cs="Arial" w:eastAsia="Arial" w:hAnsi="Arial"/>
                <w:sz w:val="18"/>
                <w:szCs w:val="18"/>
                <w:color w:val="auto"/>
              </w:rPr>
              <w:t>Depreciation, amortization and accretion</w:t>
            </w:r>
          </w:p>
        </w:tc>
        <w:tc>
          <w:tcPr>
            <w:tcW w:w="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52"/>
              <w:spacing w:after="0"/>
              <w:rPr>
                <w:sz w:val="20"/>
                <w:szCs w:val="20"/>
                <w:color w:val="auto"/>
              </w:rPr>
            </w:pPr>
            <w:r>
              <w:rPr>
                <w:rFonts w:ascii="Arial" w:cs="Arial" w:eastAsia="Arial" w:hAnsi="Arial"/>
                <w:sz w:val="18"/>
                <w:szCs w:val="18"/>
                <w:color w:val="auto"/>
              </w:rPr>
              <w:t>50</w:t>
            </w:r>
          </w:p>
        </w:tc>
        <w:tc>
          <w:tcPr>
            <w:tcW w:w="40" w:type="dxa"/>
            <w:vAlign w:val="bottom"/>
            <w:tcBorders>
              <w:bottom w:val="single" w:sz="8" w:color="BFE4FF"/>
            </w:tcBorders>
            <w:shd w:val="clear" w:color="auto" w:fill="BFE4FF"/>
          </w:tcPr>
          <w:p>
            <w:pPr>
              <w:spacing w:after="0"/>
              <w:rPr>
                <w:sz w:val="21"/>
                <w:szCs w:val="21"/>
                <w:color w:val="auto"/>
              </w:rPr>
            </w:pPr>
          </w:p>
        </w:tc>
        <w:tc>
          <w:tcPr>
            <w:tcW w:w="80" w:type="dxa"/>
            <w:vAlign w:val="bottom"/>
            <w:tcBorders>
              <w:bottom w:val="single" w:sz="8" w:color="BFE4FF"/>
            </w:tcBorders>
            <w:shd w:val="clear" w:color="auto" w:fill="BFE4FF"/>
          </w:tcPr>
          <w:p>
            <w:pPr>
              <w:spacing w:after="0"/>
              <w:rPr>
                <w:sz w:val="21"/>
                <w:szCs w:val="21"/>
                <w:color w:val="auto"/>
              </w:rPr>
            </w:pPr>
          </w:p>
        </w:tc>
        <w:tc>
          <w:tcPr>
            <w:tcW w:w="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ind w:right="72"/>
              <w:spacing w:after="0"/>
              <w:rPr>
                <w:sz w:val="20"/>
                <w:szCs w:val="20"/>
                <w:color w:val="auto"/>
              </w:rPr>
            </w:pPr>
            <w:r>
              <w:rPr>
                <w:rFonts w:ascii="Arial" w:cs="Arial" w:eastAsia="Arial" w:hAnsi="Arial"/>
                <w:sz w:val="18"/>
                <w:szCs w:val="18"/>
                <w:color w:val="auto"/>
              </w:rPr>
              <w:t>113</w:t>
            </w:r>
          </w:p>
        </w:tc>
        <w:tc>
          <w:tcPr>
            <w:tcW w:w="20" w:type="dxa"/>
            <w:vAlign w:val="bottom"/>
            <w:tcBorders>
              <w:bottom w:val="single" w:sz="8" w:color="BFE4FF"/>
            </w:tcBorders>
            <w:shd w:val="clear" w:color="auto" w:fill="BFE4FF"/>
          </w:tcPr>
          <w:p>
            <w:pPr>
              <w:spacing w:after="0"/>
              <w:rPr>
                <w:sz w:val="21"/>
                <w:szCs w:val="21"/>
                <w:color w:val="auto"/>
              </w:rPr>
            </w:pPr>
          </w:p>
        </w:tc>
        <w:tc>
          <w:tcPr>
            <w:tcW w:w="80" w:type="dxa"/>
            <w:vAlign w:val="bottom"/>
            <w:tcBorders>
              <w:bottom w:val="single" w:sz="8" w:color="BFE4FF"/>
            </w:tcBorders>
            <w:shd w:val="clear" w:color="auto" w:fill="BFE4FF"/>
          </w:tcPr>
          <w:p>
            <w:pPr>
              <w:spacing w:after="0"/>
              <w:rPr>
                <w:sz w:val="21"/>
                <w:szCs w:val="21"/>
                <w:color w:val="auto"/>
              </w:rPr>
            </w:pPr>
          </w:p>
        </w:tc>
        <w:tc>
          <w:tcPr>
            <w:tcW w:w="2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jc w:val="right"/>
              <w:ind w:right="71"/>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BFE4FF"/>
            </w:tcBorders>
            <w:shd w:val="clear" w:color="auto" w:fill="BFE4FF"/>
          </w:tcPr>
          <w:p>
            <w:pPr>
              <w:spacing w:after="0"/>
              <w:rPr>
                <w:sz w:val="21"/>
                <w:szCs w:val="21"/>
                <w:color w:val="auto"/>
              </w:rPr>
            </w:pPr>
          </w:p>
        </w:tc>
        <w:tc>
          <w:tcPr>
            <w:tcW w:w="80" w:type="dxa"/>
            <w:vAlign w:val="bottom"/>
            <w:tcBorders>
              <w:bottom w:val="single" w:sz="8" w:color="BFE4FF"/>
            </w:tcBorders>
            <w:shd w:val="clear" w:color="auto" w:fill="BFE4FF"/>
          </w:tcPr>
          <w:p>
            <w:pPr>
              <w:spacing w:after="0"/>
              <w:rPr>
                <w:sz w:val="21"/>
                <w:szCs w:val="21"/>
                <w:color w:val="auto"/>
              </w:rPr>
            </w:pPr>
          </w:p>
        </w:tc>
        <w:tc>
          <w:tcPr>
            <w:tcW w:w="4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gridSpan w:val="3"/>
            <w:shd w:val="clear" w:color="auto" w:fill="BFE4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Impairment losses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BFE4FF"/>
            </w:tcBorders>
            <w:shd w:val="clear" w:color="auto" w:fill="BFE4FF"/>
          </w:tcPr>
          <w:p>
            <w:pPr>
              <w:ind w:left="160"/>
              <w:spacing w:after="0"/>
              <w:rPr>
                <w:sz w:val="20"/>
                <w:szCs w:val="20"/>
                <w:color w:val="auto"/>
              </w:rPr>
            </w:pPr>
            <w:r>
              <w:rPr>
                <w:rFonts w:ascii="Arial" w:cs="Arial" w:eastAsia="Arial" w:hAnsi="Arial"/>
                <w:sz w:val="18"/>
                <w:szCs w:val="18"/>
                <w:color w:val="auto"/>
              </w:rPr>
              <w:t>General and administrative</w:t>
            </w:r>
          </w:p>
        </w:tc>
        <w:tc>
          <w:tcPr>
            <w:tcW w:w="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BFE4FF"/>
            </w:tcBorders>
            <w:shd w:val="clear" w:color="auto" w:fill="BFE4FF"/>
          </w:tcPr>
          <w:p>
            <w:pPr>
              <w:spacing w:after="0"/>
              <w:rPr>
                <w:sz w:val="21"/>
                <w:szCs w:val="21"/>
                <w:color w:val="auto"/>
              </w:rPr>
            </w:pPr>
          </w:p>
        </w:tc>
        <w:tc>
          <w:tcPr>
            <w:tcW w:w="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BFE4FF"/>
            </w:tcBorders>
            <w:shd w:val="clear" w:color="auto" w:fill="BFE4FF"/>
          </w:tcPr>
          <w:p>
            <w:pPr>
              <w:spacing w:after="0"/>
              <w:rPr>
                <w:sz w:val="21"/>
                <w:szCs w:val="21"/>
                <w:color w:val="auto"/>
              </w:rPr>
            </w:pPr>
          </w:p>
        </w:tc>
        <w:tc>
          <w:tcPr>
            <w:tcW w:w="2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jc w:val="right"/>
              <w:ind w:right="71"/>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BFE4FF"/>
            </w:tcBorders>
            <w:shd w:val="clear" w:color="auto" w:fill="BFE4FF"/>
          </w:tcPr>
          <w:p>
            <w:pPr>
              <w:spacing w:after="0"/>
              <w:rPr>
                <w:sz w:val="21"/>
                <w:szCs w:val="21"/>
                <w:color w:val="auto"/>
              </w:rPr>
            </w:pPr>
          </w:p>
        </w:tc>
        <w:tc>
          <w:tcPr>
            <w:tcW w:w="80" w:type="dxa"/>
            <w:vAlign w:val="bottom"/>
            <w:tcBorders>
              <w:bottom w:val="single" w:sz="8" w:color="BFE4FF"/>
            </w:tcBorders>
            <w:shd w:val="clear" w:color="auto" w:fill="BFE4FF"/>
          </w:tcPr>
          <w:p>
            <w:pPr>
              <w:spacing w:after="0"/>
              <w:rPr>
                <w:sz w:val="21"/>
                <w:szCs w:val="21"/>
                <w:color w:val="auto"/>
              </w:rPr>
            </w:pPr>
          </w:p>
        </w:tc>
        <w:tc>
          <w:tcPr>
            <w:tcW w:w="4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12</w:t>
            </w:r>
          </w:p>
        </w:tc>
        <w:tc>
          <w:tcPr>
            <w:tcW w:w="40" w:type="dxa"/>
            <w:vAlign w:val="bottom"/>
            <w:tcBorders>
              <w:bottom w:val="single" w:sz="8" w:color="BFE4FF"/>
            </w:tcBorders>
            <w:shd w:val="clear" w:color="auto" w:fill="BFE4FF"/>
          </w:tcPr>
          <w:p>
            <w:pPr>
              <w:spacing w:after="0"/>
              <w:rPr>
                <w:sz w:val="21"/>
                <w:szCs w:val="21"/>
                <w:color w:val="auto"/>
              </w:rPr>
            </w:pPr>
          </w:p>
        </w:tc>
        <w:tc>
          <w:tcPr>
            <w:tcW w:w="8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Acquisition-related transaction and integration costs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tcBorders>
              <w:bottom w:val="single" w:sz="8" w:color="BFE4FF"/>
            </w:tcBorders>
            <w:shd w:val="clear" w:color="auto" w:fill="BFE4FF"/>
          </w:tcPr>
          <w:p>
            <w:pPr>
              <w:ind w:left="160"/>
              <w:spacing w:after="0"/>
              <w:rPr>
                <w:sz w:val="20"/>
                <w:szCs w:val="20"/>
                <w:color w:val="auto"/>
              </w:rPr>
            </w:pPr>
            <w:r>
              <w:rPr>
                <w:rFonts w:ascii="Arial" w:cs="Arial" w:eastAsia="Arial" w:hAnsi="Arial"/>
                <w:sz w:val="18"/>
                <w:szCs w:val="18"/>
                <w:color w:val="auto"/>
              </w:rPr>
              <w:t>Development costs</w:t>
            </w:r>
          </w:p>
        </w:tc>
        <w:tc>
          <w:tcPr>
            <w:tcW w:w="20" w:type="dxa"/>
            <w:vAlign w:val="bottom"/>
            <w:tcBorders>
              <w:bottom w:val="single" w:sz="8" w:color="BFE4FF"/>
            </w:tcBorders>
            <w:shd w:val="clear" w:color="auto" w:fill="BFE4FF"/>
          </w:tcPr>
          <w:p>
            <w:pPr>
              <w:spacing w:after="0"/>
              <w:rPr>
                <w:sz w:val="23"/>
                <w:szCs w:val="23"/>
                <w:color w:val="auto"/>
              </w:rPr>
            </w:pPr>
          </w:p>
        </w:tc>
        <w:tc>
          <w:tcPr>
            <w:tcW w:w="120" w:type="dxa"/>
            <w:vAlign w:val="bottom"/>
            <w:tcBorders>
              <w:bottom w:val="single" w:sz="8" w:color="BFE4FF"/>
            </w:tcBorders>
            <w:shd w:val="clear" w:color="auto" w:fill="BFE4FF"/>
          </w:tcPr>
          <w:p>
            <w:pPr>
              <w:spacing w:after="0"/>
              <w:rPr>
                <w:sz w:val="23"/>
                <w:szCs w:val="23"/>
                <w:color w:val="auto"/>
              </w:rPr>
            </w:pPr>
          </w:p>
        </w:tc>
        <w:tc>
          <w:tcPr>
            <w:tcW w:w="1020" w:type="dxa"/>
            <w:vAlign w:val="bottom"/>
            <w:tcBorders>
              <w:bottom w:val="single" w:sz="8" w:color="BFE4FF"/>
            </w:tcBorders>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BFE4FF"/>
            </w:tcBorders>
            <w:shd w:val="clear" w:color="auto" w:fill="BFE4FF"/>
          </w:tcPr>
          <w:p>
            <w:pPr>
              <w:spacing w:after="0"/>
              <w:rPr>
                <w:sz w:val="23"/>
                <w:szCs w:val="23"/>
                <w:color w:val="auto"/>
              </w:rPr>
            </w:pPr>
          </w:p>
        </w:tc>
        <w:tc>
          <w:tcPr>
            <w:tcW w:w="20" w:type="dxa"/>
            <w:vAlign w:val="bottom"/>
            <w:tcBorders>
              <w:bottom w:val="single" w:sz="8" w:color="BFE4FF"/>
            </w:tcBorders>
            <w:shd w:val="clear" w:color="auto" w:fill="BFE4FF"/>
          </w:tcPr>
          <w:p>
            <w:pPr>
              <w:spacing w:after="0"/>
              <w:rPr>
                <w:sz w:val="23"/>
                <w:szCs w:val="23"/>
                <w:color w:val="auto"/>
              </w:rPr>
            </w:pPr>
          </w:p>
        </w:tc>
        <w:tc>
          <w:tcPr>
            <w:tcW w:w="140" w:type="dxa"/>
            <w:vAlign w:val="bottom"/>
            <w:tcBorders>
              <w:bottom w:val="single" w:sz="8" w:color="BFE4FF"/>
            </w:tcBorders>
            <w:shd w:val="clear" w:color="auto" w:fill="BFE4FF"/>
          </w:tcPr>
          <w:p>
            <w:pPr>
              <w:spacing w:after="0"/>
              <w:rPr>
                <w:sz w:val="23"/>
                <w:szCs w:val="23"/>
                <w:color w:val="auto"/>
              </w:rPr>
            </w:pPr>
          </w:p>
        </w:tc>
        <w:tc>
          <w:tcPr>
            <w:tcW w:w="980" w:type="dxa"/>
            <w:vAlign w:val="bottom"/>
            <w:tcBorders>
              <w:bottom w:val="single" w:sz="8" w:color="BFE4FF"/>
            </w:tcBorders>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BFE4FF"/>
            </w:tcBorders>
            <w:shd w:val="clear" w:color="auto" w:fill="BFE4FF"/>
          </w:tcPr>
          <w:p>
            <w:pPr>
              <w:spacing w:after="0"/>
              <w:rPr>
                <w:sz w:val="23"/>
                <w:szCs w:val="23"/>
                <w:color w:val="auto"/>
              </w:rPr>
            </w:pPr>
          </w:p>
        </w:tc>
        <w:tc>
          <w:tcPr>
            <w:tcW w:w="20" w:type="dxa"/>
            <w:vAlign w:val="bottom"/>
            <w:tcBorders>
              <w:bottom w:val="single" w:sz="8" w:color="BFE4FF"/>
            </w:tcBorders>
            <w:shd w:val="clear" w:color="auto" w:fill="BFE4FF"/>
          </w:tcPr>
          <w:p>
            <w:pPr>
              <w:spacing w:after="0"/>
              <w:rPr>
                <w:sz w:val="23"/>
                <w:szCs w:val="23"/>
                <w:color w:val="auto"/>
              </w:rPr>
            </w:pPr>
          </w:p>
        </w:tc>
        <w:tc>
          <w:tcPr>
            <w:tcW w:w="200" w:type="dxa"/>
            <w:vAlign w:val="bottom"/>
            <w:tcBorders>
              <w:bottom w:val="single" w:sz="8" w:color="BFE4FF"/>
            </w:tcBorders>
            <w:shd w:val="clear" w:color="auto" w:fill="BFE4FF"/>
          </w:tcPr>
          <w:p>
            <w:pPr>
              <w:spacing w:after="0"/>
              <w:rPr>
                <w:sz w:val="23"/>
                <w:szCs w:val="23"/>
                <w:color w:val="auto"/>
              </w:rPr>
            </w:pPr>
          </w:p>
        </w:tc>
        <w:tc>
          <w:tcPr>
            <w:tcW w:w="920" w:type="dxa"/>
            <w:vAlign w:val="bottom"/>
            <w:tcBorders>
              <w:bottom w:val="single" w:sz="8" w:color="BFE4FF"/>
            </w:tcBorders>
            <w:shd w:val="clear" w:color="auto" w:fill="BFE4FF"/>
          </w:tcPr>
          <w:p>
            <w:pPr>
              <w:jc w:val="right"/>
              <w:ind w:right="71"/>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BFE4FF"/>
            </w:tcBorders>
            <w:shd w:val="clear" w:color="auto" w:fill="BFE4FF"/>
          </w:tcPr>
          <w:p>
            <w:pPr>
              <w:spacing w:after="0"/>
              <w:rPr>
                <w:sz w:val="23"/>
                <w:szCs w:val="23"/>
                <w:color w:val="auto"/>
              </w:rPr>
            </w:pPr>
          </w:p>
        </w:tc>
        <w:tc>
          <w:tcPr>
            <w:tcW w:w="80" w:type="dxa"/>
            <w:vAlign w:val="bottom"/>
            <w:tcBorders>
              <w:bottom w:val="single" w:sz="8" w:color="BFE4FF"/>
            </w:tcBorders>
            <w:shd w:val="clear" w:color="auto" w:fill="BFE4FF"/>
          </w:tcPr>
          <w:p>
            <w:pPr>
              <w:spacing w:after="0"/>
              <w:rPr>
                <w:sz w:val="23"/>
                <w:szCs w:val="23"/>
                <w:color w:val="auto"/>
              </w:rPr>
            </w:pPr>
          </w:p>
        </w:tc>
        <w:tc>
          <w:tcPr>
            <w:tcW w:w="40" w:type="dxa"/>
            <w:vAlign w:val="bottom"/>
            <w:tcBorders>
              <w:bottom w:val="single" w:sz="8" w:color="BFE4FF"/>
            </w:tcBorders>
            <w:shd w:val="clear" w:color="auto" w:fill="BFE4FF"/>
          </w:tcPr>
          <w:p>
            <w:pPr>
              <w:spacing w:after="0"/>
              <w:rPr>
                <w:sz w:val="23"/>
                <w:szCs w:val="23"/>
                <w:color w:val="auto"/>
              </w:rPr>
            </w:pPr>
          </w:p>
        </w:tc>
        <w:tc>
          <w:tcPr>
            <w:tcW w:w="160" w:type="dxa"/>
            <w:vAlign w:val="bottom"/>
            <w:tcBorders>
              <w:bottom w:val="single" w:sz="8" w:color="BFE4FF"/>
            </w:tcBorders>
            <w:shd w:val="clear" w:color="auto" w:fill="BFE4FF"/>
          </w:tcPr>
          <w:p>
            <w:pPr>
              <w:spacing w:after="0"/>
              <w:rPr>
                <w:sz w:val="23"/>
                <w:szCs w:val="23"/>
                <w:color w:val="auto"/>
              </w:rPr>
            </w:pPr>
          </w:p>
        </w:tc>
        <w:tc>
          <w:tcPr>
            <w:tcW w:w="1040" w:type="dxa"/>
            <w:vAlign w:val="bottom"/>
            <w:tcBorders>
              <w:bottom w:val="single" w:sz="8" w:color="BFE4FF"/>
            </w:tcBorders>
            <w:gridSpan w:val="3"/>
            <w:shd w:val="clear" w:color="auto" w:fill="BFE4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BFE4FF"/>
            </w:tcBorders>
            <w:shd w:val="clear" w:color="auto" w:fill="BFE4FF"/>
          </w:tcPr>
          <w:p>
            <w:pPr>
              <w:spacing w:after="0"/>
              <w:rPr>
                <w:sz w:val="23"/>
                <w:szCs w:val="23"/>
                <w:color w:val="auto"/>
              </w:rPr>
            </w:pPr>
          </w:p>
        </w:tc>
        <w:tc>
          <w:tcPr>
            <w:tcW w:w="86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83</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BFE4FF"/>
            </w:tcBorders>
            <w:shd w:val="clear" w:color="auto" w:fill="BFE4FF"/>
          </w:tcPr>
          <w:p>
            <w:pPr>
              <w:ind w:left="160"/>
              <w:spacing w:after="0"/>
              <w:rPr>
                <w:sz w:val="20"/>
                <w:szCs w:val="20"/>
                <w:color w:val="auto"/>
              </w:rPr>
            </w:pPr>
            <w:r>
              <w:rPr>
                <w:rFonts w:ascii="Arial" w:cs="Arial" w:eastAsia="Arial" w:hAnsi="Arial"/>
                <w:sz w:val="18"/>
                <w:szCs w:val="18"/>
                <w:color w:val="auto"/>
              </w:rPr>
              <w:t>Equity in earnings of unconsolidated affiliates</w:t>
            </w:r>
          </w:p>
        </w:tc>
        <w:tc>
          <w:tcPr>
            <w:tcW w:w="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52"/>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BFE4FF"/>
            </w:tcBorders>
            <w:shd w:val="clear" w:color="auto" w:fill="BFE4FF"/>
          </w:tcPr>
          <w:p>
            <w:pPr>
              <w:spacing w:after="0"/>
              <w:rPr>
                <w:sz w:val="21"/>
                <w:szCs w:val="21"/>
                <w:color w:val="auto"/>
              </w:rPr>
            </w:pPr>
          </w:p>
        </w:tc>
        <w:tc>
          <w:tcPr>
            <w:tcW w:w="80" w:type="dxa"/>
            <w:vAlign w:val="bottom"/>
            <w:tcBorders>
              <w:bottom w:val="single" w:sz="8" w:color="BFE4FF"/>
            </w:tcBorders>
            <w:shd w:val="clear" w:color="auto" w:fill="BFE4FF"/>
          </w:tcPr>
          <w:p>
            <w:pPr>
              <w:spacing w:after="0"/>
              <w:rPr>
                <w:sz w:val="21"/>
                <w:szCs w:val="21"/>
                <w:color w:val="auto"/>
              </w:rPr>
            </w:pPr>
          </w:p>
        </w:tc>
        <w:tc>
          <w:tcPr>
            <w:tcW w:w="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ind w:right="72"/>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BFE4FF"/>
            </w:tcBorders>
            <w:shd w:val="clear" w:color="auto" w:fill="BFE4FF"/>
          </w:tcPr>
          <w:p>
            <w:pPr>
              <w:spacing w:after="0"/>
              <w:rPr>
                <w:sz w:val="21"/>
                <w:szCs w:val="21"/>
                <w:color w:val="auto"/>
              </w:rPr>
            </w:pPr>
          </w:p>
        </w:tc>
        <w:tc>
          <w:tcPr>
            <w:tcW w:w="80" w:type="dxa"/>
            <w:vAlign w:val="bottom"/>
            <w:tcBorders>
              <w:bottom w:val="single" w:sz="8" w:color="BFE4FF"/>
            </w:tcBorders>
            <w:shd w:val="clear" w:color="auto" w:fill="BFE4FF"/>
          </w:tcPr>
          <w:p>
            <w:pPr>
              <w:spacing w:after="0"/>
              <w:rPr>
                <w:sz w:val="21"/>
                <w:szCs w:val="21"/>
                <w:color w:val="auto"/>
              </w:rPr>
            </w:pPr>
          </w:p>
        </w:tc>
        <w:tc>
          <w:tcPr>
            <w:tcW w:w="2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BFE4FF"/>
            </w:tcBorders>
            <w:shd w:val="clear" w:color="auto" w:fill="BFE4FF"/>
          </w:tcPr>
          <w:p>
            <w:pPr>
              <w:spacing w:after="0"/>
              <w:rPr>
                <w:sz w:val="21"/>
                <w:szCs w:val="21"/>
                <w:color w:val="auto"/>
              </w:rPr>
            </w:pPr>
          </w:p>
        </w:tc>
        <w:tc>
          <w:tcPr>
            <w:tcW w:w="4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gridSpan w:val="3"/>
            <w:shd w:val="clear" w:color="auto" w:fill="BFE4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Other income, net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BFE4FF"/>
            </w:tcBorders>
            <w:shd w:val="clear" w:color="auto" w:fill="BFE4FF"/>
          </w:tcPr>
          <w:p>
            <w:pPr>
              <w:ind w:left="160"/>
              <w:spacing w:after="0"/>
              <w:rPr>
                <w:sz w:val="20"/>
                <w:szCs w:val="20"/>
                <w:color w:val="auto"/>
              </w:rPr>
            </w:pPr>
            <w:r>
              <w:rPr>
                <w:rFonts w:ascii="Arial" w:cs="Arial" w:eastAsia="Arial" w:hAnsi="Arial"/>
                <w:sz w:val="18"/>
                <w:szCs w:val="18"/>
                <w:color w:val="auto"/>
              </w:rPr>
              <w:t>Loss on debt extinguishment</w:t>
            </w:r>
          </w:p>
        </w:tc>
        <w:tc>
          <w:tcPr>
            <w:tcW w:w="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BFE4FF"/>
            </w:tcBorders>
            <w:shd w:val="clear" w:color="auto" w:fill="BFE4FF"/>
          </w:tcPr>
          <w:p>
            <w:pPr>
              <w:spacing w:after="0"/>
              <w:rPr>
                <w:sz w:val="21"/>
                <w:szCs w:val="21"/>
                <w:color w:val="auto"/>
              </w:rPr>
            </w:pPr>
          </w:p>
        </w:tc>
        <w:tc>
          <w:tcPr>
            <w:tcW w:w="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BFE4FF"/>
            </w:tcBorders>
            <w:shd w:val="clear" w:color="auto" w:fill="BFE4FF"/>
          </w:tcPr>
          <w:p>
            <w:pPr>
              <w:spacing w:after="0"/>
              <w:rPr>
                <w:sz w:val="21"/>
                <w:szCs w:val="21"/>
                <w:color w:val="auto"/>
              </w:rPr>
            </w:pPr>
          </w:p>
        </w:tc>
        <w:tc>
          <w:tcPr>
            <w:tcW w:w="80" w:type="dxa"/>
            <w:vAlign w:val="bottom"/>
            <w:tcBorders>
              <w:bottom w:val="single" w:sz="8" w:color="BFE4FF"/>
            </w:tcBorders>
            <w:shd w:val="clear" w:color="auto" w:fill="BFE4FF"/>
          </w:tcPr>
          <w:p>
            <w:pPr>
              <w:spacing w:after="0"/>
              <w:rPr>
                <w:sz w:val="21"/>
                <w:szCs w:val="21"/>
                <w:color w:val="auto"/>
              </w:rPr>
            </w:pPr>
          </w:p>
        </w:tc>
        <w:tc>
          <w:tcPr>
            <w:tcW w:w="2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BFE4FF"/>
            </w:tcBorders>
            <w:shd w:val="clear" w:color="auto" w:fill="BFE4FF"/>
          </w:tcPr>
          <w:p>
            <w:pPr>
              <w:spacing w:after="0"/>
              <w:rPr>
                <w:sz w:val="21"/>
                <w:szCs w:val="21"/>
                <w:color w:val="auto"/>
              </w:rPr>
            </w:pPr>
          </w:p>
        </w:tc>
        <w:tc>
          <w:tcPr>
            <w:tcW w:w="4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gridSpan w:val="3"/>
            <w:shd w:val="clear" w:color="auto" w:fill="BFE4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Borders>
              <w:bottom w:val="single" w:sz="8" w:color="BFE4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BFE4FF"/>
            </w:tcBorders>
          </w:tcPr>
          <w:p>
            <w:pPr>
              <w:spacing w:after="0"/>
              <w:rPr>
                <w:sz w:val="2"/>
                <w:szCs w:val="2"/>
                <w:color w:val="auto"/>
              </w:rPr>
            </w:pPr>
          </w:p>
        </w:tc>
        <w:tc>
          <w:tcPr>
            <w:tcW w:w="80" w:type="dxa"/>
            <w:vAlign w:val="bottom"/>
            <w:tcBorders>
              <w:bottom w:val="single" w:sz="8" w:color="BFE4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BFE4FF"/>
            </w:tcBorders>
          </w:tcPr>
          <w:p>
            <w:pPr>
              <w:spacing w:after="0"/>
              <w:rPr>
                <w:sz w:val="2"/>
                <w:szCs w:val="2"/>
                <w:color w:val="auto"/>
              </w:rPr>
            </w:pPr>
          </w:p>
        </w:tc>
        <w:tc>
          <w:tcPr>
            <w:tcW w:w="80" w:type="dxa"/>
            <w:vAlign w:val="bottom"/>
            <w:tcBorders>
              <w:bottom w:val="single" w:sz="8" w:color="BFE4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BFE4FF"/>
            </w:tcBorders>
          </w:tcPr>
          <w:p>
            <w:pPr>
              <w:spacing w:after="0"/>
              <w:rPr>
                <w:sz w:val="2"/>
                <w:szCs w:val="2"/>
                <w:color w:val="auto"/>
              </w:rPr>
            </w:pPr>
          </w:p>
        </w:tc>
        <w:tc>
          <w:tcPr>
            <w:tcW w:w="80" w:type="dxa"/>
            <w:vAlign w:val="bottom"/>
            <w:tcBorders>
              <w:bottom w:val="single" w:sz="8" w:color="BFE4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BFE4FF"/>
            </w:tcBorders>
          </w:tcPr>
          <w:p>
            <w:pPr>
              <w:spacing w:after="0"/>
              <w:rPr>
                <w:sz w:val="2"/>
                <w:szCs w:val="2"/>
                <w:color w:val="auto"/>
              </w:rPr>
            </w:pPr>
          </w:p>
        </w:tc>
        <w:tc>
          <w:tcPr>
            <w:tcW w:w="8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40" w:type="dxa"/>
            <w:vAlign w:val="bottom"/>
            <w:shd w:val="clear" w:color="auto" w:fill="BFE4FF"/>
          </w:tcPr>
          <w:p>
            <w:pPr>
              <w:ind w:left="20"/>
              <w:spacing w:after="0"/>
              <w:rPr>
                <w:sz w:val="20"/>
                <w:szCs w:val="20"/>
                <w:color w:val="auto"/>
              </w:rPr>
            </w:pPr>
            <w:r>
              <w:rPr>
                <w:rFonts w:ascii="Arial" w:cs="Arial" w:eastAsia="Arial" w:hAnsi="Arial"/>
                <w:sz w:val="18"/>
                <w:szCs w:val="18"/>
                <w:color w:val="auto"/>
              </w:rPr>
              <w:t>Income (loss) before income taxes</w:t>
            </w:r>
          </w:p>
        </w:tc>
        <w:tc>
          <w:tcPr>
            <w:tcW w:w="20" w:type="dxa"/>
            <w:vAlign w:val="bottom"/>
            <w:shd w:val="clear" w:color="auto" w:fill="BFE4FF"/>
          </w:tcPr>
          <w:p>
            <w:pPr>
              <w:spacing w:after="0"/>
              <w:rPr>
                <w:sz w:val="22"/>
                <w:szCs w:val="22"/>
                <w:color w:val="auto"/>
              </w:rPr>
            </w:pPr>
          </w:p>
        </w:tc>
        <w:tc>
          <w:tcPr>
            <w:tcW w:w="120" w:type="dxa"/>
            <w:vAlign w:val="bottom"/>
            <w:shd w:val="clear" w:color="auto" w:fill="BFE4FF"/>
          </w:tcPr>
          <w:p>
            <w:pPr>
              <w:spacing w:after="0"/>
              <w:rPr>
                <w:sz w:val="22"/>
                <w:szCs w:val="22"/>
                <w:color w:val="auto"/>
              </w:rPr>
            </w:pPr>
          </w:p>
        </w:tc>
        <w:tc>
          <w:tcPr>
            <w:tcW w:w="980" w:type="dxa"/>
            <w:vAlign w:val="bottom"/>
            <w:shd w:val="clear" w:color="auto" w:fill="BFE4FF"/>
          </w:tcPr>
          <w:p>
            <w:pPr>
              <w:jc w:val="right"/>
              <w:ind w:right="52"/>
              <w:spacing w:after="0"/>
              <w:rPr>
                <w:sz w:val="20"/>
                <w:szCs w:val="20"/>
                <w:color w:val="auto"/>
              </w:rPr>
            </w:pPr>
            <w:r>
              <w:rPr>
                <w:rFonts w:ascii="Arial" w:cs="Arial" w:eastAsia="Arial" w:hAnsi="Arial"/>
                <w:sz w:val="18"/>
                <w:szCs w:val="18"/>
                <w:color w:val="auto"/>
              </w:rPr>
              <w:t>56</w:t>
            </w:r>
          </w:p>
        </w:tc>
        <w:tc>
          <w:tcPr>
            <w:tcW w:w="40" w:type="dxa"/>
            <w:vAlign w:val="bottom"/>
            <w:shd w:val="clear" w:color="auto" w:fill="BFE4FF"/>
          </w:tcPr>
          <w:p>
            <w:pPr>
              <w:spacing w:after="0"/>
              <w:rPr>
                <w:sz w:val="22"/>
                <w:szCs w:val="22"/>
                <w:color w:val="auto"/>
              </w:rPr>
            </w:pPr>
          </w:p>
        </w:tc>
        <w:tc>
          <w:tcPr>
            <w:tcW w:w="80" w:type="dxa"/>
            <w:vAlign w:val="bottom"/>
            <w:shd w:val="clear" w:color="auto" w:fill="BFE4FF"/>
          </w:tcPr>
          <w:p>
            <w:pPr>
              <w:spacing w:after="0"/>
              <w:rPr>
                <w:sz w:val="22"/>
                <w:szCs w:val="22"/>
                <w:color w:val="auto"/>
              </w:rPr>
            </w:pPr>
          </w:p>
        </w:tc>
        <w:tc>
          <w:tcPr>
            <w:tcW w:w="20" w:type="dxa"/>
            <w:vAlign w:val="bottom"/>
            <w:shd w:val="clear" w:color="auto" w:fill="BFE4FF"/>
          </w:tcPr>
          <w:p>
            <w:pPr>
              <w:spacing w:after="0"/>
              <w:rPr>
                <w:sz w:val="22"/>
                <w:szCs w:val="22"/>
                <w:color w:val="auto"/>
              </w:rPr>
            </w:pPr>
          </w:p>
        </w:tc>
        <w:tc>
          <w:tcPr>
            <w:tcW w:w="140" w:type="dxa"/>
            <w:vAlign w:val="bottom"/>
            <w:shd w:val="clear" w:color="auto" w:fill="BFE4FF"/>
          </w:tcPr>
          <w:p>
            <w:pPr>
              <w:spacing w:after="0"/>
              <w:rPr>
                <w:sz w:val="22"/>
                <w:szCs w:val="22"/>
                <w:color w:val="auto"/>
              </w:rPr>
            </w:pPr>
          </w:p>
        </w:tc>
        <w:tc>
          <w:tcPr>
            <w:tcW w:w="960" w:type="dxa"/>
            <w:vAlign w:val="bottom"/>
            <w:shd w:val="clear" w:color="auto" w:fill="BFE4FF"/>
          </w:tcPr>
          <w:p>
            <w:pPr>
              <w:jc w:val="right"/>
              <w:ind w:right="32"/>
              <w:spacing w:after="0"/>
              <w:rPr>
                <w:sz w:val="20"/>
                <w:szCs w:val="20"/>
                <w:color w:val="auto"/>
              </w:rPr>
            </w:pPr>
            <w:r>
              <w:rPr>
                <w:rFonts w:ascii="Arial" w:cs="Arial" w:eastAsia="Arial" w:hAnsi="Arial"/>
                <w:sz w:val="18"/>
                <w:szCs w:val="18"/>
                <w:color w:val="auto"/>
              </w:rPr>
              <w:t>(76)</w:t>
            </w:r>
          </w:p>
        </w:tc>
        <w:tc>
          <w:tcPr>
            <w:tcW w:w="20" w:type="dxa"/>
            <w:vAlign w:val="bottom"/>
            <w:shd w:val="clear" w:color="auto" w:fill="BFE4FF"/>
          </w:tcPr>
          <w:p>
            <w:pPr>
              <w:spacing w:after="0"/>
              <w:rPr>
                <w:sz w:val="22"/>
                <w:szCs w:val="22"/>
                <w:color w:val="auto"/>
              </w:rPr>
            </w:pPr>
          </w:p>
        </w:tc>
        <w:tc>
          <w:tcPr>
            <w:tcW w:w="80" w:type="dxa"/>
            <w:vAlign w:val="bottom"/>
            <w:shd w:val="clear" w:color="auto" w:fill="BFE4FF"/>
          </w:tcPr>
          <w:p>
            <w:pPr>
              <w:spacing w:after="0"/>
              <w:rPr>
                <w:sz w:val="22"/>
                <w:szCs w:val="22"/>
                <w:color w:val="auto"/>
              </w:rPr>
            </w:pPr>
          </w:p>
        </w:tc>
        <w:tc>
          <w:tcPr>
            <w:tcW w:w="20" w:type="dxa"/>
            <w:vAlign w:val="bottom"/>
            <w:shd w:val="clear" w:color="auto" w:fill="BFE4FF"/>
          </w:tcPr>
          <w:p>
            <w:pPr>
              <w:spacing w:after="0"/>
              <w:rPr>
                <w:sz w:val="22"/>
                <w:szCs w:val="22"/>
                <w:color w:val="auto"/>
              </w:rPr>
            </w:pPr>
          </w:p>
        </w:tc>
        <w:tc>
          <w:tcPr>
            <w:tcW w:w="200" w:type="dxa"/>
            <w:vAlign w:val="bottom"/>
            <w:shd w:val="clear" w:color="auto" w:fill="BFE4FF"/>
          </w:tcPr>
          <w:p>
            <w:pPr>
              <w:spacing w:after="0"/>
              <w:rPr>
                <w:sz w:val="22"/>
                <w:szCs w:val="22"/>
                <w:color w:val="auto"/>
              </w:rPr>
            </w:pPr>
          </w:p>
        </w:tc>
        <w:tc>
          <w:tcPr>
            <w:tcW w:w="920" w:type="dxa"/>
            <w:vAlign w:val="bottom"/>
            <w:shd w:val="clear" w:color="auto" w:fill="BFE4FF"/>
          </w:tcPr>
          <w:p>
            <w:pPr>
              <w:jc w:val="right"/>
              <w:ind w:right="31"/>
              <w:spacing w:after="0"/>
              <w:rPr>
                <w:sz w:val="20"/>
                <w:szCs w:val="20"/>
                <w:color w:val="auto"/>
              </w:rPr>
            </w:pPr>
            <w:r>
              <w:rPr>
                <w:rFonts w:ascii="Arial" w:cs="Arial" w:eastAsia="Arial" w:hAnsi="Arial"/>
                <w:sz w:val="18"/>
                <w:szCs w:val="18"/>
                <w:color w:val="auto"/>
              </w:rPr>
              <w:t>(10)</w:t>
            </w:r>
          </w:p>
        </w:tc>
        <w:tc>
          <w:tcPr>
            <w:tcW w:w="20" w:type="dxa"/>
            <w:vAlign w:val="bottom"/>
            <w:shd w:val="clear" w:color="auto" w:fill="BFE4FF"/>
          </w:tcPr>
          <w:p>
            <w:pPr>
              <w:spacing w:after="0"/>
              <w:rPr>
                <w:sz w:val="22"/>
                <w:szCs w:val="22"/>
                <w:color w:val="auto"/>
              </w:rPr>
            </w:pPr>
          </w:p>
        </w:tc>
        <w:tc>
          <w:tcPr>
            <w:tcW w:w="80" w:type="dxa"/>
            <w:vAlign w:val="bottom"/>
            <w:shd w:val="clear" w:color="auto" w:fill="BFE4FF"/>
          </w:tcPr>
          <w:p>
            <w:pPr>
              <w:spacing w:after="0"/>
              <w:rPr>
                <w:sz w:val="22"/>
                <w:szCs w:val="22"/>
                <w:color w:val="auto"/>
              </w:rPr>
            </w:pPr>
          </w:p>
        </w:tc>
        <w:tc>
          <w:tcPr>
            <w:tcW w:w="40" w:type="dxa"/>
            <w:vAlign w:val="bottom"/>
            <w:shd w:val="clear" w:color="auto" w:fill="BFE4FF"/>
          </w:tcPr>
          <w:p>
            <w:pPr>
              <w:spacing w:after="0"/>
              <w:rPr>
                <w:sz w:val="22"/>
                <w:szCs w:val="22"/>
                <w:color w:val="auto"/>
              </w:rPr>
            </w:pPr>
          </w:p>
        </w:tc>
        <w:tc>
          <w:tcPr>
            <w:tcW w:w="160" w:type="dxa"/>
            <w:vAlign w:val="bottom"/>
            <w:shd w:val="clear" w:color="auto" w:fill="BFE4FF"/>
          </w:tcPr>
          <w:p>
            <w:pPr>
              <w:spacing w:after="0"/>
              <w:rPr>
                <w:sz w:val="22"/>
                <w:szCs w:val="22"/>
                <w:color w:val="auto"/>
              </w:rPr>
            </w:pPr>
          </w:p>
        </w:tc>
        <w:tc>
          <w:tcPr>
            <w:tcW w:w="92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(56)</w:t>
            </w:r>
          </w:p>
        </w:tc>
        <w:tc>
          <w:tcPr>
            <w:tcW w:w="40" w:type="dxa"/>
            <w:vAlign w:val="bottom"/>
            <w:shd w:val="clear" w:color="auto" w:fill="BFE4FF"/>
          </w:tcPr>
          <w:p>
            <w:pPr>
              <w:spacing w:after="0"/>
              <w:rPr>
                <w:sz w:val="22"/>
                <w:szCs w:val="22"/>
                <w:color w:val="auto"/>
              </w:rPr>
            </w:pPr>
          </w:p>
        </w:tc>
        <w:tc>
          <w:tcPr>
            <w:tcW w:w="80" w:type="dxa"/>
            <w:vAlign w:val="bottom"/>
            <w:shd w:val="clear" w:color="auto" w:fill="BFE4FF"/>
          </w:tcPr>
          <w:p>
            <w:pPr>
              <w:spacing w:after="0"/>
              <w:rPr>
                <w:sz w:val="22"/>
                <w:szCs w:val="22"/>
                <w:color w:val="auto"/>
              </w:rPr>
            </w:pPr>
          </w:p>
        </w:tc>
        <w:tc>
          <w:tcPr>
            <w:tcW w:w="260" w:type="dxa"/>
            <w:vAlign w:val="bottom"/>
            <w:shd w:val="clear" w:color="auto" w:fill="BFE4FF"/>
          </w:tcPr>
          <w:p>
            <w:pPr>
              <w:spacing w:after="0"/>
              <w:rPr>
                <w:sz w:val="22"/>
                <w:szCs w:val="22"/>
                <w:color w:val="auto"/>
              </w:rPr>
            </w:pPr>
          </w:p>
        </w:tc>
        <w:tc>
          <w:tcPr>
            <w:tcW w:w="86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Income tax benefit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BFE4FF"/>
            </w:tcBorders>
          </w:tcPr>
          <w:p>
            <w:pPr>
              <w:spacing w:after="0"/>
              <w:rPr>
                <w:sz w:val="2"/>
                <w:szCs w:val="2"/>
                <w:color w:val="auto"/>
              </w:rPr>
            </w:pPr>
          </w:p>
        </w:tc>
        <w:tc>
          <w:tcPr>
            <w:tcW w:w="8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BFE4FF"/>
            </w:tcBorders>
          </w:tcPr>
          <w:p>
            <w:pPr>
              <w:spacing w:after="0"/>
              <w:rPr>
                <w:sz w:val="2"/>
                <w:szCs w:val="2"/>
                <w:color w:val="auto"/>
              </w:rPr>
            </w:pPr>
          </w:p>
        </w:tc>
        <w:tc>
          <w:tcPr>
            <w:tcW w:w="8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BFE4FF"/>
            </w:tcBorders>
          </w:tcPr>
          <w:p>
            <w:pPr>
              <w:spacing w:after="0"/>
              <w:rPr>
                <w:sz w:val="2"/>
                <w:szCs w:val="2"/>
                <w:color w:val="auto"/>
              </w:rPr>
            </w:pPr>
          </w:p>
        </w:tc>
        <w:tc>
          <w:tcPr>
            <w:tcW w:w="8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BFE4FF"/>
            </w:tcBorders>
          </w:tcPr>
          <w:p>
            <w:pPr>
              <w:spacing w:after="0"/>
              <w:rPr>
                <w:sz w:val="2"/>
                <w:szCs w:val="2"/>
                <w:color w:val="auto"/>
              </w:rPr>
            </w:pPr>
          </w:p>
        </w:tc>
        <w:tc>
          <w:tcPr>
            <w:tcW w:w="8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140" w:type="dxa"/>
            <w:vAlign w:val="bottom"/>
            <w:shd w:val="clear" w:color="auto" w:fill="BFE4FF"/>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gridSpan w:val="2"/>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BFE4FF"/>
          </w:tcPr>
          <w:p>
            <w:pPr>
              <w:jc w:val="right"/>
              <w:ind w:right="52"/>
              <w:spacing w:after="0"/>
              <w:rPr>
                <w:sz w:val="20"/>
                <w:szCs w:val="20"/>
                <w:color w:val="auto"/>
              </w:rPr>
            </w:pPr>
            <w:r>
              <w:rPr>
                <w:rFonts w:ascii="Arial" w:cs="Arial" w:eastAsia="Arial" w:hAnsi="Arial"/>
                <w:sz w:val="18"/>
                <w:szCs w:val="18"/>
                <w:color w:val="auto"/>
              </w:rPr>
              <w:t>56</w:t>
            </w:r>
          </w:p>
        </w:tc>
        <w:tc>
          <w:tcPr>
            <w:tcW w:w="40" w:type="dxa"/>
            <w:vAlign w:val="bottom"/>
            <w:shd w:val="clear" w:color="auto" w:fill="BFE4FF"/>
          </w:tcPr>
          <w:p>
            <w:pPr>
              <w:spacing w:after="0"/>
              <w:rPr>
                <w:sz w:val="24"/>
                <w:szCs w:val="24"/>
                <w:color w:val="auto"/>
              </w:rPr>
            </w:pPr>
          </w:p>
        </w:tc>
        <w:tc>
          <w:tcPr>
            <w:tcW w:w="240" w:type="dxa"/>
            <w:vAlign w:val="bottom"/>
            <w:gridSpan w:val="3"/>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BFE4FF"/>
          </w:tcPr>
          <w:p>
            <w:pPr>
              <w:jc w:val="right"/>
              <w:ind w:right="32"/>
              <w:spacing w:after="0"/>
              <w:rPr>
                <w:sz w:val="20"/>
                <w:szCs w:val="20"/>
                <w:color w:val="auto"/>
              </w:rPr>
            </w:pPr>
            <w:r>
              <w:rPr>
                <w:rFonts w:ascii="Arial" w:cs="Arial" w:eastAsia="Arial" w:hAnsi="Arial"/>
                <w:sz w:val="18"/>
                <w:szCs w:val="18"/>
                <w:color w:val="auto"/>
              </w:rPr>
              <w:t>(76)</w:t>
            </w:r>
          </w:p>
        </w:tc>
        <w:tc>
          <w:tcPr>
            <w:tcW w:w="20" w:type="dxa"/>
            <w:vAlign w:val="bottom"/>
            <w:shd w:val="clear" w:color="auto" w:fill="BFE4FF"/>
          </w:tcPr>
          <w:p>
            <w:pPr>
              <w:spacing w:after="0"/>
              <w:rPr>
                <w:sz w:val="24"/>
                <w:szCs w:val="24"/>
                <w:color w:val="auto"/>
              </w:rPr>
            </w:pPr>
          </w:p>
        </w:tc>
        <w:tc>
          <w:tcPr>
            <w:tcW w:w="300" w:type="dxa"/>
            <w:vAlign w:val="bottom"/>
            <w:gridSpan w:val="3"/>
            <w:shd w:val="clear" w:color="auto" w:fill="BFE4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BFE4FF"/>
          </w:tcPr>
          <w:p>
            <w:pPr>
              <w:jc w:val="right"/>
              <w:ind w:right="31"/>
              <w:spacing w:after="0"/>
              <w:rPr>
                <w:sz w:val="20"/>
                <w:szCs w:val="20"/>
                <w:color w:val="auto"/>
              </w:rPr>
            </w:pPr>
            <w:r>
              <w:rPr>
                <w:rFonts w:ascii="Arial" w:cs="Arial" w:eastAsia="Arial" w:hAnsi="Arial"/>
                <w:sz w:val="18"/>
                <w:szCs w:val="18"/>
                <w:color w:val="auto"/>
              </w:rPr>
              <w:t>(10)</w:t>
            </w:r>
          </w:p>
        </w:tc>
        <w:tc>
          <w:tcPr>
            <w:tcW w:w="20" w:type="dxa"/>
            <w:vAlign w:val="bottom"/>
            <w:shd w:val="clear" w:color="auto" w:fill="BFE4FF"/>
          </w:tcPr>
          <w:p>
            <w:pPr>
              <w:spacing w:after="0"/>
              <w:rPr>
                <w:sz w:val="24"/>
                <w:szCs w:val="24"/>
                <w:color w:val="auto"/>
              </w:rPr>
            </w:pPr>
          </w:p>
        </w:tc>
        <w:tc>
          <w:tcPr>
            <w:tcW w:w="280" w:type="dxa"/>
            <w:vAlign w:val="bottom"/>
            <w:gridSpan w:val="3"/>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(53)</w:t>
            </w:r>
          </w:p>
        </w:tc>
        <w:tc>
          <w:tcPr>
            <w:tcW w:w="40" w:type="dxa"/>
            <w:vAlign w:val="bottom"/>
            <w:shd w:val="clear" w:color="auto" w:fill="BFE4FF"/>
          </w:tcPr>
          <w:p>
            <w:pPr>
              <w:spacing w:after="0"/>
              <w:rPr>
                <w:sz w:val="24"/>
                <w:szCs w:val="24"/>
                <w:color w:val="auto"/>
              </w:rPr>
            </w:pPr>
          </w:p>
        </w:tc>
        <w:tc>
          <w:tcPr>
            <w:tcW w:w="80" w:type="dxa"/>
            <w:vAlign w:val="bottom"/>
            <w:shd w:val="clear" w:color="auto" w:fill="BFE4FF"/>
          </w:tcPr>
          <w:p>
            <w:pPr>
              <w:spacing w:after="0"/>
              <w:rPr>
                <w:sz w:val="24"/>
                <w:szCs w:val="24"/>
                <w:color w:val="auto"/>
              </w:rPr>
            </w:pPr>
          </w:p>
        </w:tc>
        <w:tc>
          <w:tcPr>
            <w:tcW w:w="260" w:type="dxa"/>
            <w:vAlign w:val="bottom"/>
            <w:shd w:val="clear" w:color="auto" w:fill="BFE4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BFE4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BFE4FF"/>
            </w:tcBorders>
          </w:tcPr>
          <w:p>
            <w:pPr>
              <w:spacing w:after="0" w:line="20" w:lineRule="exact"/>
              <w:rPr>
                <w:sz w:val="1"/>
                <w:szCs w:val="1"/>
                <w:color w:val="auto"/>
              </w:rPr>
            </w:pPr>
          </w:p>
        </w:tc>
        <w:tc>
          <w:tcPr>
            <w:tcW w:w="80" w:type="dxa"/>
            <w:vAlign w:val="bottom"/>
            <w:tcBorders>
              <w:top w:val="single" w:sz="8" w:color="BFE4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BFE4FF"/>
            </w:tcBorders>
          </w:tcPr>
          <w:p>
            <w:pPr>
              <w:spacing w:after="0" w:line="20" w:lineRule="exact"/>
              <w:rPr>
                <w:sz w:val="1"/>
                <w:szCs w:val="1"/>
                <w:color w:val="auto"/>
              </w:rPr>
            </w:pPr>
          </w:p>
        </w:tc>
        <w:tc>
          <w:tcPr>
            <w:tcW w:w="80" w:type="dxa"/>
            <w:vAlign w:val="bottom"/>
            <w:tcBorders>
              <w:top w:val="single" w:sz="8" w:color="BFE4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BFE4FF"/>
            </w:tcBorders>
          </w:tcPr>
          <w:p>
            <w:pPr>
              <w:spacing w:after="0" w:line="20" w:lineRule="exact"/>
              <w:rPr>
                <w:sz w:val="1"/>
                <w:szCs w:val="1"/>
                <w:color w:val="auto"/>
              </w:rPr>
            </w:pPr>
          </w:p>
        </w:tc>
        <w:tc>
          <w:tcPr>
            <w:tcW w:w="80" w:type="dxa"/>
            <w:vAlign w:val="bottom"/>
            <w:tcBorders>
              <w:top w:val="single" w:sz="8" w:color="BFE4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BFE4FF"/>
            </w:tcBorders>
          </w:tcPr>
          <w:p>
            <w:pPr>
              <w:spacing w:after="0" w:line="20" w:lineRule="exact"/>
              <w:rPr>
                <w:sz w:val="1"/>
                <w:szCs w:val="1"/>
                <w:color w:val="auto"/>
              </w:rPr>
            </w:pPr>
          </w:p>
        </w:tc>
        <w:tc>
          <w:tcPr>
            <w:tcW w:w="80" w:type="dxa"/>
            <w:vAlign w:val="bottom"/>
            <w:tcBorders>
              <w:top w:val="single" w:sz="8" w:color="BFE4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472"/>
              <w:spacing w:after="0"/>
              <w:rPr>
                <w:sz w:val="20"/>
                <w:szCs w:val="20"/>
                <w:color w:val="auto"/>
              </w:rPr>
            </w:pPr>
            <w:r>
              <w:rPr>
                <w:rFonts w:ascii="Arial" w:cs="Arial" w:eastAsia="Arial" w:hAnsi="Arial"/>
                <w:sz w:val="18"/>
                <w:szCs w:val="18"/>
                <w:color w:val="231F20"/>
              </w:rPr>
              <w:t>35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 xml:space="preserve">Note 11 — </w:t>
      </w:r>
      <w:r>
        <w:rPr>
          <w:rFonts w:ascii="Arial" w:cs="Arial" w:eastAsia="Arial" w:hAnsi="Arial"/>
          <w:sz w:val="18"/>
          <w:szCs w:val="18"/>
          <w:b w:val="1"/>
          <w:bCs w:val="1"/>
          <w:i w:val="1"/>
          <w:iCs w:val="1"/>
          <w:color w:val="auto"/>
        </w:rPr>
        <w:t>Income Taxes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Effective Tax Rate</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income tax provision consisted of the following: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30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00" w:type="dxa"/>
            <w:vAlign w:val="bottom"/>
            <w:gridSpan w:val="3"/>
          </w:tcPr>
          <w:p>
            <w:pPr>
              <w:jc w:val="right"/>
              <w:ind w:right="575"/>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24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r>
      <w:tr>
        <w:trPr>
          <w:trHeight w:val="208"/>
        </w:trPr>
        <w:tc>
          <w:tcPr>
            <w:tcW w:w="5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00" w:type="dxa"/>
            <w:vAlign w:val="bottom"/>
            <w:gridSpan w:val="4"/>
            <w:shd w:val="clear" w:color="auto" w:fill="CCEEFF"/>
          </w:tcPr>
          <w:p>
            <w:pPr>
              <w:jc w:val="right"/>
              <w:ind w:right="437"/>
              <w:spacing w:after="0"/>
              <w:rPr>
                <w:sz w:val="20"/>
                <w:szCs w:val="20"/>
                <w:color w:val="auto"/>
              </w:rPr>
            </w:pPr>
            <w:r>
              <w:rPr>
                <w:rFonts w:ascii="Arial" w:cs="Arial" w:eastAsia="Arial" w:hAnsi="Arial"/>
                <w:sz w:val="14"/>
                <w:szCs w:val="14"/>
                <w:b w:val="1"/>
                <w:bCs w:val="1"/>
                <w:color w:val="auto"/>
                <w:w w:val="99"/>
              </w:rPr>
              <w:t>(In millions, except percentages)</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Income (loss) before income tax benefit</w:t>
            </w:r>
          </w:p>
        </w:tc>
        <w:tc>
          <w:tcPr>
            <w:tcW w:w="860" w:type="dxa"/>
            <w:vAlign w:val="bottom"/>
          </w:tcPr>
          <w:p>
            <w:pPr>
              <w:jc w:val="right"/>
              <w:ind w:right="662"/>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102</w:t>
            </w: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7"/>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7"/>
              <w:spacing w:after="0"/>
              <w:rPr>
                <w:sz w:val="20"/>
                <w:szCs w:val="20"/>
                <w:color w:val="auto"/>
              </w:rPr>
            </w:pPr>
            <w:r>
              <w:rPr>
                <w:rFonts w:ascii="Arial" w:cs="Arial" w:eastAsia="Arial" w:hAnsi="Arial"/>
                <w:sz w:val="18"/>
                <w:szCs w:val="18"/>
                <w:color w:val="auto"/>
              </w:rPr>
              <w:t>(27)</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5"/>
              <w:spacing w:after="0"/>
              <w:rPr>
                <w:sz w:val="20"/>
                <w:szCs w:val="20"/>
                <w:color w:val="auto"/>
              </w:rPr>
            </w:pPr>
            <w:r>
              <w:rPr>
                <w:rFonts w:ascii="Arial" w:cs="Arial" w:eastAsia="Arial" w:hAnsi="Arial"/>
                <w:sz w:val="18"/>
                <w:szCs w:val="18"/>
                <w:color w:val="auto"/>
              </w:rPr>
              <w:t>(86)</w:t>
            </w:r>
          </w:p>
        </w:tc>
      </w:tr>
      <w:tr>
        <w:trPr>
          <w:trHeight w:val="27"/>
        </w:trPr>
        <w:tc>
          <w:tcPr>
            <w:tcW w:w="5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4</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(3)</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8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25.5</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3.5 %</w:t>
            </w:r>
          </w:p>
        </w:tc>
      </w:tr>
    </w:tbl>
    <w:p>
      <w:pPr>
        <w:spacing w:after="0" w:line="22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three and six months ended June 30, 2020 and 2019 the overall effective tax rate was different than the statutory rate of 21% primarily due to taxable earnings and losses allocated to partners' interest in Clearway Energy LLC, which includes the effects of applying HLBV method of accounting for book purposes for certain partnerships.</w:t>
      </w:r>
    </w:p>
    <w:p>
      <w:pPr>
        <w:spacing w:after="0" w:line="13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For tax purposes, Clearway Energy LLC is treated as a partnership; therefore, the Company and CEG each record their respective share of taxable income or loss.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March 27, 2020 the Coronavirus Aid, Relief, and Economic Security (CARES) Act, or the Act, was signed into law, which includes modifications</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the business interest expense disallowance and net operating loss provisions. While the Company expects to utilize previously disallowed interest expense during 2020 as a result of the modifications, the Company does not expect the Act to have a material impact on the consolidated financial statements. The Company will continue to assess the effects of the Act and ongoing government guidance related to COVID-19 that may be issued.</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12 — </w:t>
      </w:r>
      <w:r>
        <w:rPr>
          <w:rFonts w:ascii="Arial" w:cs="Arial" w:eastAsia="Arial" w:hAnsi="Arial"/>
          <w:sz w:val="18"/>
          <w:szCs w:val="18"/>
          <w:b w:val="1"/>
          <w:bCs w:val="1"/>
          <w:i w:val="1"/>
          <w:iCs w:val="1"/>
          <w:color w:val="auto"/>
        </w:rPr>
        <w:t>Related Party Transactions</w:t>
      </w:r>
    </w:p>
    <w:p>
      <w:pPr>
        <w:spacing w:after="0" w:line="175"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In addition to the transactions and relationships described elsewhere in the notes to the consolidated financial statements, certain subsidiaries of CEG provide services to the Company's project entities. Amounts due to CEG subsidiaries are recorded as accounts payable - affiliate and amounts due to the Company from CEG subsidiaries are recorded as accounts receivable - affiliate in the Company's balance sheet. The disclosures below summarize the Company's material related party transactions with CEG and its subsidiaries that are included in the Company's operating revenues and operating costs.</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O&amp;M Services Agreements by and between the Company and Clearway Renewable Operation &amp; Maintenance LLC</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Various wholly-owned subsidiaries of the Company in the Renewables segment are party to services agreements with Clearway Renewable Operation</w:t>
      </w:r>
    </w:p>
    <w:p>
      <w:pPr>
        <w:spacing w:after="0" w:line="46" w:lineRule="exact"/>
        <w:rPr>
          <w:sz w:val="20"/>
          <w:szCs w:val="20"/>
          <w:color w:val="auto"/>
        </w:rPr>
      </w:pPr>
    </w:p>
    <w:p>
      <w:pPr>
        <w:jc w:val="both"/>
        <w:ind w:firstLine="8"/>
        <w:spacing w:after="0" w:line="273" w:lineRule="auto"/>
        <w:tabs>
          <w:tab w:leader="none" w:pos="202"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Maintenance LLC, or RENOM, a wholly-owned subsidiary of CEG, which provides operation and maintenance, or O&amp;M, to these subsidiaries. The Company incurred total expenses for these services of $9 million and $18 million for each of the three and six months ended June 30, 2020, respectively. The Company incurred total expenses for these services of $7 million and $14 million for each of the three and six months ended June 30, 2019, respectively. There was a balance of $9 million and $7 million due to RENOM as of June 30, 2020 and December 31, 2019, respectively.</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Administrative Services Agreements by and between the Company and CEG</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Various wholly-owned subsidiaries of the Company are parties to administrative services agreements with Clearway Asset Services and Clearway Solar Asset Management, two wholly-owned subsidiaries of CEG, which provide various administrative services to the Company's subsidiaries. The Company incurred expenses under these agreements of $2 million and $4 million for each of the three and six months ended June 30, 2020, respectively. The Company incurred expenses under these agreements of $1 million and $3 million for each of the three and six months ended June 30, 2019, respectively.</w:t>
      </w:r>
    </w:p>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CEG Master Services Agreements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7"/>
          <w:szCs w:val="17"/>
          <w:color w:val="auto"/>
        </w:rPr>
        <w:t>The Company is a party to Master Services Agreements with CEG, or MSAs, pursuant to which CEG and certain of its affiliates or third party service providers provide certain services to the Company, including operational and administrative services, which include human resources, information systems, external affairs, accounting, procurement and risk management services, and the Company provides certain services to CEG, including accounting, internal audit, tax and treasury services, in exchange for the payment of fees in respect of such services. Amounts due to CEG or its subsidiaries related to these MSAs are recorded as accounts payable - affiliate and amounts due to the Company from CEG and subsidiaries are recorded as accounts receivable - affiliate on the Company's consolidated balance sheet. The Company incurred expenses of $0.6 million and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6" w:name="page37"/>
    <w:bookmarkEnd w:id="36"/>
    <w:p>
      <w:pPr>
        <w:jc w:val="both"/>
        <w:spacing w:after="0" w:line="277" w:lineRule="auto"/>
        <w:rPr>
          <w:sz w:val="20"/>
          <w:szCs w:val="20"/>
          <w:color w:val="auto"/>
        </w:rPr>
      </w:pPr>
      <w:r>
        <w:rPr>
          <w:rFonts w:ascii="Arial" w:cs="Arial" w:eastAsia="Arial" w:hAnsi="Arial"/>
          <w:sz w:val="18"/>
          <w:szCs w:val="18"/>
          <w:color w:val="auto"/>
        </w:rPr>
        <w:t>$1.2 million under these agreements for each of the three and six months ended June 30, 2020, respectively. The expenses under these agreements were immaterial to the Company's financials for each of the three and six months ended June 30,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13 — </w:t>
      </w:r>
      <w:r>
        <w:rPr>
          <w:rFonts w:ascii="Arial" w:cs="Arial" w:eastAsia="Arial" w:hAnsi="Arial"/>
          <w:sz w:val="18"/>
          <w:szCs w:val="18"/>
          <w:b w:val="1"/>
          <w:bCs w:val="1"/>
          <w:i w:val="1"/>
          <w:iCs w:val="1"/>
          <w:color w:val="auto"/>
        </w:rPr>
        <w:t>Contingencies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This note should be read in conjunction with the complete description under Note 17,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Company's 2019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Company's material legal proceedings are described below. The Company believes that it has valid defenses to these legal proceedings and intends to defend them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matters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proceedings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1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addition to the legal proceedings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Nebraska Public Power District Litigation</w:t>
      </w:r>
    </w:p>
    <w:p>
      <w:pPr>
        <w:spacing w:after="0" w:line="17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On January 11, 2019, Nebraska Public Power District, or NPPD, sent written notice to certain of the Company’s subsidiaries which own the Laredo Ridge and Elkhorn Ridge wind projects alleging an event of default under each of the PPAs between NPPD and the projects. NPPD alleges that the Company moved forward with certain transactions without obtaining the consent of NPPD. NPPD threatened to terminate the applicable PPAs by February 11, 2019 if the alleged default was not cured. The Company filed a motion for a temporary restraining order and preliminary injunction in the U.S. District Court for the District of Nebraska relating to the Laredo Ridge project, and a similar motion in the District Court of Knox County, Nebraska for the Elkhorn Ridge project, to enjoin NPPD from taking any actions related to the PPAs. On February 19, 2019, the U.S. District Court in the Laredo Ridge matter approved a stipulation between the parties to provide for an injunction preventing NPPD from terminating the PPA pending disposition of the litigation. On February 26, 2019, the Knox County District Court approved a similar stipulation relating to the Elkhorn Ridge project. On April 13, 2020, the U.S. District Court granted the wind projects' motion for summary judgment and permanently enjoined NPPD from terminating the PPAs in reliance on the alleged events of default. The U.S. District Court decision was appealed by NPPD on May 11, 2020 and the case in the Knox County District Court remains pending, but has been stayed pending the outcome of the U.S. District Court case. The Company believes the allegations of NPPD are meritless and the Company is vigorously defending its rights under the PPAs.</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Buckthorn Solar Litigation</w:t>
      </w:r>
    </w:p>
    <w:p>
      <w:pPr>
        <w:spacing w:after="0" w:line="17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On October 8, 2019, the City of Georgetown, Texas, or Georgetown, filed a petition in the District Court of Williamson County, Texas naming Buckthorn Westex, LLC, the Company’s subsidiary that owns the Buckthorn Westex solar project, as the defendant, alleging fraud by nondisclosure and breach of contract in connection with the project and the PPA, and seeking (i) rescission and/or cancellation of the PPA, (ii) declaratory judgment that the alleged breaches constitute an event of default under the PPA entitling Georgetown to terminate, and (iii) recovery of all damages, costs of court, and attorneys’ fees. On November 15, 2019, Buckthorn Westex filed an original answer and counterclaims (i) denying Georgetown’s claims, (ii) alleging Georgetown has breached its contracts with Buckthorn Westex by failing to pay amounts due, and (iii) seeking relief in the form of (x) declaratory judgment that Georgetown’s alleged failure to pay amounts due constitute breaches of and an event of default under the PPA and that Buckthorn did not commit any events of default under the PPA, (y) recovery of costs, expenses, interest, and attorneys’ fees, and (z) such other relief to which it is entitled at law or in equity. Buckthorn Westex believes the allegations of Georgetown are meritless, and Buckthorn Westex is vigorously defending its rights under the PPA.</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Note 14 — Leases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Leases</w:t>
      </w:r>
    </w:p>
    <w:p>
      <w:pPr>
        <w:spacing w:after="0" w:line="15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evaluates each arrangement at inception to determine if it contains a lease. All of the Company’s leases are operating leases as of June 30,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w:t>
      </w:r>
    </w:p>
    <w:p>
      <w:pPr>
        <w:spacing w:after="0" w:line="144"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The Company records its operating lease liabilities at the present value at lease commencement date of the lease payments over the lease term. Lease payments include fixed payment amounts, as well as variable rate payments based on an index initially measured at lease commencement date. Variable payments, including payments based on future performance and based on index changes, are recorded as the expense is incurred. The Company determines the relevant lease term by evaluating whether renewal and termination options are reasonably to certain to be exercised. The Company uses its incremental borrowing rate to calculate the present value of the lease payments, based on information available at the lease commencement date.</w:t>
      </w:r>
    </w:p>
    <w:p>
      <w:pPr>
        <w:spacing w:after="0" w:line="10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Company’s leases consist of land leases for numerous operating asset locations, real estate leases and equipment leases. The terms and conditions for these leases vary by the type of underlying asset.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Lease expense was comprised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194945</wp:posOffset>
            </wp:positionV>
            <wp:extent cx="47574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June</w:t>
            </w:r>
          </w:p>
        </w:tc>
        <w:tc>
          <w:tcPr>
            <w:tcW w:w="2020" w:type="dxa"/>
            <w:vAlign w:val="bottom"/>
            <w:gridSpan w:val="3"/>
          </w:tcPr>
          <w:p>
            <w:pPr>
              <w:ind w:left="60"/>
              <w:spacing w:after="0"/>
              <w:rPr>
                <w:sz w:val="20"/>
                <w:szCs w:val="20"/>
                <w:color w:val="auto"/>
              </w:rPr>
            </w:pPr>
            <w:r>
              <w:rPr>
                <w:rFonts w:ascii="Arial" w:cs="Arial" w:eastAsia="Arial" w:hAnsi="Arial"/>
                <w:sz w:val="14"/>
                <w:szCs w:val="14"/>
                <w:b w:val="1"/>
                <w:bCs w:val="1"/>
                <w:color w:val="auto"/>
                <w:w w:val="98"/>
              </w:rPr>
              <w:t>Three months ended June 30,</w:t>
            </w:r>
          </w:p>
        </w:tc>
        <w:tc>
          <w:tcPr>
            <w:tcW w:w="1840" w:type="dxa"/>
            <w:vAlign w:val="bottom"/>
            <w:gridSpan w:val="3"/>
          </w:tcPr>
          <w:p>
            <w:pPr>
              <w:ind w:left="60"/>
              <w:spacing w:after="0"/>
              <w:rPr>
                <w:sz w:val="20"/>
                <w:szCs w:val="20"/>
                <w:color w:val="auto"/>
              </w:rPr>
            </w:pPr>
            <w:r>
              <w:rPr>
                <w:rFonts w:ascii="Arial" w:cs="Arial" w:eastAsia="Arial" w:hAnsi="Arial"/>
                <w:sz w:val="14"/>
                <w:szCs w:val="14"/>
                <w:b w:val="1"/>
                <w:bCs w:val="1"/>
                <w:color w:val="auto"/>
                <w:w w:val="97"/>
              </w:rPr>
              <w:t>Six months ended June 30,</w:t>
            </w:r>
          </w:p>
        </w:tc>
        <w:tc>
          <w:tcPr>
            <w:tcW w:w="1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Six months ended June 30,</w:t>
            </w:r>
          </w:p>
        </w:tc>
      </w:tr>
      <w:tr>
        <w:trPr>
          <w:trHeight w:val="192"/>
        </w:trPr>
        <w:tc>
          <w:tcPr>
            <w:tcW w:w="3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30, 2020</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57"/>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2019</w:t>
            </w:r>
          </w:p>
        </w:tc>
      </w:tr>
      <w:tr>
        <w:trPr>
          <w:trHeight w:val="196"/>
        </w:trPr>
        <w:tc>
          <w:tcPr>
            <w:tcW w:w="3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20" w:type="dxa"/>
            <w:vAlign w:val="bottom"/>
            <w:gridSpan w:val="3"/>
          </w:tcPr>
          <w:p>
            <w:pPr>
              <w:jc w:val="right"/>
              <w:ind w:right="176"/>
              <w:spacing w:after="0"/>
              <w:rPr>
                <w:sz w:val="20"/>
                <w:szCs w:val="20"/>
                <w:color w:val="auto"/>
              </w:rPr>
            </w:pPr>
            <w:r>
              <w:rPr>
                <w:rFonts w:ascii="Arial" w:cs="Arial" w:eastAsia="Arial" w:hAnsi="Arial"/>
                <w:sz w:val="14"/>
                <w:szCs w:val="14"/>
                <w:b w:val="1"/>
                <w:bCs w:val="1"/>
                <w:color w:val="auto"/>
              </w:rPr>
              <w:t>(In millions)</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56"/>
        </w:trPr>
        <w:tc>
          <w:tcPr>
            <w:tcW w:w="3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lease cost - Fixed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w:t>
            </w:r>
          </w:p>
        </w:tc>
      </w:tr>
      <w:tr>
        <w:trPr>
          <w:trHeight w:val="243"/>
        </w:trPr>
        <w:tc>
          <w:tcPr>
            <w:tcW w:w="3740" w:type="dxa"/>
            <w:vAlign w:val="bottom"/>
          </w:tcPr>
          <w:p>
            <w:pPr>
              <w:ind w:left="220"/>
              <w:spacing w:after="0"/>
              <w:rPr>
                <w:sz w:val="20"/>
                <w:szCs w:val="20"/>
                <w:color w:val="auto"/>
              </w:rPr>
            </w:pPr>
            <w:r>
              <w:rPr>
                <w:rFonts w:ascii="Arial" w:cs="Arial" w:eastAsia="Arial" w:hAnsi="Arial"/>
                <w:sz w:val="18"/>
                <w:szCs w:val="18"/>
                <w:color w:val="auto"/>
              </w:rPr>
              <w:t>Operating lease cost - Variable</w:t>
            </w:r>
          </w:p>
        </w:tc>
        <w:tc>
          <w:tcPr>
            <w:tcW w:w="120" w:type="dxa"/>
            <w:vAlign w:val="bottom"/>
          </w:tcPr>
          <w:p>
            <w:pPr>
              <w:spacing w:after="0"/>
              <w:rPr>
                <w:sz w:val="21"/>
                <w:szCs w:val="21"/>
                <w:color w:val="auto"/>
              </w:rPr>
            </w:pPr>
          </w:p>
        </w:tc>
        <w:tc>
          <w:tcPr>
            <w:tcW w:w="1700" w:type="dxa"/>
            <w:vAlign w:val="bottom"/>
          </w:tcPr>
          <w:p>
            <w:pPr>
              <w:jc w:val="right"/>
              <w:ind w:right="77"/>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77"/>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80" w:type="dxa"/>
            <w:vAlign w:val="bottom"/>
          </w:tcPr>
          <w:p>
            <w:pPr>
              <w:jc w:val="right"/>
              <w:ind w:right="75"/>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75"/>
              <w:spacing w:after="0"/>
              <w:rPr>
                <w:sz w:val="20"/>
                <w:szCs w:val="20"/>
                <w:color w:val="auto"/>
              </w:rPr>
            </w:pPr>
            <w:r>
              <w:rPr>
                <w:rFonts w:ascii="Arial" w:cs="Arial" w:eastAsia="Arial" w:hAnsi="Arial"/>
                <w:sz w:val="18"/>
                <w:szCs w:val="18"/>
                <w:color w:val="auto"/>
              </w:rPr>
              <w:t>7</w:t>
            </w:r>
          </w:p>
        </w:tc>
      </w:tr>
      <w:tr>
        <w:trPr>
          <w:trHeight w:val="27"/>
        </w:trPr>
        <w:tc>
          <w:tcPr>
            <w:tcW w:w="3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3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lease cost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11</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lease liabilities as of June 30, 2020 and December 31, 2019 comprised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66040</wp:posOffset>
            </wp:positionV>
            <wp:extent cx="29057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102"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December 31, 2019</w:t>
            </w:r>
          </w:p>
        </w:tc>
        <w:tc>
          <w:tcPr>
            <w:tcW w:w="240" w:type="dxa"/>
            <w:vAlign w:val="bottom"/>
            <w:tcBorders>
              <w:bottom w:val="single" w:sz="8" w:color="auto"/>
            </w:tcBorders>
          </w:tcPr>
          <w:p>
            <w:pPr>
              <w:spacing w:after="0"/>
              <w:rPr>
                <w:sz w:val="16"/>
                <w:szCs w:val="16"/>
                <w:color w:val="auto"/>
              </w:rPr>
            </w:pPr>
          </w:p>
        </w:tc>
      </w:tr>
      <w:tr>
        <w:trPr>
          <w:trHeight w:val="190"/>
        </w:trPr>
        <w:tc>
          <w:tcPr>
            <w:tcW w:w="6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20" w:type="dxa"/>
            <w:vAlign w:val="bottom"/>
            <w:gridSpan w:val="5"/>
          </w:tcPr>
          <w:p>
            <w:pPr>
              <w:jc w:val="right"/>
              <w:ind w:right="935"/>
              <w:spacing w:after="0"/>
              <w:rPr>
                <w:sz w:val="20"/>
                <w:szCs w:val="20"/>
                <w:color w:val="auto"/>
              </w:rPr>
            </w:pPr>
            <w:r>
              <w:rPr>
                <w:rFonts w:ascii="Arial" w:cs="Arial" w:eastAsia="Arial" w:hAnsi="Arial"/>
                <w:sz w:val="14"/>
                <w:szCs w:val="14"/>
                <w:b w:val="1"/>
                <w:bCs w:val="1"/>
                <w:color w:val="auto"/>
              </w:rPr>
              <w:t>(In millions, except term and rate)</w:t>
            </w:r>
          </w:p>
        </w:tc>
        <w:tc>
          <w:tcPr>
            <w:tcW w:w="240" w:type="dxa"/>
            <w:vAlign w:val="bottom"/>
          </w:tcPr>
          <w:p>
            <w:pPr>
              <w:spacing w:after="0"/>
              <w:rPr>
                <w:sz w:val="16"/>
                <w:szCs w:val="16"/>
                <w:color w:val="auto"/>
              </w:rPr>
            </w:pPr>
          </w:p>
        </w:tc>
      </w:tr>
      <w:tr>
        <w:trPr>
          <w:trHeight w:val="282"/>
        </w:trPr>
        <w:tc>
          <w:tcPr>
            <w:tcW w:w="6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90"/>
        </w:trPr>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ROU Assets - operating leases,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40" w:type="dxa"/>
            <w:vAlign w:val="bottom"/>
            <w:shd w:val="clear" w:color="auto" w:fill="CCEEFF"/>
          </w:tcPr>
          <w:p>
            <w:pPr>
              <w:spacing w:after="0"/>
              <w:rPr>
                <w:sz w:val="24"/>
                <w:szCs w:val="24"/>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6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7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Short-term lease liability - operating leases </w:t>
            </w:r>
            <w:r>
              <w:rPr>
                <w:rFonts w:ascii="Arial" w:cs="Arial" w:eastAsia="Arial" w:hAnsi="Arial"/>
                <w:sz w:val="23"/>
                <w:szCs w:val="23"/>
                <w:color w:val="auto"/>
                <w:vertAlign w:val="superscript"/>
              </w:rPr>
              <w:t>(a)</w:t>
            </w:r>
          </w:p>
        </w:tc>
        <w:tc>
          <w:tcPr>
            <w:tcW w:w="120" w:type="dxa"/>
            <w:vAlign w:val="bottom"/>
            <w:shd w:val="clear" w:color="auto" w:fill="CCEEFF"/>
          </w:tcPr>
          <w:p>
            <w:pPr>
              <w:spacing w:after="0"/>
              <w:rPr>
                <w:sz w:val="23"/>
                <w:szCs w:val="23"/>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23"/>
                <w:szCs w:val="23"/>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Long-term lease liability - operating leases</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260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227</w:t>
            </w:r>
          </w:p>
        </w:tc>
        <w:tc>
          <w:tcPr>
            <w:tcW w:w="240" w:type="dxa"/>
            <w:vAlign w:val="bottom"/>
          </w:tcPr>
          <w:p>
            <w:pPr>
              <w:spacing w:after="0"/>
              <w:rPr>
                <w:sz w:val="21"/>
                <w:szCs w:val="2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83"/>
        </w:trPr>
        <w:tc>
          <w:tcPr>
            <w:tcW w:w="6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lease liability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40" w:type="dxa"/>
            <w:vAlign w:val="bottom"/>
            <w:shd w:val="clear" w:color="auto" w:fill="CCEEFF"/>
          </w:tcPr>
          <w:p>
            <w:pPr>
              <w:spacing w:after="0"/>
              <w:rPr>
                <w:sz w:val="24"/>
                <w:szCs w:val="24"/>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r>
      <w:tr>
        <w:trPr>
          <w:trHeight w:val="447"/>
        </w:trPr>
        <w:tc>
          <w:tcPr>
            <w:tcW w:w="6520" w:type="dxa"/>
            <w:vAlign w:val="bottom"/>
          </w:tcPr>
          <w:p>
            <w:pPr>
              <w:ind w:left="200"/>
              <w:spacing w:after="0"/>
              <w:rPr>
                <w:sz w:val="20"/>
                <w:szCs w:val="20"/>
                <w:color w:val="auto"/>
              </w:rPr>
            </w:pPr>
            <w:r>
              <w:rPr>
                <w:rFonts w:ascii="Arial" w:cs="Arial" w:eastAsia="Arial" w:hAnsi="Arial"/>
                <w:sz w:val="18"/>
                <w:szCs w:val="18"/>
                <w:color w:val="auto"/>
              </w:rPr>
              <w:t>Weighted average remaining lease term</w:t>
            </w: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9"/>
              </w:rPr>
              <w:t>24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9"/>
              </w:rPr>
              <w:t>25</w:t>
            </w: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Weighted average discount rate</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65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2"/>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2"/>
          </w:tcPr>
          <w:p>
            <w:pPr>
              <w:spacing w:after="0"/>
              <w:rPr>
                <w:sz w:val="22"/>
                <w:szCs w:val="22"/>
                <w:color w:val="auto"/>
              </w:rPr>
            </w:pPr>
          </w:p>
        </w:tc>
      </w:tr>
      <w:tr>
        <w:trPr>
          <w:trHeight w:val="190"/>
        </w:trPr>
        <w:tc>
          <w:tcPr>
            <w:tcW w:w="65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w w:val="89"/>
              </w:rPr>
              <w:t>Six months ended June 30, 2020</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w w:val="90"/>
              </w:rPr>
              <w:t>Six months ended June 30, 2019</w:t>
            </w:r>
          </w:p>
        </w:tc>
      </w:tr>
      <w:tr>
        <w:trPr>
          <w:trHeight w:val="243"/>
        </w:trPr>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operating leases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21"/>
                <w:szCs w:val="21"/>
                <w:color w:val="auto"/>
              </w:rPr>
            </w:pPr>
          </w:p>
        </w:tc>
      </w:tr>
      <w:tr>
        <w:trPr>
          <w:trHeight w:val="27"/>
        </w:trPr>
        <w:tc>
          <w:tcPr>
            <w:tcW w:w="6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274320</wp:posOffset>
            </wp:positionV>
            <wp:extent cx="13716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80" w:right="280" w:hanging="91"/>
        <w:spacing w:after="0" w:line="273" w:lineRule="auto"/>
        <w:tabs>
          <w:tab w:leader="none" w:pos="238" w:val="left"/>
        </w:tabs>
        <w:numPr>
          <w:ilvl w:val="0"/>
          <w:numId w:val="19"/>
        </w:numPr>
        <w:rPr>
          <w:rFonts w:ascii="Arial" w:cs="Arial" w:eastAsia="Arial" w:hAnsi="Arial"/>
          <w:sz w:val="9"/>
          <w:szCs w:val="9"/>
          <w:color w:val="auto"/>
        </w:rPr>
      </w:pPr>
      <w:r>
        <w:rPr>
          <w:rFonts w:ascii="Arial" w:cs="Arial" w:eastAsia="Arial" w:hAnsi="Arial"/>
          <w:sz w:val="14"/>
          <w:szCs w:val="14"/>
          <w:color w:val="auto"/>
        </w:rPr>
        <w:t>Short-term lease liability balances are included within the accrued expenses and other current liabilities line item of the consolidated balance sheets as of June 30, 2020 and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8" w:name="page39"/>
    <w:bookmarkEnd w:id="38"/>
    <w:p>
      <w:pPr>
        <w:ind w:left="500"/>
        <w:spacing w:after="0"/>
        <w:rPr>
          <w:sz w:val="20"/>
          <w:szCs w:val="20"/>
          <w:color w:val="auto"/>
        </w:rPr>
      </w:pPr>
      <w:r>
        <w:rPr>
          <w:rFonts w:ascii="Arial" w:cs="Arial" w:eastAsia="Arial" w:hAnsi="Arial"/>
          <w:sz w:val="18"/>
          <w:szCs w:val="18"/>
          <w:color w:val="auto"/>
        </w:rPr>
        <w:t>Maturities of operating lease liabilities as of June 30, 2020 are as follows:</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896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8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960" w:type="dxa"/>
            <w:vAlign w:val="bottom"/>
            <w:tcBorders>
              <w:bottom w:val="single" w:sz="8" w:color="BFE4FF"/>
            </w:tcBorders>
            <w:shd w:val="clear" w:color="auto" w:fill="BFE4FF"/>
          </w:tcPr>
          <w:p>
            <w:pPr>
              <w:ind w:left="200"/>
              <w:spacing w:after="0"/>
              <w:rPr>
                <w:sz w:val="20"/>
                <w:szCs w:val="20"/>
                <w:color w:val="auto"/>
              </w:rPr>
            </w:pPr>
            <w:r>
              <w:rPr>
                <w:rFonts w:ascii="Arial" w:cs="Arial" w:eastAsia="Arial" w:hAnsi="Arial"/>
                <w:sz w:val="18"/>
                <w:szCs w:val="18"/>
                <w:color w:val="auto"/>
              </w:rPr>
              <w:t>Remainder of 2020</w:t>
            </w:r>
          </w:p>
        </w:tc>
        <w:tc>
          <w:tcPr>
            <w:tcW w:w="880" w:type="dxa"/>
            <w:vAlign w:val="bottom"/>
            <w:tcBorders>
              <w:bottom w:val="single" w:sz="8" w:color="BFE4FF"/>
            </w:tcBorders>
            <w:shd w:val="clear" w:color="auto" w:fill="BFE4FF"/>
          </w:tcPr>
          <w:p>
            <w:pPr>
              <w:jc w:val="right"/>
              <w:ind w:right="6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rPr>
              <w:t>8</w:t>
            </w:r>
          </w:p>
        </w:tc>
      </w:tr>
      <w:tr>
        <w:trPr>
          <w:trHeight w:val="243"/>
        </w:trPr>
        <w:tc>
          <w:tcPr>
            <w:tcW w:w="8960" w:type="dxa"/>
            <w:vAlign w:val="bottom"/>
          </w:tcPr>
          <w:p>
            <w:pPr>
              <w:ind w:left="200"/>
              <w:spacing w:after="0"/>
              <w:rPr>
                <w:sz w:val="20"/>
                <w:szCs w:val="20"/>
                <w:color w:val="auto"/>
              </w:rPr>
            </w:pPr>
            <w:r>
              <w:rPr>
                <w:rFonts w:ascii="Arial" w:cs="Arial" w:eastAsia="Arial" w:hAnsi="Arial"/>
                <w:sz w:val="18"/>
                <w:szCs w:val="18"/>
                <w:color w:val="auto"/>
              </w:rPr>
              <w:t>2021</w:t>
            </w:r>
          </w:p>
        </w:tc>
        <w:tc>
          <w:tcPr>
            <w:tcW w:w="8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18</w:t>
            </w:r>
          </w:p>
        </w:tc>
      </w:tr>
      <w:tr>
        <w:trPr>
          <w:trHeight w:val="27"/>
        </w:trPr>
        <w:tc>
          <w:tcPr>
            <w:tcW w:w="8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960" w:type="dxa"/>
            <w:vAlign w:val="bottom"/>
            <w:tcBorders>
              <w:bottom w:val="single" w:sz="8" w:color="BFE4FF"/>
            </w:tcBorders>
            <w:shd w:val="clear" w:color="auto" w:fill="BFE4FF"/>
          </w:tcPr>
          <w:p>
            <w:pPr>
              <w:ind w:left="200"/>
              <w:spacing w:after="0"/>
              <w:rPr>
                <w:sz w:val="20"/>
                <w:szCs w:val="20"/>
                <w:color w:val="auto"/>
              </w:rPr>
            </w:pPr>
            <w:r>
              <w:rPr>
                <w:rFonts w:ascii="Arial" w:cs="Arial" w:eastAsia="Arial" w:hAnsi="Arial"/>
                <w:sz w:val="18"/>
                <w:szCs w:val="18"/>
                <w:color w:val="auto"/>
              </w:rPr>
              <w:t>2022</w:t>
            </w:r>
          </w:p>
        </w:tc>
        <w:tc>
          <w:tcPr>
            <w:tcW w:w="880" w:type="dxa"/>
            <w:vAlign w:val="bottom"/>
            <w:tcBorders>
              <w:bottom w:val="single" w:sz="8" w:color="BFE4FF"/>
            </w:tcBorders>
            <w:shd w:val="clear" w:color="auto" w:fill="BFE4FF"/>
          </w:tcPr>
          <w:p>
            <w:pPr>
              <w:spacing w:after="0"/>
              <w:rPr>
                <w:sz w:val="21"/>
                <w:szCs w:val="21"/>
                <w:color w:val="auto"/>
              </w:rPr>
            </w:pPr>
          </w:p>
        </w:tc>
        <w:tc>
          <w:tcPr>
            <w:tcW w:w="130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rPr>
              <w:t>18</w:t>
            </w:r>
          </w:p>
        </w:tc>
      </w:tr>
      <w:tr>
        <w:trPr>
          <w:trHeight w:val="243"/>
        </w:trPr>
        <w:tc>
          <w:tcPr>
            <w:tcW w:w="8960" w:type="dxa"/>
            <w:vAlign w:val="bottom"/>
          </w:tcPr>
          <w:p>
            <w:pPr>
              <w:ind w:left="200"/>
              <w:spacing w:after="0"/>
              <w:rPr>
                <w:sz w:val="20"/>
                <w:szCs w:val="20"/>
                <w:color w:val="auto"/>
              </w:rPr>
            </w:pPr>
            <w:r>
              <w:rPr>
                <w:rFonts w:ascii="Arial" w:cs="Arial" w:eastAsia="Arial" w:hAnsi="Arial"/>
                <w:sz w:val="18"/>
                <w:szCs w:val="18"/>
                <w:color w:val="auto"/>
              </w:rPr>
              <w:t>2023</w:t>
            </w:r>
          </w:p>
        </w:tc>
        <w:tc>
          <w:tcPr>
            <w:tcW w:w="8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18</w:t>
            </w:r>
          </w:p>
        </w:tc>
      </w:tr>
      <w:tr>
        <w:trPr>
          <w:trHeight w:val="27"/>
        </w:trPr>
        <w:tc>
          <w:tcPr>
            <w:tcW w:w="8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960" w:type="dxa"/>
            <w:vAlign w:val="bottom"/>
            <w:tcBorders>
              <w:bottom w:val="single" w:sz="8" w:color="BFE4FF"/>
            </w:tcBorders>
            <w:shd w:val="clear" w:color="auto" w:fill="BFE4FF"/>
          </w:tcPr>
          <w:p>
            <w:pPr>
              <w:ind w:left="200"/>
              <w:spacing w:after="0"/>
              <w:rPr>
                <w:sz w:val="20"/>
                <w:szCs w:val="20"/>
                <w:color w:val="auto"/>
              </w:rPr>
            </w:pPr>
            <w:r>
              <w:rPr>
                <w:rFonts w:ascii="Arial" w:cs="Arial" w:eastAsia="Arial" w:hAnsi="Arial"/>
                <w:sz w:val="18"/>
                <w:szCs w:val="18"/>
                <w:color w:val="auto"/>
              </w:rPr>
              <w:t>2024</w:t>
            </w:r>
          </w:p>
        </w:tc>
        <w:tc>
          <w:tcPr>
            <w:tcW w:w="880" w:type="dxa"/>
            <w:vAlign w:val="bottom"/>
            <w:tcBorders>
              <w:bottom w:val="single" w:sz="8" w:color="BFE4FF"/>
            </w:tcBorders>
            <w:shd w:val="clear" w:color="auto" w:fill="BFE4FF"/>
          </w:tcPr>
          <w:p>
            <w:pPr>
              <w:spacing w:after="0"/>
              <w:rPr>
                <w:sz w:val="21"/>
                <w:szCs w:val="21"/>
                <w:color w:val="auto"/>
              </w:rPr>
            </w:pPr>
          </w:p>
        </w:tc>
        <w:tc>
          <w:tcPr>
            <w:tcW w:w="130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rPr>
              <w:t>18</w:t>
            </w:r>
          </w:p>
        </w:tc>
      </w:tr>
      <w:tr>
        <w:trPr>
          <w:trHeight w:val="243"/>
        </w:trPr>
        <w:tc>
          <w:tcPr>
            <w:tcW w:w="8960" w:type="dxa"/>
            <w:vAlign w:val="bottom"/>
          </w:tcPr>
          <w:p>
            <w:pPr>
              <w:ind w:left="200"/>
              <w:spacing w:after="0"/>
              <w:rPr>
                <w:sz w:val="20"/>
                <w:szCs w:val="20"/>
                <w:color w:val="auto"/>
              </w:rPr>
            </w:pPr>
            <w:r>
              <w:rPr>
                <w:rFonts w:ascii="Arial" w:cs="Arial" w:eastAsia="Arial" w:hAnsi="Arial"/>
                <w:sz w:val="18"/>
                <w:szCs w:val="18"/>
                <w:color w:val="auto"/>
              </w:rPr>
              <w:t>Thereafter</w:t>
            </w:r>
          </w:p>
        </w:tc>
        <w:tc>
          <w:tcPr>
            <w:tcW w:w="8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359</w:t>
            </w:r>
          </w:p>
        </w:tc>
      </w:tr>
      <w:tr>
        <w:trPr>
          <w:trHeight w:val="27"/>
        </w:trPr>
        <w:tc>
          <w:tcPr>
            <w:tcW w:w="8960" w:type="dxa"/>
            <w:vAlign w:val="bottom"/>
            <w:tcBorders>
              <w:bottom w:val="single" w:sz="8" w:color="BFE4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89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Total lease payments</w:t>
            </w:r>
          </w:p>
        </w:tc>
        <w:tc>
          <w:tcPr>
            <w:tcW w:w="880" w:type="dxa"/>
            <w:vAlign w:val="bottom"/>
            <w:tcBorders>
              <w:bottom w:val="single" w:sz="8" w:color="BFE4FF"/>
            </w:tcBorders>
            <w:shd w:val="clear" w:color="auto" w:fill="BFE4FF"/>
          </w:tcPr>
          <w:p>
            <w:pPr>
              <w:spacing w:after="0"/>
              <w:rPr>
                <w:sz w:val="21"/>
                <w:szCs w:val="21"/>
                <w:color w:val="auto"/>
              </w:rPr>
            </w:pPr>
          </w:p>
        </w:tc>
        <w:tc>
          <w:tcPr>
            <w:tcW w:w="130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rPr>
              <w:t>439</w:t>
            </w:r>
          </w:p>
        </w:tc>
      </w:tr>
      <w:tr>
        <w:trPr>
          <w:trHeight w:val="243"/>
        </w:trPr>
        <w:tc>
          <w:tcPr>
            <w:tcW w:w="8960" w:type="dxa"/>
            <w:vAlign w:val="bottom"/>
          </w:tcPr>
          <w:p>
            <w:pPr>
              <w:ind w:left="420"/>
              <w:spacing w:after="0"/>
              <w:rPr>
                <w:sz w:val="20"/>
                <w:szCs w:val="20"/>
                <w:color w:val="auto"/>
              </w:rPr>
            </w:pPr>
            <w:r>
              <w:rPr>
                <w:rFonts w:ascii="Arial" w:cs="Arial" w:eastAsia="Arial" w:hAnsi="Arial"/>
                <w:sz w:val="18"/>
                <w:szCs w:val="18"/>
                <w:color w:val="auto"/>
              </w:rPr>
              <w:t>Less imputed interest</w:t>
            </w:r>
          </w:p>
        </w:tc>
        <w:tc>
          <w:tcPr>
            <w:tcW w:w="8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(172)</w:t>
            </w:r>
          </w:p>
        </w:tc>
      </w:tr>
      <w:tr>
        <w:trPr>
          <w:trHeight w:val="27"/>
        </w:trPr>
        <w:tc>
          <w:tcPr>
            <w:tcW w:w="8960" w:type="dxa"/>
            <w:vAlign w:val="bottom"/>
            <w:tcBorders>
              <w:bottom w:val="single" w:sz="8" w:color="BFE4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89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Total lease liability - operating leases</w:t>
            </w:r>
          </w:p>
        </w:tc>
        <w:tc>
          <w:tcPr>
            <w:tcW w:w="880" w:type="dxa"/>
            <w:vAlign w:val="bottom"/>
            <w:tcBorders>
              <w:bottom w:val="single" w:sz="8" w:color="auto"/>
            </w:tcBorders>
            <w:shd w:val="clear" w:color="auto" w:fill="BFE4FF"/>
          </w:tcPr>
          <w:p>
            <w:pPr>
              <w:jc w:val="right"/>
              <w:ind w:right="6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BFE4FF"/>
          </w:tcPr>
          <w:p>
            <w:pPr>
              <w:jc w:val="right"/>
              <w:ind w:right="70"/>
              <w:spacing w:after="0"/>
              <w:rPr>
                <w:sz w:val="20"/>
                <w:szCs w:val="20"/>
                <w:color w:val="auto"/>
              </w:rPr>
            </w:pPr>
            <w:r>
              <w:rPr>
                <w:rFonts w:ascii="Arial" w:cs="Arial" w:eastAsia="Arial" w:hAnsi="Arial"/>
                <w:sz w:val="18"/>
                <w:szCs w:val="18"/>
                <w:color w:val="auto"/>
              </w:rPr>
              <w:t>267</w:t>
            </w:r>
          </w:p>
        </w:tc>
      </w:tr>
      <w:tr>
        <w:trPr>
          <w:trHeight w:val="20"/>
        </w:trPr>
        <w:tc>
          <w:tcPr>
            <w:tcW w:w="8960" w:type="dxa"/>
            <w:vAlign w:val="bottom"/>
            <w:tcBorders>
              <w:top w:val="single" w:sz="8" w:color="BFE4FF"/>
            </w:tcBorders>
          </w:tcPr>
          <w:p>
            <w:pPr>
              <w:spacing w:after="0" w:line="20" w:lineRule="exact"/>
              <w:rPr>
                <w:sz w:val="1"/>
                <w:szCs w:val="1"/>
                <w:color w:val="auto"/>
              </w:rPr>
            </w:pPr>
          </w:p>
        </w:tc>
        <w:tc>
          <w:tcPr>
            <w:tcW w:w="880" w:type="dxa"/>
            <w:vAlign w:val="bottom"/>
            <w:tcBorders>
              <w:top w:val="single" w:sz="8" w:color="BFE4FF"/>
              <w:bottom w:val="single" w:sz="8" w:color="auto"/>
            </w:tcBorders>
          </w:tcPr>
          <w:p>
            <w:pPr>
              <w:spacing w:after="0" w:line="20" w:lineRule="exact"/>
              <w:rPr>
                <w:sz w:val="1"/>
                <w:szCs w:val="1"/>
                <w:color w:val="auto"/>
              </w:rPr>
            </w:pPr>
          </w:p>
        </w:tc>
        <w:tc>
          <w:tcPr>
            <w:tcW w:w="1300" w:type="dxa"/>
            <w:vAlign w:val="bottom"/>
            <w:tcBorders>
              <w:top w:val="single" w:sz="8" w:color="BFE4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Oahu Solar Lease Agreements</w:t>
      </w:r>
    </w:p>
    <w:p>
      <w:pPr>
        <w:spacing w:after="0" w:line="14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Oahu Solar projects are party to various land lease agreements with a wholly owned subsidiary of CEG. The projects are leasing the land for a period of 35 years, with the ability to renew the lease for two additional five year periods. The Company has a lease liability of $20 million and $21 million as of December 31, 2019 and a corresponding right-of-use asset of $18 million and $19 million related to leases as of June 30, 2020 and December 31, 2019,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w:t>
      </w:r>
    </w:p>
    <w:p>
      <w:pPr>
        <w:spacing w:after="0" w:line="158" w:lineRule="exact"/>
        <w:rPr>
          <w:sz w:val="20"/>
          <w:szCs w:val="20"/>
          <w:color w:val="auto"/>
        </w:rPr>
      </w:pPr>
    </w:p>
    <w:p>
      <w:pPr>
        <w:jc w:val="both"/>
        <w:ind w:firstLine="430"/>
        <w:spacing w:after="0" w:line="254" w:lineRule="auto"/>
        <w:rPr>
          <w:sz w:val="20"/>
          <w:szCs w:val="20"/>
          <w:color w:val="auto"/>
        </w:rPr>
      </w:pPr>
      <w:r>
        <w:rPr>
          <w:rFonts w:ascii="Arial" w:cs="Arial" w:eastAsia="Arial" w:hAnsi="Arial"/>
          <w:sz w:val="18"/>
          <w:szCs w:val="18"/>
          <w:color w:val="auto"/>
        </w:rPr>
        <w:t xml:space="preserve">The majority of the Company’s revenue is obtained through PPAs or other contractual agreements that are accounted for as leases. These leases are comprised of both fixed payments and variable payments contingent upon volumes or performance metrics. The terms of the leases are further described in Item 2 — MD&amp;A, </w:t>
      </w:r>
      <w:r>
        <w:rPr>
          <w:rFonts w:ascii="Arial" w:cs="Arial" w:eastAsia="Arial" w:hAnsi="Arial"/>
          <w:sz w:val="18"/>
          <w:szCs w:val="18"/>
          <w:i w:val="1"/>
          <w:iCs w:val="1"/>
          <w:color w:val="auto"/>
        </w:rPr>
        <w:t>Introduction, Environmental, Regulatory</w:t>
      </w:r>
      <w:r>
        <w:rPr>
          <w:rFonts w:ascii="Arial" w:cs="Arial" w:eastAsia="Arial" w:hAnsi="Arial"/>
          <w:sz w:val="18"/>
          <w:szCs w:val="18"/>
          <w:color w:val="auto"/>
        </w:rPr>
        <w:t xml:space="preserve"> of this Form 10-Q. Many of the leases have renewal options at the end of the lease term. Termination may be allowed under specific circumstances in the lease arrangements, such as under an event of default. All of the Company’s leases are operating leases. Certain of these leases have both lease and non-lease components, and the Company allocates the transaction price to the components based on standalone selling prices. As disclosed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the following amounts of energy and capacity revenue are related to the Company’s leases:</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gridSpan w:val="12"/>
          </w:tcPr>
          <w:p>
            <w:pPr>
              <w:ind w:left="80"/>
              <w:spacing w:after="0"/>
              <w:rPr>
                <w:sz w:val="20"/>
                <w:szCs w:val="20"/>
                <w:color w:val="auto"/>
              </w:rPr>
            </w:pPr>
            <w:r>
              <w:rPr>
                <w:rFonts w:ascii="Arial" w:cs="Arial" w:eastAsia="Arial" w:hAnsi="Arial"/>
                <w:sz w:val="16"/>
                <w:szCs w:val="16"/>
                <w:b w:val="1"/>
                <w:bCs w:val="1"/>
                <w:color w:val="auto"/>
              </w:rPr>
              <w:t>Three months ended June 30, 2020</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5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5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0"/>
              </w:rPr>
              <w:t>Conventional</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7"/>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w w:val="92"/>
              </w:rPr>
              <w:t>Generation</w:t>
            </w: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ind w:left="140"/>
              <w:spacing w:after="0"/>
              <w:rPr>
                <w:sz w:val="20"/>
                <w:szCs w:val="20"/>
                <w:color w:val="auto"/>
              </w:rPr>
            </w:pPr>
            <w:r>
              <w:rPr>
                <w:rFonts w:ascii="Arial" w:cs="Arial" w:eastAsia="Arial" w:hAnsi="Arial"/>
                <w:sz w:val="16"/>
                <w:szCs w:val="16"/>
                <w:b w:val="1"/>
                <w:bCs w:val="1"/>
                <w:color w:val="auto"/>
              </w:rPr>
              <w:t>Renewables</w:t>
            </w: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6"/>
                <w:szCs w:val="16"/>
                <w:b w:val="1"/>
                <w:bCs w:val="1"/>
                <w:color w:val="auto"/>
              </w:rPr>
              <w:t>Thermal</w:t>
            </w:r>
          </w:p>
        </w:tc>
        <w:tc>
          <w:tcPr>
            <w:tcW w:w="80" w:type="dxa"/>
            <w:vAlign w:val="bottom"/>
            <w:tcBorders>
              <w:bottom w:val="single" w:sz="8" w:color="CCEEFF"/>
            </w:tcBorders>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Total</w:t>
            </w:r>
          </w:p>
        </w:tc>
      </w:tr>
      <w:tr>
        <w:trPr>
          <w:trHeight w:val="250"/>
        </w:trPr>
        <w:tc>
          <w:tcPr>
            <w:tcW w:w="5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Energy revenue</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5"/>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182</w:t>
            </w:r>
          </w:p>
        </w:tc>
      </w:tr>
      <w:tr>
        <w:trPr>
          <w:trHeight w:val="243"/>
        </w:trPr>
        <w:tc>
          <w:tcPr>
            <w:tcW w:w="5200" w:type="dxa"/>
            <w:vAlign w:val="bottom"/>
          </w:tcPr>
          <w:p>
            <w:pPr>
              <w:ind w:left="100"/>
              <w:spacing w:after="0"/>
              <w:rPr>
                <w:sz w:val="20"/>
                <w:szCs w:val="20"/>
                <w:color w:val="auto"/>
              </w:rPr>
            </w:pPr>
            <w:r>
              <w:rPr>
                <w:rFonts w:ascii="Arial" w:cs="Arial" w:eastAsia="Arial" w:hAnsi="Arial"/>
                <w:sz w:val="18"/>
                <w:szCs w:val="18"/>
                <w:color w:val="auto"/>
              </w:rPr>
              <w:t>Capacity revenue</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5"/>
          </w:tcPr>
          <w:p>
            <w:pPr>
              <w:ind w:left="8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112</w:t>
            </w:r>
          </w:p>
        </w:tc>
      </w:tr>
      <w:tr>
        <w:trPr>
          <w:trHeight w:val="27"/>
        </w:trPr>
        <w:tc>
          <w:tcPr>
            <w:tcW w:w="52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3"/>
        </w:trPr>
        <w:tc>
          <w:tcPr>
            <w:tcW w:w="5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revenue</w:t>
            </w: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113</w:t>
            </w:r>
          </w:p>
        </w:tc>
        <w:tc>
          <w:tcPr>
            <w:tcW w:w="2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gridSpan w:val="2"/>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181</w:t>
            </w:r>
          </w:p>
        </w:tc>
        <w:tc>
          <w:tcPr>
            <w:tcW w:w="2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gridSpan w:val="3"/>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gridSpan w:val="2"/>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294</w:t>
            </w:r>
          </w:p>
        </w:tc>
      </w:tr>
      <w:tr>
        <w:trPr>
          <w:trHeight w:val="20"/>
        </w:trPr>
        <w:tc>
          <w:tcPr>
            <w:tcW w:w="5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29"/>
        </w:trPr>
        <w:tc>
          <w:tcPr>
            <w:tcW w:w="5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gridSpan w:val="12"/>
          </w:tcPr>
          <w:p>
            <w:pPr>
              <w:jc w:val="right"/>
              <w:ind w:right="500"/>
              <w:spacing w:after="0"/>
              <w:rPr>
                <w:sz w:val="20"/>
                <w:szCs w:val="20"/>
                <w:color w:val="auto"/>
              </w:rPr>
            </w:pPr>
            <w:r>
              <w:rPr>
                <w:rFonts w:ascii="Arial" w:cs="Arial" w:eastAsia="Arial" w:hAnsi="Arial"/>
                <w:sz w:val="16"/>
                <w:szCs w:val="16"/>
                <w:b w:val="1"/>
                <w:bCs w:val="1"/>
                <w:color w:val="auto"/>
                <w:w w:val="94"/>
              </w:rPr>
              <w:t>Six months ended June 30, 2020</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
        </w:trPr>
        <w:tc>
          <w:tcPr>
            <w:tcW w:w="52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5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0"/>
              </w:rPr>
              <w:t>Conventional</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7"/>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4"/>
              </w:rPr>
              <w:t>Generation</w:t>
            </w: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Renewables</w:t>
            </w: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Thermal</w:t>
            </w:r>
          </w:p>
        </w:tc>
        <w:tc>
          <w:tcPr>
            <w:tcW w:w="100" w:type="dxa"/>
            <w:vAlign w:val="bottom"/>
            <w:tcBorders>
              <w:bottom w:val="single" w:sz="8" w:color="CCEEFF"/>
            </w:tcBorders>
            <w:gridSpan w:val="3"/>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Total</w:t>
            </w:r>
          </w:p>
        </w:tc>
      </w:tr>
      <w:tr>
        <w:trPr>
          <w:trHeight w:val="249"/>
        </w:trPr>
        <w:tc>
          <w:tcPr>
            <w:tcW w:w="5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Energy revenue</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296</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4"/>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300</w:t>
            </w:r>
          </w:p>
        </w:tc>
      </w:tr>
      <w:tr>
        <w:trPr>
          <w:trHeight w:val="243"/>
        </w:trPr>
        <w:tc>
          <w:tcPr>
            <w:tcW w:w="5200" w:type="dxa"/>
            <w:vAlign w:val="bottom"/>
          </w:tcPr>
          <w:p>
            <w:pPr>
              <w:ind w:left="100"/>
              <w:spacing w:after="0"/>
              <w:rPr>
                <w:sz w:val="20"/>
                <w:szCs w:val="20"/>
                <w:color w:val="auto"/>
              </w:rPr>
            </w:pPr>
            <w:r>
              <w:rPr>
                <w:rFonts w:ascii="Arial" w:cs="Arial" w:eastAsia="Arial" w:hAnsi="Arial"/>
                <w:sz w:val="18"/>
                <w:szCs w:val="18"/>
                <w:color w:val="auto"/>
              </w:rPr>
              <w:t>Capacity revenue</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5"/>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219</w:t>
            </w:r>
          </w:p>
        </w:tc>
      </w:tr>
      <w:tr>
        <w:trPr>
          <w:trHeight w:val="27"/>
        </w:trPr>
        <w:tc>
          <w:tcPr>
            <w:tcW w:w="5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4"/>
        </w:trPr>
        <w:tc>
          <w:tcPr>
            <w:tcW w:w="5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revenue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222</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296</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40" w:type="dxa"/>
            <w:vAlign w:val="bottom"/>
            <w:gridSpan w:val="4"/>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519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737"/>
        </w:trPr>
        <w:tc>
          <w:tcPr>
            <w:tcW w:w="5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gridSpan w:val="12"/>
          </w:tcPr>
          <w:p>
            <w:pPr>
              <w:ind w:left="60"/>
              <w:spacing w:after="0"/>
              <w:rPr>
                <w:sz w:val="20"/>
                <w:szCs w:val="20"/>
                <w:color w:val="auto"/>
              </w:rPr>
            </w:pPr>
            <w:r>
              <w:rPr>
                <w:rFonts w:ascii="Arial" w:cs="Arial" w:eastAsia="Arial" w:hAnsi="Arial"/>
                <w:sz w:val="16"/>
                <w:szCs w:val="16"/>
                <w:b w:val="1"/>
                <w:bCs w:val="1"/>
                <w:color w:val="auto"/>
              </w:rPr>
              <w:t>Three months ended June 30, 2019</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
        </w:trPr>
        <w:tc>
          <w:tcPr>
            <w:tcW w:w="52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5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2"/>
              </w:rPr>
              <w:t>Conventional</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7"/>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13"/>
              <w:spacing w:after="0"/>
              <w:rPr>
                <w:sz w:val="20"/>
                <w:szCs w:val="20"/>
                <w:color w:val="auto"/>
              </w:rPr>
            </w:pPr>
            <w:r>
              <w:rPr>
                <w:rFonts w:ascii="Arial" w:cs="Arial" w:eastAsia="Arial" w:hAnsi="Arial"/>
                <w:sz w:val="16"/>
                <w:szCs w:val="16"/>
                <w:b w:val="1"/>
                <w:bCs w:val="1"/>
                <w:color w:val="auto"/>
                <w:w w:val="92"/>
              </w:rPr>
              <w:t>Generation</w:t>
            </w:r>
          </w:p>
        </w:tc>
        <w:tc>
          <w:tcPr>
            <w:tcW w:w="60" w:type="dxa"/>
            <w:vAlign w:val="bottom"/>
            <w:tcBorders>
              <w:bottom w:val="single" w:sz="8" w:color="CCEEFF"/>
            </w:tcBorders>
            <w:gridSpan w:val="2"/>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Renewables</w:t>
            </w:r>
          </w:p>
        </w:tc>
        <w:tc>
          <w:tcPr>
            <w:tcW w:w="60" w:type="dxa"/>
            <w:vAlign w:val="bottom"/>
            <w:tcBorders>
              <w:bottom w:val="single" w:sz="8" w:color="CCEEFF"/>
            </w:tcBorders>
            <w:gridSpan w:val="2"/>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Thermal</w:t>
            </w:r>
          </w:p>
        </w:tc>
        <w:tc>
          <w:tcPr>
            <w:tcW w:w="100" w:type="dxa"/>
            <w:vAlign w:val="bottom"/>
            <w:tcBorders>
              <w:bottom w:val="single" w:sz="8" w:color="CCEEFF"/>
            </w:tcBorders>
            <w:gridSpan w:val="3"/>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Total</w:t>
            </w:r>
          </w:p>
        </w:tc>
      </w:tr>
      <w:tr>
        <w:trPr>
          <w:trHeight w:val="249"/>
        </w:trPr>
        <w:tc>
          <w:tcPr>
            <w:tcW w:w="5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Energy revenue</w:t>
            </w:r>
          </w:p>
        </w:tc>
        <w:tc>
          <w:tcPr>
            <w:tcW w:w="2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157</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159</w:t>
            </w:r>
          </w:p>
        </w:tc>
      </w:tr>
      <w:tr>
        <w:trPr>
          <w:trHeight w:val="243"/>
        </w:trPr>
        <w:tc>
          <w:tcPr>
            <w:tcW w:w="5200" w:type="dxa"/>
            <w:vAlign w:val="bottom"/>
          </w:tcPr>
          <w:p>
            <w:pPr>
              <w:ind w:left="100"/>
              <w:spacing w:after="0"/>
              <w:rPr>
                <w:sz w:val="20"/>
                <w:szCs w:val="20"/>
                <w:color w:val="auto"/>
              </w:rPr>
            </w:pPr>
            <w:r>
              <w:rPr>
                <w:rFonts w:ascii="Arial" w:cs="Arial" w:eastAsia="Arial" w:hAnsi="Arial"/>
                <w:sz w:val="18"/>
                <w:szCs w:val="18"/>
                <w:color w:val="auto"/>
              </w:rPr>
              <w:t>Capacity revenue</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5"/>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85</w:t>
            </w:r>
          </w:p>
        </w:tc>
      </w:tr>
      <w:tr>
        <w:trPr>
          <w:trHeight w:val="27"/>
        </w:trPr>
        <w:tc>
          <w:tcPr>
            <w:tcW w:w="5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4"/>
        </w:trPr>
        <w:tc>
          <w:tcPr>
            <w:tcW w:w="5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Operating revenue</w:t>
            </w: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86</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157</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4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244</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500"/>
        </w:trPr>
        <w:tc>
          <w:tcPr>
            <w:tcW w:w="5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ind w:right="813"/>
              <w:spacing w:after="0"/>
              <w:rPr>
                <w:sz w:val="20"/>
                <w:szCs w:val="20"/>
                <w:color w:val="auto"/>
              </w:rPr>
            </w:pPr>
            <w:r>
              <w:rPr>
                <w:rFonts w:ascii="Arial" w:cs="Arial" w:eastAsia="Arial" w:hAnsi="Arial"/>
                <w:sz w:val="18"/>
                <w:szCs w:val="18"/>
                <w:color w:val="231F20"/>
              </w:rPr>
              <w:t>39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58"/>
        </w:trPr>
        <w:tc>
          <w:tcPr>
            <w:tcW w:w="5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10"/>
        </w:trPr>
        <w:tc>
          <w:tcPr>
            <w:tcW w:w="15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6"/>
          </w:tcPr>
          <w:p>
            <w:pPr>
              <w:jc w:val="right"/>
              <w:spacing w:after="0"/>
              <w:rPr>
                <w:sz w:val="20"/>
                <w:szCs w:val="20"/>
                <w:color w:val="auto"/>
              </w:rPr>
            </w:pPr>
            <w:r>
              <w:rPr>
                <w:rFonts w:ascii="Arial" w:cs="Arial" w:eastAsia="Arial" w:hAnsi="Arial"/>
                <w:sz w:val="16"/>
                <w:szCs w:val="16"/>
                <w:b w:val="1"/>
                <w:bCs w:val="1"/>
                <w:color w:val="auto"/>
                <w:w w:val="95"/>
              </w:rPr>
              <w:t>Six months ended June 30, 2019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5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5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6"/>
                <w:szCs w:val="16"/>
                <w:b w:val="1"/>
                <w:bCs w:val="1"/>
                <w:color w:val="auto"/>
              </w:rPr>
              <w:t>Conventional</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Generation</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Renewables</w:t>
            </w: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Thermal</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9"/>
        </w:trPr>
        <w:tc>
          <w:tcPr>
            <w:tcW w:w="52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Energy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875"/>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43"/>
        </w:trPr>
        <w:tc>
          <w:tcPr>
            <w:tcW w:w="5200" w:type="dxa"/>
            <w:vAlign w:val="bottom"/>
            <w:gridSpan w:val="2"/>
          </w:tcPr>
          <w:p>
            <w:pPr>
              <w:ind w:left="100"/>
              <w:spacing w:after="0"/>
              <w:rPr>
                <w:sz w:val="20"/>
                <w:szCs w:val="20"/>
                <w:color w:val="auto"/>
              </w:rPr>
            </w:pPr>
            <w:r>
              <w:rPr>
                <w:rFonts w:ascii="Arial" w:cs="Arial" w:eastAsia="Arial" w:hAnsi="Arial"/>
                <w:sz w:val="18"/>
                <w:szCs w:val="18"/>
                <w:color w:val="auto"/>
              </w:rPr>
              <w:t>Capacity revenue</w:t>
            </w:r>
          </w:p>
        </w:tc>
        <w:tc>
          <w:tcPr>
            <w:tcW w:w="180" w:type="dxa"/>
            <w:vAlign w:val="bottom"/>
          </w:tcPr>
          <w:p>
            <w:pPr>
              <w:spacing w:after="0"/>
              <w:rPr>
                <w:sz w:val="21"/>
                <w:szCs w:val="21"/>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gridSpan w:val="4"/>
          </w:tcPr>
          <w:p>
            <w:pPr>
              <w:jc w:val="right"/>
              <w:ind w:right="26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152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2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Operating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875"/>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auto"/>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8220" w:type="dxa"/>
            <w:vAlign w:val="bottom"/>
            <w:gridSpan w:val="10"/>
          </w:tcPr>
          <w:p>
            <w:pPr>
              <w:spacing w:after="0"/>
              <w:rPr>
                <w:sz w:val="20"/>
                <w:szCs w:val="20"/>
                <w:color w:val="auto"/>
              </w:rPr>
            </w:pPr>
            <w:r>
              <w:rPr>
                <w:rFonts w:ascii="Arial" w:cs="Arial" w:eastAsia="Arial" w:hAnsi="Arial"/>
                <w:sz w:val="18"/>
                <w:szCs w:val="18"/>
                <w:color w:val="auto"/>
                <w:w w:val="98"/>
              </w:rPr>
              <w:t>Minimum future rent payments under the operating leases for the remaining periods as of June 30, 2020</w:t>
            </w: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520" w:type="dxa"/>
            <w:vAlign w:val="bottom"/>
          </w:tcPr>
          <w:p>
            <w:pPr>
              <w:spacing w:after="0"/>
              <w:rPr>
                <w:sz w:val="24"/>
                <w:szCs w:val="24"/>
                <w:color w:val="auto"/>
              </w:rPr>
            </w:pPr>
          </w:p>
        </w:tc>
        <w:tc>
          <w:tcPr>
            <w:tcW w:w="36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520" w:type="dxa"/>
            <w:vAlign w:val="bottom"/>
          </w:tcPr>
          <w:p>
            <w:pPr>
              <w:spacing w:after="0"/>
              <w:rPr>
                <w:sz w:val="22"/>
                <w:szCs w:val="22"/>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2020</w:t>
            </w: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297</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00" w:type="dxa"/>
            <w:vAlign w:val="bottom"/>
            <w:gridSpan w:val="2"/>
          </w:tcPr>
          <w:p>
            <w:pPr>
              <w:ind w:left="154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444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2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450</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gridSpan w:val="2"/>
          </w:tcPr>
          <w:p>
            <w:pPr>
              <w:ind w:left="154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259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2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106</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rPr>
                <w:sz w:val="21"/>
                <w:szCs w:val="21"/>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0" w:type="dxa"/>
            <w:vAlign w:val="bottom"/>
            <w:gridSpan w:val="4"/>
          </w:tcPr>
          <w:p>
            <w:pPr>
              <w:jc w:val="right"/>
              <w:ind w:right="20"/>
              <w:spacing w:after="0"/>
              <w:rPr>
                <w:sz w:val="20"/>
                <w:szCs w:val="20"/>
                <w:color w:val="auto"/>
              </w:rPr>
            </w:pPr>
            <w:r>
              <w:rPr>
                <w:rFonts w:ascii="Arial" w:cs="Arial" w:eastAsia="Arial" w:hAnsi="Arial"/>
                <w:sz w:val="18"/>
                <w:szCs w:val="18"/>
                <w:color w:val="auto"/>
              </w:rPr>
              <w:t>1,605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1520" w:type="dxa"/>
            <w:vAlign w:val="bottom"/>
          </w:tcPr>
          <w:p>
            <w:pPr>
              <w:spacing w:after="0"/>
              <w:rPr>
                <w:sz w:val="24"/>
                <w:szCs w:val="24"/>
                <w:color w:val="auto"/>
              </w:rPr>
            </w:pPr>
          </w:p>
        </w:tc>
        <w:tc>
          <w:tcPr>
            <w:tcW w:w="3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lease payments</w:t>
            </w:r>
          </w:p>
        </w:tc>
        <w:tc>
          <w:tcPr>
            <w:tcW w:w="1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spacing w:after="0"/>
              <w:rPr>
                <w:sz w:val="24"/>
                <w:szCs w:val="24"/>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3,161</w:t>
            </w:r>
          </w:p>
        </w:tc>
        <w:tc>
          <w:tcPr>
            <w:tcW w:w="100" w:type="dxa"/>
            <w:vAlign w:val="bottom"/>
            <w:tcBorders>
              <w:bottom w:val="single" w:sz="8" w:color="auto"/>
              <w:right w:val="single" w:sz="8" w:color="CCEEFF"/>
            </w:tcBorders>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940" w:type="dxa"/>
            <w:vAlign w:val="bottom"/>
            <w:gridSpan w:val="6"/>
            <w:vMerge w:val="restart"/>
          </w:tcPr>
          <w:p>
            <w:pPr>
              <w:spacing w:after="0"/>
              <w:rPr>
                <w:sz w:val="20"/>
                <w:szCs w:val="20"/>
                <w:color w:val="auto"/>
              </w:rPr>
            </w:pPr>
            <w:r>
              <w:rPr>
                <w:rFonts w:ascii="Arial" w:cs="Arial" w:eastAsia="Arial" w:hAnsi="Arial"/>
                <w:sz w:val="18"/>
                <w:szCs w:val="18"/>
                <w:color w:val="auto"/>
                <w:w w:val="92"/>
              </w:rPr>
              <w:t>Property, plant and equipment, net related to the Company’s operating leases were as follows:</w:t>
            </w: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6940" w:type="dxa"/>
            <w:vAlign w:val="bottom"/>
            <w:gridSpan w:val="6"/>
            <w:vMerge w:val="continue"/>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155"/>
              <w:spacing w:after="0"/>
              <w:rPr>
                <w:sz w:val="20"/>
                <w:szCs w:val="20"/>
                <w:color w:val="auto"/>
              </w:rPr>
            </w:pPr>
            <w:r>
              <w:rPr>
                <w:rFonts w:ascii="Arial" w:cs="Arial" w:eastAsia="Arial" w:hAnsi="Arial"/>
                <w:sz w:val="14"/>
                <w:szCs w:val="14"/>
                <w:b w:val="1"/>
                <w:bCs w:val="1"/>
                <w:color w:val="auto"/>
                <w:w w:val="94"/>
              </w:rPr>
              <w:t>June 30, 2020</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49"/>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center"/>
              <w:ind w:left="613"/>
              <w:spacing w:after="0"/>
              <w:rPr>
                <w:sz w:val="20"/>
                <w:szCs w:val="20"/>
                <w:color w:val="auto"/>
              </w:rPr>
            </w:pPr>
            <w:r>
              <w:rPr>
                <w:rFonts w:ascii="Arial" w:cs="Arial" w:eastAsia="Arial" w:hAnsi="Arial"/>
                <w:sz w:val="18"/>
                <w:szCs w:val="18"/>
                <w:color w:val="auto"/>
                <w:w w:val="93"/>
              </w:rPr>
              <w:t>6,974</w:t>
            </w:r>
          </w:p>
        </w:tc>
        <w:tc>
          <w:tcPr>
            <w:tcW w:w="4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6,942</w:t>
            </w:r>
          </w:p>
        </w:tc>
        <w:tc>
          <w:tcPr>
            <w:tcW w:w="0" w:type="dxa"/>
            <w:vAlign w:val="bottom"/>
          </w:tcPr>
          <w:p>
            <w:pPr>
              <w:spacing w:after="0"/>
              <w:rPr>
                <w:sz w:val="1"/>
                <w:szCs w:val="1"/>
                <w:color w:val="auto"/>
              </w:rPr>
            </w:pPr>
          </w:p>
        </w:tc>
      </w:tr>
      <w:tr>
        <w:trPr>
          <w:trHeight w:val="24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Accumulated depreciation</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gridSpan w:val="3"/>
          </w:tcPr>
          <w:p>
            <w:pPr>
              <w:jc w:val="center"/>
              <w:ind w:left="453"/>
              <w:spacing w:after="0"/>
              <w:rPr>
                <w:sz w:val="20"/>
                <w:szCs w:val="20"/>
                <w:color w:val="auto"/>
              </w:rPr>
            </w:pPr>
            <w:r>
              <w:rPr>
                <w:rFonts w:ascii="Arial" w:cs="Arial" w:eastAsia="Arial" w:hAnsi="Arial"/>
                <w:sz w:val="18"/>
                <w:szCs w:val="18"/>
                <w:color w:val="auto"/>
                <w:w w:val="91"/>
              </w:rPr>
              <w:t>(1,769)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property, plant and equipment</w:t>
            </w: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center"/>
              <w:ind w:left="613"/>
              <w:spacing w:after="0"/>
              <w:rPr>
                <w:sz w:val="20"/>
                <w:szCs w:val="20"/>
                <w:color w:val="auto"/>
              </w:rPr>
            </w:pPr>
            <w:r>
              <w:rPr>
                <w:rFonts w:ascii="Arial" w:cs="Arial" w:eastAsia="Arial" w:hAnsi="Arial"/>
                <w:sz w:val="18"/>
                <w:szCs w:val="18"/>
                <w:color w:val="auto"/>
                <w:w w:val="93"/>
              </w:rPr>
              <w:t>5,205</w:t>
            </w:r>
          </w:p>
        </w:tc>
        <w:tc>
          <w:tcPr>
            <w:tcW w:w="4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5,293</w:t>
            </w: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15 — </w:t>
      </w:r>
      <w:r>
        <w:rPr>
          <w:rFonts w:ascii="Arial" w:cs="Arial" w:eastAsia="Arial" w:hAnsi="Arial"/>
          <w:sz w:val="18"/>
          <w:szCs w:val="18"/>
          <w:b w:val="1"/>
          <w:bCs w:val="1"/>
          <w:i w:val="1"/>
          <w:iCs w:val="1"/>
          <w:color w:val="auto"/>
        </w:rPr>
        <w:t>Asset Impairments</w:t>
      </w:r>
    </w:p>
    <w:p>
      <w:pPr>
        <w:spacing w:after="0" w:line="256"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During the three and six months and ended June 30, 2019, the Company recorded an impairment loss of $19 million related to a facility in the Thermal segment. The fair value of the facility was determined using an income approach by applying a discounted cash flow methodology to the long-term budgets for each respective plant. The income approach utilized estimates of discounted future cash flows, which were Level 3 fair value measurement and include key inputs, such as forecasted power prices, operations and maintenance expense, and discount rates. The Company measured the impairment loss as the difference between the carrying amount and the fair value of the assets.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40" w:name="page41"/>
    <w:bookmarkEnd w:id="40"/>
    <w:p>
      <w:pPr>
        <w:jc w:val="right"/>
        <w:ind w:right="3160"/>
        <w:spacing w:after="0" w:line="495" w:lineRule="auto"/>
        <w:rPr>
          <w:sz w:val="20"/>
          <w:szCs w:val="20"/>
          <w:color w:val="auto"/>
        </w:rPr>
      </w:pPr>
      <w:r>
        <w:rPr>
          <w:rFonts w:ascii="Arial" w:cs="Arial" w:eastAsia="Arial" w:hAnsi="Arial"/>
          <w:sz w:val="16"/>
          <w:szCs w:val="16"/>
          <w:b w:val="1"/>
          <w:bCs w:val="1"/>
          <w:color w:val="auto"/>
        </w:rPr>
        <w:t xml:space="preserve">ITEM 2 — Management's Discussion and Analysis of Financial Condition and the Results of Operations </w:t>
      </w:r>
      <w:r>
        <w:rPr>
          <w:rFonts w:ascii="Arial" w:cs="Arial" w:eastAsia="Arial" w:hAnsi="Arial"/>
          <w:sz w:val="16"/>
          <w:szCs w:val="16"/>
          <w:color w:val="auto"/>
        </w:rPr>
        <w:t>The following discussion analyzes the Company's historical financial condition and results of operations.</w:t>
      </w:r>
    </w:p>
    <w:p>
      <w:pPr>
        <w:spacing w:after="0" w:line="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you read this discussion and analysis, refer to the Company's Consolidated Financial Statements to this Form 10-Q, which present the results of operations for the three and six months ended June 30, 2020 and 2019. Also refer to the Company's 2019 Form 10-K, which includes detailed discussions of various items impacting the Company's business, results of operations and financial condition.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231F20"/>
        </w:rPr>
        <w:t>The discussion and analysis below has been organized as follows:</w:t>
      </w:r>
    </w:p>
    <w:p>
      <w:pPr>
        <w:spacing w:after="0" w:line="171" w:lineRule="exact"/>
        <w:rPr>
          <w:sz w:val="20"/>
          <w:szCs w:val="20"/>
          <w:color w:val="auto"/>
        </w:rPr>
      </w:pPr>
    </w:p>
    <w:p>
      <w:pPr>
        <w:ind w:left="980" w:right="400"/>
        <w:spacing w:after="0" w:line="277" w:lineRule="auto"/>
        <w:tabs>
          <w:tab w:leader="none" w:pos="1299"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Executive Summary, including a description of the business and significant events that are important to understanding the results of operations and financial condition;</w:t>
      </w:r>
    </w:p>
    <w:p>
      <w:pPr>
        <w:spacing w:after="0" w:line="116" w:lineRule="exact"/>
        <w:rPr>
          <w:rFonts w:ascii="Arial" w:cs="Arial" w:eastAsia="Arial" w:hAnsi="Arial"/>
          <w:sz w:val="18"/>
          <w:szCs w:val="18"/>
          <w:color w:val="231F20"/>
        </w:rPr>
      </w:pPr>
    </w:p>
    <w:p>
      <w:pPr>
        <w:ind w:left="1300" w:hanging="320"/>
        <w:spacing w:after="0"/>
        <w:tabs>
          <w:tab w:leader="none" w:pos="1300"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Known trends that may affect the Company’s results of operations and financial condition in the future;</w:t>
      </w:r>
    </w:p>
    <w:p>
      <w:pPr>
        <w:spacing w:after="0" w:line="171" w:lineRule="exact"/>
        <w:rPr>
          <w:rFonts w:ascii="Arial" w:cs="Arial" w:eastAsia="Arial" w:hAnsi="Arial"/>
          <w:sz w:val="18"/>
          <w:szCs w:val="18"/>
          <w:color w:val="231F20"/>
        </w:rPr>
      </w:pPr>
    </w:p>
    <w:p>
      <w:pPr>
        <w:ind w:left="980" w:right="880"/>
        <w:spacing w:after="0" w:line="277" w:lineRule="auto"/>
        <w:tabs>
          <w:tab w:leader="none" w:pos="1299"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Results of operations, including an explanation of significant differences between the periods in the specific line items of the consolidated statements of income;</w:t>
      </w:r>
    </w:p>
    <w:p>
      <w:pPr>
        <w:spacing w:after="0" w:line="116" w:lineRule="exact"/>
        <w:rPr>
          <w:rFonts w:ascii="Arial" w:cs="Arial" w:eastAsia="Arial" w:hAnsi="Arial"/>
          <w:sz w:val="18"/>
          <w:szCs w:val="18"/>
          <w:color w:val="auto"/>
        </w:rPr>
      </w:pPr>
    </w:p>
    <w:p>
      <w:pPr>
        <w:ind w:left="980" w:right="200"/>
        <w:spacing w:after="0" w:line="277" w:lineRule="auto"/>
        <w:tabs>
          <w:tab w:leader="none" w:pos="1299"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Financial condition addressing liquidity position, sources and uses of cash, capital resources and requirements, commitments, and off-balance sheet arrangements; and</w:t>
      </w:r>
    </w:p>
    <w:p>
      <w:pPr>
        <w:spacing w:after="0" w:line="116" w:lineRule="exact"/>
        <w:rPr>
          <w:rFonts w:ascii="Arial" w:cs="Arial" w:eastAsia="Arial" w:hAnsi="Arial"/>
          <w:sz w:val="18"/>
          <w:szCs w:val="18"/>
          <w:color w:val="231F20"/>
        </w:rPr>
      </w:pPr>
    </w:p>
    <w:p>
      <w:pPr>
        <w:ind w:left="980" w:right="760"/>
        <w:spacing w:after="0" w:line="277" w:lineRule="auto"/>
        <w:tabs>
          <w:tab w:leader="none" w:pos="1299"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231F20"/>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and Overview</w:t>
      </w:r>
    </w:p>
    <w:p>
      <w:pPr>
        <w:spacing w:after="0" w:line="175"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Clearway Energy, Inc. together with its consolidated subsidiaries, or the Company, is a publicly-traded energy infrastructure investor in and owner of modern, sustainable and long-term contracted assets across North America. The Company is indirectly owned by Global Infrastructure Partners III. Global Infrastructure Management, LLC is an independent fund manager of funds that invests in infrastructure assets in the energy and transport sectors, and Global Infrastructure Partners III is its third equity fund. The Company is sponsored by GIP through GIP's portfolio company, CEG.</w:t>
      </w:r>
    </w:p>
    <w:p>
      <w:pPr>
        <w:spacing w:after="0" w:line="10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The Company’s environmentally-sound asset portfolio includes over 5,991 MW of wind, solar and natural gas-fired power generation facilities, as well as district energy systems. Through this diversified and contracted portfolio, the Company endeavors to provide its investors with stable and growing dividend income. Substantially all of the Company's generation assets are under long-term contractual arrangements for the output or capacity from these assets. The Company also owns </w:t>
      </w:r>
      <w:r>
        <w:rPr>
          <w:rFonts w:ascii="Arial" w:cs="Arial" w:eastAsia="Arial" w:hAnsi="Arial"/>
          <w:sz w:val="18"/>
          <w:szCs w:val="18"/>
          <w:color w:val="231F20"/>
        </w:rPr>
        <w:t>thermal infrastructure assets with an aggregate steam and chilled water capacity of</w:t>
      </w:r>
      <w:r>
        <w:rPr>
          <w:rFonts w:ascii="Arial" w:cs="Arial" w:eastAsia="Arial" w:hAnsi="Arial"/>
          <w:sz w:val="18"/>
          <w:szCs w:val="18"/>
          <w:color w:val="auto"/>
        </w:rPr>
        <w:t xml:space="preserve"> 1,453 </w:t>
      </w:r>
      <w:r>
        <w:rPr>
          <w:rFonts w:ascii="Arial" w:cs="Arial" w:eastAsia="Arial" w:hAnsi="Arial"/>
          <w:sz w:val="18"/>
          <w:szCs w:val="18"/>
          <w:color w:val="231F20"/>
        </w:rPr>
        <w:t>net MWt and electric generation</w:t>
      </w:r>
      <w:r>
        <w:rPr>
          <w:rFonts w:ascii="Arial" w:cs="Arial" w:eastAsia="Arial" w:hAnsi="Arial"/>
          <w:sz w:val="18"/>
          <w:szCs w:val="18"/>
          <w:color w:val="auto"/>
        </w:rPr>
        <w:t xml:space="preserve"> </w:t>
      </w:r>
      <w:r>
        <w:rPr>
          <w:rFonts w:ascii="Arial" w:cs="Arial" w:eastAsia="Arial" w:hAnsi="Arial"/>
          <w:sz w:val="18"/>
          <w:szCs w:val="18"/>
          <w:color w:val="231F20"/>
        </w:rPr>
        <w:t xml:space="preserve">capacity of </w:t>
      </w:r>
      <w:r>
        <w:rPr>
          <w:rFonts w:ascii="Arial" w:cs="Arial" w:eastAsia="Arial" w:hAnsi="Arial"/>
          <w:sz w:val="18"/>
          <w:szCs w:val="18"/>
          <w:color w:val="000000"/>
        </w:rPr>
        <w:t>36</w:t>
      </w:r>
      <w:r>
        <w:rPr>
          <w:rFonts w:ascii="Arial" w:cs="Arial" w:eastAsia="Arial" w:hAnsi="Arial"/>
          <w:sz w:val="18"/>
          <w:szCs w:val="18"/>
          <w:color w:val="231F20"/>
        </w:rPr>
        <w:t xml:space="preserve">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 </w:t>
      </w:r>
      <w:r>
        <w:rPr>
          <w:rFonts w:ascii="Arial" w:cs="Arial" w:eastAsia="Arial" w:hAnsi="Arial"/>
          <w:sz w:val="18"/>
          <w:szCs w:val="18"/>
          <w:color w:val="000000"/>
        </w:rPr>
        <w:t>The weighted average remaining contract duration of these offtake agreements was approximately 13 years</w:t>
      </w:r>
      <w:r>
        <w:rPr>
          <w:rFonts w:ascii="Arial" w:cs="Arial" w:eastAsia="Arial" w:hAnsi="Arial"/>
          <w:sz w:val="18"/>
          <w:szCs w:val="18"/>
          <w:color w:val="231F20"/>
        </w:rPr>
        <w:t xml:space="preserve"> as of </w:t>
      </w:r>
      <w:r>
        <w:rPr>
          <w:rFonts w:ascii="Arial" w:cs="Arial" w:eastAsia="Arial" w:hAnsi="Arial"/>
          <w:sz w:val="18"/>
          <w:szCs w:val="18"/>
          <w:color w:val="000000"/>
        </w:rPr>
        <w:t>June 30, 2020</w:t>
      </w:r>
      <w:r>
        <w:rPr>
          <w:rFonts w:ascii="Arial" w:cs="Arial" w:eastAsia="Arial" w:hAnsi="Arial"/>
          <w:sz w:val="18"/>
          <w:szCs w:val="18"/>
          <w:color w:val="231F20"/>
        </w:rPr>
        <w:t xml:space="preserve"> based on CAFD.</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2020, the Company's operating assets are comprised of the following projects: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Projects</w:t>
            </w:r>
          </w:p>
        </w:tc>
        <w:tc>
          <w:tcPr>
            <w:tcW w:w="100" w:type="dxa"/>
            <w:vAlign w:val="bottom"/>
            <w:vMerge w:val="restart"/>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Percentage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Net Capacity</w:t>
            </w:r>
          </w:p>
        </w:tc>
        <w:tc>
          <w:tcPr>
            <w:tcW w:w="100" w:type="dxa"/>
            <w:vAlign w:val="bottom"/>
          </w:tcPr>
          <w:p>
            <w:pPr>
              <w:spacing w:after="0"/>
              <w:rPr>
                <w:sz w:val="14"/>
                <w:szCs w:val="14"/>
                <w:color w:val="auto"/>
              </w:rPr>
            </w:pPr>
          </w:p>
        </w:tc>
        <w:tc>
          <w:tcPr>
            <w:tcW w:w="3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Offtake Counterparty</w:t>
            </w:r>
          </w:p>
        </w:tc>
        <w:tc>
          <w:tcPr>
            <w:tcW w:w="120" w:type="dxa"/>
            <w:vAlign w:val="bottom"/>
            <w:vMerge w:val="restart"/>
          </w:tcPr>
          <w:p>
            <w:pPr>
              <w:spacing w:after="0"/>
              <w:rPr>
                <w:sz w:val="14"/>
                <w:szCs w:val="14"/>
                <w:color w:val="auto"/>
              </w:rPr>
            </w:pPr>
          </w:p>
        </w:tc>
        <w:tc>
          <w:tcPr>
            <w:tcW w:w="10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88"/>
        </w:trPr>
        <w:tc>
          <w:tcPr>
            <w:tcW w:w="43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Ownership</w:t>
            </w:r>
          </w:p>
        </w:tc>
        <w:tc>
          <w:tcPr>
            <w:tcW w:w="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(MW)</w:t>
            </w:r>
            <w:r>
              <w:rPr>
                <w:rFonts w:ascii="Arial" w:cs="Arial" w:eastAsia="Arial" w:hAnsi="Arial"/>
                <w:sz w:val="9"/>
                <w:szCs w:val="9"/>
                <w:b w:val="1"/>
                <w:bCs w:val="1"/>
                <w:color w:val="auto"/>
              </w:rPr>
              <w:t>(a)</w:t>
            </w:r>
          </w:p>
        </w:tc>
        <w:tc>
          <w:tcPr>
            <w:tcW w:w="100" w:type="dxa"/>
            <w:vAlign w:val="bottom"/>
          </w:tcPr>
          <w:p>
            <w:pPr>
              <w:spacing w:after="0"/>
              <w:rPr>
                <w:sz w:val="16"/>
                <w:szCs w:val="16"/>
                <w:color w:val="auto"/>
              </w:rPr>
            </w:pPr>
          </w:p>
        </w:tc>
        <w:tc>
          <w:tcPr>
            <w:tcW w:w="32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420" w:type="dxa"/>
            <w:vAlign w:val="bottom"/>
            <w:gridSpan w:val="2"/>
          </w:tcPr>
          <w:p>
            <w:pPr>
              <w:ind w:left="20"/>
              <w:spacing w:after="0"/>
              <w:rPr>
                <w:sz w:val="20"/>
                <w:szCs w:val="20"/>
                <w:color w:val="auto"/>
              </w:rPr>
            </w:pPr>
            <w:r>
              <w:rPr>
                <w:rFonts w:ascii="Arial" w:cs="Arial" w:eastAsia="Arial" w:hAnsi="Arial"/>
                <w:sz w:val="14"/>
                <w:szCs w:val="14"/>
                <w:i w:val="1"/>
                <w:iCs w:val="1"/>
                <w:color w:val="auto"/>
              </w:rPr>
              <w:t>Conventional</w:t>
            </w: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4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Carlsbad</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527</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San Diego Gas &amp; Electric</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2038</w:t>
            </w:r>
          </w:p>
        </w:tc>
        <w:tc>
          <w:tcPr>
            <w:tcW w:w="0" w:type="dxa"/>
            <w:vAlign w:val="bottom"/>
          </w:tcPr>
          <w:p>
            <w:pPr>
              <w:spacing w:after="0"/>
              <w:rPr>
                <w:sz w:val="1"/>
                <w:szCs w:val="1"/>
                <w:color w:val="auto"/>
              </w:rPr>
            </w:pPr>
          </w:p>
        </w:tc>
      </w:tr>
      <w:tr>
        <w:trPr>
          <w:trHeight w:val="196"/>
        </w:trPr>
        <w:tc>
          <w:tcPr>
            <w:tcW w:w="4420" w:type="dxa"/>
            <w:vAlign w:val="bottom"/>
            <w:gridSpan w:val="2"/>
          </w:tcPr>
          <w:p>
            <w:pPr>
              <w:ind w:left="100"/>
              <w:spacing w:after="0"/>
              <w:rPr>
                <w:sz w:val="20"/>
                <w:szCs w:val="20"/>
                <w:color w:val="auto"/>
              </w:rPr>
            </w:pPr>
            <w:r>
              <w:rPr>
                <w:rFonts w:ascii="Arial" w:cs="Arial" w:eastAsia="Arial" w:hAnsi="Arial"/>
                <w:sz w:val="14"/>
                <w:szCs w:val="14"/>
                <w:color w:val="auto"/>
              </w:rPr>
              <w:t>El Segundo</w:t>
            </w:r>
          </w:p>
        </w:tc>
        <w:tc>
          <w:tcPr>
            <w:tcW w:w="94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17"/>
                <w:szCs w:val="17"/>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Southern California Edison</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2023</w:t>
            </w:r>
          </w:p>
        </w:tc>
        <w:tc>
          <w:tcPr>
            <w:tcW w:w="0" w:type="dxa"/>
            <w:vAlign w:val="bottom"/>
          </w:tcPr>
          <w:p>
            <w:pPr>
              <w:spacing w:after="0"/>
              <w:rPr>
                <w:sz w:val="1"/>
                <w:szCs w:val="1"/>
                <w:color w:val="auto"/>
              </w:rPr>
            </w:pPr>
          </w:p>
        </w:tc>
      </w:tr>
      <w:tr>
        <w:trPr>
          <w:trHeight w:val="209"/>
        </w:trPr>
        <w:tc>
          <w:tcPr>
            <w:tcW w:w="44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GenConn Devon</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Connecticut Light &amp; Power</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2040</w:t>
            </w:r>
          </w:p>
        </w:tc>
        <w:tc>
          <w:tcPr>
            <w:tcW w:w="0" w:type="dxa"/>
            <w:vAlign w:val="bottom"/>
          </w:tcPr>
          <w:p>
            <w:pPr>
              <w:spacing w:after="0"/>
              <w:rPr>
                <w:sz w:val="1"/>
                <w:szCs w:val="1"/>
                <w:color w:val="auto"/>
              </w:rPr>
            </w:pPr>
          </w:p>
        </w:tc>
      </w:tr>
      <w:tr>
        <w:trPr>
          <w:trHeight w:val="196"/>
        </w:trPr>
        <w:tc>
          <w:tcPr>
            <w:tcW w:w="4420" w:type="dxa"/>
            <w:vAlign w:val="bottom"/>
            <w:gridSpan w:val="2"/>
          </w:tcPr>
          <w:p>
            <w:pPr>
              <w:ind w:left="100"/>
              <w:spacing w:after="0"/>
              <w:rPr>
                <w:sz w:val="20"/>
                <w:szCs w:val="20"/>
                <w:color w:val="auto"/>
              </w:rPr>
            </w:pPr>
            <w:r>
              <w:rPr>
                <w:rFonts w:ascii="Arial" w:cs="Arial" w:eastAsia="Arial" w:hAnsi="Arial"/>
                <w:sz w:val="14"/>
                <w:szCs w:val="14"/>
                <w:color w:val="auto"/>
              </w:rPr>
              <w:t>GenConn Middletown</w:t>
            </w:r>
          </w:p>
        </w:tc>
        <w:tc>
          <w:tcPr>
            <w:tcW w:w="940" w:type="dxa"/>
            <w:vAlign w:val="bottom"/>
          </w:tcPr>
          <w:p>
            <w:pPr>
              <w:jc w:val="right"/>
              <w:spacing w:after="0"/>
              <w:rPr>
                <w:sz w:val="20"/>
                <w:szCs w:val="20"/>
                <w:color w:val="auto"/>
              </w:rPr>
            </w:pPr>
            <w:r>
              <w:rPr>
                <w:rFonts w:ascii="Arial" w:cs="Arial" w:eastAsia="Arial" w:hAnsi="Arial"/>
                <w:sz w:val="14"/>
                <w:szCs w:val="14"/>
                <w:color w:val="auto"/>
              </w:rPr>
              <w:t>50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7"/>
                <w:szCs w:val="17"/>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Connecticut Light &amp; Power</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2041</w:t>
            </w:r>
          </w:p>
        </w:tc>
        <w:tc>
          <w:tcPr>
            <w:tcW w:w="0" w:type="dxa"/>
            <w:vAlign w:val="bottom"/>
          </w:tcPr>
          <w:p>
            <w:pPr>
              <w:spacing w:after="0"/>
              <w:rPr>
                <w:sz w:val="1"/>
                <w:szCs w:val="1"/>
                <w:color w:val="auto"/>
              </w:rPr>
            </w:pPr>
          </w:p>
        </w:tc>
      </w:tr>
      <w:tr>
        <w:trPr>
          <w:trHeight w:val="209"/>
        </w:trPr>
        <w:tc>
          <w:tcPr>
            <w:tcW w:w="44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Marsh Landing</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720</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Pacific Gas and Electric</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2023</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Walnut Creek</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485</w:t>
            </w:r>
          </w:p>
        </w:tc>
        <w:tc>
          <w:tcPr>
            <w:tcW w:w="100" w:type="dxa"/>
            <w:vAlign w:val="bottom"/>
            <w:tcBorders>
              <w:bottom w:val="single" w:sz="8" w:color="CCEEFF"/>
            </w:tcBorders>
          </w:tcPr>
          <w:p>
            <w:pPr>
              <w:spacing w:after="0"/>
              <w:rPr>
                <w:sz w:val="17"/>
                <w:szCs w:val="17"/>
                <w:color w:val="auto"/>
              </w:rPr>
            </w:pPr>
          </w:p>
        </w:tc>
        <w:tc>
          <w:tcPr>
            <w:tcW w:w="334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4"/>
                <w:szCs w:val="14"/>
                <w:color w:val="auto"/>
                <w:w w:val="94"/>
              </w:rPr>
              <w:t>Southern California Edison</w:t>
            </w:r>
          </w:p>
        </w:tc>
        <w:tc>
          <w:tcPr>
            <w:tcW w:w="10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89"/>
              </w:rPr>
              <w:t>2023</w:t>
            </w:r>
          </w:p>
        </w:tc>
        <w:tc>
          <w:tcPr>
            <w:tcW w:w="0" w:type="dxa"/>
            <w:vAlign w:val="bottom"/>
          </w:tcPr>
          <w:p>
            <w:pPr>
              <w:spacing w:after="0"/>
              <w:rPr>
                <w:sz w:val="1"/>
                <w:szCs w:val="1"/>
                <w:color w:val="auto"/>
              </w:rPr>
            </w:pPr>
          </w:p>
        </w:tc>
      </w:tr>
      <w:tr>
        <w:trPr>
          <w:trHeight w:val="202"/>
        </w:trPr>
        <w:tc>
          <w:tcPr>
            <w:tcW w:w="4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2,472</w:t>
            </w:r>
          </w:p>
        </w:tc>
        <w:tc>
          <w:tcPr>
            <w:tcW w:w="100" w:type="dxa"/>
            <w:vAlign w:val="bottom"/>
            <w:shd w:val="clear" w:color="auto" w:fill="CCEEFF"/>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420" w:type="dxa"/>
            <w:vAlign w:val="bottom"/>
            <w:gridSpan w:val="2"/>
          </w:tcPr>
          <w:p>
            <w:pPr>
              <w:ind w:left="20"/>
              <w:spacing w:after="0"/>
              <w:rPr>
                <w:sz w:val="20"/>
                <w:szCs w:val="20"/>
                <w:color w:val="auto"/>
              </w:rPr>
            </w:pPr>
            <w:r>
              <w:rPr>
                <w:rFonts w:ascii="Arial" w:cs="Arial" w:eastAsia="Arial" w:hAnsi="Arial"/>
                <w:sz w:val="14"/>
                <w:szCs w:val="14"/>
                <w:i w:val="1"/>
                <w:iCs w:val="1"/>
                <w:color w:val="auto"/>
              </w:rPr>
              <w:t>Utility Scale Solar</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4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Agua Caliente</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Pacific Gas and Electric</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2039</w:t>
            </w:r>
          </w:p>
        </w:tc>
        <w:tc>
          <w:tcPr>
            <w:tcW w:w="0" w:type="dxa"/>
            <w:vAlign w:val="bottom"/>
          </w:tcPr>
          <w:p>
            <w:pPr>
              <w:spacing w:after="0"/>
              <w:rPr>
                <w:sz w:val="1"/>
                <w:szCs w:val="1"/>
                <w:color w:val="auto"/>
              </w:rPr>
            </w:pPr>
          </w:p>
        </w:tc>
      </w:tr>
      <w:tr>
        <w:trPr>
          <w:trHeight w:val="197"/>
        </w:trPr>
        <w:tc>
          <w:tcPr>
            <w:tcW w:w="4420" w:type="dxa"/>
            <w:vAlign w:val="bottom"/>
            <w:gridSpan w:val="2"/>
          </w:tcPr>
          <w:p>
            <w:pPr>
              <w:ind w:left="100"/>
              <w:spacing w:after="0"/>
              <w:rPr>
                <w:sz w:val="20"/>
                <w:szCs w:val="20"/>
                <w:color w:val="auto"/>
              </w:rPr>
            </w:pPr>
            <w:r>
              <w:rPr>
                <w:rFonts w:ascii="Arial" w:cs="Arial" w:eastAsia="Arial" w:hAnsi="Arial"/>
                <w:sz w:val="14"/>
                <w:szCs w:val="14"/>
                <w:color w:val="auto"/>
              </w:rPr>
              <w:t>Alpine</w:t>
            </w:r>
          </w:p>
        </w:tc>
        <w:tc>
          <w:tcPr>
            <w:tcW w:w="94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7"/>
                <w:szCs w:val="17"/>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Pacific Gas and Electric</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2033</w:t>
            </w:r>
          </w:p>
        </w:tc>
        <w:tc>
          <w:tcPr>
            <w:tcW w:w="0" w:type="dxa"/>
            <w:vAlign w:val="bottom"/>
          </w:tcPr>
          <w:p>
            <w:pPr>
              <w:spacing w:after="0"/>
              <w:rPr>
                <w:sz w:val="1"/>
                <w:szCs w:val="1"/>
                <w:color w:val="auto"/>
              </w:rPr>
            </w:pPr>
          </w:p>
        </w:tc>
      </w:tr>
      <w:tr>
        <w:trPr>
          <w:trHeight w:val="208"/>
        </w:trPr>
        <w:tc>
          <w:tcPr>
            <w:tcW w:w="44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Avenal</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Pacific Gas and Electric</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2031</w:t>
            </w:r>
          </w:p>
        </w:tc>
        <w:tc>
          <w:tcPr>
            <w:tcW w:w="0" w:type="dxa"/>
            <w:vAlign w:val="bottom"/>
          </w:tcPr>
          <w:p>
            <w:pPr>
              <w:spacing w:after="0"/>
              <w:rPr>
                <w:sz w:val="1"/>
                <w:szCs w:val="1"/>
                <w:color w:val="auto"/>
              </w:rPr>
            </w:pPr>
          </w:p>
        </w:tc>
      </w:tr>
      <w:tr>
        <w:trPr>
          <w:trHeight w:val="197"/>
        </w:trPr>
        <w:tc>
          <w:tcPr>
            <w:tcW w:w="4420" w:type="dxa"/>
            <w:vAlign w:val="bottom"/>
            <w:gridSpan w:val="2"/>
          </w:tcPr>
          <w:p>
            <w:pPr>
              <w:ind w:left="100"/>
              <w:spacing w:after="0"/>
              <w:rPr>
                <w:sz w:val="20"/>
                <w:szCs w:val="20"/>
                <w:color w:val="auto"/>
              </w:rPr>
            </w:pPr>
            <w:r>
              <w:rPr>
                <w:rFonts w:ascii="Arial" w:cs="Arial" w:eastAsia="Arial" w:hAnsi="Arial"/>
                <w:sz w:val="14"/>
                <w:szCs w:val="14"/>
                <w:color w:val="auto"/>
              </w:rPr>
              <w:t>Avra Valley</w:t>
            </w:r>
          </w:p>
        </w:tc>
        <w:tc>
          <w:tcPr>
            <w:tcW w:w="94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Tucson Electric Power</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2032</w:t>
            </w:r>
          </w:p>
        </w:tc>
        <w:tc>
          <w:tcPr>
            <w:tcW w:w="0" w:type="dxa"/>
            <w:vAlign w:val="bottom"/>
          </w:tcPr>
          <w:p>
            <w:pPr>
              <w:spacing w:after="0"/>
              <w:rPr>
                <w:sz w:val="1"/>
                <w:szCs w:val="1"/>
                <w:color w:val="auto"/>
              </w:rPr>
            </w:pPr>
          </w:p>
        </w:tc>
      </w:tr>
      <w:tr>
        <w:trPr>
          <w:trHeight w:val="208"/>
        </w:trPr>
        <w:tc>
          <w:tcPr>
            <w:tcW w:w="44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Blythe</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Southern California Edison</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2029</w:t>
            </w:r>
          </w:p>
        </w:tc>
        <w:tc>
          <w:tcPr>
            <w:tcW w:w="0" w:type="dxa"/>
            <w:vAlign w:val="bottom"/>
          </w:tcPr>
          <w:p>
            <w:pPr>
              <w:spacing w:after="0"/>
              <w:rPr>
                <w:sz w:val="1"/>
                <w:szCs w:val="1"/>
                <w:color w:val="auto"/>
              </w:rPr>
            </w:pPr>
          </w:p>
        </w:tc>
      </w:tr>
      <w:tr>
        <w:trPr>
          <w:trHeight w:val="197"/>
        </w:trPr>
        <w:tc>
          <w:tcPr>
            <w:tcW w:w="4420" w:type="dxa"/>
            <w:vAlign w:val="bottom"/>
            <w:gridSpan w:val="2"/>
          </w:tcPr>
          <w:p>
            <w:pPr>
              <w:ind w:left="100"/>
              <w:spacing w:after="0"/>
              <w:rPr>
                <w:sz w:val="20"/>
                <w:szCs w:val="20"/>
                <w:color w:val="auto"/>
              </w:rPr>
            </w:pPr>
            <w:r>
              <w:rPr>
                <w:rFonts w:ascii="Arial" w:cs="Arial" w:eastAsia="Arial" w:hAnsi="Arial"/>
                <w:sz w:val="14"/>
                <w:szCs w:val="14"/>
                <w:color w:val="auto"/>
              </w:rPr>
              <w:t>Borrego</w:t>
            </w:r>
          </w:p>
        </w:tc>
        <w:tc>
          <w:tcPr>
            <w:tcW w:w="94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San Diego Gas and Electric</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2038</w:t>
            </w:r>
          </w:p>
        </w:tc>
        <w:tc>
          <w:tcPr>
            <w:tcW w:w="0" w:type="dxa"/>
            <w:vAlign w:val="bottom"/>
          </w:tcPr>
          <w:p>
            <w:pPr>
              <w:spacing w:after="0"/>
              <w:rPr>
                <w:sz w:val="1"/>
                <w:szCs w:val="1"/>
                <w:color w:val="auto"/>
              </w:rPr>
            </w:pPr>
          </w:p>
        </w:tc>
      </w:tr>
      <w:tr>
        <w:trPr>
          <w:trHeight w:val="208"/>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 xml:space="preserve">Buckthorn Solar </w:t>
            </w:r>
            <w:r>
              <w:rPr>
                <w:rFonts w:ascii="Arial" w:cs="Arial" w:eastAsia="Arial" w:hAnsi="Arial"/>
                <w:sz w:val="9"/>
                <w:szCs w:val="9"/>
                <w:color w:val="auto"/>
              </w:rPr>
              <w:t>(b)</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7"/>
              </w:rPr>
              <w:t>City of Georgetown, TX</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2043</w:t>
            </w:r>
          </w:p>
        </w:tc>
        <w:tc>
          <w:tcPr>
            <w:tcW w:w="0" w:type="dxa"/>
            <w:vAlign w:val="bottom"/>
          </w:tcPr>
          <w:p>
            <w:pPr>
              <w:spacing w:after="0"/>
              <w:rPr>
                <w:sz w:val="1"/>
                <w:szCs w:val="1"/>
                <w:color w:val="auto"/>
              </w:rPr>
            </w:pPr>
          </w:p>
        </w:tc>
      </w:tr>
      <w:tr>
        <w:trPr>
          <w:trHeight w:val="197"/>
        </w:trPr>
        <w:tc>
          <w:tcPr>
            <w:tcW w:w="4420" w:type="dxa"/>
            <w:vAlign w:val="bottom"/>
            <w:gridSpan w:val="2"/>
          </w:tcPr>
          <w:p>
            <w:pPr>
              <w:ind w:left="100"/>
              <w:spacing w:after="0"/>
              <w:rPr>
                <w:sz w:val="20"/>
                <w:szCs w:val="20"/>
                <w:color w:val="auto"/>
              </w:rPr>
            </w:pPr>
            <w:r>
              <w:rPr>
                <w:rFonts w:ascii="Arial" w:cs="Arial" w:eastAsia="Arial" w:hAnsi="Arial"/>
                <w:sz w:val="14"/>
                <w:szCs w:val="14"/>
                <w:color w:val="auto"/>
              </w:rPr>
              <w:t>CVSR</w:t>
            </w:r>
          </w:p>
        </w:tc>
        <w:tc>
          <w:tcPr>
            <w:tcW w:w="94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7"/>
                <w:szCs w:val="17"/>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Pacific Gas and Electric</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2038</w:t>
            </w:r>
          </w:p>
        </w:tc>
        <w:tc>
          <w:tcPr>
            <w:tcW w:w="0" w:type="dxa"/>
            <w:vAlign w:val="bottom"/>
          </w:tcPr>
          <w:p>
            <w:pPr>
              <w:spacing w:after="0"/>
              <w:rPr>
                <w:sz w:val="1"/>
                <w:szCs w:val="1"/>
                <w:color w:val="auto"/>
              </w:rPr>
            </w:pPr>
          </w:p>
        </w:tc>
      </w:tr>
      <w:tr>
        <w:trPr>
          <w:trHeight w:val="208"/>
        </w:trPr>
        <w:tc>
          <w:tcPr>
            <w:tcW w:w="44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Desert Sunlight 250</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Southern California Edison</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2034</w:t>
            </w:r>
          </w:p>
        </w:tc>
        <w:tc>
          <w:tcPr>
            <w:tcW w:w="0" w:type="dxa"/>
            <w:vAlign w:val="bottom"/>
          </w:tcPr>
          <w:p>
            <w:pPr>
              <w:spacing w:after="0"/>
              <w:rPr>
                <w:sz w:val="1"/>
                <w:szCs w:val="1"/>
                <w:color w:val="auto"/>
              </w:rPr>
            </w:pPr>
          </w:p>
        </w:tc>
      </w:tr>
      <w:tr>
        <w:trPr>
          <w:trHeight w:val="197"/>
        </w:trPr>
        <w:tc>
          <w:tcPr>
            <w:tcW w:w="4420" w:type="dxa"/>
            <w:vAlign w:val="bottom"/>
            <w:gridSpan w:val="2"/>
          </w:tcPr>
          <w:p>
            <w:pPr>
              <w:ind w:left="100"/>
              <w:spacing w:after="0"/>
              <w:rPr>
                <w:sz w:val="20"/>
                <w:szCs w:val="20"/>
                <w:color w:val="auto"/>
              </w:rPr>
            </w:pPr>
            <w:r>
              <w:rPr>
                <w:rFonts w:ascii="Arial" w:cs="Arial" w:eastAsia="Arial" w:hAnsi="Arial"/>
                <w:sz w:val="14"/>
                <w:szCs w:val="14"/>
                <w:color w:val="auto"/>
              </w:rPr>
              <w:t>Desert Sunlight 300</w:t>
            </w:r>
          </w:p>
        </w:tc>
        <w:tc>
          <w:tcPr>
            <w:tcW w:w="940" w:type="dxa"/>
            <w:vAlign w:val="bottom"/>
          </w:tcPr>
          <w:p>
            <w:pPr>
              <w:jc w:val="right"/>
              <w:spacing w:after="0"/>
              <w:rPr>
                <w:sz w:val="20"/>
                <w:szCs w:val="20"/>
                <w:color w:val="auto"/>
              </w:rPr>
            </w:pPr>
            <w:r>
              <w:rPr>
                <w:rFonts w:ascii="Arial" w:cs="Arial" w:eastAsia="Arial" w:hAnsi="Arial"/>
                <w:sz w:val="14"/>
                <w:szCs w:val="14"/>
                <w:color w:val="auto"/>
              </w:rPr>
              <w:t>25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7"/>
                <w:szCs w:val="17"/>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Pacific Gas and Electric</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2039</w:t>
            </w:r>
          </w:p>
        </w:tc>
        <w:tc>
          <w:tcPr>
            <w:tcW w:w="0" w:type="dxa"/>
            <w:vAlign w:val="bottom"/>
          </w:tcPr>
          <w:p>
            <w:pPr>
              <w:spacing w:after="0"/>
              <w:rPr>
                <w:sz w:val="1"/>
                <w:szCs w:val="1"/>
                <w:color w:val="auto"/>
              </w:rPr>
            </w:pPr>
          </w:p>
        </w:tc>
      </w:tr>
      <w:tr>
        <w:trPr>
          <w:trHeight w:val="208"/>
        </w:trPr>
        <w:tc>
          <w:tcPr>
            <w:tcW w:w="44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Kansas South</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Pacific Gas and Electric</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2033</w:t>
            </w:r>
          </w:p>
        </w:tc>
        <w:tc>
          <w:tcPr>
            <w:tcW w:w="0" w:type="dxa"/>
            <w:vAlign w:val="bottom"/>
          </w:tcPr>
          <w:p>
            <w:pPr>
              <w:spacing w:after="0"/>
              <w:rPr>
                <w:sz w:val="1"/>
                <w:szCs w:val="1"/>
                <w:color w:val="auto"/>
              </w:rPr>
            </w:pPr>
          </w:p>
        </w:tc>
      </w:tr>
      <w:tr>
        <w:trPr>
          <w:trHeight w:val="196"/>
        </w:trPr>
        <w:tc>
          <w:tcPr>
            <w:tcW w:w="4420" w:type="dxa"/>
            <w:vAlign w:val="bottom"/>
            <w:gridSpan w:val="2"/>
          </w:tcPr>
          <w:p>
            <w:pPr>
              <w:ind w:left="120"/>
              <w:spacing w:after="0"/>
              <w:rPr>
                <w:sz w:val="20"/>
                <w:szCs w:val="20"/>
                <w:color w:val="auto"/>
              </w:rPr>
            </w:pPr>
            <w:r>
              <w:rPr>
                <w:rFonts w:ascii="Arial" w:cs="Arial" w:eastAsia="Arial" w:hAnsi="Arial"/>
                <w:sz w:val="14"/>
                <w:szCs w:val="14"/>
                <w:color w:val="auto"/>
              </w:rPr>
              <w:t xml:space="preserve">Kawailoa </w:t>
            </w:r>
            <w:r>
              <w:rPr>
                <w:rFonts w:ascii="Arial" w:cs="Arial" w:eastAsia="Arial" w:hAnsi="Arial"/>
                <w:sz w:val="9"/>
                <w:szCs w:val="9"/>
                <w:color w:val="auto"/>
              </w:rPr>
              <w:t>(b)</w:t>
            </w:r>
          </w:p>
        </w:tc>
        <w:tc>
          <w:tcPr>
            <w:tcW w:w="940" w:type="dxa"/>
            <w:vAlign w:val="bottom"/>
          </w:tcPr>
          <w:p>
            <w:pPr>
              <w:jc w:val="right"/>
              <w:spacing w:after="0"/>
              <w:rPr>
                <w:sz w:val="20"/>
                <w:szCs w:val="20"/>
                <w:color w:val="auto"/>
              </w:rPr>
            </w:pPr>
            <w:r>
              <w:rPr>
                <w:rFonts w:ascii="Arial" w:cs="Arial" w:eastAsia="Arial" w:hAnsi="Arial"/>
                <w:sz w:val="14"/>
                <w:szCs w:val="14"/>
                <w:color w:val="auto"/>
              </w:rPr>
              <w:t>48</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Hawaiian Electric Company</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2041</w:t>
            </w:r>
          </w:p>
        </w:tc>
        <w:tc>
          <w:tcPr>
            <w:tcW w:w="0" w:type="dxa"/>
            <w:vAlign w:val="bottom"/>
          </w:tcPr>
          <w:p>
            <w:pPr>
              <w:spacing w:after="0"/>
              <w:rPr>
                <w:sz w:val="1"/>
                <w:szCs w:val="1"/>
                <w:color w:val="auto"/>
              </w:rPr>
            </w:pPr>
          </w:p>
        </w:tc>
      </w:tr>
      <w:tr>
        <w:trPr>
          <w:trHeight w:val="209"/>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 xml:space="preserve">Oahu Solar Projects </w:t>
            </w:r>
            <w:r>
              <w:rPr>
                <w:rFonts w:ascii="Arial" w:cs="Arial" w:eastAsia="Arial" w:hAnsi="Arial"/>
                <w:sz w:val="9"/>
                <w:szCs w:val="9"/>
                <w:color w:val="auto"/>
              </w:rPr>
              <w:t>(b)</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Hawaiian Electric Company</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2041</w:t>
            </w:r>
          </w:p>
        </w:tc>
        <w:tc>
          <w:tcPr>
            <w:tcW w:w="0" w:type="dxa"/>
            <w:vAlign w:val="bottom"/>
          </w:tcPr>
          <w:p>
            <w:pPr>
              <w:spacing w:after="0"/>
              <w:rPr>
                <w:sz w:val="1"/>
                <w:szCs w:val="1"/>
                <w:color w:val="auto"/>
              </w:rPr>
            </w:pPr>
          </w:p>
        </w:tc>
      </w:tr>
      <w:tr>
        <w:trPr>
          <w:trHeight w:val="196"/>
        </w:trPr>
        <w:tc>
          <w:tcPr>
            <w:tcW w:w="4420" w:type="dxa"/>
            <w:vAlign w:val="bottom"/>
            <w:gridSpan w:val="2"/>
          </w:tcPr>
          <w:p>
            <w:pPr>
              <w:ind w:left="100"/>
              <w:spacing w:after="0"/>
              <w:rPr>
                <w:sz w:val="20"/>
                <w:szCs w:val="20"/>
                <w:color w:val="auto"/>
              </w:rPr>
            </w:pPr>
            <w:r>
              <w:rPr>
                <w:rFonts w:ascii="Arial" w:cs="Arial" w:eastAsia="Arial" w:hAnsi="Arial"/>
                <w:sz w:val="14"/>
                <w:szCs w:val="14"/>
                <w:color w:val="auto"/>
              </w:rPr>
              <w:t>Roadrunner</w:t>
            </w:r>
          </w:p>
        </w:tc>
        <w:tc>
          <w:tcPr>
            <w:tcW w:w="94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33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El Paso Electric</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2031</w:t>
            </w:r>
          </w:p>
        </w:tc>
        <w:tc>
          <w:tcPr>
            <w:tcW w:w="0" w:type="dxa"/>
            <w:vAlign w:val="bottom"/>
          </w:tcPr>
          <w:p>
            <w:pPr>
              <w:spacing w:after="0"/>
              <w:rPr>
                <w:sz w:val="1"/>
                <w:szCs w:val="1"/>
                <w:color w:val="auto"/>
              </w:rPr>
            </w:pPr>
          </w:p>
        </w:tc>
      </w:tr>
      <w:tr>
        <w:trPr>
          <w:trHeight w:val="209"/>
        </w:trPr>
        <w:tc>
          <w:tcPr>
            <w:tcW w:w="44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TA High Desert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Southern California Edison</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2033</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 xml:space="preserve">Utah Solar Portfolio </w:t>
            </w:r>
            <w:r>
              <w:rPr>
                <w:rFonts w:ascii="Arial" w:cs="Arial" w:eastAsia="Arial" w:hAnsi="Arial"/>
                <w:sz w:val="9"/>
                <w:szCs w:val="9"/>
                <w:color w:val="auto"/>
              </w:rPr>
              <w:t>(b) (e)</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50</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265</w:t>
            </w:r>
          </w:p>
        </w:tc>
        <w:tc>
          <w:tcPr>
            <w:tcW w:w="100" w:type="dxa"/>
            <w:vAlign w:val="bottom"/>
            <w:tcBorders>
              <w:bottom w:val="single" w:sz="8" w:color="CCEEFF"/>
            </w:tcBorders>
          </w:tcPr>
          <w:p>
            <w:pPr>
              <w:spacing w:after="0"/>
              <w:rPr>
                <w:sz w:val="17"/>
                <w:szCs w:val="17"/>
                <w:color w:val="auto"/>
              </w:rPr>
            </w:pPr>
          </w:p>
        </w:tc>
        <w:tc>
          <w:tcPr>
            <w:tcW w:w="334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4"/>
                <w:szCs w:val="14"/>
                <w:color w:val="auto"/>
                <w:w w:val="95"/>
              </w:rPr>
              <w:t>PacifiCorp</w:t>
            </w:r>
          </w:p>
        </w:tc>
        <w:tc>
          <w:tcPr>
            <w:tcW w:w="10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89"/>
              </w:rPr>
              <w:t>2036</w:t>
            </w:r>
          </w:p>
        </w:tc>
        <w:tc>
          <w:tcPr>
            <w:tcW w:w="0" w:type="dxa"/>
            <w:vAlign w:val="bottom"/>
          </w:tcPr>
          <w:p>
            <w:pPr>
              <w:spacing w:after="0"/>
              <w:rPr>
                <w:sz w:val="1"/>
                <w:szCs w:val="1"/>
                <w:color w:val="auto"/>
              </w:rPr>
            </w:pPr>
          </w:p>
        </w:tc>
      </w:tr>
      <w:tr>
        <w:trPr>
          <w:trHeight w:val="202"/>
        </w:trPr>
        <w:tc>
          <w:tcPr>
            <w:tcW w:w="4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1,157</w:t>
            </w:r>
          </w:p>
        </w:tc>
        <w:tc>
          <w:tcPr>
            <w:tcW w:w="100" w:type="dxa"/>
            <w:vAlign w:val="bottom"/>
            <w:shd w:val="clear" w:color="auto" w:fill="CCEEFF"/>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420" w:type="dxa"/>
            <w:vAlign w:val="bottom"/>
            <w:gridSpan w:val="2"/>
          </w:tcPr>
          <w:p>
            <w:pPr>
              <w:ind w:left="20"/>
              <w:spacing w:after="0"/>
              <w:rPr>
                <w:sz w:val="20"/>
                <w:szCs w:val="20"/>
                <w:color w:val="auto"/>
              </w:rPr>
            </w:pPr>
            <w:r>
              <w:rPr>
                <w:rFonts w:ascii="Arial" w:cs="Arial" w:eastAsia="Arial" w:hAnsi="Arial"/>
                <w:sz w:val="14"/>
                <w:szCs w:val="14"/>
                <w:i w:val="1"/>
                <w:iCs w:val="1"/>
                <w:color w:val="auto"/>
              </w:rPr>
              <w:t>Distributed Solar</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4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Apple I LLC Projects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2032</w:t>
            </w:r>
          </w:p>
        </w:tc>
        <w:tc>
          <w:tcPr>
            <w:tcW w:w="0" w:type="dxa"/>
            <w:vAlign w:val="bottom"/>
          </w:tcPr>
          <w:p>
            <w:pPr>
              <w:spacing w:after="0"/>
              <w:rPr>
                <w:sz w:val="1"/>
                <w:szCs w:val="1"/>
                <w:color w:val="auto"/>
              </w:rPr>
            </w:pPr>
          </w:p>
        </w:tc>
      </w:tr>
      <w:tr>
        <w:trPr>
          <w:trHeight w:val="197"/>
        </w:trPr>
        <w:tc>
          <w:tcPr>
            <w:tcW w:w="4420" w:type="dxa"/>
            <w:vAlign w:val="bottom"/>
            <w:gridSpan w:val="2"/>
          </w:tcPr>
          <w:p>
            <w:pPr>
              <w:ind w:left="100"/>
              <w:spacing w:after="0"/>
              <w:rPr>
                <w:sz w:val="20"/>
                <w:szCs w:val="20"/>
                <w:color w:val="auto"/>
              </w:rPr>
            </w:pPr>
            <w:r>
              <w:rPr>
                <w:rFonts w:ascii="Arial" w:cs="Arial" w:eastAsia="Arial" w:hAnsi="Arial"/>
                <w:sz w:val="14"/>
                <w:szCs w:val="14"/>
                <w:color w:val="auto"/>
              </w:rPr>
              <w:t>AZ DG Solar Projects</w:t>
            </w:r>
          </w:p>
        </w:tc>
        <w:tc>
          <w:tcPr>
            <w:tcW w:w="94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33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Various</w:t>
            </w: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2025 - 2033</w:t>
            </w:r>
          </w:p>
        </w:tc>
        <w:tc>
          <w:tcPr>
            <w:tcW w:w="0" w:type="dxa"/>
            <w:vAlign w:val="bottom"/>
          </w:tcPr>
          <w:p>
            <w:pPr>
              <w:spacing w:after="0"/>
              <w:rPr>
                <w:sz w:val="1"/>
                <w:szCs w:val="1"/>
                <w:color w:val="auto"/>
              </w:rPr>
            </w:pPr>
          </w:p>
        </w:tc>
      </w:tr>
      <w:tr>
        <w:trPr>
          <w:trHeight w:val="208"/>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Clearway Chestnut Projects</w:t>
            </w:r>
            <w:r>
              <w:rPr>
                <w:rFonts w:ascii="Arial" w:cs="Arial" w:eastAsia="Arial" w:hAnsi="Arial"/>
                <w:sz w:val="9"/>
                <w:szCs w:val="9"/>
                <w:color w:val="auto"/>
              </w:rPr>
              <w:t>(b)</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2032-2034</w:t>
            </w:r>
          </w:p>
        </w:tc>
        <w:tc>
          <w:tcPr>
            <w:tcW w:w="0" w:type="dxa"/>
            <w:vAlign w:val="bottom"/>
          </w:tcPr>
          <w:p>
            <w:pPr>
              <w:spacing w:after="0"/>
              <w:rPr>
                <w:sz w:val="1"/>
                <w:szCs w:val="1"/>
                <w:color w:val="auto"/>
              </w:rPr>
            </w:pPr>
          </w:p>
        </w:tc>
      </w:tr>
      <w:tr>
        <w:trPr>
          <w:trHeight w:val="197"/>
        </w:trPr>
        <w:tc>
          <w:tcPr>
            <w:tcW w:w="4420" w:type="dxa"/>
            <w:vAlign w:val="bottom"/>
            <w:gridSpan w:val="2"/>
          </w:tcPr>
          <w:p>
            <w:pPr>
              <w:ind w:left="120"/>
              <w:spacing w:after="0"/>
              <w:rPr>
                <w:sz w:val="20"/>
                <w:szCs w:val="20"/>
                <w:color w:val="auto"/>
              </w:rPr>
            </w:pPr>
            <w:r>
              <w:rPr>
                <w:rFonts w:ascii="Arial" w:cs="Arial" w:eastAsia="Arial" w:hAnsi="Arial"/>
                <w:sz w:val="14"/>
                <w:szCs w:val="14"/>
                <w:color w:val="auto"/>
              </w:rPr>
              <w:t>Renew Solar CS4 Projects</w:t>
            </w:r>
            <w:r>
              <w:rPr>
                <w:rFonts w:ascii="Arial" w:cs="Arial" w:eastAsia="Arial" w:hAnsi="Arial"/>
                <w:sz w:val="9"/>
                <w:szCs w:val="9"/>
                <w:color w:val="auto"/>
              </w:rPr>
              <w:t>(b)</w:t>
            </w:r>
          </w:p>
        </w:tc>
        <w:tc>
          <w:tcPr>
            <w:tcW w:w="940" w:type="dxa"/>
            <w:vAlign w:val="bottom"/>
          </w:tcPr>
          <w:p>
            <w:pPr>
              <w:jc w:val="right"/>
              <w:spacing w:after="0"/>
              <w:rPr>
                <w:sz w:val="20"/>
                <w:szCs w:val="20"/>
                <w:color w:val="auto"/>
              </w:rPr>
            </w:pPr>
            <w:r>
              <w:rPr>
                <w:rFonts w:ascii="Arial" w:cs="Arial" w:eastAsia="Arial" w:hAnsi="Arial"/>
                <w:sz w:val="14"/>
                <w:szCs w:val="14"/>
                <w:color w:val="auto"/>
              </w:rPr>
              <w:t>99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7"/>
                <w:szCs w:val="17"/>
                <w:color w:val="auto"/>
              </w:rPr>
            </w:pPr>
          </w:p>
        </w:tc>
        <w:tc>
          <w:tcPr>
            <w:tcW w:w="33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Various</w:t>
            </w:r>
          </w:p>
        </w:tc>
        <w:tc>
          <w:tcPr>
            <w:tcW w:w="1040" w:type="dxa"/>
            <w:vAlign w:val="bottom"/>
          </w:tcPr>
          <w:p>
            <w:pPr>
              <w:jc w:val="center"/>
              <w:spacing w:after="0"/>
              <w:rPr>
                <w:sz w:val="20"/>
                <w:szCs w:val="20"/>
                <w:color w:val="auto"/>
              </w:rPr>
            </w:pPr>
            <w:r>
              <w:rPr>
                <w:rFonts w:ascii="Arial" w:cs="Arial" w:eastAsia="Arial" w:hAnsi="Arial"/>
                <w:sz w:val="14"/>
                <w:szCs w:val="14"/>
                <w:color w:val="auto"/>
                <w:w w:val="95"/>
              </w:rPr>
              <w:t>2029-2044</w:t>
            </w:r>
          </w:p>
        </w:tc>
        <w:tc>
          <w:tcPr>
            <w:tcW w:w="0" w:type="dxa"/>
            <w:vAlign w:val="bottom"/>
          </w:tcPr>
          <w:p>
            <w:pPr>
              <w:spacing w:after="0"/>
              <w:rPr>
                <w:sz w:val="1"/>
                <w:szCs w:val="1"/>
                <w:color w:val="auto"/>
              </w:rPr>
            </w:pPr>
          </w:p>
        </w:tc>
      </w:tr>
      <w:tr>
        <w:trPr>
          <w:trHeight w:val="208"/>
        </w:trPr>
        <w:tc>
          <w:tcPr>
            <w:tcW w:w="44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SPP Projects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2026 - 2037</w:t>
            </w:r>
          </w:p>
        </w:tc>
        <w:tc>
          <w:tcPr>
            <w:tcW w:w="0" w:type="dxa"/>
            <w:vAlign w:val="bottom"/>
          </w:tcPr>
          <w:p>
            <w:pPr>
              <w:spacing w:after="0"/>
              <w:rPr>
                <w:sz w:val="1"/>
                <w:szCs w:val="1"/>
                <w:color w:val="auto"/>
              </w:rPr>
            </w:pPr>
          </w:p>
        </w:tc>
      </w:tr>
      <w:tr>
        <w:trPr>
          <w:trHeight w:val="197"/>
        </w:trPr>
        <w:tc>
          <w:tcPr>
            <w:tcW w:w="442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Other DG Projects</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17"/>
                <w:szCs w:val="17"/>
                <w:color w:val="auto"/>
              </w:rPr>
            </w:pPr>
          </w:p>
        </w:tc>
        <w:tc>
          <w:tcPr>
            <w:tcW w:w="33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w w:val="92"/>
              </w:rPr>
              <w:t>Various</w:t>
            </w:r>
          </w:p>
        </w:tc>
        <w:tc>
          <w:tcPr>
            <w:tcW w:w="10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0"/>
              </w:rPr>
              <w:t>2023 - 2039</w:t>
            </w:r>
          </w:p>
        </w:tc>
        <w:tc>
          <w:tcPr>
            <w:tcW w:w="0" w:type="dxa"/>
            <w:vAlign w:val="bottom"/>
          </w:tcPr>
          <w:p>
            <w:pPr>
              <w:spacing w:after="0"/>
              <w:rPr>
                <w:sz w:val="1"/>
                <w:szCs w:val="1"/>
                <w:color w:val="auto"/>
              </w:rPr>
            </w:pPr>
          </w:p>
        </w:tc>
      </w:tr>
      <w:tr>
        <w:trPr>
          <w:trHeight w:val="196"/>
        </w:trPr>
        <w:tc>
          <w:tcPr>
            <w:tcW w:w="4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3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Projects</w:t>
            </w:r>
          </w:p>
        </w:tc>
        <w:tc>
          <w:tcPr>
            <w:tcW w:w="2140" w:type="dxa"/>
            <w:vAlign w:val="bottom"/>
          </w:tcPr>
          <w:p>
            <w:pPr>
              <w:jc w:val="right"/>
              <w:spacing w:after="0"/>
              <w:rPr>
                <w:sz w:val="20"/>
                <w:szCs w:val="20"/>
                <w:color w:val="auto"/>
              </w:rPr>
            </w:pPr>
            <w:r>
              <w:rPr>
                <w:rFonts w:ascii="Arial" w:cs="Arial" w:eastAsia="Arial" w:hAnsi="Arial"/>
                <w:sz w:val="14"/>
                <w:szCs w:val="14"/>
                <w:b w:val="1"/>
                <w:bCs w:val="1"/>
                <w:color w:val="auto"/>
              </w:rPr>
              <w:t>Percentage</w:t>
            </w:r>
          </w:p>
        </w:tc>
        <w:tc>
          <w:tcPr>
            <w:tcW w:w="28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Net Capacity</w:t>
            </w:r>
          </w:p>
        </w:tc>
        <w:tc>
          <w:tcPr>
            <w:tcW w:w="334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5"/>
              </w:rPr>
              <w:t>Offtake Counterparty</w:t>
            </w:r>
          </w:p>
        </w:tc>
        <w:tc>
          <w:tcPr>
            <w:tcW w:w="114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9"/>
              </w:rPr>
              <w:t>Expiration</w:t>
            </w:r>
          </w:p>
        </w:tc>
        <w:tc>
          <w:tcPr>
            <w:tcW w:w="0" w:type="dxa"/>
            <w:vAlign w:val="bottom"/>
          </w:tcPr>
          <w:p>
            <w:pPr>
              <w:spacing w:after="0"/>
              <w:rPr>
                <w:sz w:val="1"/>
                <w:szCs w:val="1"/>
                <w:color w:val="auto"/>
              </w:rPr>
            </w:pPr>
          </w:p>
        </w:tc>
      </w:tr>
      <w:tr>
        <w:trPr>
          <w:trHeight w:val="186"/>
        </w:trPr>
        <w:tc>
          <w:tcPr>
            <w:tcW w:w="3220" w:type="dxa"/>
            <w:vAlign w:val="bottom"/>
            <w:vMerge w:val="continue"/>
          </w:tcPr>
          <w:p>
            <w:pPr>
              <w:spacing w:after="0"/>
              <w:rPr>
                <w:sz w:val="16"/>
                <w:szCs w:val="16"/>
                <w:color w:val="auto"/>
              </w:rPr>
            </w:pPr>
          </w:p>
        </w:tc>
        <w:tc>
          <w:tcPr>
            <w:tcW w:w="2140" w:type="dxa"/>
            <w:vAlign w:val="bottom"/>
          </w:tcPr>
          <w:p>
            <w:pPr>
              <w:jc w:val="right"/>
              <w:spacing w:after="0"/>
              <w:rPr>
                <w:sz w:val="20"/>
                <w:szCs w:val="20"/>
                <w:color w:val="auto"/>
              </w:rPr>
            </w:pPr>
            <w:r>
              <w:rPr>
                <w:rFonts w:ascii="Arial" w:cs="Arial" w:eastAsia="Arial" w:hAnsi="Arial"/>
                <w:sz w:val="14"/>
                <w:szCs w:val="14"/>
                <w:b w:val="1"/>
                <w:bCs w:val="1"/>
                <w:color w:val="auto"/>
              </w:rPr>
              <w:t>Ownership</w:t>
            </w:r>
          </w:p>
        </w:tc>
        <w:tc>
          <w:tcPr>
            <w:tcW w:w="280" w:type="dxa"/>
            <w:vAlign w:val="bottom"/>
          </w:tcPr>
          <w:p>
            <w:pPr>
              <w:spacing w:after="0"/>
              <w:rPr>
                <w:sz w:val="16"/>
                <w:szCs w:val="16"/>
                <w:color w:val="auto"/>
              </w:rPr>
            </w:pPr>
          </w:p>
        </w:tc>
        <w:tc>
          <w:tcPr>
            <w:tcW w:w="10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(MW)</w:t>
            </w:r>
            <w:r>
              <w:rPr>
                <w:rFonts w:ascii="Arial" w:cs="Arial" w:eastAsia="Arial" w:hAnsi="Arial"/>
                <w:sz w:val="9"/>
                <w:szCs w:val="9"/>
                <w:b w:val="1"/>
                <w:bCs w:val="1"/>
                <w:color w:val="auto"/>
              </w:rPr>
              <w:t>(a)</w:t>
            </w:r>
          </w:p>
        </w:tc>
        <w:tc>
          <w:tcPr>
            <w:tcW w:w="334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220" w:type="dxa"/>
            <w:vAlign w:val="bottom"/>
          </w:tcPr>
          <w:p>
            <w:pPr>
              <w:ind w:left="20"/>
              <w:spacing w:after="0"/>
              <w:rPr>
                <w:sz w:val="20"/>
                <w:szCs w:val="20"/>
                <w:color w:val="auto"/>
              </w:rPr>
            </w:pPr>
            <w:r>
              <w:rPr>
                <w:rFonts w:ascii="Arial" w:cs="Arial" w:eastAsia="Arial" w:hAnsi="Arial"/>
                <w:sz w:val="14"/>
                <w:szCs w:val="14"/>
                <w:i w:val="1"/>
                <w:iCs w:val="1"/>
                <w:color w:val="auto"/>
              </w:rPr>
              <w:t>Wind</w:t>
            </w:r>
          </w:p>
        </w:tc>
        <w:tc>
          <w:tcPr>
            <w:tcW w:w="2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Alta I</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150</w:t>
            </w:r>
          </w:p>
        </w:tc>
        <w:tc>
          <w:tcPr>
            <w:tcW w:w="33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2035</w:t>
            </w:r>
          </w:p>
        </w:tc>
        <w:tc>
          <w:tcPr>
            <w:tcW w:w="0" w:type="dxa"/>
            <w:vAlign w:val="bottom"/>
          </w:tcPr>
          <w:p>
            <w:pPr>
              <w:spacing w:after="0"/>
              <w:rPr>
                <w:sz w:val="1"/>
                <w:szCs w:val="1"/>
                <w:color w:val="auto"/>
              </w:rPr>
            </w:pPr>
          </w:p>
        </w:tc>
      </w:tr>
      <w:tr>
        <w:trPr>
          <w:trHeight w:val="196"/>
        </w:trPr>
        <w:tc>
          <w:tcPr>
            <w:tcW w:w="3220" w:type="dxa"/>
            <w:vAlign w:val="bottom"/>
          </w:tcPr>
          <w:p>
            <w:pPr>
              <w:ind w:left="100"/>
              <w:spacing w:after="0"/>
              <w:rPr>
                <w:sz w:val="20"/>
                <w:szCs w:val="20"/>
                <w:color w:val="auto"/>
              </w:rPr>
            </w:pPr>
            <w:r>
              <w:rPr>
                <w:rFonts w:ascii="Arial" w:cs="Arial" w:eastAsia="Arial" w:hAnsi="Arial"/>
                <w:sz w:val="14"/>
                <w:szCs w:val="14"/>
                <w:color w:val="auto"/>
              </w:rPr>
              <w:t>Alta II</w:t>
            </w:r>
          </w:p>
        </w:tc>
        <w:tc>
          <w:tcPr>
            <w:tcW w:w="214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150</w:t>
            </w:r>
          </w:p>
        </w:tc>
        <w:tc>
          <w:tcPr>
            <w:tcW w:w="3340" w:type="dxa"/>
            <w:vAlign w:val="bottom"/>
          </w:tcPr>
          <w:p>
            <w:pPr>
              <w:jc w:val="center"/>
              <w:ind w:left="8"/>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89"/>
              </w:rPr>
              <w:t>2035</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Alta III</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150</w:t>
            </w:r>
          </w:p>
        </w:tc>
        <w:tc>
          <w:tcPr>
            <w:tcW w:w="33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2035</w:t>
            </w:r>
          </w:p>
        </w:tc>
        <w:tc>
          <w:tcPr>
            <w:tcW w:w="0" w:type="dxa"/>
            <w:vAlign w:val="bottom"/>
          </w:tcPr>
          <w:p>
            <w:pPr>
              <w:spacing w:after="0"/>
              <w:rPr>
                <w:sz w:val="1"/>
                <w:szCs w:val="1"/>
                <w:color w:val="auto"/>
              </w:rPr>
            </w:pPr>
          </w:p>
        </w:tc>
      </w:tr>
      <w:tr>
        <w:trPr>
          <w:trHeight w:val="196"/>
        </w:trPr>
        <w:tc>
          <w:tcPr>
            <w:tcW w:w="3220" w:type="dxa"/>
            <w:vAlign w:val="bottom"/>
          </w:tcPr>
          <w:p>
            <w:pPr>
              <w:ind w:left="100"/>
              <w:spacing w:after="0"/>
              <w:rPr>
                <w:sz w:val="20"/>
                <w:szCs w:val="20"/>
                <w:color w:val="auto"/>
              </w:rPr>
            </w:pPr>
            <w:r>
              <w:rPr>
                <w:rFonts w:ascii="Arial" w:cs="Arial" w:eastAsia="Arial" w:hAnsi="Arial"/>
                <w:sz w:val="14"/>
                <w:szCs w:val="14"/>
                <w:color w:val="auto"/>
              </w:rPr>
              <w:t>Alta IV</w:t>
            </w:r>
          </w:p>
        </w:tc>
        <w:tc>
          <w:tcPr>
            <w:tcW w:w="214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102</w:t>
            </w:r>
          </w:p>
        </w:tc>
        <w:tc>
          <w:tcPr>
            <w:tcW w:w="3340" w:type="dxa"/>
            <w:vAlign w:val="bottom"/>
          </w:tcPr>
          <w:p>
            <w:pPr>
              <w:jc w:val="center"/>
              <w:ind w:left="8"/>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89"/>
              </w:rPr>
              <w:t>2035</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Alta V</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168</w:t>
            </w:r>
          </w:p>
        </w:tc>
        <w:tc>
          <w:tcPr>
            <w:tcW w:w="33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2035</w:t>
            </w:r>
          </w:p>
        </w:tc>
        <w:tc>
          <w:tcPr>
            <w:tcW w:w="0" w:type="dxa"/>
            <w:vAlign w:val="bottom"/>
          </w:tcPr>
          <w:p>
            <w:pPr>
              <w:spacing w:after="0"/>
              <w:rPr>
                <w:sz w:val="1"/>
                <w:szCs w:val="1"/>
                <w:color w:val="auto"/>
              </w:rPr>
            </w:pPr>
          </w:p>
        </w:tc>
      </w:tr>
      <w:tr>
        <w:trPr>
          <w:trHeight w:val="196"/>
        </w:trPr>
        <w:tc>
          <w:tcPr>
            <w:tcW w:w="3220" w:type="dxa"/>
            <w:vAlign w:val="bottom"/>
          </w:tcPr>
          <w:p>
            <w:pPr>
              <w:ind w:left="120"/>
              <w:spacing w:after="0"/>
              <w:rPr>
                <w:sz w:val="20"/>
                <w:szCs w:val="20"/>
                <w:color w:val="auto"/>
              </w:rPr>
            </w:pPr>
            <w:r>
              <w:rPr>
                <w:rFonts w:ascii="Arial" w:cs="Arial" w:eastAsia="Arial" w:hAnsi="Arial"/>
                <w:sz w:val="14"/>
                <w:szCs w:val="14"/>
                <w:color w:val="auto"/>
              </w:rPr>
              <w:t xml:space="preserve">Alta X </w:t>
            </w:r>
            <w:r>
              <w:rPr>
                <w:rFonts w:ascii="Arial" w:cs="Arial" w:eastAsia="Arial" w:hAnsi="Arial"/>
                <w:sz w:val="9"/>
                <w:szCs w:val="9"/>
                <w:color w:val="auto"/>
              </w:rPr>
              <w:t>(b)</w:t>
            </w:r>
          </w:p>
        </w:tc>
        <w:tc>
          <w:tcPr>
            <w:tcW w:w="214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137</w:t>
            </w:r>
          </w:p>
        </w:tc>
        <w:tc>
          <w:tcPr>
            <w:tcW w:w="3340" w:type="dxa"/>
            <w:vAlign w:val="bottom"/>
          </w:tcPr>
          <w:p>
            <w:pPr>
              <w:jc w:val="center"/>
              <w:ind w:left="8"/>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89"/>
              </w:rPr>
              <w:t>2038</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 xml:space="preserve">Alta XI </w:t>
            </w:r>
            <w:r>
              <w:rPr>
                <w:rFonts w:ascii="Arial" w:cs="Arial" w:eastAsia="Arial" w:hAnsi="Arial"/>
                <w:sz w:val="9"/>
                <w:szCs w:val="9"/>
                <w:color w:val="auto"/>
              </w:rPr>
              <w:t>(b)</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90</w:t>
            </w:r>
          </w:p>
        </w:tc>
        <w:tc>
          <w:tcPr>
            <w:tcW w:w="33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2038</w:t>
            </w:r>
          </w:p>
        </w:tc>
        <w:tc>
          <w:tcPr>
            <w:tcW w:w="0" w:type="dxa"/>
            <w:vAlign w:val="bottom"/>
          </w:tcPr>
          <w:p>
            <w:pPr>
              <w:spacing w:after="0"/>
              <w:rPr>
                <w:sz w:val="1"/>
                <w:szCs w:val="1"/>
                <w:color w:val="auto"/>
              </w:rPr>
            </w:pPr>
          </w:p>
        </w:tc>
      </w:tr>
      <w:tr>
        <w:trPr>
          <w:trHeight w:val="196"/>
        </w:trPr>
        <w:tc>
          <w:tcPr>
            <w:tcW w:w="3220" w:type="dxa"/>
            <w:vAlign w:val="bottom"/>
          </w:tcPr>
          <w:p>
            <w:pPr>
              <w:ind w:left="100"/>
              <w:spacing w:after="0"/>
              <w:rPr>
                <w:sz w:val="20"/>
                <w:szCs w:val="20"/>
                <w:color w:val="auto"/>
              </w:rPr>
            </w:pPr>
            <w:r>
              <w:rPr>
                <w:rFonts w:ascii="Arial" w:cs="Arial" w:eastAsia="Arial" w:hAnsi="Arial"/>
                <w:sz w:val="14"/>
                <w:szCs w:val="14"/>
                <w:color w:val="auto"/>
              </w:rPr>
              <w:t>Buffalo Bear</w:t>
            </w:r>
          </w:p>
        </w:tc>
        <w:tc>
          <w:tcPr>
            <w:tcW w:w="214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19</w:t>
            </w:r>
          </w:p>
        </w:tc>
        <w:tc>
          <w:tcPr>
            <w:tcW w:w="3340" w:type="dxa"/>
            <w:vAlign w:val="bottom"/>
          </w:tcPr>
          <w:p>
            <w:pPr>
              <w:jc w:val="center"/>
              <w:ind w:left="8"/>
              <w:spacing w:after="0"/>
              <w:rPr>
                <w:sz w:val="20"/>
                <w:szCs w:val="20"/>
                <w:color w:val="auto"/>
              </w:rPr>
            </w:pPr>
            <w:r>
              <w:rPr>
                <w:rFonts w:ascii="Arial" w:cs="Arial" w:eastAsia="Arial" w:hAnsi="Arial"/>
                <w:sz w:val="14"/>
                <w:szCs w:val="14"/>
                <w:color w:val="auto"/>
                <w:w w:val="93"/>
              </w:rPr>
              <w:t>Western Farmers Electric Co-operative</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89"/>
              </w:rPr>
              <w:t>2033</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Crosswinds</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w:t>
            </w:r>
          </w:p>
        </w:tc>
        <w:tc>
          <w:tcPr>
            <w:tcW w:w="33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3"/>
              </w:rPr>
              <w:t>Corn Belt Power Cooperative</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2027</w:t>
            </w:r>
          </w:p>
        </w:tc>
        <w:tc>
          <w:tcPr>
            <w:tcW w:w="0" w:type="dxa"/>
            <w:vAlign w:val="bottom"/>
          </w:tcPr>
          <w:p>
            <w:pPr>
              <w:spacing w:after="0"/>
              <w:rPr>
                <w:sz w:val="1"/>
                <w:szCs w:val="1"/>
                <w:color w:val="auto"/>
              </w:rPr>
            </w:pPr>
          </w:p>
        </w:tc>
      </w:tr>
      <w:tr>
        <w:trPr>
          <w:trHeight w:val="196"/>
        </w:trPr>
        <w:tc>
          <w:tcPr>
            <w:tcW w:w="3220" w:type="dxa"/>
            <w:vAlign w:val="bottom"/>
          </w:tcPr>
          <w:p>
            <w:pPr>
              <w:ind w:left="120"/>
              <w:spacing w:after="0"/>
              <w:rPr>
                <w:sz w:val="20"/>
                <w:szCs w:val="20"/>
                <w:color w:val="auto"/>
              </w:rPr>
            </w:pPr>
            <w:r>
              <w:rPr>
                <w:rFonts w:ascii="Arial" w:cs="Arial" w:eastAsia="Arial" w:hAnsi="Arial"/>
                <w:sz w:val="14"/>
                <w:szCs w:val="14"/>
                <w:color w:val="auto"/>
              </w:rPr>
              <w:t xml:space="preserve">Elbow Creek </w:t>
            </w:r>
            <w:r>
              <w:rPr>
                <w:rFonts w:ascii="Arial" w:cs="Arial" w:eastAsia="Arial" w:hAnsi="Arial"/>
                <w:sz w:val="9"/>
                <w:szCs w:val="9"/>
                <w:color w:val="auto"/>
              </w:rPr>
              <w:t>(b)</w:t>
            </w:r>
          </w:p>
        </w:tc>
        <w:tc>
          <w:tcPr>
            <w:tcW w:w="214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122</w:t>
            </w:r>
          </w:p>
        </w:tc>
        <w:tc>
          <w:tcPr>
            <w:tcW w:w="3340" w:type="dxa"/>
            <w:vAlign w:val="bottom"/>
          </w:tcPr>
          <w:p>
            <w:pPr>
              <w:jc w:val="center"/>
              <w:ind w:left="28"/>
              <w:spacing w:after="0"/>
              <w:rPr>
                <w:sz w:val="20"/>
                <w:szCs w:val="20"/>
                <w:color w:val="auto"/>
              </w:rPr>
            </w:pPr>
            <w:r>
              <w:rPr>
                <w:rFonts w:ascii="Arial" w:cs="Arial" w:eastAsia="Arial" w:hAnsi="Arial"/>
                <w:sz w:val="14"/>
                <w:szCs w:val="14"/>
                <w:color w:val="auto"/>
                <w:w w:val="92"/>
              </w:rPr>
              <w:t>Various</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89"/>
              </w:rPr>
              <w:t>2029</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Elkhorn Ridge</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54</w:t>
            </w:r>
          </w:p>
        </w:tc>
        <w:tc>
          <w:tcPr>
            <w:tcW w:w="33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4"/>
              </w:rPr>
              <w:t>Nebraska Public Power District</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2029</w:t>
            </w:r>
          </w:p>
        </w:tc>
        <w:tc>
          <w:tcPr>
            <w:tcW w:w="0" w:type="dxa"/>
            <w:vAlign w:val="bottom"/>
          </w:tcPr>
          <w:p>
            <w:pPr>
              <w:spacing w:after="0"/>
              <w:rPr>
                <w:sz w:val="1"/>
                <w:szCs w:val="1"/>
                <w:color w:val="auto"/>
              </w:rPr>
            </w:pPr>
          </w:p>
        </w:tc>
      </w:tr>
      <w:tr>
        <w:trPr>
          <w:trHeight w:val="196"/>
        </w:trPr>
        <w:tc>
          <w:tcPr>
            <w:tcW w:w="3220" w:type="dxa"/>
            <w:vAlign w:val="bottom"/>
          </w:tcPr>
          <w:p>
            <w:pPr>
              <w:ind w:left="100"/>
              <w:spacing w:after="0"/>
              <w:rPr>
                <w:sz w:val="20"/>
                <w:szCs w:val="20"/>
                <w:color w:val="auto"/>
              </w:rPr>
            </w:pPr>
            <w:r>
              <w:rPr>
                <w:rFonts w:ascii="Arial" w:cs="Arial" w:eastAsia="Arial" w:hAnsi="Arial"/>
                <w:sz w:val="14"/>
                <w:szCs w:val="14"/>
                <w:color w:val="auto"/>
              </w:rPr>
              <w:t>Forward</w:t>
            </w:r>
          </w:p>
        </w:tc>
        <w:tc>
          <w:tcPr>
            <w:tcW w:w="214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29</w:t>
            </w:r>
          </w:p>
        </w:tc>
        <w:tc>
          <w:tcPr>
            <w:tcW w:w="3340" w:type="dxa"/>
            <w:vAlign w:val="bottom"/>
          </w:tcPr>
          <w:p>
            <w:pPr>
              <w:jc w:val="center"/>
              <w:ind w:left="8"/>
              <w:spacing w:after="0"/>
              <w:rPr>
                <w:sz w:val="20"/>
                <w:szCs w:val="20"/>
                <w:color w:val="auto"/>
              </w:rPr>
            </w:pPr>
            <w:r>
              <w:rPr>
                <w:rFonts w:ascii="Arial" w:cs="Arial" w:eastAsia="Arial" w:hAnsi="Arial"/>
                <w:sz w:val="14"/>
                <w:szCs w:val="14"/>
                <w:color w:val="auto"/>
                <w:w w:val="94"/>
              </w:rPr>
              <w:t>Constellation NewEnergy, Inc.</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89"/>
              </w:rPr>
              <w:t>2022</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Goat Wind</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150</w:t>
            </w:r>
          </w:p>
        </w:tc>
        <w:tc>
          <w:tcPr>
            <w:tcW w:w="33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4"/>
              </w:rPr>
              <w:t>Dow Pipeline Company</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2025</w:t>
            </w:r>
          </w:p>
        </w:tc>
        <w:tc>
          <w:tcPr>
            <w:tcW w:w="0" w:type="dxa"/>
            <w:vAlign w:val="bottom"/>
          </w:tcPr>
          <w:p>
            <w:pPr>
              <w:spacing w:after="0"/>
              <w:rPr>
                <w:sz w:val="1"/>
                <w:szCs w:val="1"/>
                <w:color w:val="auto"/>
              </w:rPr>
            </w:pPr>
          </w:p>
        </w:tc>
      </w:tr>
      <w:tr>
        <w:trPr>
          <w:trHeight w:val="196"/>
        </w:trPr>
        <w:tc>
          <w:tcPr>
            <w:tcW w:w="3220" w:type="dxa"/>
            <w:vAlign w:val="bottom"/>
          </w:tcPr>
          <w:p>
            <w:pPr>
              <w:ind w:left="100"/>
              <w:spacing w:after="0"/>
              <w:rPr>
                <w:sz w:val="20"/>
                <w:szCs w:val="20"/>
                <w:color w:val="auto"/>
              </w:rPr>
            </w:pPr>
            <w:r>
              <w:rPr>
                <w:rFonts w:ascii="Arial" w:cs="Arial" w:eastAsia="Arial" w:hAnsi="Arial"/>
                <w:sz w:val="14"/>
                <w:szCs w:val="14"/>
                <w:color w:val="auto"/>
              </w:rPr>
              <w:t>Hardin</w:t>
            </w:r>
          </w:p>
        </w:tc>
        <w:tc>
          <w:tcPr>
            <w:tcW w:w="2140" w:type="dxa"/>
            <w:vAlign w:val="bottom"/>
          </w:tcPr>
          <w:p>
            <w:pPr>
              <w:jc w:val="right"/>
              <w:spacing w:after="0"/>
              <w:rPr>
                <w:sz w:val="20"/>
                <w:szCs w:val="20"/>
                <w:color w:val="auto"/>
              </w:rPr>
            </w:pPr>
            <w:r>
              <w:rPr>
                <w:rFonts w:ascii="Arial" w:cs="Arial" w:eastAsia="Arial" w:hAnsi="Arial"/>
                <w:sz w:val="14"/>
                <w:szCs w:val="14"/>
                <w:color w:val="auto"/>
              </w:rPr>
              <w:t>99</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15</w:t>
            </w:r>
          </w:p>
        </w:tc>
        <w:tc>
          <w:tcPr>
            <w:tcW w:w="3340" w:type="dxa"/>
            <w:vAlign w:val="bottom"/>
          </w:tcPr>
          <w:p>
            <w:pPr>
              <w:jc w:val="center"/>
              <w:ind w:left="8"/>
              <w:spacing w:after="0"/>
              <w:rPr>
                <w:sz w:val="20"/>
                <w:szCs w:val="20"/>
                <w:color w:val="auto"/>
              </w:rPr>
            </w:pPr>
            <w:r>
              <w:rPr>
                <w:rFonts w:ascii="Arial" w:cs="Arial" w:eastAsia="Arial" w:hAnsi="Arial"/>
                <w:sz w:val="14"/>
                <w:szCs w:val="14"/>
                <w:color w:val="auto"/>
                <w:w w:val="94"/>
              </w:rPr>
              <w:t>Interstate Power and Light Company</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89"/>
              </w:rPr>
              <w:t>2027</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Laredo Ridge</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80</w:t>
            </w:r>
          </w:p>
        </w:tc>
        <w:tc>
          <w:tcPr>
            <w:tcW w:w="33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4"/>
              </w:rPr>
              <w:t>Nebraska Public Power District</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2031</w:t>
            </w:r>
          </w:p>
        </w:tc>
        <w:tc>
          <w:tcPr>
            <w:tcW w:w="0" w:type="dxa"/>
            <w:vAlign w:val="bottom"/>
          </w:tcPr>
          <w:p>
            <w:pPr>
              <w:spacing w:after="0"/>
              <w:rPr>
                <w:sz w:val="1"/>
                <w:szCs w:val="1"/>
                <w:color w:val="auto"/>
              </w:rPr>
            </w:pPr>
          </w:p>
        </w:tc>
      </w:tr>
      <w:tr>
        <w:trPr>
          <w:trHeight w:val="196"/>
        </w:trPr>
        <w:tc>
          <w:tcPr>
            <w:tcW w:w="3220" w:type="dxa"/>
            <w:vAlign w:val="bottom"/>
          </w:tcPr>
          <w:p>
            <w:pPr>
              <w:ind w:left="100"/>
              <w:spacing w:after="0"/>
              <w:rPr>
                <w:sz w:val="20"/>
                <w:szCs w:val="20"/>
                <w:color w:val="auto"/>
              </w:rPr>
            </w:pPr>
            <w:r>
              <w:rPr>
                <w:rFonts w:ascii="Arial" w:cs="Arial" w:eastAsia="Arial" w:hAnsi="Arial"/>
                <w:sz w:val="14"/>
                <w:szCs w:val="14"/>
                <w:color w:val="auto"/>
              </w:rPr>
              <w:t>Lookout</w:t>
            </w:r>
          </w:p>
        </w:tc>
        <w:tc>
          <w:tcPr>
            <w:tcW w:w="214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38</w:t>
            </w:r>
          </w:p>
        </w:tc>
        <w:tc>
          <w:tcPr>
            <w:tcW w:w="3340" w:type="dxa"/>
            <w:vAlign w:val="bottom"/>
          </w:tcPr>
          <w:p>
            <w:pPr>
              <w:jc w:val="center"/>
              <w:ind w:left="8"/>
              <w:spacing w:after="0"/>
              <w:rPr>
                <w:sz w:val="20"/>
                <w:szCs w:val="20"/>
                <w:color w:val="auto"/>
              </w:rPr>
            </w:pPr>
            <w:r>
              <w:rPr>
                <w:rFonts w:ascii="Arial" w:cs="Arial" w:eastAsia="Arial" w:hAnsi="Arial"/>
                <w:sz w:val="14"/>
                <w:szCs w:val="14"/>
                <w:color w:val="auto"/>
                <w:w w:val="94"/>
              </w:rPr>
              <w:t>Southern Maryland Electric Cooperative</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89"/>
              </w:rPr>
              <w:t>2030</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Odin</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w:t>
            </w:r>
          </w:p>
        </w:tc>
        <w:tc>
          <w:tcPr>
            <w:tcW w:w="33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4"/>
              </w:rPr>
              <w:t>Missouri River Energy Services</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2028</w:t>
            </w:r>
          </w:p>
        </w:tc>
        <w:tc>
          <w:tcPr>
            <w:tcW w:w="0" w:type="dxa"/>
            <w:vAlign w:val="bottom"/>
          </w:tcPr>
          <w:p>
            <w:pPr>
              <w:spacing w:after="0"/>
              <w:rPr>
                <w:sz w:val="1"/>
                <w:szCs w:val="1"/>
                <w:color w:val="auto"/>
              </w:rPr>
            </w:pPr>
          </w:p>
        </w:tc>
      </w:tr>
      <w:tr>
        <w:trPr>
          <w:trHeight w:val="157"/>
        </w:trPr>
        <w:tc>
          <w:tcPr>
            <w:tcW w:w="32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340" w:type="dxa"/>
            <w:vAlign w:val="bottom"/>
          </w:tcPr>
          <w:p>
            <w:pPr>
              <w:jc w:val="center"/>
              <w:ind w:left="8"/>
              <w:spacing w:after="0" w:line="157" w:lineRule="exact"/>
              <w:rPr>
                <w:sz w:val="20"/>
                <w:szCs w:val="20"/>
                <w:color w:val="auto"/>
              </w:rPr>
            </w:pPr>
            <w:r>
              <w:rPr>
                <w:rFonts w:ascii="Arial" w:cs="Arial" w:eastAsia="Arial" w:hAnsi="Arial"/>
                <w:sz w:val="14"/>
                <w:szCs w:val="14"/>
                <w:color w:val="auto"/>
                <w:w w:val="93"/>
              </w:rPr>
              <w:t>Maryland Department of General Services and</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20" w:type="dxa"/>
            <w:vAlign w:val="bottom"/>
          </w:tcPr>
          <w:p>
            <w:pPr>
              <w:ind w:left="100"/>
              <w:spacing w:after="0"/>
              <w:rPr>
                <w:sz w:val="20"/>
                <w:szCs w:val="20"/>
                <w:color w:val="auto"/>
              </w:rPr>
            </w:pPr>
            <w:r>
              <w:rPr>
                <w:rFonts w:ascii="Arial" w:cs="Arial" w:eastAsia="Arial" w:hAnsi="Arial"/>
                <w:sz w:val="14"/>
                <w:szCs w:val="14"/>
                <w:color w:val="auto"/>
              </w:rPr>
              <w:t>Pinnacle</w:t>
            </w:r>
          </w:p>
        </w:tc>
        <w:tc>
          <w:tcPr>
            <w:tcW w:w="214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55</w:t>
            </w:r>
          </w:p>
        </w:tc>
        <w:tc>
          <w:tcPr>
            <w:tcW w:w="3340" w:type="dxa"/>
            <w:vAlign w:val="bottom"/>
          </w:tcPr>
          <w:p>
            <w:pPr>
              <w:jc w:val="center"/>
              <w:ind w:left="8"/>
              <w:spacing w:after="0"/>
              <w:rPr>
                <w:sz w:val="20"/>
                <w:szCs w:val="20"/>
                <w:color w:val="auto"/>
              </w:rPr>
            </w:pPr>
            <w:r>
              <w:rPr>
                <w:rFonts w:ascii="Arial" w:cs="Arial" w:eastAsia="Arial" w:hAnsi="Arial"/>
                <w:sz w:val="14"/>
                <w:szCs w:val="14"/>
                <w:color w:val="auto"/>
                <w:w w:val="96"/>
              </w:rPr>
              <w:t>University System of Maryland</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89"/>
              </w:rPr>
              <w:t>2031</w:t>
            </w:r>
          </w:p>
        </w:tc>
        <w:tc>
          <w:tcPr>
            <w:tcW w:w="0" w:type="dxa"/>
            <w:vAlign w:val="bottom"/>
          </w:tcPr>
          <w:p>
            <w:pPr>
              <w:spacing w:after="0"/>
              <w:rPr>
                <w:sz w:val="1"/>
                <w:szCs w:val="1"/>
                <w:color w:val="auto"/>
              </w:rPr>
            </w:pPr>
          </w:p>
        </w:tc>
      </w:tr>
      <w:tr>
        <w:trPr>
          <w:trHeight w:val="208"/>
        </w:trPr>
        <w:tc>
          <w:tcPr>
            <w:tcW w:w="3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San Juan Mesa</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90</w:t>
            </w:r>
          </w:p>
        </w:tc>
        <w:tc>
          <w:tcPr>
            <w:tcW w:w="33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3"/>
              </w:rPr>
              <w:t>Southwestern Public Service Company</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2025</w:t>
            </w:r>
          </w:p>
        </w:tc>
        <w:tc>
          <w:tcPr>
            <w:tcW w:w="0" w:type="dxa"/>
            <w:vAlign w:val="bottom"/>
          </w:tcPr>
          <w:p>
            <w:pPr>
              <w:spacing w:after="0"/>
              <w:rPr>
                <w:sz w:val="1"/>
                <w:szCs w:val="1"/>
                <w:color w:val="auto"/>
              </w:rPr>
            </w:pPr>
          </w:p>
        </w:tc>
      </w:tr>
      <w:tr>
        <w:trPr>
          <w:trHeight w:val="197"/>
        </w:trPr>
        <w:tc>
          <w:tcPr>
            <w:tcW w:w="3220" w:type="dxa"/>
            <w:vAlign w:val="bottom"/>
          </w:tcPr>
          <w:p>
            <w:pPr>
              <w:ind w:left="100"/>
              <w:spacing w:after="0"/>
              <w:rPr>
                <w:sz w:val="20"/>
                <w:szCs w:val="20"/>
                <w:color w:val="auto"/>
              </w:rPr>
            </w:pPr>
            <w:r>
              <w:rPr>
                <w:rFonts w:ascii="Arial" w:cs="Arial" w:eastAsia="Arial" w:hAnsi="Arial"/>
                <w:sz w:val="14"/>
                <w:szCs w:val="14"/>
                <w:color w:val="auto"/>
              </w:rPr>
              <w:t>Sleeping Bear</w:t>
            </w:r>
          </w:p>
        </w:tc>
        <w:tc>
          <w:tcPr>
            <w:tcW w:w="214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95</w:t>
            </w:r>
          </w:p>
        </w:tc>
        <w:tc>
          <w:tcPr>
            <w:tcW w:w="3340" w:type="dxa"/>
            <w:vAlign w:val="bottom"/>
          </w:tcPr>
          <w:p>
            <w:pPr>
              <w:jc w:val="center"/>
              <w:ind w:left="8"/>
              <w:spacing w:after="0"/>
              <w:rPr>
                <w:sz w:val="20"/>
                <w:szCs w:val="20"/>
                <w:color w:val="auto"/>
              </w:rPr>
            </w:pPr>
            <w:r>
              <w:rPr>
                <w:rFonts w:ascii="Arial" w:cs="Arial" w:eastAsia="Arial" w:hAnsi="Arial"/>
                <w:sz w:val="14"/>
                <w:szCs w:val="14"/>
                <w:color w:val="auto"/>
                <w:w w:val="94"/>
              </w:rPr>
              <w:t>Public Service Company of Oklahoma</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89"/>
              </w:rPr>
              <w:t>2032</w:t>
            </w:r>
          </w:p>
        </w:tc>
        <w:tc>
          <w:tcPr>
            <w:tcW w:w="0" w:type="dxa"/>
            <w:vAlign w:val="bottom"/>
          </w:tcPr>
          <w:p>
            <w:pPr>
              <w:spacing w:after="0"/>
              <w:rPr>
                <w:sz w:val="1"/>
                <w:szCs w:val="1"/>
                <w:color w:val="auto"/>
              </w:rPr>
            </w:pPr>
          </w:p>
        </w:tc>
      </w:tr>
      <w:tr>
        <w:trPr>
          <w:trHeight w:val="208"/>
        </w:trPr>
        <w:tc>
          <w:tcPr>
            <w:tcW w:w="3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South Trent</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101</w:t>
            </w:r>
          </w:p>
        </w:tc>
        <w:tc>
          <w:tcPr>
            <w:tcW w:w="33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1"/>
              </w:rPr>
              <w:t>AEP Energy Partners</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2029</w:t>
            </w:r>
          </w:p>
        </w:tc>
        <w:tc>
          <w:tcPr>
            <w:tcW w:w="0" w:type="dxa"/>
            <w:vAlign w:val="bottom"/>
          </w:tcPr>
          <w:p>
            <w:pPr>
              <w:spacing w:after="0"/>
              <w:rPr>
                <w:sz w:val="1"/>
                <w:szCs w:val="1"/>
                <w:color w:val="auto"/>
              </w:rPr>
            </w:pPr>
          </w:p>
        </w:tc>
      </w:tr>
      <w:tr>
        <w:trPr>
          <w:trHeight w:val="197"/>
        </w:trPr>
        <w:tc>
          <w:tcPr>
            <w:tcW w:w="3220" w:type="dxa"/>
            <w:vAlign w:val="bottom"/>
          </w:tcPr>
          <w:p>
            <w:pPr>
              <w:ind w:left="100"/>
              <w:spacing w:after="0"/>
              <w:rPr>
                <w:sz w:val="20"/>
                <w:szCs w:val="20"/>
                <w:color w:val="auto"/>
              </w:rPr>
            </w:pPr>
            <w:r>
              <w:rPr>
                <w:rFonts w:ascii="Arial" w:cs="Arial" w:eastAsia="Arial" w:hAnsi="Arial"/>
                <w:sz w:val="14"/>
                <w:szCs w:val="14"/>
                <w:color w:val="auto"/>
              </w:rPr>
              <w:t>Spanish Fork</w:t>
            </w:r>
          </w:p>
        </w:tc>
        <w:tc>
          <w:tcPr>
            <w:tcW w:w="214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19</w:t>
            </w:r>
          </w:p>
        </w:tc>
        <w:tc>
          <w:tcPr>
            <w:tcW w:w="3340" w:type="dxa"/>
            <w:vAlign w:val="bottom"/>
          </w:tcPr>
          <w:p>
            <w:pPr>
              <w:jc w:val="center"/>
              <w:ind w:left="8"/>
              <w:spacing w:after="0"/>
              <w:rPr>
                <w:sz w:val="20"/>
                <w:szCs w:val="20"/>
                <w:color w:val="auto"/>
              </w:rPr>
            </w:pPr>
            <w:r>
              <w:rPr>
                <w:rFonts w:ascii="Arial" w:cs="Arial" w:eastAsia="Arial" w:hAnsi="Arial"/>
                <w:sz w:val="14"/>
                <w:szCs w:val="14"/>
                <w:color w:val="auto"/>
                <w:w w:val="95"/>
              </w:rPr>
              <w:t>PacifiCorp</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89"/>
              </w:rPr>
              <w:t>2028</w:t>
            </w:r>
          </w:p>
        </w:tc>
        <w:tc>
          <w:tcPr>
            <w:tcW w:w="0" w:type="dxa"/>
            <w:vAlign w:val="bottom"/>
          </w:tcPr>
          <w:p>
            <w:pPr>
              <w:spacing w:after="0"/>
              <w:rPr>
                <w:sz w:val="1"/>
                <w:szCs w:val="1"/>
                <w:color w:val="auto"/>
              </w:rPr>
            </w:pPr>
          </w:p>
        </w:tc>
      </w:tr>
      <w:tr>
        <w:trPr>
          <w:trHeight w:val="208"/>
        </w:trPr>
        <w:tc>
          <w:tcPr>
            <w:tcW w:w="3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 xml:space="preserve">Spring Canyon II </w:t>
            </w:r>
            <w:r>
              <w:rPr>
                <w:rFonts w:ascii="Arial" w:cs="Arial" w:eastAsia="Arial" w:hAnsi="Arial"/>
                <w:sz w:val="9"/>
                <w:szCs w:val="9"/>
                <w:color w:val="auto"/>
              </w:rPr>
              <w:t>(b)</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w:t>
            </w:r>
          </w:p>
        </w:tc>
        <w:tc>
          <w:tcPr>
            <w:tcW w:w="33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5"/>
              </w:rPr>
              <w:t>Platte River Power Authority</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2039</w:t>
            </w:r>
          </w:p>
        </w:tc>
        <w:tc>
          <w:tcPr>
            <w:tcW w:w="0" w:type="dxa"/>
            <w:vAlign w:val="bottom"/>
          </w:tcPr>
          <w:p>
            <w:pPr>
              <w:spacing w:after="0"/>
              <w:rPr>
                <w:sz w:val="1"/>
                <w:szCs w:val="1"/>
                <w:color w:val="auto"/>
              </w:rPr>
            </w:pPr>
          </w:p>
        </w:tc>
      </w:tr>
      <w:tr>
        <w:trPr>
          <w:trHeight w:val="197"/>
        </w:trPr>
        <w:tc>
          <w:tcPr>
            <w:tcW w:w="3220" w:type="dxa"/>
            <w:vAlign w:val="bottom"/>
          </w:tcPr>
          <w:p>
            <w:pPr>
              <w:ind w:left="120"/>
              <w:spacing w:after="0"/>
              <w:rPr>
                <w:sz w:val="20"/>
                <w:szCs w:val="20"/>
                <w:color w:val="auto"/>
              </w:rPr>
            </w:pPr>
            <w:r>
              <w:rPr>
                <w:rFonts w:ascii="Arial" w:cs="Arial" w:eastAsia="Arial" w:hAnsi="Arial"/>
                <w:sz w:val="14"/>
                <w:szCs w:val="14"/>
                <w:color w:val="auto"/>
              </w:rPr>
              <w:t xml:space="preserve">Spring Canyon III </w:t>
            </w:r>
            <w:r>
              <w:rPr>
                <w:rFonts w:ascii="Arial" w:cs="Arial" w:eastAsia="Arial" w:hAnsi="Arial"/>
                <w:sz w:val="9"/>
                <w:szCs w:val="9"/>
                <w:color w:val="auto"/>
              </w:rPr>
              <w:t>(b)</w:t>
            </w:r>
          </w:p>
        </w:tc>
        <w:tc>
          <w:tcPr>
            <w:tcW w:w="2140" w:type="dxa"/>
            <w:vAlign w:val="bottom"/>
          </w:tcPr>
          <w:p>
            <w:pPr>
              <w:jc w:val="right"/>
              <w:spacing w:after="0"/>
              <w:rPr>
                <w:sz w:val="20"/>
                <w:szCs w:val="20"/>
                <w:color w:val="auto"/>
              </w:rPr>
            </w:pPr>
            <w:r>
              <w:rPr>
                <w:rFonts w:ascii="Arial" w:cs="Arial" w:eastAsia="Arial" w:hAnsi="Arial"/>
                <w:sz w:val="14"/>
                <w:szCs w:val="14"/>
                <w:color w:val="auto"/>
              </w:rPr>
              <w:t>90.1</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26</w:t>
            </w:r>
          </w:p>
        </w:tc>
        <w:tc>
          <w:tcPr>
            <w:tcW w:w="3340" w:type="dxa"/>
            <w:vAlign w:val="bottom"/>
          </w:tcPr>
          <w:p>
            <w:pPr>
              <w:jc w:val="center"/>
              <w:ind w:left="28"/>
              <w:spacing w:after="0"/>
              <w:rPr>
                <w:sz w:val="20"/>
                <w:szCs w:val="20"/>
                <w:color w:val="auto"/>
              </w:rPr>
            </w:pPr>
            <w:r>
              <w:rPr>
                <w:rFonts w:ascii="Arial" w:cs="Arial" w:eastAsia="Arial" w:hAnsi="Arial"/>
                <w:sz w:val="14"/>
                <w:szCs w:val="14"/>
                <w:color w:val="auto"/>
                <w:w w:val="95"/>
              </w:rPr>
              <w:t>Platte River Power Authority</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89"/>
              </w:rPr>
              <w:t>2039</w:t>
            </w:r>
          </w:p>
        </w:tc>
        <w:tc>
          <w:tcPr>
            <w:tcW w:w="0" w:type="dxa"/>
            <w:vAlign w:val="bottom"/>
          </w:tcPr>
          <w:p>
            <w:pPr>
              <w:spacing w:after="0"/>
              <w:rPr>
                <w:sz w:val="1"/>
                <w:szCs w:val="1"/>
                <w:color w:val="auto"/>
              </w:rPr>
            </w:pPr>
          </w:p>
        </w:tc>
      </w:tr>
      <w:tr>
        <w:trPr>
          <w:trHeight w:val="208"/>
        </w:trPr>
        <w:tc>
          <w:tcPr>
            <w:tcW w:w="3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Taloga</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130</w:t>
            </w:r>
          </w:p>
        </w:tc>
        <w:tc>
          <w:tcPr>
            <w:tcW w:w="33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5"/>
              </w:rPr>
              <w:t>Oklahoma Gas &amp; Electric</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2031</w:t>
            </w:r>
          </w:p>
        </w:tc>
        <w:tc>
          <w:tcPr>
            <w:tcW w:w="0" w:type="dxa"/>
            <w:vAlign w:val="bottom"/>
          </w:tcPr>
          <w:p>
            <w:pPr>
              <w:spacing w:after="0"/>
              <w:rPr>
                <w:sz w:val="1"/>
                <w:szCs w:val="1"/>
                <w:color w:val="auto"/>
              </w:rPr>
            </w:pPr>
          </w:p>
        </w:tc>
      </w:tr>
      <w:tr>
        <w:trPr>
          <w:trHeight w:val="197"/>
        </w:trPr>
        <w:tc>
          <w:tcPr>
            <w:tcW w:w="32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 xml:space="preserve">Wildorado </w:t>
            </w:r>
            <w:r>
              <w:rPr>
                <w:rFonts w:ascii="Arial" w:cs="Arial" w:eastAsia="Arial" w:hAnsi="Arial"/>
                <w:sz w:val="9"/>
                <w:szCs w:val="9"/>
                <w:color w:val="auto"/>
              </w:rPr>
              <w:t>(b)</w:t>
            </w:r>
          </w:p>
        </w:tc>
        <w:tc>
          <w:tcPr>
            <w:tcW w:w="21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161</w:t>
            </w:r>
          </w:p>
        </w:tc>
        <w:tc>
          <w:tcPr>
            <w:tcW w:w="3340" w:type="dxa"/>
            <w:vAlign w:val="bottom"/>
            <w:tcBorders>
              <w:bottom w:val="single" w:sz="8" w:color="CCEEFF"/>
            </w:tcBorders>
          </w:tcPr>
          <w:p>
            <w:pPr>
              <w:jc w:val="center"/>
              <w:ind w:left="8"/>
              <w:spacing w:after="0"/>
              <w:rPr>
                <w:sz w:val="20"/>
                <w:szCs w:val="20"/>
                <w:color w:val="auto"/>
              </w:rPr>
            </w:pPr>
            <w:r>
              <w:rPr>
                <w:rFonts w:ascii="Arial" w:cs="Arial" w:eastAsia="Arial" w:hAnsi="Arial"/>
                <w:sz w:val="14"/>
                <w:szCs w:val="14"/>
                <w:color w:val="auto"/>
                <w:w w:val="93"/>
              </w:rPr>
              <w:t>Southwestern Public Service Company</w:t>
            </w:r>
          </w:p>
        </w:tc>
        <w:tc>
          <w:tcPr>
            <w:tcW w:w="1140" w:type="dxa"/>
            <w:vAlign w:val="bottom"/>
            <w:tcBorders>
              <w:bottom w:val="single" w:sz="8" w:color="CCEEFF"/>
            </w:tcBorders>
          </w:tcPr>
          <w:p>
            <w:pPr>
              <w:jc w:val="center"/>
              <w:ind w:left="28"/>
              <w:spacing w:after="0"/>
              <w:rPr>
                <w:sz w:val="20"/>
                <w:szCs w:val="20"/>
                <w:color w:val="auto"/>
              </w:rPr>
            </w:pPr>
            <w:r>
              <w:rPr>
                <w:rFonts w:ascii="Arial" w:cs="Arial" w:eastAsia="Arial" w:hAnsi="Arial"/>
                <w:sz w:val="14"/>
                <w:szCs w:val="14"/>
                <w:color w:val="auto"/>
                <w:w w:val="89"/>
              </w:rPr>
              <w:t>2027</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2,203</w:t>
            </w:r>
          </w:p>
        </w:tc>
        <w:tc>
          <w:tcPr>
            <w:tcW w:w="3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220" w:type="dxa"/>
            <w:vAlign w:val="bottom"/>
          </w:tcPr>
          <w:p>
            <w:pPr>
              <w:ind w:left="20"/>
              <w:spacing w:after="0"/>
              <w:rPr>
                <w:sz w:val="20"/>
                <w:szCs w:val="20"/>
                <w:color w:val="auto"/>
              </w:rPr>
            </w:pPr>
            <w:r>
              <w:rPr>
                <w:rFonts w:ascii="Arial" w:cs="Arial" w:eastAsia="Arial" w:hAnsi="Arial"/>
                <w:sz w:val="14"/>
                <w:szCs w:val="14"/>
                <w:i w:val="1"/>
                <w:iCs w:val="1"/>
                <w:color w:val="auto"/>
              </w:rPr>
              <w:t>Thermal</w:t>
            </w:r>
          </w:p>
        </w:tc>
        <w:tc>
          <w:tcPr>
            <w:tcW w:w="2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Thermal Generation .</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36</w:t>
            </w:r>
          </w:p>
        </w:tc>
        <w:tc>
          <w:tcPr>
            <w:tcW w:w="33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2"/>
              </w:rPr>
              <w:t>Various</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2"/>
              </w:rPr>
              <w:t>Various</w:t>
            </w:r>
          </w:p>
        </w:tc>
        <w:tc>
          <w:tcPr>
            <w:tcW w:w="0" w:type="dxa"/>
            <w:vAlign w:val="bottom"/>
          </w:tcPr>
          <w:p>
            <w:pPr>
              <w:spacing w:after="0"/>
              <w:rPr>
                <w:sz w:val="1"/>
                <w:szCs w:val="1"/>
                <w:color w:val="auto"/>
              </w:rPr>
            </w:pPr>
          </w:p>
        </w:tc>
      </w:tr>
      <w:tr>
        <w:trPr>
          <w:trHeight w:val="188"/>
        </w:trPr>
        <w:tc>
          <w:tcPr>
            <w:tcW w:w="32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Total net generation capacity </w:t>
            </w:r>
            <w:r>
              <w:rPr>
                <w:rFonts w:ascii="Arial" w:cs="Arial" w:eastAsia="Arial" w:hAnsi="Arial"/>
                <w:sz w:val="9"/>
                <w:szCs w:val="9"/>
                <w:color w:val="auto"/>
              </w:rPr>
              <w:t>(c)</w:t>
            </w:r>
          </w:p>
        </w:tc>
        <w:tc>
          <w:tcPr>
            <w:tcW w:w="2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6,027</w:t>
            </w:r>
          </w:p>
        </w:tc>
        <w:tc>
          <w:tcPr>
            <w:tcW w:w="3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2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Thermal equivalent MWt</w:t>
            </w:r>
            <w:r>
              <w:rPr>
                <w:rFonts w:ascii="Arial" w:cs="Arial" w:eastAsia="Arial" w:hAnsi="Arial"/>
                <w:sz w:val="9"/>
                <w:szCs w:val="9"/>
                <w:color w:val="auto"/>
              </w:rPr>
              <w:t>(d)</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1,453</w:t>
            </w:r>
          </w:p>
        </w:tc>
        <w:tc>
          <w:tcPr>
            <w:tcW w:w="33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2"/>
              </w:rPr>
              <w:t>Various</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2"/>
              </w:rPr>
              <w:t>Various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3798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40" w:hanging="132"/>
        <w:spacing w:after="0"/>
        <w:tabs>
          <w:tab w:leader="none" w:pos="140" w:val="left"/>
        </w:tabs>
        <w:numPr>
          <w:ilvl w:val="0"/>
          <w:numId w:val="21"/>
        </w:numPr>
        <w:rPr>
          <w:rFonts w:ascii="Arial" w:cs="Arial" w:eastAsia="Arial" w:hAnsi="Arial"/>
          <w:sz w:val="9"/>
          <w:szCs w:val="9"/>
          <w:color w:val="auto"/>
        </w:rPr>
      </w:pPr>
      <w:r>
        <w:rPr>
          <w:rFonts w:ascii="Arial" w:cs="Arial" w:eastAsia="Arial" w:hAnsi="Arial"/>
          <w:sz w:val="14"/>
          <w:szCs w:val="14"/>
          <w:color w:val="auto"/>
        </w:rPr>
        <w:t>Net capacity represents the maximum, or rated, generating capacity of the facility multiplied by the Company's percentage ownership in the facility as of June 30, 2020.</w:t>
      </w:r>
    </w:p>
    <w:p>
      <w:pPr>
        <w:spacing w:after="0" w:line="13" w:lineRule="exact"/>
        <w:rPr>
          <w:rFonts w:ascii="Arial" w:cs="Arial" w:eastAsia="Arial" w:hAnsi="Arial"/>
          <w:sz w:val="9"/>
          <w:szCs w:val="9"/>
          <w:color w:val="auto"/>
        </w:rPr>
      </w:pPr>
    </w:p>
    <w:p>
      <w:pPr>
        <w:ind w:left="160" w:hanging="152"/>
        <w:spacing w:after="0"/>
        <w:tabs>
          <w:tab w:leader="none" w:pos="160" w:val="left"/>
        </w:tabs>
        <w:numPr>
          <w:ilvl w:val="0"/>
          <w:numId w:val="21"/>
        </w:numPr>
        <w:rPr>
          <w:rFonts w:ascii="Arial" w:cs="Arial" w:eastAsia="Arial" w:hAnsi="Arial"/>
          <w:sz w:val="9"/>
          <w:szCs w:val="9"/>
          <w:color w:val="auto"/>
        </w:rPr>
      </w:pPr>
      <w:r>
        <w:rPr>
          <w:rFonts w:ascii="Arial" w:cs="Arial" w:eastAsia="Arial" w:hAnsi="Arial"/>
          <w:sz w:val="14"/>
          <w:szCs w:val="14"/>
          <w:color w:val="auto"/>
        </w:rPr>
        <w:t xml:space="preserve">Projects are part of tax equity arrangements, as further described in Item 1 — Note 2,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w:t>
      </w:r>
    </w:p>
    <w:p>
      <w:pPr>
        <w:spacing w:after="0" w:line="9" w:lineRule="exact"/>
        <w:rPr>
          <w:rFonts w:ascii="Arial" w:cs="Arial" w:eastAsia="Arial" w:hAnsi="Arial"/>
          <w:sz w:val="9"/>
          <w:szCs w:val="9"/>
          <w:color w:val="auto"/>
        </w:rPr>
      </w:pPr>
    </w:p>
    <w:p>
      <w:pPr>
        <w:ind w:firstLine="8"/>
        <w:spacing w:after="0" w:line="245" w:lineRule="auto"/>
        <w:tabs>
          <w:tab w:leader="none" w:pos="165" w:val="left"/>
        </w:tabs>
        <w:numPr>
          <w:ilvl w:val="0"/>
          <w:numId w:val="21"/>
        </w:numPr>
        <w:rPr>
          <w:rFonts w:ascii="Arial" w:cs="Arial" w:eastAsia="Arial" w:hAnsi="Arial"/>
          <w:sz w:val="9"/>
          <w:szCs w:val="9"/>
          <w:color w:val="auto"/>
        </w:rPr>
      </w:pPr>
      <w:r>
        <w:rPr>
          <w:rFonts w:ascii="Arial" w:cs="Arial" w:eastAsia="Arial" w:hAnsi="Arial"/>
          <w:sz w:val="14"/>
          <w:szCs w:val="14"/>
          <w:color w:val="auto"/>
        </w:rPr>
        <w:t>Clearway Energy, Inc.'s total generation capacity is net of 6 MWs for noncontrolling interest for Spring Canyon II and III. Clearway Energy, Inc.'s generation capacity including this noncontrolling interest was 6,033 MWs.</w:t>
      </w:r>
    </w:p>
    <w:p>
      <w:pPr>
        <w:ind w:firstLine="8"/>
        <w:spacing w:after="0" w:line="241" w:lineRule="auto"/>
        <w:tabs>
          <w:tab w:leader="none" w:pos="158" w:val="left"/>
        </w:tabs>
        <w:numPr>
          <w:ilvl w:val="0"/>
          <w:numId w:val="21"/>
        </w:numPr>
        <w:rPr>
          <w:rFonts w:ascii="Arial" w:cs="Arial" w:eastAsia="Arial" w:hAnsi="Arial"/>
          <w:sz w:val="9"/>
          <w:szCs w:val="9"/>
          <w:color w:val="auto"/>
        </w:rPr>
      </w:pPr>
      <w:r>
        <w:rPr>
          <w:rFonts w:ascii="Arial" w:cs="Arial" w:eastAsia="Arial" w:hAnsi="Arial"/>
          <w:sz w:val="14"/>
          <w:szCs w:val="14"/>
          <w:color w:val="auto"/>
        </w:rPr>
        <w:t>For thermal energy, net capacity represents MWt for steam or chilled water and excludes 19 MWt available under the right-to-use provisions contained in agreements between one of the Company's thermal facilities and certain of its customers.</w:t>
      </w:r>
    </w:p>
    <w:p>
      <w:pPr>
        <w:ind w:left="140" w:hanging="132"/>
        <w:spacing w:after="0"/>
        <w:tabs>
          <w:tab w:leader="none" w:pos="140" w:val="left"/>
        </w:tabs>
        <w:numPr>
          <w:ilvl w:val="0"/>
          <w:numId w:val="21"/>
        </w:numPr>
        <w:rPr>
          <w:rFonts w:ascii="Arial" w:cs="Arial" w:eastAsia="Arial" w:hAnsi="Arial"/>
          <w:sz w:val="9"/>
          <w:szCs w:val="9"/>
          <w:color w:val="auto"/>
        </w:rPr>
      </w:pPr>
      <w:r>
        <w:rPr>
          <w:rFonts w:ascii="Arial" w:cs="Arial" w:eastAsia="Arial" w:hAnsi="Arial"/>
          <w:sz w:val="14"/>
          <w:szCs w:val="14"/>
          <w:color w:val="auto"/>
        </w:rPr>
        <w:t>Represents interests in Four Brothers Solar, LLC, Granite Mountain Holdings, LLC, and Iron Springs Holdings, LLC, all acquired as part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of the March 2017 Drop Down Assets (ownership percentage is based upon cash to be distributed).</w:t>
      </w:r>
    </w:p>
    <w:p>
      <w:pPr>
        <w:spacing w:after="0" w:line="15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Additionally, the Company is party to partnerships the purpose of which is to own or purchase solar power generation projects, as well as other ancillary related assets from a related party via intermediate funds. The Company does not consolidate these partnerships and accounts for them as equity method investments. The Company's net interest in these projects is 165 MW based on cash to be distributed pursuant to the partnership agreements as of June 30, 2020. For further discussions, see Item 1— Note 4,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of this Form 10-Q and Item 15 — Note 5,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to the consolidated financial statements included in the Company's 2019 Form 10-K.</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Significant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 Gas and Electric Company Bankruptcy Update</w:t>
      </w:r>
    </w:p>
    <w:p>
      <w:pPr>
        <w:spacing w:after="0" w:line="171" w:lineRule="exact"/>
        <w:rPr>
          <w:sz w:val="20"/>
          <w:szCs w:val="20"/>
          <w:color w:val="auto"/>
        </w:rPr>
      </w:pPr>
    </w:p>
    <w:p>
      <w:pPr>
        <w:jc w:val="both"/>
        <w:ind w:left="340" w:hanging="332"/>
        <w:spacing w:after="0" w:line="291" w:lineRule="auto"/>
        <w:tabs>
          <w:tab w:leader="none" w:pos="335" w:val="left"/>
        </w:tabs>
        <w:numPr>
          <w:ilvl w:val="0"/>
          <w:numId w:val="22"/>
        </w:numPr>
        <w:rPr>
          <w:rFonts w:ascii="Arial" w:cs="Arial" w:eastAsia="Arial" w:hAnsi="Arial"/>
          <w:sz w:val="16"/>
          <w:szCs w:val="16"/>
          <w:color w:val="auto"/>
        </w:rPr>
      </w:pPr>
      <w:r>
        <w:rPr>
          <w:rFonts w:ascii="Arial" w:cs="Arial" w:eastAsia="Arial" w:hAnsi="Arial"/>
          <w:sz w:val="16"/>
          <w:szCs w:val="16"/>
          <w:color w:val="auto"/>
        </w:rPr>
        <w:t>During 2019, PG&amp;E, one of the Company's largest customers, filed for reorganization under Chapter 11 of the U.S. Bankruptcy Code in the U.S. Bankruptcy Court for the Northern District of California, or the Bankruptcy Court. The PG&amp;E Bankruptcy triggered defaults under the PPAs with PG&amp;E and such related financing agreements. As a result, the Company had previously recorded approximately $1.19 billion of principal, net of the related unamortized debt issuance costs, as short-term debt. On July 1, 2020, PG&amp;E emerged from bankruptcy and assumed the Company's contracts without modification. In addition, PG&amp;E paid to the Company's applicable projects the portion of the invoices corresponding to the electricity delivered between January 1 and January 28, 2019. These invoices related to the pre-petition period services and any payment therefore required the approval of the Bankruptcy Court. The Company has reclassified the related debt to non-current based on its original maturity as of June 30,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jc w:val="both"/>
        <w:ind w:left="340" w:hanging="332"/>
        <w:spacing w:after="0" w:line="272" w:lineRule="auto"/>
        <w:tabs>
          <w:tab w:leader="none" w:pos="335" w:val="left"/>
        </w:tabs>
        <w:numPr>
          <w:ilvl w:val="0"/>
          <w:numId w:val="23"/>
        </w:numPr>
        <w:rPr>
          <w:rFonts w:ascii="Arial" w:cs="Arial" w:eastAsia="Arial" w:hAnsi="Arial"/>
          <w:sz w:val="17"/>
          <w:szCs w:val="17"/>
          <w:color w:val="auto"/>
        </w:rPr>
      </w:pPr>
      <w:r>
        <w:rPr>
          <w:rFonts w:ascii="Arial" w:cs="Arial" w:eastAsia="Arial" w:hAnsi="Arial"/>
          <w:sz w:val="17"/>
          <w:szCs w:val="17"/>
          <w:color w:val="auto"/>
        </w:rPr>
        <w:t>On May 21, 2020, Clearway Energy Operating LLC completed the sale of an additional $250 million aggregate principal amount of the 2028 Senior Notes. The 2028 Senior Notes bear interest at 4.75% and mature on March 15, 2028. Interest on the 2028 Senior Notes is payable semi-annually on March 15 and September 15 of each year, and interest payments will commence on September 15, 2020. The 2028 Senior Notes are unsecured obligations of Clearway Energy Operating LLC and are guaranteed by Clearway Energy LLC and by certain of Clearway Energy Operating LLC's wholly owned current and future subsidiaries. The proceeds from the additional 2028 Senior Notes were used to repay the $45 million outstanding principal amount of the Company's 2020 Convertible Notes on June 1, 2020, as well as to fund the repayment of outstanding borrowings under the Company's revolving credit facility and for general corporate purposes.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Drop Down Transactions</w:t>
      </w:r>
    </w:p>
    <w:p>
      <w:pPr>
        <w:spacing w:after="0" w:line="171" w:lineRule="exact"/>
        <w:rPr>
          <w:sz w:val="20"/>
          <w:szCs w:val="20"/>
          <w:color w:val="auto"/>
        </w:rPr>
      </w:pPr>
    </w:p>
    <w:p>
      <w:pPr>
        <w:jc w:val="both"/>
        <w:ind w:left="340" w:hanging="332"/>
        <w:spacing w:after="0" w:line="263" w:lineRule="auto"/>
        <w:tabs>
          <w:tab w:leader="none" w:pos="335"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color w:val="auto"/>
        </w:rPr>
        <w:t>On August 3, 2020, the Company entered into an agreement with CEG to acquire an interest in Mesquite Star Pledgor LLC, which owns the Mesquite Star wind project, a 419 MW utility scale wind project located in Fisher County, Texas for approximately $79 million. The acquisition is expected to close during the third quarter of 2020 and will be funded with existing liquidity.</w:t>
      </w:r>
    </w:p>
    <w:p>
      <w:pPr>
        <w:spacing w:after="0" w:line="129" w:lineRule="exact"/>
        <w:rPr>
          <w:rFonts w:ascii="Arial" w:cs="Arial" w:eastAsia="Arial" w:hAnsi="Arial"/>
          <w:sz w:val="18"/>
          <w:szCs w:val="18"/>
          <w:b w:val="1"/>
          <w:bCs w:val="1"/>
          <w:i w:val="1"/>
          <w:iCs w:val="1"/>
          <w:color w:val="auto"/>
        </w:rPr>
      </w:pPr>
    </w:p>
    <w:p>
      <w:pPr>
        <w:jc w:val="both"/>
        <w:ind w:left="340" w:hanging="332"/>
        <w:spacing w:after="0" w:line="263"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August 3, 2020, CEG offered the Company the opportunity to purchase (i) residual interests in the Kawailoa and Oahu Solar Partnerships and (ii) 100% of its interests in Langford Holding, LLC, which owns the Langford wind project. The transaction is subject to negotiation and approval by the Company's Independent Directors.</w:t>
      </w:r>
    </w:p>
    <w:p>
      <w:pPr>
        <w:spacing w:after="0" w:line="129" w:lineRule="exact"/>
        <w:rPr>
          <w:rFonts w:ascii="Arial" w:cs="Arial" w:eastAsia="Arial" w:hAnsi="Arial"/>
          <w:sz w:val="18"/>
          <w:szCs w:val="18"/>
          <w:color w:val="auto"/>
        </w:rPr>
      </w:pPr>
    </w:p>
    <w:p>
      <w:pPr>
        <w:jc w:val="both"/>
        <w:ind w:left="340" w:hanging="332"/>
        <w:spacing w:after="0" w:line="271" w:lineRule="auto"/>
        <w:tabs>
          <w:tab w:leader="none" w:pos="3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 April 17, 2020, the Company entered into binding agreements related to the previously announced drop-down offer from CEG to enable the Company to acquire and invest in a portfolio of renewable energy projects. The following projects are included in the drop-down: (i) 100% of the equity interests in Rattlesnake Flat, LLC, which owns the Rattlesnake Wind Project, a 144 net MW wind facility located in Adams County, WA; (ii) CEG's interest in Repowering Partnership II LLC (Repowering 1.0), which the Company acquired on May 11, 2020; and (iii) a new partnership with CEG to repower the Pinnacle Wind Project, a 55 net MW wind facility located in Mineral County, WV. The Company expects to invest approximately $241 million in corporate capital subject to closing adjustments for the above mentioned transactions. Closing is subject to the timing of projects achieving commercial operations. The investment at commercial operations excludes, subject to closing adjustments, an additional $27 million payment in 2031 at the Pinnacle Wind Repowering Partnership.</w:t>
      </w:r>
    </w:p>
    <w:p>
      <w:pPr>
        <w:spacing w:after="0" w:line="164" w:lineRule="exact"/>
        <w:rPr>
          <w:rFonts w:ascii="Arial" w:cs="Arial" w:eastAsia="Arial" w:hAnsi="Arial"/>
          <w:sz w:val="17"/>
          <w:szCs w:val="17"/>
          <w:color w:val="auto"/>
        </w:rPr>
      </w:pPr>
    </w:p>
    <w:p>
      <w:pPr>
        <w:ind w:left="340" w:hanging="332"/>
        <w:spacing w:after="0" w:line="277"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May 11, 2020, the Company acquired CEG's interest in Repowering Partnership II LLC for cash consideration of $70 million. Repowering Partnership II LLC is no longer a VIE and subsequent to the acquisition, is a wholly-owned subsidiary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Sale of Interest in RPV Holdco 1</w:t>
      </w:r>
    </w:p>
    <w:p>
      <w:pPr>
        <w:spacing w:after="0" w:line="252" w:lineRule="exact"/>
        <w:rPr>
          <w:sz w:val="20"/>
          <w:szCs w:val="20"/>
          <w:color w:val="auto"/>
        </w:rPr>
      </w:pPr>
    </w:p>
    <w:p>
      <w:pPr>
        <w:jc w:val="both"/>
        <w:ind w:left="340" w:hanging="332"/>
        <w:spacing w:after="0" w:line="263" w:lineRule="auto"/>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May 14, 2020, the Company sold its interests in RPV Holdco 1 LLC, or RPV Holdco, to a third party for net proceeds of approximately $75 million. The Company previously accounted for its interest in RPV Holdco as an equity method investment. The sale of the investment resulted in a gain of approximately $49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 of DGPV Holdco 3</w:t>
      </w:r>
    </w:p>
    <w:p>
      <w:pPr>
        <w:spacing w:after="0" w:line="171" w:lineRule="exact"/>
        <w:rPr>
          <w:sz w:val="20"/>
          <w:szCs w:val="20"/>
          <w:color w:val="auto"/>
        </w:rPr>
      </w:pPr>
    </w:p>
    <w:p>
      <w:pPr>
        <w:jc w:val="both"/>
        <w:ind w:left="340" w:hanging="332"/>
        <w:spacing w:after="0" w:line="259"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May 29, 2020, the final construction projects owned by DGPV Holdco 3 were placed in service which resulted in a reconsideration event. The Company determined that it will consolidate DGPV Holdco 3 effective on May 29, 2020 and show the interest owned by CEG as noncontrolling interest as of that date. This resulted in the consolidation of assets of $400 million and liabilities of $290 million as of May 29, 2020. The impact to the results of operations for the period from May 30, 2020 to June 30, 2020 was not material.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Black Start Services at Marsh Landing</w:t>
      </w:r>
    </w:p>
    <w:p>
      <w:pPr>
        <w:spacing w:after="0" w:line="171" w:lineRule="exact"/>
        <w:rPr>
          <w:sz w:val="20"/>
          <w:szCs w:val="20"/>
          <w:color w:val="auto"/>
        </w:rPr>
      </w:pPr>
    </w:p>
    <w:p>
      <w:pPr>
        <w:jc w:val="both"/>
        <w:ind w:left="340" w:hanging="332"/>
        <w:spacing w:after="0" w:line="259"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of July 2020, all necessary regulatory approvals were obtained with respect to the Company's Marsh Landing project to provide black start capability in the greater San Francisco Bay area, which would restart Marsh Landing in the event of a blackout, under a five-year contract with the California Independent System Operator to support their emergency restoration of the electrical grid. The project has commenced construction and is expected to achieve commercial operations in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and state environmental laws have historically become more stringent over time, although this trend could change in the future.</w:t>
      </w:r>
    </w:p>
    <w:p>
      <w:pPr>
        <w:spacing w:after="0" w:line="138"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A number of regulations that may affect the Company are under review, including the publishing of the Affordable Clean Energy (ACE) rule, state solar photovoltaic module (solar panel) disposal and recycling regulations, and proposed federal MBTA incidental take legislation and regulations. The Company will evaluate the impact of the legislation and regulations as they are revised but cannot fully predict the impact of each until anticipated revisions and legal challenges are resolved. To the extent the proposed legislation and regulations restrict or otherwise impact the Company's operations, the proposed legislation and regulations could have a negative impact on the Company's financial performance.</w:t>
      </w:r>
    </w:p>
    <w:p>
      <w:pPr>
        <w:spacing w:after="0" w:line="16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Affordable Clean Energy Rule </w:t>
      </w:r>
      <w:r>
        <w:rPr>
          <w:rFonts w:ascii="Arial" w:cs="Arial" w:eastAsia="Arial" w:hAnsi="Arial"/>
          <w:sz w:val="18"/>
          <w:szCs w:val="18"/>
          <w:color w:val="auto"/>
        </w:rPr>
        <w:t>— The attention in recent years on GHG emissions has resulted in federal regulations and state legislative and</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action. In 2015, the EPA finalized the Clean Power Plan, or the CPP, which addressed GHG emissions from existing electric utility steam generating units. The CPP was challenged in court and in 2016 the U.S. Supreme Court stayed the CPP. In 2018, the EPA published the proposed ACE rule to replace the CPP. The ACE rule establishes emission guidelines for states to develop plans to address greenhouse gas emissions from existing power plants. The ACE rule also reinforces the states’ broad discretion in establishing and applying emissions standards to new emission sources. The ACE rule is currently being litigated in the D.C. Circuit.</w:t>
      </w:r>
    </w:p>
    <w:p>
      <w:pPr>
        <w:spacing w:after="0" w:line="138"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i w:val="1"/>
          <w:iCs w:val="1"/>
          <w:color w:val="auto"/>
        </w:rPr>
        <w:t xml:space="preserve">Proposed State Solar Photovoltaic Module Disposal and Recycling Regulations </w:t>
      </w:r>
      <w:r>
        <w:rPr>
          <w:rFonts w:ascii="Arial" w:cs="Arial" w:eastAsia="Arial" w:hAnsi="Arial"/>
          <w:sz w:val="17"/>
          <w:szCs w:val="17"/>
          <w:color w:val="auto"/>
        </w:rPr>
        <w:t>— On October 1, 2015, California enacted SB 489, which authorized</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California’s Department of Toxic Substances Control to adopt regulations to designate discarded photovoltaic modules, which are classified as hazardous waste, as universal waste subject to universal waste management. On April 19, 2019, the department proposed regulations that would allow discarded photovoltaic modules to be managed as universal waste. Comments on the proposed rule were due by June 10, 2019, but the date was extended to January 8, 2020, as a result of text modifications. The final rule has not yet been published.</w:t>
      </w:r>
    </w:p>
    <w:p>
      <w:pPr>
        <w:spacing w:after="0" w:line="122"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7"/>
          <w:szCs w:val="17"/>
          <w:i w:val="1"/>
          <w:iCs w:val="1"/>
          <w:color w:val="auto"/>
        </w:rPr>
        <w:t xml:space="preserve">Proposed Federal MBTA Incidental Take Legislation and Regulations </w:t>
      </w:r>
      <w:r>
        <w:rPr>
          <w:rFonts w:ascii="Arial" w:cs="Arial" w:eastAsia="Arial" w:hAnsi="Arial"/>
          <w:sz w:val="17"/>
          <w:szCs w:val="17"/>
          <w:color w:val="auto"/>
        </w:rPr>
        <w:t>— On January 15, 2020, the House Natural Resources Committee voted to</w:t>
      </w:r>
      <w:r>
        <w:rPr>
          <w:rFonts w:ascii="Arial" w:cs="Arial" w:eastAsia="Arial" w:hAnsi="Arial"/>
          <w:sz w:val="17"/>
          <w:szCs w:val="17"/>
          <w:i w:val="1"/>
          <w:iCs w:val="1"/>
          <w:color w:val="auto"/>
        </w:rPr>
        <w:t xml:space="preserve"> </w:t>
      </w:r>
      <w:r>
        <w:rPr>
          <w:rFonts w:ascii="Arial" w:cs="Arial" w:eastAsia="Arial" w:hAnsi="Arial"/>
          <w:sz w:val="17"/>
          <w:szCs w:val="17"/>
          <w:color w:val="auto"/>
        </w:rPr>
        <w:t>advance a bill that would reinstate the interpretation that incidental take is prohibited under the MBTA, overriding the recent Trump-administration</w:t>
      </w:r>
    </w:p>
    <w:p>
      <w:pPr>
        <w:jc w:val="both"/>
        <w:spacing w:after="0" w:line="277" w:lineRule="auto"/>
        <w:rPr>
          <w:sz w:val="20"/>
          <w:szCs w:val="20"/>
          <w:color w:val="auto"/>
        </w:rPr>
      </w:pPr>
      <w:r>
        <w:rPr>
          <w:rFonts w:ascii="Arial" w:cs="Arial" w:eastAsia="Arial" w:hAnsi="Arial"/>
          <w:sz w:val="18"/>
          <w:szCs w:val="18"/>
          <w:color w:val="auto"/>
        </w:rPr>
        <w:t>Solicitor’s Opinion M-37050 that held the MBTA only applies to intentional takings. The bill also develops a general permitting program that covers incidental take of migratory birds. To the extent that electric generation takes migratory birds, it typically is incidental to its operations.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5" w:name="page46"/>
    <w:bookmarkEnd w:id="45"/>
    <w:p>
      <w:pPr>
        <w:jc w:val="both"/>
        <w:ind w:firstLine="405"/>
        <w:spacing w:after="0" w:line="272" w:lineRule="auto"/>
        <w:rPr>
          <w:sz w:val="20"/>
          <w:szCs w:val="20"/>
          <w:color w:val="auto"/>
        </w:rPr>
      </w:pPr>
      <w:r>
        <w:rPr>
          <w:rFonts w:ascii="Arial" w:cs="Arial" w:eastAsia="Arial" w:hAnsi="Arial"/>
          <w:sz w:val="17"/>
          <w:szCs w:val="17"/>
          <w:color w:val="auto"/>
        </w:rPr>
        <w:t>On February 3, 2020, the U.S. Fish and Wildlife Service published in the Federal Register a notice of proposed rulemaking to solicit public comment on a proposed regulation that would codify Solicitor’s Opinion M-37050 defining the scope of certain prohibitions under the MBTA. The proposed rule would clarify that criminal liability for pursuing, hunting, taking, capturing, or killing or attempting to take, capture or kill migratory birds is limited to actions directed at migratory birds, their nests, or their eggs. The proposed rule would have the effect of clarifying that these prohibitions do not extend to actions that only incidentally take or kill migratory birds as a result of otherwise lawful activities. Comments on the proposed rule were due by March 19, 2020. The final rule has not yet been published. On June 5, 2020, the US Fish and Wildlife Service made available the draft Environmental Impact Statement (DEIS) for the proposed rule to define the scope of the MBTA. A 45-day comment period on the DEIS was opened.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 xml:space="preserve">The Company’s regulatory matters are described in the Company’s 2019 Form 10-K in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Regulatory Matters</w:t>
      </w:r>
      <w:r>
        <w:rPr>
          <w:rFonts w:ascii="Arial" w:cs="Arial" w:eastAsia="Arial" w:hAnsi="Arial"/>
          <w:sz w:val="18"/>
          <w:szCs w:val="18"/>
          <w:color w:val="auto"/>
        </w:rPr>
        <w:t xml:space="preserve"> and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Affecting Results of Operations and Future Business Performance</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The Company’s trends are described in the Company’s 2019 Form 10-K in Item 7, </w:t>
      </w:r>
      <w:r>
        <w:rPr>
          <w:rFonts w:ascii="Arial" w:cs="Arial" w:eastAsia="Arial" w:hAnsi="Arial"/>
          <w:sz w:val="18"/>
          <w:szCs w:val="18"/>
          <w:i w:val="1"/>
          <w:iCs w:val="1"/>
          <w:color w:val="auto"/>
        </w:rPr>
        <w:t>Management’s Discussion and Analysis of Financial Condition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Results of Operations </w:t>
      </w:r>
      <w:r>
        <w:rPr>
          <w:rFonts w:ascii="Arial" w:cs="Arial" w:eastAsia="Arial" w:hAnsi="Arial"/>
          <w:sz w:val="18"/>
          <w:szCs w:val="18"/>
          <w:color w:val="auto"/>
        </w:rPr>
        <w:t>—</w:t>
      </w:r>
      <w:r>
        <w:rPr>
          <w:rFonts w:ascii="Arial" w:cs="Arial" w:eastAsia="Arial" w:hAnsi="Arial"/>
          <w:sz w:val="18"/>
          <w:szCs w:val="18"/>
          <w:i w:val="1"/>
          <w:iCs w:val="1"/>
          <w:color w:val="auto"/>
        </w:rPr>
        <w:t xml:space="preserve"> Trends Affecting Results of Operations and Future Business Performance.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Affecting Industry Conditions and the Company’s Business</w:t>
      </w:r>
    </w:p>
    <w:p>
      <w:pPr>
        <w:spacing w:after="0" w:line="17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response to the ongoing coronavirus (COVID-19) pandemic, the Company has implemented preventative measures and developed corporate and regional response plans to protect the health and safety of its employees, customers and other business counterparties, while supporting the Company’s suppliers and customers’ operations to the best of its ability in the circumstances. The Company also has modified certain business practices (including discontinuing all non-essential business travel, implementing a temporary work-from-home policy for employees who can execute their work remotely and encouraging employees to adhere to local and regional social distancing, more stringent hygiene and cleaning protocols across the Company’s facilities and operations and self-quarantining recommendations) to support efforts to reduce the spread of COVID-19 and to conform to government restrictions and best practices encouraged by governmental and regulatory authorities. The Company continues to evaluate these measures, response plans and business practices in light of the evolving effects of COVID-19.</w:t>
      </w:r>
    </w:p>
    <w:p>
      <w:pPr>
        <w:spacing w:after="0" w:line="12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There is considerable uncertainty regarding the extent to which COVID-19 will continue to spread and the extent and duration of governmental and other measures implemented to try to slow the spread of the virus, such as large-scale travel bans and restrictions, border closures, quarantines, shelter-in-place orders and business and government shutdowns. Restrictions of this nature may cause the Company, its suppliers and other business counterparties to experience operational delays and delays in the delivery of materials and supplies and may cause milestones or deadlines relating to various projects to be missed.</w:t>
      </w:r>
    </w:p>
    <w:p>
      <w:pPr>
        <w:spacing w:after="0" w:line="134"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As of the date of this report, the Company has not experienced any material financial or operational impacts related to COVID-19. All of the Company’s facilities have remained operational. The Company believes that all of its accounts receivable balances as of June 30, 2020 are collectible. The Company will continue to assess collectability based on any future developments.</w:t>
      </w:r>
    </w:p>
    <w:p>
      <w:pPr>
        <w:spacing w:after="0" w:line="130"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 xml:space="preserve">The Company cannot predict the full impact that COVID-19 will have on the Company’s financial expectations, its financial condition, results of operations and cash flows, its ability to make distributions to its stockholders, the market prices of its common stock and its ability to satisfy its debt service obligations at this time, due to numerous uncertainties. The ultimate impacts will depend on future developments, including, among others, the ultimate geographic spread of the virus, the consequences of governmental and other measures designed to prevent the spread of the virus, the development of effective treatments, the duration of the outbreak, actions taken by governmental authorities, customers, suppliers and other third parties, workforce availability and the timing and extent to which normal economic and operating conditions resume. For additional discussion regarding risks associated with the COVID-19 pandemic, see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of the Company's Quarterly Report on Form 10-Q for the fiscal quarter ended March 31, 2020.</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selected financial information: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10"/>
          </w:tcPr>
          <w:p>
            <w:pPr>
              <w:jc w:val="right"/>
              <w:ind w:right="531"/>
              <w:spacing w:after="0"/>
              <w:rPr>
                <w:sz w:val="20"/>
                <w:szCs w:val="20"/>
                <w:color w:val="auto"/>
              </w:rPr>
            </w:pPr>
            <w:r>
              <w:rPr>
                <w:rFonts w:ascii="Arial" w:cs="Arial" w:eastAsia="Arial" w:hAnsi="Arial"/>
                <w:sz w:val="14"/>
                <w:szCs w:val="14"/>
                <w:b w:val="1"/>
                <w:bCs w:val="1"/>
                <w:color w:val="auto"/>
                <w:w w:val="91"/>
              </w:rPr>
              <w:t>Three months ended June 30,</w:t>
            </w:r>
          </w:p>
        </w:tc>
        <w:tc>
          <w:tcPr>
            <w:tcW w:w="100" w:type="dxa"/>
            <w:vAlign w:val="bottom"/>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196"/>
        </w:trPr>
        <w:tc>
          <w:tcPr>
            <w:tcW w:w="47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7"/>
                <w:szCs w:val="17"/>
                <w:color w:val="auto"/>
              </w:rPr>
            </w:pPr>
          </w:p>
        </w:tc>
        <w:tc>
          <w:tcPr>
            <w:tcW w:w="660" w:type="dxa"/>
            <w:vAlign w:val="bottom"/>
            <w:gridSpan w:val="2"/>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7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Change</w:t>
            </w:r>
          </w:p>
        </w:tc>
      </w:tr>
      <w:tr>
        <w:trPr>
          <w:trHeight w:val="229"/>
        </w:trPr>
        <w:tc>
          <w:tcPr>
            <w:tcW w:w="470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r>
      <w:tr>
        <w:trPr>
          <w:trHeight w:val="27"/>
        </w:trPr>
        <w:tc>
          <w:tcPr>
            <w:tcW w:w="9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Energy and capacity revenues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333333"/>
                <w:w w:val="79"/>
              </w:rPr>
              <w:t>$</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333333"/>
              </w:rPr>
              <w:t>342</w:t>
            </w:r>
          </w:p>
        </w:tc>
        <w:tc>
          <w:tcPr>
            <w:tcW w:w="3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333333"/>
                <w:w w:val="99"/>
              </w:rPr>
              <w:t>$</w:t>
            </w:r>
          </w:p>
        </w:tc>
        <w:tc>
          <w:tcPr>
            <w:tcW w:w="7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333333"/>
              </w:rPr>
              <w:t>618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w:t>
            </w:r>
          </w:p>
        </w:tc>
      </w:tr>
      <w:tr>
        <w:trPr>
          <w:trHeight w:val="243"/>
        </w:trPr>
        <w:tc>
          <w:tcPr>
            <w:tcW w:w="4700" w:type="dxa"/>
            <w:vAlign w:val="bottom"/>
            <w:gridSpan w:val="2"/>
          </w:tcPr>
          <w:p>
            <w:pPr>
              <w:ind w:left="120"/>
              <w:spacing w:after="0"/>
              <w:rPr>
                <w:sz w:val="20"/>
                <w:szCs w:val="20"/>
                <w:color w:val="auto"/>
              </w:rPr>
            </w:pPr>
            <w:r>
              <w:rPr>
                <w:rFonts w:ascii="Arial" w:cs="Arial" w:eastAsia="Arial" w:hAnsi="Arial"/>
                <w:sz w:val="18"/>
                <w:szCs w:val="18"/>
                <w:color w:val="auto"/>
              </w:rPr>
              <w:t>Other revenues</w:t>
            </w:r>
          </w:p>
        </w:tc>
        <w:tc>
          <w:tcPr>
            <w:tcW w:w="2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333333"/>
              </w:rPr>
              <w:t>12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333333"/>
              </w:rPr>
              <w:t>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r>
      <w:tr>
        <w:trPr>
          <w:trHeight w:val="27"/>
        </w:trPr>
        <w:tc>
          <w:tcPr>
            <w:tcW w:w="9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Contract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333333"/>
              </w:rPr>
              <w:t>(22)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333333"/>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r>
      <w:tr>
        <w:trPr>
          <w:trHeight w:val="243"/>
        </w:trPr>
        <w:tc>
          <w:tcPr>
            <w:tcW w:w="4700" w:type="dxa"/>
            <w:vAlign w:val="bottom"/>
            <w:gridSpan w:val="2"/>
          </w:tcPr>
          <w:p>
            <w:pPr>
              <w:ind w:left="120"/>
              <w:spacing w:after="0"/>
              <w:rPr>
                <w:sz w:val="20"/>
                <w:szCs w:val="20"/>
                <w:color w:val="auto"/>
              </w:rPr>
            </w:pPr>
            <w:r>
              <w:rPr>
                <w:rFonts w:ascii="Arial" w:cs="Arial" w:eastAsia="Arial" w:hAnsi="Arial"/>
                <w:sz w:val="18"/>
                <w:szCs w:val="18"/>
                <w:color w:val="auto"/>
              </w:rPr>
              <w:t>Mark-to-market economic hedging activities</w:t>
            </w:r>
          </w:p>
        </w:tc>
        <w:tc>
          <w:tcPr>
            <w:tcW w:w="2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333333"/>
              </w:rPr>
              <w:t>(3)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333333"/>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r>
      <w:tr>
        <w:trPr>
          <w:trHeight w:val="27"/>
        </w:trPr>
        <w:tc>
          <w:tcPr>
            <w:tcW w:w="98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operating revenues</w:t>
            </w: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333333"/>
              </w:rPr>
              <w:t>329</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284</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333333"/>
              </w:rPr>
              <w:t>587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r>
      <w:tr>
        <w:trPr>
          <w:trHeight w:val="223"/>
        </w:trPr>
        <w:tc>
          <w:tcPr>
            <w:tcW w:w="470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2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r>
      <w:tr>
        <w:trPr>
          <w:trHeight w:val="27"/>
        </w:trPr>
        <w:tc>
          <w:tcPr>
            <w:tcW w:w="9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Cost of fuels</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333333"/>
              </w:rPr>
              <w:t>13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333333"/>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r>
      <w:tr>
        <w:trPr>
          <w:trHeight w:val="243"/>
        </w:trPr>
        <w:tc>
          <w:tcPr>
            <w:tcW w:w="4700" w:type="dxa"/>
            <w:vAlign w:val="bottom"/>
            <w:gridSpan w:val="2"/>
          </w:tcPr>
          <w:p>
            <w:pPr>
              <w:ind w:left="120"/>
              <w:spacing w:after="0"/>
              <w:rPr>
                <w:sz w:val="20"/>
                <w:szCs w:val="20"/>
                <w:color w:val="auto"/>
              </w:rPr>
            </w:pPr>
            <w:r>
              <w:rPr>
                <w:rFonts w:ascii="Arial" w:cs="Arial" w:eastAsia="Arial" w:hAnsi="Arial"/>
                <w:sz w:val="18"/>
                <w:szCs w:val="18"/>
                <w:color w:val="auto"/>
              </w:rPr>
              <w:t>Operations and maintenance</w:t>
            </w:r>
          </w:p>
        </w:tc>
        <w:tc>
          <w:tcPr>
            <w:tcW w:w="2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333333"/>
              </w:rPr>
              <w:t>54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333333"/>
              </w:rPr>
              <w:t>110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r>
      <w:tr>
        <w:trPr>
          <w:trHeight w:val="27"/>
        </w:trPr>
        <w:tc>
          <w:tcPr>
            <w:tcW w:w="9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 costs of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333333"/>
              </w:rPr>
              <w:t>20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333333"/>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r>
      <w:tr>
        <w:trPr>
          <w:trHeight w:val="243"/>
        </w:trPr>
        <w:tc>
          <w:tcPr>
            <w:tcW w:w="4700" w:type="dxa"/>
            <w:vAlign w:val="bottom"/>
            <w:gridSpan w:val="2"/>
          </w:tcPr>
          <w:p>
            <w:pPr>
              <w:ind w:left="120"/>
              <w:spacing w:after="0"/>
              <w:rPr>
                <w:sz w:val="20"/>
                <w:szCs w:val="20"/>
                <w:color w:val="auto"/>
              </w:rPr>
            </w:pPr>
            <w:r>
              <w:rPr>
                <w:rFonts w:ascii="Arial" w:cs="Arial" w:eastAsia="Arial" w:hAnsi="Arial"/>
                <w:sz w:val="18"/>
                <w:szCs w:val="18"/>
                <w:color w:val="auto"/>
              </w:rPr>
              <w:t>Depreciation, amortization and accretion</w:t>
            </w:r>
          </w:p>
        </w:tc>
        <w:tc>
          <w:tcPr>
            <w:tcW w:w="2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333333"/>
              </w:rPr>
              <w:t>99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333333"/>
              </w:rPr>
              <w:t>201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r>
      <w:tr>
        <w:trPr>
          <w:trHeight w:val="27"/>
        </w:trPr>
        <w:tc>
          <w:tcPr>
            <w:tcW w:w="9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Impairment losses</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333333"/>
                <w:w w:val="99"/>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333333"/>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r>
      <w:tr>
        <w:trPr>
          <w:trHeight w:val="243"/>
        </w:trPr>
        <w:tc>
          <w:tcPr>
            <w:tcW w:w="4700" w:type="dxa"/>
            <w:vAlign w:val="bottom"/>
            <w:gridSpan w:val="2"/>
          </w:tcPr>
          <w:p>
            <w:pPr>
              <w:ind w:left="12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333333"/>
              </w:rPr>
              <w:t>12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333333"/>
              </w:rPr>
              <w:t>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r>
      <w:tr>
        <w:trPr>
          <w:trHeight w:val="27"/>
        </w:trPr>
        <w:tc>
          <w:tcPr>
            <w:tcW w:w="9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Transaction and integration costs</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333333"/>
                <w:w w:val="99"/>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333333"/>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r>
      <w:tr>
        <w:trPr>
          <w:trHeight w:val="243"/>
        </w:trPr>
        <w:tc>
          <w:tcPr>
            <w:tcW w:w="4700" w:type="dxa"/>
            <w:vAlign w:val="bottom"/>
            <w:gridSpan w:val="2"/>
          </w:tcPr>
          <w:p>
            <w:pPr>
              <w:ind w:left="120"/>
              <w:spacing w:after="0"/>
              <w:rPr>
                <w:sz w:val="20"/>
                <w:szCs w:val="20"/>
                <w:color w:val="auto"/>
              </w:rPr>
            </w:pPr>
            <w:r>
              <w:rPr>
                <w:rFonts w:ascii="Arial" w:cs="Arial" w:eastAsia="Arial" w:hAnsi="Arial"/>
                <w:sz w:val="18"/>
                <w:szCs w:val="18"/>
                <w:color w:val="auto"/>
              </w:rPr>
              <w:t>Development costs</w:t>
            </w:r>
          </w:p>
        </w:tc>
        <w:tc>
          <w:tcPr>
            <w:tcW w:w="2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333333"/>
              </w:rPr>
              <w:t>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333333"/>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r>
      <w:tr>
        <w:trPr>
          <w:trHeight w:val="27"/>
        </w:trPr>
        <w:tc>
          <w:tcPr>
            <w:tcW w:w="98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operating costs and expenses</w:t>
            </w: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333333"/>
              </w:rPr>
              <w:t>199</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333333"/>
              </w:rPr>
              <w:t>405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r>
      <w:tr>
        <w:trPr>
          <w:trHeight w:val="236"/>
        </w:trPr>
        <w:tc>
          <w:tcPr>
            <w:tcW w:w="470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Income</w:t>
            </w: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333333"/>
              </w:rPr>
              <w:t>130</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87</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333333"/>
              </w:rPr>
              <w:t>182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54</w:t>
            </w:r>
          </w:p>
        </w:tc>
      </w:tr>
      <w:tr>
        <w:trPr>
          <w:trHeight w:val="27"/>
        </w:trPr>
        <w:tc>
          <w:tcPr>
            <w:tcW w:w="98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gridSpan w:val="2"/>
          </w:tcPr>
          <w:p>
            <w:pPr>
              <w:ind w:left="120"/>
              <w:spacing w:after="0"/>
              <w:rPr>
                <w:sz w:val="20"/>
                <w:szCs w:val="20"/>
                <w:color w:val="auto"/>
              </w:rPr>
            </w:pPr>
            <w:r>
              <w:rPr>
                <w:rFonts w:ascii="Arial" w:cs="Arial" w:eastAsia="Arial" w:hAnsi="Arial"/>
                <w:sz w:val="18"/>
                <w:szCs w:val="18"/>
                <w:color w:val="auto"/>
              </w:rPr>
              <w:t>Equity in earnings of unconsolidated affiliates</w:t>
            </w:r>
          </w:p>
        </w:tc>
        <w:tc>
          <w:tcPr>
            <w:tcW w:w="2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333333"/>
              </w:rPr>
              <w:t>16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333333"/>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r>
      <w:tr>
        <w:trPr>
          <w:trHeight w:val="27"/>
        </w:trPr>
        <w:tc>
          <w:tcPr>
            <w:tcW w:w="9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Gain on sale of unconsolidated affiliate</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333333"/>
              </w:rPr>
              <w:t>49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333333"/>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r>
      <w:tr>
        <w:trPr>
          <w:trHeight w:val="243"/>
        </w:trPr>
        <w:tc>
          <w:tcPr>
            <w:tcW w:w="4700" w:type="dxa"/>
            <w:vAlign w:val="bottom"/>
            <w:gridSpan w:val="2"/>
          </w:tcPr>
          <w:p>
            <w:pPr>
              <w:ind w:left="120"/>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333333"/>
                <w:w w:val="99"/>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333333"/>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r>
      <w:tr>
        <w:trPr>
          <w:trHeight w:val="27"/>
        </w:trPr>
        <w:tc>
          <w:tcPr>
            <w:tcW w:w="9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Loss on debt extinguishment</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333333"/>
                <w:w w:val="99"/>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333333"/>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r>
      <w:tr>
        <w:trPr>
          <w:trHeight w:val="243"/>
        </w:trPr>
        <w:tc>
          <w:tcPr>
            <w:tcW w:w="4700" w:type="dxa"/>
            <w:vAlign w:val="bottom"/>
            <w:gridSpan w:val="2"/>
          </w:tcPr>
          <w:p>
            <w:pPr>
              <w:ind w:left="1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333333"/>
              </w:rPr>
              <w:t>(93)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333333"/>
              </w:rPr>
              <w:t>(260)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r>
      <w:tr>
        <w:trPr>
          <w:trHeight w:val="27"/>
        </w:trPr>
        <w:tc>
          <w:tcPr>
            <w:tcW w:w="98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other expense, net</w:t>
            </w: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333333"/>
              </w:rPr>
              <w:t>(28)</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91</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333333"/>
              </w:rPr>
              <w:t>(209)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r>
      <w:tr>
        <w:trPr>
          <w:trHeight w:val="237"/>
        </w:trPr>
        <w:tc>
          <w:tcPr>
            <w:tcW w:w="470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333333"/>
              </w:rPr>
              <w:t>102</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(32)</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134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333333"/>
              </w:rPr>
              <w:t>(27)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59</w:t>
            </w:r>
          </w:p>
        </w:tc>
      </w:tr>
      <w:tr>
        <w:trPr>
          <w:trHeight w:val="27"/>
        </w:trPr>
        <w:tc>
          <w:tcPr>
            <w:tcW w:w="9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Income tax expense (benefit)</w:t>
            </w: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333333"/>
              </w:rPr>
              <w:t>26</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333333"/>
              </w:rPr>
              <w:t>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r>
      <w:tr>
        <w:trPr>
          <w:trHeight w:val="237"/>
        </w:trPr>
        <w:tc>
          <w:tcPr>
            <w:tcW w:w="470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333333"/>
              </w:rPr>
              <w:t>76</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(36)</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112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333333"/>
              </w:rPr>
              <w:t>(31)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52</w:t>
            </w:r>
          </w:p>
        </w:tc>
      </w:tr>
      <w:tr>
        <w:trPr>
          <w:trHeight w:val="27"/>
        </w:trPr>
        <w:tc>
          <w:tcPr>
            <w:tcW w:w="9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9"/>
        </w:trPr>
        <w:tc>
          <w:tcPr>
            <w:tcW w:w="4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2"/>
              </w:rPr>
              <w:t>Less: Income (loss) attributable to noncontrolling interests and</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57"/>
        </w:trPr>
        <w:tc>
          <w:tcPr>
            <w:tcW w:w="4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redeemable interests</w:t>
            </w: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333333"/>
              </w:rPr>
              <w:t>29</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333333"/>
              </w:rPr>
              <w:t>(49)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r>
      <w:tr>
        <w:trPr>
          <w:trHeight w:val="263"/>
        </w:trPr>
        <w:tc>
          <w:tcPr>
            <w:tcW w:w="4700" w:type="dxa"/>
            <w:vAlign w:val="bottom"/>
            <w:gridSpan w:val="2"/>
          </w:tcPr>
          <w:p>
            <w:pPr>
              <w:ind w:left="20"/>
              <w:spacing w:after="0"/>
              <w:rPr>
                <w:sz w:val="20"/>
                <w:szCs w:val="20"/>
                <w:color w:val="auto"/>
              </w:rPr>
            </w:pPr>
            <w:r>
              <w:rPr>
                <w:rFonts w:ascii="Arial" w:cs="Arial" w:eastAsia="Arial" w:hAnsi="Arial"/>
                <w:sz w:val="18"/>
                <w:szCs w:val="18"/>
                <w:b w:val="1"/>
                <w:bCs w:val="1"/>
                <w:color w:val="auto"/>
                <w:w w:val="98"/>
              </w:rPr>
              <w:t>Net Income (Loss) Attributable to Clearway Energy, Inc.</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47</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(24)</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71</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62</w:t>
            </w:r>
          </w:p>
        </w:tc>
      </w:tr>
      <w:tr>
        <w:trPr>
          <w:trHeight w:val="20"/>
        </w:trPr>
        <w:tc>
          <w:tcPr>
            <w:tcW w:w="9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568"/>
        </w:trPr>
        <w:tc>
          <w:tcPr>
            <w:tcW w:w="9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60" w:type="dxa"/>
            <w:vAlign w:val="bottom"/>
            <w:gridSpan w:val="11"/>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8"/>
          </w:tcPr>
          <w:p>
            <w:pPr>
              <w:jc w:val="right"/>
              <w:ind w:right="19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51"/>
        </w:trPr>
        <w:tc>
          <w:tcPr>
            <w:tcW w:w="980" w:type="dxa"/>
            <w:vAlign w:val="bottom"/>
          </w:tcPr>
          <w:p>
            <w:pPr>
              <w:spacing w:after="0"/>
              <w:rPr>
                <w:sz w:val="21"/>
                <w:szCs w:val="21"/>
                <w:color w:val="auto"/>
              </w:rPr>
            </w:pPr>
          </w:p>
        </w:tc>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Business metrics:</w:t>
            </w:r>
          </w:p>
        </w:tc>
        <w:tc>
          <w:tcPr>
            <w:tcW w:w="20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20" w:type="dxa"/>
            <w:vAlign w:val="bottom"/>
          </w:tcPr>
          <w:p>
            <w:pPr>
              <w:spacing w:after="0"/>
              <w:rPr>
                <w:sz w:val="21"/>
                <w:szCs w:val="21"/>
                <w:color w:val="auto"/>
              </w:rPr>
            </w:pPr>
          </w:p>
        </w:tc>
      </w:tr>
      <w:tr>
        <w:trPr>
          <w:trHeight w:val="269"/>
        </w:trPr>
        <w:tc>
          <w:tcPr>
            <w:tcW w:w="980" w:type="dxa"/>
            <w:vAlign w:val="bottom"/>
          </w:tcPr>
          <w:p>
            <w:pPr>
              <w:spacing w:after="0"/>
              <w:rPr>
                <w:sz w:val="23"/>
                <w:szCs w:val="23"/>
                <w:color w:val="auto"/>
              </w:rPr>
            </w:pPr>
          </w:p>
        </w:tc>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 xml:space="preserve">Renewables MWh generated/sold (in thousands) </w:t>
            </w:r>
            <w:r>
              <w:rPr>
                <w:rFonts w:ascii="Arial" w:cs="Arial" w:eastAsia="Arial" w:hAnsi="Arial"/>
                <w:sz w:val="23"/>
                <w:szCs w:val="23"/>
                <w:color w:val="auto"/>
                <w:w w:val="89"/>
                <w:vertAlign w:val="superscript"/>
              </w:rPr>
              <w:t>(a)</w:t>
            </w:r>
          </w:p>
        </w:tc>
        <w:tc>
          <w:tcPr>
            <w:tcW w:w="2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84"/>
              </w:rPr>
              <w:t>2,259</w:t>
            </w: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1,948</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3,934</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3,397</w:t>
            </w:r>
          </w:p>
        </w:tc>
        <w:tc>
          <w:tcPr>
            <w:tcW w:w="100" w:type="dxa"/>
            <w:vAlign w:val="bottom"/>
            <w:shd w:val="clear" w:color="auto" w:fill="CCEEFF"/>
          </w:tcPr>
          <w:p>
            <w:pPr>
              <w:spacing w:after="0"/>
              <w:rPr>
                <w:sz w:val="23"/>
                <w:szCs w:val="23"/>
                <w:color w:val="auto"/>
              </w:rPr>
            </w:pPr>
          </w:p>
        </w:tc>
        <w:tc>
          <w:tcPr>
            <w:tcW w:w="620" w:type="dxa"/>
            <w:vAlign w:val="bottom"/>
          </w:tcPr>
          <w:p>
            <w:pPr>
              <w:spacing w:after="0"/>
              <w:rPr>
                <w:sz w:val="23"/>
                <w:szCs w:val="23"/>
                <w:color w:val="auto"/>
              </w:rPr>
            </w:pPr>
          </w:p>
        </w:tc>
      </w:tr>
      <w:tr>
        <w:trPr>
          <w:trHeight w:val="243"/>
        </w:trPr>
        <w:tc>
          <w:tcPr>
            <w:tcW w:w="980" w:type="dxa"/>
            <w:vAlign w:val="bottom"/>
          </w:tcPr>
          <w:p>
            <w:pPr>
              <w:spacing w:after="0"/>
              <w:rPr>
                <w:sz w:val="21"/>
                <w:szCs w:val="21"/>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Thermal MWt sold (in thousands)</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111"/>
              <w:spacing w:after="0"/>
              <w:rPr>
                <w:sz w:val="20"/>
                <w:szCs w:val="20"/>
                <w:color w:val="auto"/>
              </w:rPr>
            </w:pPr>
            <w:r>
              <w:rPr>
                <w:rFonts w:ascii="Arial" w:cs="Arial" w:eastAsia="Arial" w:hAnsi="Arial"/>
                <w:sz w:val="18"/>
                <w:szCs w:val="18"/>
                <w:color w:val="auto"/>
              </w:rPr>
              <w:t>453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4"/>
          </w:tcPr>
          <w:p>
            <w:pPr>
              <w:jc w:val="right"/>
              <w:ind w:right="30"/>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7"/>
        </w:trPr>
        <w:tc>
          <w:tcPr>
            <w:tcW w:w="9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980" w:type="dxa"/>
            <w:vAlign w:val="bottom"/>
          </w:tcPr>
          <w:p>
            <w:pPr>
              <w:spacing w:after="0"/>
              <w:rPr>
                <w:sz w:val="21"/>
                <w:szCs w:val="21"/>
                <w:color w:val="auto"/>
              </w:rPr>
            </w:pPr>
          </w:p>
        </w:tc>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Thermal MWh sold (in thousands)</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Pr>
          <w:p>
            <w:pPr>
              <w:spacing w:after="0"/>
              <w:rPr>
                <w:sz w:val="21"/>
                <w:szCs w:val="21"/>
                <w:color w:val="auto"/>
              </w:rPr>
            </w:pPr>
          </w:p>
        </w:tc>
      </w:tr>
      <w:tr>
        <w:trPr>
          <w:trHeight w:val="270"/>
        </w:trPr>
        <w:tc>
          <w:tcPr>
            <w:tcW w:w="980" w:type="dxa"/>
            <w:vAlign w:val="bottom"/>
          </w:tcPr>
          <w:p>
            <w:pPr>
              <w:spacing w:after="0"/>
              <w:rPr>
                <w:sz w:val="23"/>
                <w:szCs w:val="23"/>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w w:val="91"/>
              </w:rPr>
              <w:t xml:space="preserve">Conventional MWh generated (in thousands) </w:t>
            </w:r>
            <w:r>
              <w:rPr>
                <w:rFonts w:ascii="Arial" w:cs="Arial" w:eastAsia="Arial" w:hAnsi="Arial"/>
                <w:sz w:val="23"/>
                <w:szCs w:val="23"/>
                <w:color w:val="auto"/>
                <w:w w:val="91"/>
                <w:vertAlign w:val="superscript"/>
              </w:rPr>
              <w:t>(a) (b)</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111"/>
              <w:spacing w:after="0"/>
              <w:rPr>
                <w:sz w:val="20"/>
                <w:szCs w:val="20"/>
                <w:color w:val="auto"/>
              </w:rPr>
            </w:pPr>
            <w:r>
              <w:rPr>
                <w:rFonts w:ascii="Arial" w:cs="Arial" w:eastAsia="Arial" w:hAnsi="Arial"/>
                <w:sz w:val="18"/>
                <w:szCs w:val="18"/>
                <w:color w:val="auto"/>
              </w:rPr>
              <w:t>214</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381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40" w:type="dxa"/>
            <w:vAlign w:val="bottom"/>
            <w:gridSpan w:val="3"/>
          </w:tcPr>
          <w:p>
            <w:pPr>
              <w:jc w:val="right"/>
              <w:ind w:right="30"/>
              <w:spacing w:after="0"/>
              <w:rPr>
                <w:sz w:val="20"/>
                <w:szCs w:val="20"/>
                <w:color w:val="auto"/>
              </w:rPr>
            </w:pPr>
            <w:r>
              <w:rPr>
                <w:rFonts w:ascii="Arial" w:cs="Arial" w:eastAsia="Arial" w:hAnsi="Arial"/>
                <w:sz w:val="18"/>
                <w:szCs w:val="18"/>
                <w:color w:val="auto"/>
                <w:w w:val="99"/>
              </w:rPr>
              <w:t>325</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43"/>
        </w:trPr>
        <w:tc>
          <w:tcPr>
            <w:tcW w:w="980" w:type="dxa"/>
            <w:vAlign w:val="bottom"/>
          </w:tcPr>
          <w:p>
            <w:pPr>
              <w:spacing w:after="0"/>
              <w:rPr>
                <w:sz w:val="21"/>
                <w:szCs w:val="21"/>
                <w:color w:val="auto"/>
              </w:rPr>
            </w:pPr>
          </w:p>
        </w:tc>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Conventional equivalent availability factor</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95.1 %</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92.1 %</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92.0 %</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2"/>
              </w:rPr>
              <w:t>87.5 %</w:t>
            </w:r>
          </w:p>
        </w:tc>
        <w:tc>
          <w:tcPr>
            <w:tcW w:w="620" w:type="dxa"/>
            <w:vAlign w:val="bottom"/>
          </w:tcPr>
          <w:p>
            <w:pPr>
              <w:spacing w:after="0"/>
              <w:rPr>
                <w:sz w:val="21"/>
                <w:szCs w:val="21"/>
                <w:color w:val="auto"/>
              </w:rPr>
            </w:pPr>
          </w:p>
        </w:tc>
      </w:tr>
      <w:tr>
        <w:trPr>
          <w:trHeight w:val="27"/>
        </w:trPr>
        <w:tc>
          <w:tcPr>
            <w:tcW w:w="980" w:type="dxa"/>
            <w:vAlign w:val="bottom"/>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22459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60" w:hanging="152"/>
        <w:spacing w:after="0"/>
        <w:tabs>
          <w:tab w:leader="none" w:pos="160" w:val="left"/>
        </w:tabs>
        <w:numPr>
          <w:ilvl w:val="0"/>
          <w:numId w:val="28"/>
        </w:numPr>
        <w:rPr>
          <w:rFonts w:ascii="Arial" w:cs="Arial" w:eastAsia="Arial" w:hAnsi="Arial"/>
          <w:sz w:val="11"/>
          <w:szCs w:val="11"/>
          <w:color w:val="auto"/>
        </w:rPr>
      </w:pPr>
      <w:r>
        <w:rPr>
          <w:rFonts w:ascii="Arial" w:cs="Arial" w:eastAsia="Arial" w:hAnsi="Arial"/>
          <w:sz w:val="14"/>
          <w:szCs w:val="14"/>
          <w:color w:val="auto"/>
        </w:rPr>
        <w:t>Volumes do not include the MWh generated/sold by the Company's equity method investments.</w:t>
      </w:r>
    </w:p>
    <w:p>
      <w:pPr>
        <w:spacing w:after="0" w:line="13" w:lineRule="exact"/>
        <w:rPr>
          <w:rFonts w:ascii="Arial" w:cs="Arial" w:eastAsia="Arial" w:hAnsi="Arial"/>
          <w:sz w:val="11"/>
          <w:szCs w:val="11"/>
          <w:color w:val="auto"/>
        </w:rPr>
      </w:pPr>
    </w:p>
    <w:p>
      <w:pPr>
        <w:ind w:left="160" w:hanging="152"/>
        <w:spacing w:after="0"/>
        <w:tabs>
          <w:tab w:leader="none" w:pos="160" w:val="left"/>
        </w:tabs>
        <w:numPr>
          <w:ilvl w:val="0"/>
          <w:numId w:val="28"/>
        </w:numPr>
        <w:rPr>
          <w:rFonts w:ascii="Arial" w:cs="Arial" w:eastAsia="Arial" w:hAnsi="Arial"/>
          <w:sz w:val="11"/>
          <w:szCs w:val="11"/>
          <w:color w:val="auto"/>
        </w:rPr>
      </w:pPr>
      <w:r>
        <w:rPr>
          <w:rFonts w:ascii="Arial" w:cs="Arial" w:eastAsia="Arial" w:hAnsi="Arial"/>
          <w:sz w:val="14"/>
          <w:szCs w:val="14"/>
          <w:color w:val="auto"/>
        </w:rPr>
        <w:t>Volumes generated are not sold by the Company as the Conventional facilities sell capacity rather than energy.</w:t>
      </w:r>
    </w:p>
    <w:p>
      <w:pPr>
        <w:spacing w:after="0" w:line="200" w:lineRule="exact"/>
        <w:rPr>
          <w:sz w:val="20"/>
          <w:szCs w:val="20"/>
          <w:color w:val="auto"/>
        </w:rPr>
      </w:pPr>
    </w:p>
    <w:p>
      <w:pPr>
        <w:spacing w:after="0" w:line="34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231F20"/>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891" w:right="699" w:bottom="1440" w:gutter="0" w:footer="0" w:header="0"/>
        </w:sectPr>
      </w:pPr>
    </w:p>
    <w:bookmarkStart w:id="47" w:name="page48"/>
    <w:bookmarkEnd w:id="47"/>
    <w:p>
      <w:pPr>
        <w:ind w:right="2980"/>
        <w:spacing w:after="0" w:line="432" w:lineRule="auto"/>
        <w:rPr>
          <w:sz w:val="20"/>
          <w:szCs w:val="20"/>
          <w:color w:val="auto"/>
        </w:rPr>
      </w:pPr>
      <w:r>
        <w:rPr>
          <w:rFonts w:ascii="Arial" w:cs="Arial" w:eastAsia="Arial" w:hAnsi="Arial"/>
          <w:sz w:val="18"/>
          <w:szCs w:val="18"/>
          <w:b w:val="1"/>
          <w:bCs w:val="1"/>
          <w:color w:val="auto"/>
        </w:rPr>
        <w:t xml:space="preserve">Management’s Discussion of the Results of Operations for the Three Months Ended June 30, 2020 and 2019 </w:t>
      </w:r>
      <w:r>
        <w:rPr>
          <w:rFonts w:ascii="Arial" w:cs="Arial" w:eastAsia="Arial" w:hAnsi="Arial"/>
          <w:sz w:val="18"/>
          <w:szCs w:val="18"/>
          <w:b w:val="1"/>
          <w:bCs w:val="1"/>
          <w:i w:val="1"/>
          <w:iCs w:val="1"/>
          <w:color w:val="auto"/>
        </w:rPr>
        <w:t>Gross Margin</w:t>
      </w:r>
    </w:p>
    <w:p>
      <w:pPr>
        <w:spacing w:after="0" w:line="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Gross Margin</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Company's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2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below tables present the composition of gross margin, as well as the reconciliation to economic gross margin, for the three months ended June 30, 2020 and 2019:</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Conventional</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40" w:type="dxa"/>
            <w:vAlign w:val="bottom"/>
          </w:tcPr>
          <w:p>
            <w:pPr>
              <w:ind w:left="60"/>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Generation</w:t>
            </w:r>
          </w:p>
        </w:tc>
        <w:tc>
          <w:tcPr>
            <w:tcW w:w="16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Arial" w:cs="Arial" w:eastAsia="Arial" w:hAnsi="Arial"/>
                <w:sz w:val="16"/>
                <w:szCs w:val="16"/>
                <w:b w:val="1"/>
                <w:bCs w:val="1"/>
                <w:color w:val="auto"/>
              </w:rPr>
              <w:t>Renewables</w:t>
            </w:r>
          </w:p>
        </w:tc>
        <w:tc>
          <w:tcPr>
            <w:tcW w:w="22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Arial" w:cs="Arial" w:eastAsia="Arial" w:hAnsi="Arial"/>
                <w:sz w:val="16"/>
                <w:szCs w:val="16"/>
                <w:b w:val="1"/>
                <w:bCs w:val="1"/>
                <w:color w:val="auto"/>
              </w:rPr>
              <w:t>Thermal</w:t>
            </w:r>
          </w:p>
        </w:tc>
        <w:tc>
          <w:tcPr>
            <w:tcW w:w="300" w:type="dxa"/>
            <w:vAlign w:val="bottom"/>
          </w:tcPr>
          <w:p>
            <w:pPr>
              <w:spacing w:after="0"/>
              <w:rPr>
                <w:sz w:val="18"/>
                <w:szCs w:val="18"/>
                <w:color w:val="auto"/>
              </w:rPr>
            </w:pPr>
          </w:p>
        </w:tc>
        <w:tc>
          <w:tcPr>
            <w:tcW w:w="1000" w:type="dxa"/>
            <w:vAlign w:val="bottom"/>
          </w:tcPr>
          <w:p>
            <w:pPr>
              <w:jc w:val="right"/>
              <w:ind w:right="3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57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Three months ended June 30, 2020</w:t>
            </w: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7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Energy and capacity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43"/>
        </w:trPr>
        <w:tc>
          <w:tcPr>
            <w:tcW w:w="5740" w:type="dxa"/>
            <w:vAlign w:val="bottom"/>
          </w:tcPr>
          <w:p>
            <w:pPr>
              <w:ind w:left="120"/>
              <w:spacing w:after="0"/>
              <w:rPr>
                <w:sz w:val="20"/>
                <w:szCs w:val="20"/>
                <w:color w:val="auto"/>
              </w:rPr>
            </w:pPr>
            <w:r>
              <w:rPr>
                <w:rFonts w:ascii="Arial" w:cs="Arial" w:eastAsia="Arial" w:hAnsi="Arial"/>
                <w:sz w:val="18"/>
                <w:szCs w:val="18"/>
                <w:color w:val="auto"/>
              </w:rPr>
              <w:t>Other revenues</w:t>
            </w:r>
          </w:p>
        </w:tc>
        <w:tc>
          <w:tcPr>
            <w:tcW w:w="16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Cost of fuels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740" w:type="dxa"/>
            <w:vAlign w:val="bottom"/>
          </w:tcPr>
          <w:p>
            <w:pPr>
              <w:ind w:left="120"/>
              <w:spacing w:after="0"/>
              <w:rPr>
                <w:sz w:val="20"/>
                <w:szCs w:val="20"/>
                <w:color w:val="auto"/>
              </w:rPr>
            </w:pPr>
            <w:r>
              <w:rPr>
                <w:rFonts w:ascii="Arial" w:cs="Arial" w:eastAsia="Arial" w:hAnsi="Arial"/>
                <w:sz w:val="18"/>
                <w:szCs w:val="18"/>
                <w:color w:val="auto"/>
              </w:rPr>
              <w:t>Contract amortization</w:t>
            </w:r>
          </w:p>
        </w:tc>
        <w:tc>
          <w:tcPr>
            <w:tcW w:w="1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Mark-to-market economic hedging activities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574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Contract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5740" w:type="dxa"/>
            <w:vAlign w:val="bottom"/>
          </w:tcPr>
          <w:p>
            <w:pPr>
              <w:ind w:left="120"/>
              <w:spacing w:after="0"/>
              <w:rPr>
                <w:sz w:val="20"/>
                <w:szCs w:val="20"/>
                <w:color w:val="auto"/>
              </w:rPr>
            </w:pPr>
            <w:r>
              <w:rPr>
                <w:rFonts w:ascii="Arial" w:cs="Arial" w:eastAsia="Arial" w:hAnsi="Arial"/>
                <w:sz w:val="18"/>
                <w:szCs w:val="18"/>
                <w:color w:val="auto"/>
              </w:rPr>
              <w:t>Mark-to-market economic hedging activities</w:t>
            </w:r>
          </w:p>
        </w:tc>
        <w:tc>
          <w:tcPr>
            <w:tcW w:w="16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Economic gross margin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Three months ended June 30, 2019</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5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Energy and capacity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43"/>
        </w:trPr>
        <w:tc>
          <w:tcPr>
            <w:tcW w:w="5740" w:type="dxa"/>
            <w:vAlign w:val="bottom"/>
          </w:tcPr>
          <w:p>
            <w:pPr>
              <w:ind w:left="120"/>
              <w:spacing w:after="0"/>
              <w:rPr>
                <w:sz w:val="20"/>
                <w:szCs w:val="20"/>
                <w:color w:val="auto"/>
              </w:rPr>
            </w:pPr>
            <w:r>
              <w:rPr>
                <w:rFonts w:ascii="Arial" w:cs="Arial" w:eastAsia="Arial" w:hAnsi="Arial"/>
                <w:sz w:val="18"/>
                <w:szCs w:val="18"/>
                <w:color w:val="auto"/>
              </w:rPr>
              <w:t>Other revenues</w:t>
            </w:r>
          </w:p>
        </w:tc>
        <w:tc>
          <w:tcPr>
            <w:tcW w:w="16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Cost of fuels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5740" w:type="dxa"/>
            <w:vAlign w:val="bottom"/>
          </w:tcPr>
          <w:p>
            <w:pPr>
              <w:ind w:left="120"/>
              <w:spacing w:after="0"/>
              <w:rPr>
                <w:sz w:val="20"/>
                <w:szCs w:val="20"/>
                <w:color w:val="auto"/>
              </w:rPr>
            </w:pPr>
            <w:r>
              <w:rPr>
                <w:rFonts w:ascii="Arial" w:cs="Arial" w:eastAsia="Arial" w:hAnsi="Arial"/>
                <w:sz w:val="18"/>
                <w:szCs w:val="18"/>
                <w:color w:val="auto"/>
              </w:rPr>
              <w:t>Contract amortization</w:t>
            </w:r>
          </w:p>
        </w:tc>
        <w:tc>
          <w:tcPr>
            <w:tcW w:w="1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37"/>
        </w:trPr>
        <w:tc>
          <w:tcPr>
            <w:tcW w:w="5740" w:type="dxa"/>
            <w:vAlign w:val="bottom"/>
          </w:tcPr>
          <w:p>
            <w:pPr>
              <w:ind w:left="120"/>
              <w:spacing w:after="0"/>
              <w:rPr>
                <w:sz w:val="20"/>
                <w:szCs w:val="20"/>
                <w:color w:val="auto"/>
              </w:rPr>
            </w:pPr>
            <w:r>
              <w:rPr>
                <w:rFonts w:ascii="Arial" w:cs="Arial" w:eastAsia="Arial" w:hAnsi="Arial"/>
                <w:sz w:val="18"/>
                <w:szCs w:val="18"/>
                <w:color w:val="auto"/>
              </w:rPr>
              <w:t>Contract amortization</w:t>
            </w: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Economic gross margin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Gross margin increased by $47 million during the three months ended June 30, 2020, compared to the same period in 2019, due to a combination of the drivers summarized in the table below:</w:t>
      </w:r>
    </w:p>
    <w:p>
      <w:pPr>
        <w:sectPr>
          <w:pgSz w:w="11900" w:h="16838" w:orient="portrait"/>
          <w:cols w:equalWidth="0" w:num="1">
            <w:col w:w="11240"/>
          </w:cols>
          <w:pgMar w:left="320" w:top="891" w:right="339" w:bottom="1440" w:gutter="0" w:footer="0" w:header="0"/>
        </w:sectPr>
      </w:pPr>
    </w:p>
    <w:p>
      <w:pPr>
        <w:spacing w:after="0" w:line="58" w:lineRule="exact"/>
        <w:rPr>
          <w:sz w:val="20"/>
          <w:szCs w:val="20"/>
          <w:color w:val="auto"/>
        </w:rPr>
      </w:pPr>
    </w:p>
    <w:p>
      <w:pPr>
        <w:jc w:val="center"/>
        <w:ind w:left="580"/>
        <w:spacing w:after="0"/>
        <w:rPr>
          <w:sz w:val="20"/>
          <w:szCs w:val="20"/>
          <w:color w:val="auto"/>
        </w:rPr>
      </w:pPr>
      <w:r>
        <w:rPr>
          <w:rFonts w:ascii="Arial" w:cs="Arial" w:eastAsia="Arial" w:hAnsi="Arial"/>
          <w:sz w:val="15"/>
          <w:szCs w:val="15"/>
          <w:b w:val="1"/>
          <w:bCs w:val="1"/>
          <w:color w:val="auto"/>
        </w:rPr>
        <w:t>Segment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Renewables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Conventional</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Thermal</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Increase primarily due to a $9 million increase due to the prior year outage at CVSR in June 2019, an increase of $7 million related to the Oahu and Kawailoa facilities achieving COD in late 2019, a $4 million increase due to the completion of the repowering of Elbow Creek and Wildorado and an increase of $3 million from the consolidation of the Chestnut and CS4 Funds in May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-1149985</wp:posOffset>
            </wp:positionH>
            <wp:positionV relativeFrom="paragraph">
              <wp:posOffset>-584835</wp:posOffset>
            </wp:positionV>
            <wp:extent cx="7132320" cy="5829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582930"/>
                    </a:xfrm>
                    <a:prstGeom prst="rect">
                      <a:avLst/>
                    </a:prstGeom>
                    <a:noFill/>
                  </pic:spPr>
                </pic:pic>
              </a:graphicData>
            </a:graphic>
          </wp:anchor>
        </w:drawing>
      </w:r>
    </w:p>
    <w:p>
      <w:pPr>
        <w:ind w:right="1660"/>
        <w:spacing w:after="0" w:line="374" w:lineRule="auto"/>
        <w:rPr>
          <w:sz w:val="20"/>
          <w:szCs w:val="20"/>
          <w:color w:val="auto"/>
        </w:rPr>
      </w:pPr>
      <w:r>
        <w:rPr>
          <w:rFonts w:ascii="Arial" w:cs="Arial" w:eastAsia="Arial" w:hAnsi="Arial"/>
          <w:sz w:val="17"/>
          <w:szCs w:val="17"/>
          <w:color w:val="auto"/>
        </w:rPr>
        <w:t>Increase is due primarily to the acquisition of Carlsbad Energy in December 2019 Decrease primarily due to the sale of Dover on March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-1149985</wp:posOffset>
            </wp:positionH>
            <wp:positionV relativeFrom="paragraph">
              <wp:posOffset>-222885</wp:posOffset>
            </wp:positionV>
            <wp:extent cx="71323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27</w:t>
      </w:r>
    </w:p>
    <w:p>
      <w:pPr>
        <w:spacing w:after="0" w:line="6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22</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31750</wp:posOffset>
            </wp:positionV>
            <wp:extent cx="11144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57"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31750</wp:posOffset>
            </wp:positionV>
            <wp:extent cx="11144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4425" cy="88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57785</wp:posOffset>
            </wp:positionV>
            <wp:extent cx="11144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1240" w:space="580"/>
            <w:col w:w="7540" w:space="140"/>
            <w:col w:w="1740"/>
          </w:cols>
          <w:pgMar w:left="320" w:top="891" w:right="339" w:bottom="1440" w:gutter="0" w:footer="0" w:header="0"/>
          <w:type w:val="continuous"/>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231F20"/>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Operations and Maintenance Expense</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Operations and maintenance expense increased by $10 million during the three months ended June 30, 2020, compared to the same period in 2019, due to a $7 million increase in the Conventional segment related to the acquisition of the Carlsbad Energy Center in December 2019 and a $3 million increase in the Renewables segment due to increased operations and maintenance expense related to the projects achieving COD in late 2019 and early 2020, including the Oahu and Kawailoa facilities and Elbow Creek and Wildorado repowering.</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Amortization and Accretion Expense</w:t>
      </w:r>
    </w:p>
    <w:p>
      <w:pPr>
        <w:spacing w:after="0" w:line="17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Depreciation, amortization and accretion expense increased by $9 million during the three months ended June 30, 2020, compared to the same period in 2019, primarily due to an $8 million increase in the Conventional segment related to the acquisition of the Carlsbad Energy Center in December 2019.</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Losses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Impairment losses of $19 million during the three months ended June 30, 2019, relate to a facility within the Company's Thermal segment, as further described in Note 15, </w:t>
      </w:r>
      <w:r>
        <w:rPr>
          <w:rFonts w:ascii="Arial" w:cs="Arial" w:eastAsia="Arial" w:hAnsi="Arial"/>
          <w:sz w:val="18"/>
          <w:szCs w:val="18"/>
          <w:i w:val="1"/>
          <w:iCs w:val="1"/>
          <w:color w:val="auto"/>
        </w:rPr>
        <w:t>Asset Impairments</w:t>
      </w:r>
      <w:r>
        <w:rPr>
          <w:rFonts w:ascii="Arial" w:cs="Arial" w:eastAsia="Arial" w:hAnsi="Arial"/>
          <w:sz w:val="18"/>
          <w:szCs w:val="18"/>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General and administrative expense increased by $5 million during the three months ended June 30, 2020, compared to the same period in 2019, primarily due to an increase in MSA fees charged by CEG, personnel costs and consulting fees.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Equity in earnings of unconsolidated affiliates increased by $5 million during the three months ended June 30, 2020, compared to the same period in 2019, primarily driven by changes in the HLBV values for the Utah and DGPV investments.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Unconsolidated Affiliate</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May 14, 2020, the Company sold its interests in RPV Holdco 1 LLC, or RPV Holdco, to a third party which resulted in a gain on sale of investment of approximately $49 million. For further discussion on this transaction, see Note 3 - Acquisition and Dispositions</w:t>
      </w:r>
      <w:r>
        <w:rPr>
          <w:rFonts w:ascii="Arial" w:cs="Arial" w:eastAsia="Arial" w:hAnsi="Arial"/>
          <w:sz w:val="18"/>
          <w:szCs w:val="18"/>
          <w:i w:val="1"/>
          <w:iCs w:val="1"/>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Interest expense decreased by $37 million during the three months ended June 30, 2020, compared to the same period in 2019, due to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250"/>
              <w:spacing w:after="0"/>
              <w:rPr>
                <w:sz w:val="20"/>
                <w:szCs w:val="20"/>
                <w:color w:val="auto"/>
              </w:rPr>
            </w:pPr>
            <w:r>
              <w:rPr>
                <w:rFonts w:ascii="Arial" w:cs="Arial" w:eastAsia="Arial" w:hAnsi="Arial"/>
                <w:sz w:val="18"/>
                <w:szCs w:val="18"/>
                <w:b w:val="1"/>
                <w:bCs w:val="1"/>
                <w:color w:val="auto"/>
              </w:rPr>
              <w:t>(In millions)</w:t>
            </w:r>
          </w:p>
        </w:tc>
      </w:tr>
      <w:tr>
        <w:trPr>
          <w:trHeight w:val="27"/>
        </w:trPr>
        <w:tc>
          <w:tcPr>
            <w:tcW w:w="9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 of interest rate swaps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29"/>
        </w:trPr>
        <w:tc>
          <w:tcPr>
            <w:tcW w:w="9620" w:type="dxa"/>
            <w:vAlign w:val="bottom"/>
          </w:tcPr>
          <w:p>
            <w:pPr>
              <w:ind w:left="20"/>
              <w:spacing w:after="0"/>
              <w:rPr>
                <w:sz w:val="20"/>
                <w:szCs w:val="20"/>
                <w:color w:val="auto"/>
              </w:rPr>
            </w:pPr>
            <w:r>
              <w:rPr>
                <w:rFonts w:ascii="Arial" w:cs="Arial" w:eastAsia="Arial" w:hAnsi="Arial"/>
                <w:sz w:val="18"/>
                <w:szCs w:val="18"/>
                <w:color w:val="auto"/>
                <w:w w:val="99"/>
              </w:rPr>
              <w:t>Reclassification of losses previously deferred in AOCI to the statement of operations in connection with project-level debt</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9620" w:type="dxa"/>
            <w:vAlign w:val="bottom"/>
          </w:tcPr>
          <w:p>
            <w:pPr>
              <w:ind w:left="20"/>
              <w:spacing w:after="0"/>
              <w:rPr>
                <w:sz w:val="20"/>
                <w:szCs w:val="20"/>
                <w:color w:val="auto"/>
              </w:rPr>
            </w:pPr>
            <w:r>
              <w:rPr>
                <w:rFonts w:ascii="Arial" w:cs="Arial" w:eastAsia="Arial" w:hAnsi="Arial"/>
                <w:sz w:val="18"/>
                <w:szCs w:val="18"/>
                <w:color w:val="auto"/>
              </w:rPr>
              <w:t>refinancing activities</w:t>
            </w:r>
          </w:p>
        </w:tc>
        <w:tc>
          <w:tcPr>
            <w:tcW w:w="22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9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Additional interest expense for Carlsbad Energy Center which was acquired on December 5, 2019</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w:t>
            </w:r>
          </w:p>
        </w:tc>
      </w:tr>
      <w:tr>
        <w:trPr>
          <w:trHeight w:val="237"/>
        </w:trPr>
        <w:tc>
          <w:tcPr>
            <w:tcW w:w="96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9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
        </w:trPr>
        <w:tc>
          <w:tcPr>
            <w:tcW w:w="9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three months ended June 30, 2020, the Company recorded an income tax expense of $26 million on a pretax income of $102 million. For the same period in 2019, the Company recorded an income tax expense of $4 million on a pretax loss of $32 million.</w:t>
      </w:r>
    </w:p>
    <w:p>
      <w:pPr>
        <w:spacing w:after="0" w:line="1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three months ended June 30, 2020 and June 30, 2019, the overall effective tax rate was different than the statutory rate of 21% primarily due to taxable earnings and losses allocated to partners' interests in Clearway Energy LLC, which includes the effects of applying HLBV method of accounting for book purposes for certain partnerships.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Income Attributable to Noncontrolling Interests</w:t>
      </w:r>
    </w:p>
    <w:p>
      <w:pPr>
        <w:spacing w:after="0" w:line="17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For the three months ended June 30, 2020, the Company had income of $56 million attributable to CEG's economic interest in Clearway Energy LLC, offset in part by losses of $15 million related to CEG's interests in the Repowering partnership through the acquisition date of May 11, 2020, as well as losses of $12 million attributable to noncontrolling interests with respect to its tax equity financing arrangements and the application of the HLBV method.</w:t>
      </w:r>
    </w:p>
    <w:p>
      <w:pPr>
        <w:spacing w:after="0" w:line="9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 the three months ended June 30, 2019, the Company had a loss of $14 million attributable to CEG's economic interest in Clearway Energy LLC, as well as a loss of $4 million attributable to CEG's interests in the Kawailoa, Oahu and Repowering partnerships, partially offset by income of $6 million attributable to noncontrolling interests with respect to its tax equity financing arrangements and the application of the HLBV method.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0" w:name="page51"/>
    <w:bookmarkEnd w:id="50"/>
    <w:p>
      <w:pPr>
        <w:ind w:right="3200"/>
        <w:spacing w:after="0" w:line="432" w:lineRule="auto"/>
        <w:rPr>
          <w:sz w:val="20"/>
          <w:szCs w:val="20"/>
          <w:color w:val="auto"/>
        </w:rPr>
      </w:pPr>
      <w:r>
        <w:rPr>
          <w:rFonts w:ascii="Arial" w:cs="Arial" w:eastAsia="Arial" w:hAnsi="Arial"/>
          <w:sz w:val="18"/>
          <w:szCs w:val="18"/>
          <w:b w:val="1"/>
          <w:bCs w:val="1"/>
          <w:color w:val="auto"/>
        </w:rPr>
        <w:t xml:space="preserve">Management’s Discussion of the Results of Operations for the Six Months Ended June 30, 2020 and 2019 </w:t>
      </w:r>
      <w:r>
        <w:rPr>
          <w:rFonts w:ascii="Arial" w:cs="Arial" w:eastAsia="Arial" w:hAnsi="Arial"/>
          <w:sz w:val="18"/>
          <w:szCs w:val="18"/>
          <w:b w:val="1"/>
          <w:bCs w:val="1"/>
          <w:i w:val="1"/>
          <w:iCs w:val="1"/>
          <w:color w:val="auto"/>
        </w:rPr>
        <w:t>Gross Margin</w:t>
      </w:r>
    </w:p>
    <w:p>
      <w:pPr>
        <w:spacing w:after="0" w:line="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calculates gross margin in order to evaluate operating performance as operating revenue less cost of sales, which includes cost of fuel, contract and emission credit amortization and mark-to-market for economic hedging activities.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Gross Margin</w:t>
      </w:r>
    </w:p>
    <w:p>
      <w:pPr>
        <w:spacing w:after="0" w:line="14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Company's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24" w:lineRule="exact"/>
        <w:rPr>
          <w:sz w:val="20"/>
          <w:szCs w:val="20"/>
          <w:color w:val="auto"/>
        </w:rPr>
      </w:pPr>
    </w:p>
    <w:p>
      <w:pPr>
        <w:ind w:right="160" w:firstLine="405"/>
        <w:spacing w:after="0" w:line="276" w:lineRule="auto"/>
        <w:rPr>
          <w:sz w:val="20"/>
          <w:szCs w:val="20"/>
          <w:color w:val="auto"/>
        </w:rPr>
      </w:pPr>
      <w:r>
        <w:rPr>
          <w:rFonts w:ascii="Arial" w:cs="Arial" w:eastAsia="Arial" w:hAnsi="Arial"/>
          <w:sz w:val="18"/>
          <w:szCs w:val="18"/>
          <w:color w:val="auto"/>
        </w:rPr>
        <w:t>The below tables present the composition of gross margin, as well as the reconciliation to economic gross margin, for the six months ended June 30, 2020 and 2019:</w:t>
      </w:r>
    </w:p>
    <w:tbl>
      <w:tblPr>
        <w:tblLayout w:type="fixed"/>
        <w:tblInd w:w="0" w:type="dxa"/>
        <w:tblCellMar>
          <w:top w:w="0" w:type="dxa"/>
          <w:left w:w="0" w:type="dxa"/>
          <w:bottom w:w="0" w:type="dxa"/>
          <w:right w:w="0" w:type="dxa"/>
        </w:tblCellMar>
      </w:tblPr>
      <w:tr>
        <w:trPr>
          <w:trHeight w:val="150"/>
        </w:trPr>
        <w:tc>
          <w:tcPr>
            <w:tcW w:w="5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380" w:type="dxa"/>
            <w:vAlign w:val="bottom"/>
            <w:gridSpan w:val="2"/>
          </w:tcPr>
          <w:p>
            <w:pPr>
              <w:jc w:val="center"/>
              <w:ind w:right="240"/>
              <w:spacing w:after="0" w:line="150" w:lineRule="exact"/>
              <w:rPr>
                <w:sz w:val="20"/>
                <w:szCs w:val="20"/>
                <w:color w:val="auto"/>
              </w:rPr>
            </w:pPr>
            <w:r>
              <w:rPr>
                <w:rFonts w:ascii="Arial" w:cs="Arial" w:eastAsia="Arial" w:hAnsi="Arial"/>
                <w:sz w:val="14"/>
                <w:szCs w:val="14"/>
                <w:b w:val="1"/>
                <w:bCs w:val="1"/>
                <w:color w:val="auto"/>
                <w:w w:val="92"/>
              </w:rPr>
              <w:t>Conventional</w:t>
            </w:r>
          </w:p>
        </w:tc>
        <w:tc>
          <w:tcPr>
            <w:tcW w:w="220" w:type="dxa"/>
            <w:vAlign w:val="bottom"/>
          </w:tcPr>
          <w:p>
            <w:pPr>
              <w:spacing w:after="0"/>
              <w:rPr>
                <w:sz w:val="13"/>
                <w:szCs w:val="13"/>
                <w:color w:val="auto"/>
              </w:rPr>
            </w:pPr>
          </w:p>
        </w:tc>
        <w:tc>
          <w:tcPr>
            <w:tcW w:w="12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Renewables</w:t>
            </w:r>
          </w:p>
        </w:tc>
        <w:tc>
          <w:tcPr>
            <w:tcW w:w="260" w:type="dxa"/>
            <w:vAlign w:val="bottom"/>
          </w:tcPr>
          <w:p>
            <w:pPr>
              <w:spacing w:after="0"/>
              <w:rPr>
                <w:sz w:val="13"/>
                <w:szCs w:val="13"/>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Thermal</w:t>
            </w:r>
          </w:p>
        </w:tc>
        <w:tc>
          <w:tcPr>
            <w:tcW w:w="320" w:type="dxa"/>
            <w:vAlign w:val="bottom"/>
          </w:tcPr>
          <w:p>
            <w:pPr>
              <w:spacing w:after="0"/>
              <w:rPr>
                <w:sz w:val="13"/>
                <w:szCs w:val="13"/>
                <w:color w:val="auto"/>
              </w:rPr>
            </w:pPr>
          </w:p>
        </w:tc>
        <w:tc>
          <w:tcPr>
            <w:tcW w:w="10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3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Generation</w:t>
            </w:r>
          </w:p>
        </w:tc>
        <w:tc>
          <w:tcPr>
            <w:tcW w:w="2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Six months ended June 30, 2020</w:t>
            </w: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Energy and capacity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120"/>
              <w:spacing w:after="0"/>
              <w:rPr>
                <w:sz w:val="20"/>
                <w:szCs w:val="20"/>
                <w:color w:val="auto"/>
              </w:rPr>
            </w:pPr>
            <w:r>
              <w:rPr>
                <w:rFonts w:ascii="Arial" w:cs="Arial" w:eastAsia="Arial" w:hAnsi="Arial"/>
                <w:sz w:val="18"/>
                <w:szCs w:val="18"/>
                <w:color w:val="auto"/>
              </w:rPr>
              <w:t>Other revenue</w:t>
            </w:r>
          </w:p>
        </w:tc>
        <w:tc>
          <w:tcPr>
            <w:tcW w:w="16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Cost of fuels</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120"/>
              <w:spacing w:after="0"/>
              <w:rPr>
                <w:sz w:val="20"/>
                <w:szCs w:val="20"/>
                <w:color w:val="auto"/>
              </w:rPr>
            </w:pPr>
            <w:r>
              <w:rPr>
                <w:rFonts w:ascii="Arial" w:cs="Arial" w:eastAsia="Arial" w:hAnsi="Arial"/>
                <w:sz w:val="18"/>
                <w:szCs w:val="18"/>
                <w:color w:val="auto"/>
              </w:rPr>
              <w:t>Contract amortization</w:t>
            </w:r>
          </w:p>
        </w:tc>
        <w:tc>
          <w:tcPr>
            <w:tcW w:w="16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Mark-to-market for economic hedges</w:t>
            </w: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320" w:type="dxa"/>
            <w:vAlign w:val="bottom"/>
          </w:tcPr>
          <w:p>
            <w:pPr>
              <w:ind w:left="220"/>
              <w:spacing w:after="0"/>
              <w:rPr>
                <w:sz w:val="20"/>
                <w:szCs w:val="20"/>
                <w:color w:val="auto"/>
              </w:rPr>
            </w:pPr>
            <w:r>
              <w:rPr>
                <w:rFonts w:ascii="Arial" w:cs="Arial" w:eastAsia="Arial" w:hAnsi="Arial"/>
                <w:sz w:val="18"/>
                <w:szCs w:val="18"/>
                <w:b w:val="1"/>
                <w:bCs w:val="1"/>
                <w:color w:val="auto"/>
              </w:rPr>
              <w:t>Gross margin</w:t>
            </w: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557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Contract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120"/>
              <w:spacing w:after="0"/>
              <w:rPr>
                <w:sz w:val="20"/>
                <w:szCs w:val="20"/>
                <w:color w:val="auto"/>
              </w:rPr>
            </w:pPr>
            <w:r>
              <w:rPr>
                <w:rFonts w:ascii="Arial" w:cs="Arial" w:eastAsia="Arial" w:hAnsi="Arial"/>
                <w:sz w:val="18"/>
                <w:szCs w:val="18"/>
                <w:color w:val="auto"/>
              </w:rPr>
              <w:t>Mark-to-market for economic hedges</w:t>
            </w:r>
          </w:p>
        </w:tc>
        <w:tc>
          <w:tcPr>
            <w:tcW w:w="16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Economic gross margin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609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Six months ended June 30, 2019</w:t>
            </w: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120"/>
              <w:spacing w:after="0"/>
              <w:rPr>
                <w:sz w:val="20"/>
                <w:szCs w:val="20"/>
                <w:color w:val="auto"/>
              </w:rPr>
            </w:pPr>
            <w:r>
              <w:rPr>
                <w:rFonts w:ascii="Arial" w:cs="Arial" w:eastAsia="Arial" w:hAnsi="Arial"/>
                <w:sz w:val="18"/>
                <w:szCs w:val="18"/>
                <w:color w:val="auto"/>
              </w:rPr>
              <w:t>Energy and capacity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525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revenue</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120"/>
              <w:spacing w:after="0"/>
              <w:rPr>
                <w:sz w:val="20"/>
                <w:szCs w:val="20"/>
                <w:color w:val="auto"/>
              </w:rPr>
            </w:pPr>
            <w:r>
              <w:rPr>
                <w:rFonts w:ascii="Arial" w:cs="Arial" w:eastAsia="Arial" w:hAnsi="Arial"/>
                <w:sz w:val="18"/>
                <w:szCs w:val="18"/>
                <w:color w:val="auto"/>
              </w:rPr>
              <w:t>Cost of fuels</w:t>
            </w:r>
          </w:p>
        </w:tc>
        <w:tc>
          <w:tcPr>
            <w:tcW w:w="16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Contract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120"/>
              <w:spacing w:after="0"/>
              <w:rPr>
                <w:sz w:val="20"/>
                <w:szCs w:val="20"/>
                <w:color w:val="auto"/>
              </w:rPr>
            </w:pPr>
            <w:r>
              <w:rPr>
                <w:rFonts w:ascii="Arial" w:cs="Arial" w:eastAsia="Arial" w:hAnsi="Arial"/>
                <w:sz w:val="18"/>
                <w:szCs w:val="18"/>
                <w:color w:val="auto"/>
              </w:rPr>
              <w:t>Mark-to-market for economic hedging activities</w:t>
            </w:r>
          </w:p>
        </w:tc>
        <w:tc>
          <w:tcPr>
            <w:tcW w:w="16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Gross margin</w:t>
            </w: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320" w:type="dxa"/>
            <w:vAlign w:val="bottom"/>
          </w:tcPr>
          <w:p>
            <w:pPr>
              <w:ind w:left="120"/>
              <w:spacing w:after="0"/>
              <w:rPr>
                <w:sz w:val="20"/>
                <w:szCs w:val="20"/>
                <w:color w:val="auto"/>
              </w:rPr>
            </w:pPr>
            <w:r>
              <w:rPr>
                <w:rFonts w:ascii="Arial" w:cs="Arial" w:eastAsia="Arial" w:hAnsi="Arial"/>
                <w:sz w:val="18"/>
                <w:szCs w:val="18"/>
                <w:color w:val="auto"/>
              </w:rPr>
              <w:t>Contract amortization</w:t>
            </w: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Mark-to-market for economic hedging activities</w:t>
            </w: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320" w:type="dxa"/>
            <w:vAlign w:val="bottom"/>
          </w:tcPr>
          <w:p>
            <w:pPr>
              <w:ind w:left="220"/>
              <w:spacing w:after="0"/>
              <w:rPr>
                <w:sz w:val="20"/>
                <w:szCs w:val="20"/>
                <w:color w:val="auto"/>
              </w:rPr>
            </w:pPr>
            <w:r>
              <w:rPr>
                <w:rFonts w:ascii="Arial" w:cs="Arial" w:eastAsia="Arial" w:hAnsi="Arial"/>
                <w:sz w:val="18"/>
                <w:szCs w:val="18"/>
                <w:b w:val="1"/>
                <w:bCs w:val="1"/>
                <w:color w:val="auto"/>
              </w:rPr>
              <w:t>Economic gross margin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508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ind w:right="952"/>
              <w:spacing w:after="0"/>
              <w:rPr>
                <w:sz w:val="20"/>
                <w:szCs w:val="20"/>
                <w:color w:val="auto"/>
              </w:rPr>
            </w:pPr>
            <w:r>
              <w:rPr>
                <w:rFonts w:ascii="Arial" w:cs="Arial" w:eastAsia="Arial" w:hAnsi="Arial"/>
                <w:sz w:val="18"/>
                <w:szCs w:val="18"/>
                <w:color w:val="231F20"/>
              </w:rPr>
              <w:t>51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1" w:name="page52"/>
    <w:bookmarkEnd w:id="51"/>
    <w:p>
      <w:pPr>
        <w:ind w:firstLine="405"/>
        <w:spacing w:after="0" w:line="277" w:lineRule="auto"/>
        <w:rPr>
          <w:sz w:val="20"/>
          <w:szCs w:val="20"/>
          <w:color w:val="auto"/>
        </w:rPr>
      </w:pPr>
      <w:r>
        <w:rPr>
          <w:rFonts w:ascii="Arial" w:cs="Arial" w:eastAsia="Arial" w:hAnsi="Arial"/>
          <w:sz w:val="18"/>
          <w:szCs w:val="18"/>
          <w:color w:val="auto"/>
        </w:rPr>
        <w:t>Gross margin increased by $90 million during the six months ended June 30, 2020, compared to the same period in 2019 primarily due to a combination of the following:</w:t>
      </w:r>
    </w:p>
    <w:p>
      <w:pPr>
        <w:sectPr>
          <w:pgSz w:w="11900" w:h="16838" w:orient="portrait"/>
          <w:cols w:equalWidth="0" w:num="1">
            <w:col w:w="11240"/>
          </w:cols>
          <w:pgMar w:left="320" w:top="1246" w:right="339" w:bottom="1440" w:gutter="0" w:footer="0" w:header="0"/>
        </w:sectPr>
      </w:pPr>
    </w:p>
    <w:p>
      <w:pPr>
        <w:spacing w:after="0" w:line="112" w:lineRule="exact"/>
        <w:rPr>
          <w:sz w:val="20"/>
          <w:szCs w:val="20"/>
          <w:color w:val="auto"/>
        </w:rPr>
      </w:pPr>
    </w:p>
    <w:p>
      <w:pPr>
        <w:ind w:left="420"/>
        <w:spacing w:after="0"/>
        <w:rPr>
          <w:sz w:val="20"/>
          <w:szCs w:val="20"/>
          <w:color w:val="auto"/>
        </w:rPr>
      </w:pPr>
      <w:r>
        <w:rPr>
          <w:rFonts w:ascii="Arial" w:cs="Arial" w:eastAsia="Arial" w:hAnsi="Arial"/>
          <w:sz w:val="15"/>
          <w:szCs w:val="15"/>
          <w:b w:val="1"/>
          <w:bCs w:val="1"/>
          <w:color w:val="auto"/>
        </w:rPr>
        <w:t>Segment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0"/>
        <w:spacing w:after="0" w:line="417" w:lineRule="auto"/>
        <w:rPr>
          <w:sz w:val="20"/>
          <w:szCs w:val="20"/>
          <w:color w:val="auto"/>
        </w:rPr>
      </w:pPr>
      <w:r>
        <w:rPr>
          <w:rFonts w:ascii="Arial" w:cs="Arial" w:eastAsia="Arial" w:hAnsi="Arial"/>
          <w:sz w:val="16"/>
          <w:szCs w:val="16"/>
          <w:b w:val="1"/>
          <w:bCs w:val="1"/>
          <w:color w:val="auto"/>
        </w:rPr>
        <w:t>Renewables Conventional</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Thermal</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Increase of $20 million related to higher wind energy production primarily at Alta, as well as the completion of the repowering of Elbow Creek and Wildorado. Additional increases of $9 million were due to the prior year outage at CVSR, $11 million due to the Oahu and Kawailoa facilities achieving COD in late 2019 and $3 million from the consolidation of the Chestnut and CS4 Funds in May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-574675</wp:posOffset>
            </wp:positionV>
            <wp:extent cx="7089140" cy="5829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89140" cy="58293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Increase is due primarily to the acquisition of Carlsbad Energy in December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31750</wp:posOffset>
            </wp:positionV>
            <wp:extent cx="7089140" cy="3086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89140" cy="308610"/>
                    </a:xfrm>
                    <a:prstGeom prst="rect">
                      <a:avLst/>
                    </a:prstGeom>
                    <a:noFill/>
                  </pic:spPr>
                </pic:pic>
              </a:graphicData>
            </a:graphic>
          </wp:anchor>
        </w:drawing>
      </w:r>
    </w:p>
    <w:p>
      <w:pPr>
        <w:spacing w:after="0" w:line="43"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Decrease of $3 million related to the sale of the Energy Center Dover on March 2, 2020, offset by an increase of $2 million related to the acquisition of the Duquesne University Energy System on May 1, 2019</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center"/>
        <w:ind w:right="213"/>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87" w:hanging="1087"/>
        <w:spacing w:after="0"/>
        <w:tabs>
          <w:tab w:leader="none" w:pos="1087" w:val="left"/>
        </w:tabs>
        <w:numPr>
          <w:ilvl w:val="0"/>
          <w:numId w:val="29"/>
        </w:numPr>
        <w:rPr>
          <w:rFonts w:ascii="Arial" w:cs="Arial" w:eastAsia="Arial" w:hAnsi="Arial"/>
          <w:sz w:val="18"/>
          <w:szCs w:val="18"/>
          <w:color w:val="auto"/>
        </w:rPr>
      </w:pPr>
      <w:r>
        <w:rPr>
          <w:rFonts w:ascii="Arial" w:cs="Arial" w:eastAsia="Arial" w:hAnsi="Arial"/>
          <w:sz w:val="18"/>
          <w:szCs w:val="18"/>
          <w:color w:val="auto"/>
        </w:rPr>
        <w:t>46</w:t>
      </w:r>
    </w:p>
    <w:p>
      <w:pPr>
        <w:spacing w:after="0" w:line="63" w:lineRule="exact"/>
        <w:rPr>
          <w:rFonts w:ascii="Arial" w:cs="Arial" w:eastAsia="Arial" w:hAnsi="Arial"/>
          <w:sz w:val="18"/>
          <w:szCs w:val="18"/>
          <w:color w:val="auto"/>
        </w:rPr>
      </w:pPr>
    </w:p>
    <w:p>
      <w:pPr>
        <w:ind w:left="1087"/>
        <w:spacing w:after="0"/>
        <w:rPr>
          <w:rFonts w:ascii="Arial" w:cs="Arial" w:eastAsia="Arial" w:hAnsi="Arial"/>
          <w:sz w:val="18"/>
          <w:szCs w:val="18"/>
          <w:color w:val="auto"/>
        </w:rPr>
      </w:pPr>
      <w:r>
        <w:rPr>
          <w:rFonts w:ascii="Arial" w:cs="Arial" w:eastAsia="Arial" w:hAnsi="Arial"/>
          <w:sz w:val="18"/>
          <w:szCs w:val="18"/>
          <w:color w:val="auto"/>
        </w:rPr>
        <w:t>45</w:t>
      </w:r>
    </w:p>
    <w:p>
      <w:pPr>
        <w:spacing w:after="0" w:line="279"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90868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57" w:lineRule="exact"/>
        <w:rPr>
          <w:sz w:val="20"/>
          <w:szCs w:val="20"/>
          <w:color w:val="auto"/>
        </w:rPr>
      </w:pPr>
    </w:p>
    <w:p>
      <w:pPr>
        <w:ind w:left="1087" w:hanging="1087"/>
        <w:spacing w:after="0"/>
        <w:tabs>
          <w:tab w:leader="none" w:pos="1087" w:val="left"/>
        </w:tabs>
        <w:numPr>
          <w:ilvl w:val="0"/>
          <w:numId w:val="30"/>
        </w:numPr>
        <w:rPr>
          <w:rFonts w:ascii="Arial" w:cs="Arial" w:eastAsia="Arial" w:hAnsi="Arial"/>
          <w:sz w:val="18"/>
          <w:szCs w:val="18"/>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90868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57785</wp:posOffset>
            </wp:positionV>
            <wp:extent cx="90868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1080" w:space="500"/>
            <w:col w:w="8020" w:space="193"/>
            <w:col w:w="1447"/>
          </w:cols>
          <w:pgMar w:left="320" w:top="1246" w:right="33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Maintenance Expense</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Operations and maintenance expense increased by $21 million during the six months ended June 30, 2020, compared to the same period in 2019. This is due to a $13 million increase in the Conventional segment related to the acquisition of the Carlsbad Energy Center in December 2019 and an $8 million increase in the Renewables segment related to COD having been reached for the Oahu and Kawailoa facilities in late 2019 and the repowering of Elbow Creek and Wildorado in late 2019 and early 2020.</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Amortization and Accretion Expense</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Depreciation, amortization and accretion expense increased by $25 million during the six months ended June 30, 2020, compared to the same period in 2019 primarily due to a $16 million increase in the Conventional segment related to the acquisition of the Carlsbad Energy Center in December 2019 and a $9 million increase in the Renewables Segment due to the Oahu and Kawailoa projects which reached COD in late 2019 as well as the completion of the repowering activities at Elbow Creek and Wildorado projects in the fourth quarter of 2019 and the first quarter of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Losses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Impairment losses of $19 million during the six months ended June 30, 2019, relate to a facility within the Company's Thermal segment, as further described in Note 15, </w:t>
      </w:r>
      <w:r>
        <w:rPr>
          <w:rFonts w:ascii="Arial" w:cs="Arial" w:eastAsia="Arial" w:hAnsi="Arial"/>
          <w:sz w:val="18"/>
          <w:szCs w:val="18"/>
          <w:i w:val="1"/>
          <w:iCs w:val="1"/>
          <w:color w:val="auto"/>
        </w:rPr>
        <w:t>Asset Impairments</w:t>
      </w:r>
      <w:r>
        <w:rPr>
          <w:rFonts w:ascii="Arial" w:cs="Arial" w:eastAsia="Arial" w:hAnsi="Arial"/>
          <w:sz w:val="18"/>
          <w:szCs w:val="18"/>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General and administrative expense increased by $8 million during the six months ended June 30, 2020, compared to the same period in 2019, primarily due to an increase in MSA fees charged by CEG, personnel costs and consulting fees.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Equity in earnings of unconsolidated affiliate decreased by $11 million during the six months ended June 30, 2020, compared to the same period in 2019, primarily driven by changes in the HLBV values for the Utah, RPV and DGPV investments.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Unconsolidated Affiliate</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May 14, 2020, the Company sold its interests in RPV Holdco 1 LLC, or RPV Holdco, to a third party which resulted in a gain on sale of investment of approximately $49 million. For further discussion on this transaction, see Note 3 - Acquisition and Dispositions</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Interest expense increased by $29 million during the six months ended June 30, 2020, compared to the same period in 2019, primarily due to the following:</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250"/>
              <w:spacing w:after="0"/>
              <w:rPr>
                <w:sz w:val="20"/>
                <w:szCs w:val="20"/>
                <w:color w:val="auto"/>
              </w:rPr>
            </w:pPr>
            <w:r>
              <w:rPr>
                <w:rFonts w:ascii="Arial" w:cs="Arial" w:eastAsia="Arial" w:hAnsi="Arial"/>
                <w:sz w:val="18"/>
                <w:szCs w:val="18"/>
                <w:b w:val="1"/>
                <w:bCs w:val="1"/>
                <w:color w:val="auto"/>
              </w:rPr>
              <w:t>(In millions)</w:t>
            </w:r>
          </w:p>
        </w:tc>
      </w:tr>
      <w:tr>
        <w:trPr>
          <w:trHeight w:val="27"/>
        </w:trPr>
        <w:tc>
          <w:tcPr>
            <w:tcW w:w="9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 of interest rate swaps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w:t>
            </w:r>
          </w:p>
        </w:tc>
      </w:tr>
      <w:tr>
        <w:trPr>
          <w:trHeight w:val="243"/>
        </w:trPr>
        <w:tc>
          <w:tcPr>
            <w:tcW w:w="9620" w:type="dxa"/>
            <w:vAlign w:val="bottom"/>
          </w:tcPr>
          <w:p>
            <w:pPr>
              <w:ind w:left="20"/>
              <w:spacing w:after="0"/>
              <w:rPr>
                <w:sz w:val="20"/>
                <w:szCs w:val="20"/>
                <w:color w:val="auto"/>
              </w:rPr>
            </w:pPr>
            <w:r>
              <w:rPr>
                <w:rFonts w:ascii="Arial" w:cs="Arial" w:eastAsia="Arial" w:hAnsi="Arial"/>
                <w:sz w:val="18"/>
                <w:szCs w:val="18"/>
                <w:color w:val="auto"/>
              </w:rPr>
              <w:t>Additional interest expense for Carlsbad Energy Center which was acquired on December 5, 2019</w:t>
            </w:r>
          </w:p>
        </w:tc>
        <w:tc>
          <w:tcPr>
            <w:tcW w:w="22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17</w:t>
            </w:r>
          </w:p>
        </w:tc>
      </w:tr>
      <w:tr>
        <w:trPr>
          <w:trHeight w:val="27"/>
        </w:trPr>
        <w:tc>
          <w:tcPr>
            <w:tcW w:w="9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9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Reclassification of losses previously deferred in AOCI to the statement of operations in connection with project-level debt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refinancing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9620" w:type="dxa"/>
            <w:vAlign w:val="bottom"/>
          </w:tcPr>
          <w:p>
            <w:pPr>
              <w:ind w:left="20"/>
              <w:spacing w:after="0"/>
              <w:rPr>
                <w:sz w:val="20"/>
                <w:szCs w:val="20"/>
                <w:color w:val="auto"/>
              </w:rPr>
            </w:pPr>
            <w:r>
              <w:rPr>
                <w:rFonts w:ascii="Arial" w:cs="Arial" w:eastAsia="Arial" w:hAnsi="Arial"/>
                <w:sz w:val="18"/>
                <w:szCs w:val="18"/>
                <w:color w:val="auto"/>
              </w:rPr>
              <w:t>Decrease in interest expense due to lower principal balances of project level debt for the remainder of the portfolio</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9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9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Increase in Corporate interest expense due to additional revolver borrowings and the issuance of the additional Senior Notes due</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57"/>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r>
      <w:tr>
        <w:trPr>
          <w:trHeight w:val="237"/>
        </w:trPr>
        <w:tc>
          <w:tcPr>
            <w:tcW w:w="96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29</w:t>
            </w:r>
          </w:p>
        </w:tc>
      </w:tr>
      <w:tr>
        <w:trPr>
          <w:trHeight w:val="27"/>
        </w:trPr>
        <w:tc>
          <w:tcPr>
            <w:tcW w:w="9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9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six months ended June 30, 2020, the Company recorded an income tax expense of $4 million on a pretax loss of $27 million. For the same period in 2019, the Company recorded an income tax benefit of $3 million on a pretax loss of $86 million.</w:t>
      </w:r>
    </w:p>
    <w:p>
      <w:pPr>
        <w:spacing w:after="0" w:line="1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six months ended June 30, 2020 and 2019, the overall effective tax rate was different than the statutory rate of 21% primarily due to the taxable earnings and losses allocated to the partners' interest in Clearway Energy LLC, which includes the effects of applying HLBV method of accounting for book purposes for certain partnerships.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Attributable to Noncontrolling Interests</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 the six months ended June 30, 2020, the Company had income of $17 million attributable to CEG's economic interest in Clearway Energy LLC offset by losses of $35 million attributable to CEG's interests in the Kawailoa, Oahu and Repowering partnerships and losses of $31 million attributable to noncontrolling interests with respect to its tax equity financing arrangements and the application of the HLBV method.</w:t>
      </w:r>
    </w:p>
    <w:p>
      <w:pPr>
        <w:spacing w:after="0" w:line="11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 the six months ended June 30, 2019, the Company had a loss of $35 million attributable to CEG's economic interest in Clearway Energy LLC and a loss of $6 million attributable to CEG's interests in the Kawailoa, Oahu and Repowering partnerships, offset in part by income of $2 million attributable to noncontrolling interests with respect to its tax equity financing arrangements and the application of the HLBV method.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231F20"/>
        </w:rPr>
        <w:t>The Company's principal liquidity requirements are to meet its financial commitments, finance current operations, fund capital expenditures, including acquisitions from time to time, service debt and pay dividends. As a normal part of the Company's business, depending on market conditions, the Company 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3" w:name="page54"/>
    <w:bookmarkEnd w:id="53"/>
    <w:p>
      <w:pPr>
        <w:ind w:left="420"/>
        <w:spacing w:after="0"/>
        <w:rPr>
          <w:sz w:val="20"/>
          <w:szCs w:val="20"/>
          <w:color w:val="auto"/>
        </w:rPr>
      </w:pPr>
      <w:r>
        <w:rPr>
          <w:rFonts w:ascii="Arial" w:cs="Arial" w:eastAsia="Arial" w:hAnsi="Arial"/>
          <w:sz w:val="18"/>
          <w:szCs w:val="18"/>
          <w:b w:val="1"/>
          <w:bCs w:val="1"/>
          <w:i w:val="1"/>
          <w:iCs w:val="1"/>
          <w:color w:val="auto"/>
        </w:rPr>
        <w:t>Current Liquidity Position</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2020</w:t>
      </w:r>
      <w:r>
        <w:rPr>
          <w:rFonts w:ascii="Arial" w:cs="Arial" w:eastAsia="Arial" w:hAnsi="Arial"/>
          <w:sz w:val="18"/>
          <w:szCs w:val="18"/>
          <w:color w:val="231F20"/>
        </w:rPr>
        <w:t xml:space="preserve"> and </w:t>
      </w:r>
      <w:r>
        <w:rPr>
          <w:rFonts w:ascii="Arial" w:cs="Arial" w:eastAsia="Arial" w:hAnsi="Arial"/>
          <w:sz w:val="18"/>
          <w:szCs w:val="18"/>
          <w:color w:val="000000"/>
        </w:rPr>
        <w:t>December 31, 2019</w:t>
      </w:r>
      <w:r>
        <w:rPr>
          <w:rFonts w:ascii="Arial" w:cs="Arial" w:eastAsia="Arial" w:hAnsi="Arial"/>
          <w:sz w:val="18"/>
          <w:szCs w:val="18"/>
          <w:color w:val="231F20"/>
        </w:rPr>
        <w:t>, the Company's liquidity was approximately $855 million and $842 million, respectively, comprised of cash, restricted cash and availability under the Company's revolving credit facility.</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5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6"/>
                <w:szCs w:val="16"/>
                <w:color w:val="auto"/>
              </w:rPr>
            </w:pPr>
          </w:p>
        </w:tc>
        <w:tc>
          <w:tcPr>
            <w:tcW w:w="15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Pr>
          <w:p>
            <w:pPr>
              <w:spacing w:after="0"/>
              <w:rPr>
                <w:sz w:val="16"/>
                <w:szCs w:val="16"/>
                <w:color w:val="auto"/>
              </w:rPr>
            </w:pPr>
          </w:p>
        </w:tc>
        <w:tc>
          <w:tcPr>
            <w:tcW w:w="1540" w:type="dxa"/>
            <w:vAlign w:val="bottom"/>
          </w:tcPr>
          <w:p>
            <w:pPr>
              <w:jc w:val="right"/>
              <w:ind w:right="192"/>
              <w:spacing w:after="0"/>
              <w:rPr>
                <w:sz w:val="20"/>
                <w:szCs w:val="20"/>
                <w:color w:val="auto"/>
              </w:rPr>
            </w:pPr>
            <w:r>
              <w:rPr>
                <w:rFonts w:ascii="Arial" w:cs="Arial" w:eastAsia="Arial" w:hAnsi="Arial"/>
                <w:sz w:val="14"/>
                <w:szCs w:val="14"/>
                <w:b w:val="1"/>
                <w:bCs w:val="1"/>
                <w:color w:val="auto"/>
                <w:w w:val="98"/>
              </w:rPr>
              <w:t>December 31, 2019</w:t>
            </w:r>
          </w:p>
        </w:tc>
      </w:tr>
      <w:tr>
        <w:trPr>
          <w:trHeight w:val="236"/>
        </w:trPr>
        <w:tc>
          <w:tcPr>
            <w:tcW w:w="7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7580" w:type="dxa"/>
            <w:vAlign w:val="bottom"/>
          </w:tcPr>
          <w:p>
            <w:pPr>
              <w:ind w:left="200"/>
              <w:spacing w:after="0"/>
              <w:rPr>
                <w:sz w:val="20"/>
                <w:szCs w:val="20"/>
                <w:color w:val="auto"/>
              </w:rPr>
            </w:pPr>
            <w:r>
              <w:rPr>
                <w:rFonts w:ascii="Arial" w:cs="Arial" w:eastAsia="Arial" w:hAnsi="Arial"/>
                <w:sz w:val="18"/>
                <w:szCs w:val="18"/>
                <w:color w:val="auto"/>
              </w:rPr>
              <w:t>Clearway Energy, Inc. and Clearway Energy LLC, excluding subsidiaries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30</w:t>
            </w:r>
          </w:p>
        </w:tc>
      </w:tr>
      <w:tr>
        <w:trPr>
          <w:trHeight w:val="27"/>
        </w:trPr>
        <w:tc>
          <w:tcPr>
            <w:tcW w:w="7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Subsidiaries</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125</w:t>
            </w: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Restricted cash:</w:t>
            </w: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7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accounts</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129</w:t>
            </w:r>
          </w:p>
        </w:tc>
      </w:tr>
      <w:tr>
        <w:trPr>
          <w:trHeight w:val="243"/>
        </w:trPr>
        <w:tc>
          <w:tcPr>
            <w:tcW w:w="7580" w:type="dxa"/>
            <w:vAlign w:val="bottom"/>
          </w:tcPr>
          <w:p>
            <w:pPr>
              <w:ind w:left="200"/>
              <w:spacing w:after="0"/>
              <w:rPr>
                <w:sz w:val="20"/>
                <w:szCs w:val="20"/>
                <w:color w:val="auto"/>
              </w:rPr>
            </w:pPr>
            <w:r>
              <w:rPr>
                <w:rFonts w:ascii="Arial" w:cs="Arial" w:eastAsia="Arial" w:hAnsi="Arial"/>
                <w:sz w:val="18"/>
                <w:szCs w:val="18"/>
                <w:color w:val="auto"/>
              </w:rPr>
              <w:t>Reserves, including debt service, distributions, performance obligations and other reserves</w:t>
            </w:r>
          </w:p>
        </w:tc>
        <w:tc>
          <w:tcPr>
            <w:tcW w:w="300" w:type="dxa"/>
            <w:vAlign w:val="bottom"/>
          </w:tcPr>
          <w:p>
            <w:pPr>
              <w:spacing w:after="0"/>
              <w:rPr>
                <w:sz w:val="21"/>
                <w:szCs w:val="21"/>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133</w:t>
            </w:r>
          </w:p>
        </w:tc>
      </w:tr>
      <w:tr>
        <w:trPr>
          <w:trHeight w:val="27"/>
        </w:trPr>
        <w:tc>
          <w:tcPr>
            <w:tcW w:w="7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3"/>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3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417</w:t>
            </w:r>
          </w:p>
        </w:tc>
      </w:tr>
      <w:tr>
        <w:trPr>
          <w:trHeight w:val="237"/>
        </w:trPr>
        <w:tc>
          <w:tcPr>
            <w:tcW w:w="7580" w:type="dxa"/>
            <w:vAlign w:val="bottom"/>
          </w:tcPr>
          <w:p>
            <w:pPr>
              <w:ind w:left="200"/>
              <w:spacing w:after="0"/>
              <w:rPr>
                <w:sz w:val="20"/>
                <w:szCs w:val="20"/>
                <w:color w:val="auto"/>
              </w:rPr>
            </w:pPr>
            <w:r>
              <w:rPr>
                <w:rFonts w:ascii="Arial" w:cs="Arial" w:eastAsia="Arial" w:hAnsi="Arial"/>
                <w:sz w:val="18"/>
                <w:szCs w:val="18"/>
                <w:color w:val="auto"/>
              </w:rPr>
              <w:t>Revolving credit facility availability</w:t>
            </w:r>
          </w:p>
        </w:tc>
        <w:tc>
          <w:tcPr>
            <w:tcW w:w="3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425</w:t>
            </w:r>
          </w:p>
        </w:tc>
      </w:tr>
      <w:tr>
        <w:trPr>
          <w:trHeight w:val="27"/>
        </w:trPr>
        <w:tc>
          <w:tcPr>
            <w:tcW w:w="7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88"/>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liquidity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855</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842</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231F20"/>
        </w:rPr>
        <w:t xml:space="preserve">The Company's liquidity includes </w:t>
      </w:r>
      <w:r>
        <w:rPr>
          <w:rFonts w:ascii="Arial" w:cs="Arial" w:eastAsia="Arial" w:hAnsi="Arial"/>
          <w:sz w:val="16"/>
          <w:szCs w:val="16"/>
          <w:color w:val="000000"/>
        </w:rPr>
        <w:t>$241 million</w:t>
      </w:r>
      <w:r>
        <w:rPr>
          <w:rFonts w:ascii="Arial" w:cs="Arial" w:eastAsia="Arial" w:hAnsi="Arial"/>
          <w:sz w:val="16"/>
          <w:szCs w:val="16"/>
          <w:color w:val="231F20"/>
        </w:rPr>
        <w:t xml:space="preserve"> and $262 million of restricted cash balances as of June 30, 2020 and December 31, </w:t>
      </w:r>
      <w:r>
        <w:rPr>
          <w:rFonts w:ascii="Arial" w:cs="Arial" w:eastAsia="Arial" w:hAnsi="Arial"/>
          <w:sz w:val="16"/>
          <w:szCs w:val="16"/>
          <w:color w:val="000000"/>
        </w:rPr>
        <w:t>2019</w:t>
      </w:r>
      <w:r>
        <w:rPr>
          <w:rFonts w:ascii="Arial" w:cs="Arial" w:eastAsia="Arial" w:hAnsi="Arial"/>
          <w:sz w:val="16"/>
          <w:szCs w:val="16"/>
          <w:color w:val="231F20"/>
        </w:rPr>
        <w:t xml:space="preserve">, respectively. Restricted cash consists primarily of funds to satisfy the requirements of certain debt arrangements and funds held within the Company's projects that are restricted in their use. As of </w:t>
      </w:r>
      <w:r>
        <w:rPr>
          <w:rFonts w:ascii="Arial" w:cs="Arial" w:eastAsia="Arial" w:hAnsi="Arial"/>
          <w:sz w:val="16"/>
          <w:szCs w:val="16"/>
          <w:color w:val="000000"/>
        </w:rPr>
        <w:t>June 30, 2020, these restricted funds were comprised of $80 million designated to fund operating expenses,</w:t>
      </w:r>
      <w:r>
        <w:rPr>
          <w:rFonts w:ascii="Arial" w:cs="Arial" w:eastAsia="Arial" w:hAnsi="Arial"/>
          <w:sz w:val="16"/>
          <w:szCs w:val="16"/>
          <w:color w:val="231F20"/>
        </w:rPr>
        <w:t xml:space="preserve"> </w:t>
      </w:r>
      <w:r>
        <w:rPr>
          <w:rFonts w:ascii="Arial" w:cs="Arial" w:eastAsia="Arial" w:hAnsi="Arial"/>
          <w:sz w:val="16"/>
          <w:szCs w:val="16"/>
          <w:color w:val="000000"/>
        </w:rPr>
        <w:t>approximately $20 million designated for current debt service payments, and $56 million restricted for reserves including debt service, performance obligations and other reserves, as well as capital expenditures. The remaining $85 million is held in distribution reserve accounts. As of June 30, 2020, $14 million of cash that was restricted pending the outcome of the PG&amp;E Bankruptcy was reclassified into cash and cash equivalents.</w:t>
      </w:r>
    </w:p>
    <w:p>
      <w:pPr>
        <w:spacing w:after="0" w:line="11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2020</w:t>
      </w:r>
      <w:r>
        <w:rPr>
          <w:rFonts w:ascii="Arial" w:cs="Arial" w:eastAsia="Arial" w:hAnsi="Arial"/>
          <w:sz w:val="18"/>
          <w:szCs w:val="18"/>
          <w:color w:val="231F20"/>
        </w:rPr>
        <w:t>, the Company had no outstanding borrowings under the revolving credit facility and $56 million in letters of credit outstanding. During the six months ended June 30, 2020, the Company borrowed $265 million under the revolving credit facility, and subsequently repaid $265 million utilizing the proceeds from the 2028 Senior Notes and cash on hand.</w:t>
      </w:r>
    </w:p>
    <w:p>
      <w:pPr>
        <w:spacing w:after="0" w:line="130"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During 2019, PG&amp;E, one of the Company's largest customers filed for bankruptcy under Chapter 11 of the U.S. Bankruptcy Code. The PG&amp;E Bankruptcy had no effect on availability under the Company’s revolving credit facility. However, the Company has non-recourse project-level debt related to each of its subsidiaries that sell their output to PG&amp;E under long-term PPAs. The PG&amp;E Bankruptcy filing was an event of default under the related financing agreements which caused uncertainty around the timing of when certain project-level cash distributions will be available to the Company. </w:t>
      </w:r>
      <w:r>
        <w:rPr>
          <w:rFonts w:ascii="Arial" w:cs="Arial" w:eastAsia="Arial" w:hAnsi="Arial"/>
          <w:sz w:val="17"/>
          <w:szCs w:val="17"/>
          <w:color w:val="231F20"/>
        </w:rPr>
        <w:t>On</w:t>
      </w:r>
      <w:r>
        <w:rPr>
          <w:rFonts w:ascii="Arial" w:cs="Arial" w:eastAsia="Arial" w:hAnsi="Arial"/>
          <w:sz w:val="17"/>
          <w:szCs w:val="17"/>
          <w:color w:val="auto"/>
        </w:rPr>
        <w:t xml:space="preserve"> </w:t>
      </w:r>
      <w:r>
        <w:rPr>
          <w:rFonts w:ascii="Arial" w:cs="Arial" w:eastAsia="Arial" w:hAnsi="Arial"/>
          <w:sz w:val="17"/>
          <w:szCs w:val="17"/>
          <w:color w:val="231F20"/>
        </w:rPr>
        <w:t>July 1, 2020, PG&amp;E emerged from bankruptcy and assumed the Company's contracts without modification. Subsequent to July 1, 2020, the Company collected all remaining receivables due from PG&amp;E for pre-petition periods and a</w:t>
      </w:r>
      <w:r>
        <w:rPr>
          <w:rFonts w:ascii="Arial" w:cs="Arial" w:eastAsia="Arial" w:hAnsi="Arial"/>
          <w:sz w:val="17"/>
          <w:szCs w:val="17"/>
          <w:color w:val="000000"/>
        </w:rPr>
        <w:t>s of July 31, 2020, $50 million of cash in distribution reserve accounts at</w:t>
      </w:r>
      <w:r>
        <w:rPr>
          <w:rFonts w:ascii="Arial" w:cs="Arial" w:eastAsia="Arial" w:hAnsi="Arial"/>
          <w:sz w:val="17"/>
          <w:szCs w:val="17"/>
          <w:color w:val="231F20"/>
        </w:rPr>
        <w:t xml:space="preserve"> </w:t>
      </w:r>
      <w:r>
        <w:rPr>
          <w:rFonts w:ascii="Arial" w:cs="Arial" w:eastAsia="Arial" w:hAnsi="Arial"/>
          <w:sz w:val="17"/>
          <w:szCs w:val="17"/>
          <w:color w:val="000000"/>
        </w:rPr>
        <w:t>subsidiaries affected by the PG&amp;E Bankruptcy was distributed to Clearway Energy Operating LLC.</w:t>
      </w:r>
    </w:p>
    <w:p>
      <w:pPr>
        <w:spacing w:after="0" w:line="12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dividends to holders of the Company's Class A common stock and Class C common stock. Management continues to regularly monitor the Company's ability to finance the needs of its operating, financing and investing activity within the dictates of prudent balance sheet management.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Credit Ratings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4" w:name="page55"/>
    <w:bookmarkEnd w:id="54"/>
    <w:p>
      <w:pPr>
        <w:ind w:left="420"/>
        <w:spacing w:after="0"/>
        <w:rPr>
          <w:sz w:val="20"/>
          <w:szCs w:val="20"/>
          <w:color w:val="auto"/>
        </w:rPr>
      </w:pPr>
      <w:r>
        <w:rPr>
          <w:rFonts w:ascii="Arial" w:cs="Arial" w:eastAsia="Arial" w:hAnsi="Arial"/>
          <w:sz w:val="18"/>
          <w:szCs w:val="18"/>
          <w:color w:val="auto"/>
        </w:rPr>
        <w:t>The following table summarizes the credit ratings for the Company and its Senior Notes as of June 30, 2020:</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S&amp;P</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Moody's</w:t>
            </w:r>
          </w:p>
        </w:tc>
      </w:tr>
      <w:tr>
        <w:trPr>
          <w:trHeight w:val="249"/>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Clearway Energy, Inc.</w:t>
            </w:r>
          </w:p>
        </w:tc>
        <w:tc>
          <w:tcPr>
            <w:tcW w:w="15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BB</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Ba2</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5.750% Senior Notes, due 2025</w:t>
            </w:r>
          </w:p>
        </w:tc>
        <w:tc>
          <w:tcPr>
            <w:tcW w:w="1580" w:type="dxa"/>
            <w:vAlign w:val="bottom"/>
            <w:gridSpan w:val="2"/>
          </w:tcPr>
          <w:p>
            <w:pPr>
              <w:ind w:left="620"/>
              <w:spacing w:after="0"/>
              <w:rPr>
                <w:sz w:val="20"/>
                <w:szCs w:val="20"/>
                <w:color w:val="auto"/>
              </w:rPr>
            </w:pPr>
            <w:r>
              <w:rPr>
                <w:rFonts w:ascii="Arial" w:cs="Arial" w:eastAsia="Arial" w:hAnsi="Arial"/>
                <w:sz w:val="18"/>
                <w:szCs w:val="18"/>
                <w:color w:val="auto"/>
              </w:rPr>
              <w:t>BB</w:t>
            </w: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Ba2</w:t>
            </w:r>
          </w:p>
        </w:tc>
      </w:tr>
      <w:tr>
        <w:trPr>
          <w:trHeight w:val="27"/>
        </w:trPr>
        <w:tc>
          <w:tcPr>
            <w:tcW w:w="8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5.000% Senior Notes, due 2026</w:t>
            </w:r>
          </w:p>
        </w:tc>
        <w:tc>
          <w:tcPr>
            <w:tcW w:w="15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BB</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Ba2</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4.750% Senior Notes, due 2028</w:t>
            </w:r>
          </w:p>
        </w:tc>
        <w:tc>
          <w:tcPr>
            <w:tcW w:w="1580" w:type="dxa"/>
            <w:vAlign w:val="bottom"/>
            <w:gridSpan w:val="2"/>
          </w:tcPr>
          <w:p>
            <w:pPr>
              <w:ind w:left="620"/>
              <w:spacing w:after="0"/>
              <w:rPr>
                <w:sz w:val="20"/>
                <w:szCs w:val="20"/>
                <w:color w:val="auto"/>
              </w:rPr>
            </w:pPr>
            <w:r>
              <w:rPr>
                <w:rFonts w:ascii="Arial" w:cs="Arial" w:eastAsia="Arial" w:hAnsi="Arial"/>
                <w:sz w:val="18"/>
                <w:szCs w:val="18"/>
                <w:color w:val="auto"/>
              </w:rPr>
              <w:t>BB</w:t>
            </w: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Ba2</w:t>
            </w: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Sources of Liquidity</w:t>
      </w:r>
    </w:p>
    <w:p>
      <w:pPr>
        <w:spacing w:after="0" w:line="17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231F20"/>
        </w:rPr>
        <w:t xml:space="preserve">The Company's principal sources of liquidity include cash on hand, cash generated from operations, proceeds from sales of assets, borrowings under new and existing financing arrangements and the issuance of additional equity and debt securities as appropriate given market conditions. As described in Item 1— Note 7, </w:t>
      </w:r>
      <w:r>
        <w:rPr>
          <w:rFonts w:ascii="Arial" w:cs="Arial" w:eastAsia="Arial" w:hAnsi="Arial"/>
          <w:sz w:val="17"/>
          <w:szCs w:val="17"/>
          <w:i w:val="1"/>
          <w:iCs w:val="1"/>
          <w:color w:val="231F20"/>
        </w:rPr>
        <w:t>Long-term Debt</w:t>
      </w:r>
      <w:r>
        <w:rPr>
          <w:rFonts w:ascii="Arial" w:cs="Arial" w:eastAsia="Arial" w:hAnsi="Arial"/>
          <w:sz w:val="17"/>
          <w:szCs w:val="17"/>
          <w:color w:val="231F20"/>
        </w:rPr>
        <w:t xml:space="preserve">, to this Form 10-Q and Note 10, </w:t>
      </w:r>
      <w:r>
        <w:rPr>
          <w:rFonts w:ascii="Arial" w:cs="Arial" w:eastAsia="Arial" w:hAnsi="Arial"/>
          <w:sz w:val="17"/>
          <w:szCs w:val="17"/>
          <w:i w:val="1"/>
          <w:iCs w:val="1"/>
          <w:color w:val="231F20"/>
        </w:rPr>
        <w:t>Long-term Debt</w:t>
      </w:r>
      <w:r>
        <w:rPr>
          <w:rFonts w:ascii="Arial" w:cs="Arial" w:eastAsia="Arial" w:hAnsi="Arial"/>
          <w:sz w:val="17"/>
          <w:szCs w:val="17"/>
          <w:color w:val="231F20"/>
        </w:rPr>
        <w:t>, to the consolidated financial statements included in the Company's 2019 Form 10-K, the Company's financing arrangements consist corporate level debt, which includes Senior Notes, Convertible Notes and the revolving credit facility; the ATM Program; and project-level financings for its various assets.</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Revolving Credit Facility</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The Company has a total of $439 million available under the revolving credit facility as of June 30, 2020. The facility will continue to be used for general corporate purposes including financing of future acquisitions and posting letters of credit.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2028 Senior Notes</w:t>
      </w:r>
    </w:p>
    <w:p>
      <w:pPr>
        <w:spacing w:after="0" w:line="171"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On May 21, 2020, Clearway Energy Operating LLC completed the sale of an additional $250 million aggregate principal amount of the 2028 Senior Notes. The 2028 Senior Notes bear interest at 4.75% and mature on March 15, 2028. Interest on the 2028 Senior Notes is payable semi-annually on March 15 and September 15 of each year, and interest payments will commence on September 15, 2020. The 2028 Senior Notes are unsecured obligations of Clearway Energy Operating, LLC and are guaranteed by Clearway Energy LLC and by certain of Clearway Energy Operating LLC’s wholly owned current and future subsidiaries. The notes were issued at a price of 102% of par plus accrued interest from December 11, 2019. The net proceeds were utilized to repay the $45 million outstanding principal amount of the Company's 2020 Convertible Notes on June 1, 2020, as well as repay amounts outstanding under the Company’s revolving credit facility and for general corporate purposes.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ATM Sales</w:t>
      </w:r>
    </w:p>
    <w:p>
      <w:pPr>
        <w:spacing w:after="0" w:line="171" w:lineRule="exact"/>
        <w:rPr>
          <w:sz w:val="20"/>
          <w:szCs w:val="20"/>
          <w:color w:val="auto"/>
        </w:rPr>
      </w:pPr>
    </w:p>
    <w:p>
      <w:pPr>
        <w:ind w:right="300" w:firstLine="405"/>
        <w:spacing w:after="0" w:line="301" w:lineRule="auto"/>
        <w:rPr>
          <w:sz w:val="20"/>
          <w:szCs w:val="20"/>
          <w:color w:val="auto"/>
        </w:rPr>
      </w:pPr>
      <w:r>
        <w:rPr>
          <w:rFonts w:ascii="Arial" w:cs="Arial" w:eastAsia="Arial" w:hAnsi="Arial"/>
          <w:sz w:val="16"/>
          <w:szCs w:val="16"/>
          <w:color w:val="auto"/>
        </w:rPr>
        <w:t>During the six months ended June 30, 2020, Clearway Energy, Inc. issued and sold 1,749,665 shares of Class C common stock for net proceeds of $38 million, which resulted in the completion of the shares of Class C common stock that were available to be issued under the ATM Program</w:t>
      </w:r>
      <w:r>
        <w:rPr>
          <w:rFonts w:ascii="Arial" w:cs="Arial" w:eastAsia="Arial" w:hAnsi="Arial"/>
          <w:sz w:val="16"/>
          <w:szCs w:val="16"/>
          <w:b w:val="1"/>
          <w:bCs w:val="1"/>
          <w:color w:val="auto"/>
        </w:rPr>
        <w:t>.</w:t>
      </w:r>
      <w:r>
        <w:rPr>
          <w:rFonts w:ascii="Arial" w:cs="Arial" w:eastAsia="Arial" w:hAnsi="Arial"/>
          <w:sz w:val="16"/>
          <w:szCs w:val="16"/>
          <w:color w:val="auto"/>
        </w:rPr>
        <w:t xml:space="preserve"> The Company utilized the proceeds of the sales to acquire 1,749,665 Class C units of Clearway Energy LLC and, as a result, the Company currently owns 57.41% of the economic interests of Clearway Energy LLC, with CEG retaining 42.59% of the economic interests of Clearway Energy LLC.</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Sale of Interest in RPV Holdco 1</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 xml:space="preserve">On May 14, 2020, the Company sold its interests in RPV Holdco 1 LLC, or RPV Holdco, to a third party for net proceeds of approximately </w:t>
      </w:r>
      <w:r>
        <w:rPr>
          <w:rFonts w:ascii="Arial" w:cs="Arial" w:eastAsia="Arial" w:hAnsi="Arial"/>
          <w:sz w:val="18"/>
          <w:szCs w:val="18"/>
          <w:color w:val="000000"/>
        </w:rPr>
        <w:t>$75 million</w:t>
      </w:r>
      <w:r>
        <w:rPr>
          <w:rFonts w:ascii="Arial" w:cs="Arial" w:eastAsia="Arial" w:hAnsi="Arial"/>
          <w:sz w:val="18"/>
          <w:szCs w:val="18"/>
          <w:color w:val="231F20"/>
        </w:rPr>
        <w:t>. The Company previously accounted for its interest in RPV Holdco as an equity method investment. The sale of the investment resulted in a</w:t>
      </w:r>
      <w:r>
        <w:rPr>
          <w:rFonts w:ascii="Arial" w:cs="Arial" w:eastAsia="Arial" w:hAnsi="Arial"/>
          <w:sz w:val="18"/>
          <w:szCs w:val="18"/>
          <w:color w:val="000000"/>
        </w:rPr>
        <w:t xml:space="preserve"> </w:t>
      </w:r>
      <w:r>
        <w:rPr>
          <w:rFonts w:ascii="Arial" w:cs="Arial" w:eastAsia="Arial" w:hAnsi="Arial"/>
          <w:sz w:val="18"/>
          <w:szCs w:val="18"/>
          <w:color w:val="231F20"/>
        </w:rPr>
        <w:t xml:space="preserve">gain of approximately </w:t>
      </w:r>
      <w:r>
        <w:rPr>
          <w:rFonts w:ascii="Arial" w:cs="Arial" w:eastAsia="Arial" w:hAnsi="Arial"/>
          <w:sz w:val="18"/>
          <w:szCs w:val="18"/>
          <w:color w:val="000000"/>
        </w:rPr>
        <w:t>$49 million</w:t>
      </w:r>
      <w:r>
        <w:rPr>
          <w:rFonts w:ascii="Arial" w:cs="Arial" w:eastAsia="Arial" w:hAnsi="Arial"/>
          <w:sz w:val="18"/>
          <w:szCs w:val="18"/>
          <w:color w:val="231F20"/>
        </w:rPr>
        <w: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 xml:space="preserve">Sale </w:t>
      </w:r>
      <w:r>
        <w:rPr>
          <w:rFonts w:ascii="Arial" w:cs="Arial" w:eastAsia="Arial" w:hAnsi="Arial"/>
          <w:sz w:val="18"/>
          <w:szCs w:val="18"/>
          <w:i w:val="1"/>
          <w:iCs w:val="1"/>
          <w:color w:val="000000"/>
        </w:rPr>
        <w:t>of Energy Center Dover LLC and Energy Center Smyrna LLC Assets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March 3, 2020, the Company, through Thermal LLC, sold 100% of its interests in Energy Center Dover LLC and Energy Center Smyrna LLC to DB Energy Assets, LLC.</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Uses of Liquidity</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 xml:space="preserve">The Company's requirements for liquidity and capital resources, other than for operating its facilities, are categorized as: (i) debt service obligations, as described more fully in Item 1 — </w:t>
      </w:r>
      <w:r>
        <w:rPr>
          <w:rFonts w:ascii="Arial" w:cs="Arial" w:eastAsia="Arial" w:hAnsi="Arial"/>
          <w:sz w:val="18"/>
          <w:szCs w:val="18"/>
          <w:color w:val="000000"/>
        </w:rPr>
        <w:t>Note 7</w:t>
      </w:r>
      <w:r>
        <w:rPr>
          <w:rFonts w:ascii="Arial" w:cs="Arial" w:eastAsia="Arial" w:hAnsi="Arial"/>
          <w:sz w:val="18"/>
          <w:szCs w:val="18"/>
          <w:color w:val="231F20"/>
        </w:rPr>
        <w:t xml:space="preserve">, </w:t>
      </w:r>
      <w:r>
        <w:rPr>
          <w:rFonts w:ascii="Arial" w:cs="Arial" w:eastAsia="Arial" w:hAnsi="Arial"/>
          <w:sz w:val="18"/>
          <w:szCs w:val="18"/>
          <w:i w:val="1"/>
          <w:iCs w:val="1"/>
          <w:color w:val="000000"/>
        </w:rPr>
        <w:t>Long-term Debt</w:t>
      </w:r>
      <w:r>
        <w:rPr>
          <w:rFonts w:ascii="Arial" w:cs="Arial" w:eastAsia="Arial" w:hAnsi="Arial"/>
          <w:sz w:val="18"/>
          <w:szCs w:val="18"/>
          <w:color w:val="231F20"/>
        </w:rPr>
        <w:t xml:space="preserve"> to the Consolidated Financial Statements; (ii) capital expenditures; (iii) acquisitions and investments; and (iv) cash dividends to investors.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5" w:name="page56"/>
    <w:bookmarkEnd w:id="55"/>
    <w:p>
      <w:pPr>
        <w:ind w:left="420"/>
        <w:spacing w:after="0"/>
        <w:rPr>
          <w:sz w:val="20"/>
          <w:szCs w:val="20"/>
          <w:color w:val="auto"/>
        </w:rPr>
      </w:pPr>
      <w:r>
        <w:rPr>
          <w:rFonts w:ascii="Arial" w:cs="Arial" w:eastAsia="Arial" w:hAnsi="Arial"/>
          <w:sz w:val="18"/>
          <w:szCs w:val="18"/>
          <w:i w:val="1"/>
          <w:iCs w:val="1"/>
          <w:color w:val="231F20"/>
        </w:rPr>
        <w:t>Capital Expenditures</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231F20"/>
        </w:rPr>
        <w:t>The Company's capital spending program is mainly focused on maintenance capital expenditures, consisting of costs to maintain the assets currently operating, such as costs to replace or refurbish assets, and growth capital expenditures consisting of costs to construct new assets, costs to complete the construction of assets where construction is in process, and capital expenditures related to acquiring additional thermal customers.</w:t>
      </w:r>
    </w:p>
    <w:p>
      <w:pPr>
        <w:spacing w:after="0" w:line="11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 xml:space="preserve">For the six months ended </w:t>
      </w:r>
      <w:r>
        <w:rPr>
          <w:rFonts w:ascii="Arial" w:cs="Arial" w:eastAsia="Arial" w:hAnsi="Arial"/>
          <w:sz w:val="18"/>
          <w:szCs w:val="18"/>
          <w:color w:val="000000"/>
        </w:rPr>
        <w:t>June 30, 2020</w:t>
      </w:r>
      <w:r>
        <w:rPr>
          <w:rFonts w:ascii="Arial" w:cs="Arial" w:eastAsia="Arial" w:hAnsi="Arial"/>
          <w:sz w:val="18"/>
          <w:szCs w:val="18"/>
          <w:color w:val="231F20"/>
        </w:rPr>
        <w:t xml:space="preserve">, the Company used approximately $83 million to fund capital expenditures, including growth </w:t>
      </w:r>
      <w:r>
        <w:rPr>
          <w:rFonts w:ascii="Arial" w:cs="Arial" w:eastAsia="Arial" w:hAnsi="Arial"/>
          <w:sz w:val="18"/>
          <w:szCs w:val="18"/>
          <w:color w:val="000000"/>
        </w:rPr>
        <w:t>expenditures of</w:t>
      </w:r>
      <w:r>
        <w:rPr>
          <w:rFonts w:ascii="Arial" w:cs="Arial" w:eastAsia="Arial" w:hAnsi="Arial"/>
          <w:sz w:val="18"/>
          <w:szCs w:val="18"/>
          <w:color w:val="231F20"/>
        </w:rPr>
        <w:t xml:space="preserve"> </w:t>
      </w:r>
      <w:r>
        <w:rPr>
          <w:rFonts w:ascii="Arial" w:cs="Arial" w:eastAsia="Arial" w:hAnsi="Arial"/>
          <w:sz w:val="18"/>
          <w:szCs w:val="18"/>
          <w:color w:val="000000"/>
        </w:rPr>
        <w:t>$69 million, $46 million of which were incurred in connection with the repowering of the Elbow Creek and Wildorado facilities completed in the first quarter of 2020, as well as $6 million in connection with Oahu and Kawailoa Partnerships. The Company also incurred $12 million of growth capital expenditures in the Thermal segment in connection with various development projects. In addition, the Company incurred $14 million in maintenance capital expenditures. The Company estimates $32 million of maintenance expenditures for 2020. These estimates are subject to continuing review and adjustment. Actual capital expenditures may vary from these estimates.</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Repowering Partnership II LLC</w:t>
      </w:r>
    </w:p>
    <w:p>
      <w:pPr>
        <w:spacing w:after="0" w:line="15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May 11, 2020 the Company acquired CEG's remaining interest in Repowering 1.0, which includes the 161 MW Wildorado and 122 MW Elbow Creek wind projects, for cash consideration of $70 million.</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Acquisitions and Investments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intends to acquire generation assets developed and constructed by CEG, as well as generation and thermal infrastructure assets from third parties where the Company believes its knowledge of the market and operating expertise provides a competitive advantage, and to utilize such acquisitions as a means to grow its CAFD.</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Investment in Mesquite Star Wind Project</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August 3, 2020, the Company entered into an agreement with CEG to acquire an interest in Mesquite Star Pledgor LLC, which owns the Mesquite Star wind project, a 419 MW utility scale wind project located in Fisher County, Texas for approximately $79 million. The acquisition is expected to close during the third quarter of 2020 and will be funded with existing liquidity.</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April 2020 Drop Down</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April 17, 2020, the Company entered into binding agreements to acquire and invest in a portfolio of the following projects: (i) 100% of the equity interests in Rattlesnake Flat, LLC, which owns the Rattlesnake Wind Project, a 144 net MW wind facility located in Adams County, WA; (ii) CEG's interest in Repowering Partnership II LLC (Repowering 1.0), which the Company acquired on May 11, 2020; and (iii) a new partnership with CEG to repower the Pinnacle Wind Project, a 55 net MW wind facility located in Mineral County, WV. The Company expects to invest approximately $241 million in corporate capital subject to closing adjustments for the above mentioned transactions.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Investment Partnership with CEG</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six months ended June 30, 2020, the Company invested $10 million in distributed generation partnerships with CEG.</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Clearway Energy LLC and Clearway Energy Operating LLC Revolving Credit Facility</w:t>
      </w:r>
    </w:p>
    <w:p>
      <w:pPr>
        <w:spacing w:after="0" w:line="171" w:lineRule="exact"/>
        <w:rPr>
          <w:sz w:val="20"/>
          <w:szCs w:val="20"/>
          <w:color w:val="auto"/>
        </w:rPr>
      </w:pPr>
    </w:p>
    <w:p>
      <w:pPr>
        <w:ind w:right="660" w:firstLine="405"/>
        <w:spacing w:after="0" w:line="308" w:lineRule="auto"/>
        <w:rPr>
          <w:sz w:val="20"/>
          <w:szCs w:val="20"/>
          <w:color w:val="auto"/>
        </w:rPr>
      </w:pPr>
      <w:r>
        <w:rPr>
          <w:rFonts w:ascii="Arial" w:cs="Arial" w:eastAsia="Arial" w:hAnsi="Arial"/>
          <w:sz w:val="17"/>
          <w:szCs w:val="17"/>
          <w:color w:val="auto"/>
        </w:rPr>
        <w:t>During the six months ended June 30, 2020, the Company borrowed $265 million under the revolving credit facility, and subsequently repaid $265 million utilizing the proceeds from the issuance of additional 2028 Senior Notes as described above and cash on hand.</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2020 Convertible Notes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June 1, 2020, the Company repaid its outstanding $45 million of 2020 Convertible Notes utilizing the proceeds from the issuance of additional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2028 Senior Notes as described above.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6" w:name="page57"/>
    <w:bookmarkEnd w:id="56"/>
    <w:p>
      <w:pPr>
        <w:ind w:left="420"/>
        <w:spacing w:after="0"/>
        <w:rPr>
          <w:sz w:val="20"/>
          <w:szCs w:val="20"/>
          <w:color w:val="auto"/>
        </w:rPr>
      </w:pPr>
      <w:r>
        <w:rPr>
          <w:rFonts w:ascii="Arial" w:cs="Arial" w:eastAsia="Arial" w:hAnsi="Arial"/>
          <w:sz w:val="18"/>
          <w:szCs w:val="18"/>
          <w:i w:val="1"/>
          <w:iCs w:val="1"/>
          <w:color w:val="231F20"/>
        </w:rPr>
        <w:t>Cash Dividends to Investors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231F20"/>
        </w:rPr>
        <w:t>Clearway Energy, Inc. intends to use the amount of cash that it receives from its distributions from Clearway Energy LLC to pay quarterly dividends to the holders of its Class A common stock and Class C common stock. Clearway Energy LLC intends to distribute to its unit holders in the form of a quarterly distribution all of the CAFD it generates each quarter, less reserves for the prudent conduct of the business, including among others, maintenance capital expenditures to maintain the operating capacity of the assets. Dividends on t</w:t>
      </w:r>
      <w:r>
        <w:rPr>
          <w:rFonts w:ascii="Arial" w:cs="Arial" w:eastAsia="Arial" w:hAnsi="Arial"/>
          <w:sz w:val="17"/>
          <w:szCs w:val="17"/>
          <w:color w:val="000000"/>
        </w:rPr>
        <w:t>he Class A common stock and Class C common stock are subject to</w:t>
      </w:r>
      <w:r>
        <w:rPr>
          <w:rFonts w:ascii="Arial" w:cs="Arial" w:eastAsia="Arial" w:hAnsi="Arial"/>
          <w:sz w:val="17"/>
          <w:szCs w:val="17"/>
          <w:color w:val="231F20"/>
        </w:rPr>
        <w:t xml:space="preserve"> </w:t>
      </w:r>
      <w:r>
        <w:rPr>
          <w:rFonts w:ascii="Arial" w:cs="Arial" w:eastAsia="Arial" w:hAnsi="Arial"/>
          <w:sz w:val="17"/>
          <w:szCs w:val="17"/>
          <w:color w:val="000000"/>
        </w:rPr>
        <w:t>available capital, market conditions, and compliance with associated laws, regulations and other contractual obligations. The Company expects that, based on current circumstances, comparable cash dividends will continue to be paid in the foreseeable future.</w:t>
      </w:r>
    </w:p>
    <w:p>
      <w:pPr>
        <w:spacing w:after="0" w:line="12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8"/>
          <w:szCs w:val="18"/>
          <w:color w:val="auto"/>
        </w:rPr>
        <w:t>The following table lists the dividends paid on Clearway Energy, Inc.'s Class A common stock and Class C common stock during the six months ended June 30, 2020:</w:t>
      </w:r>
    </w:p>
    <w:tbl>
      <w:tblPr>
        <w:tblLayout w:type="fixed"/>
        <w:tblInd w:w="0" w:type="dxa"/>
        <w:tblCellMar>
          <w:top w:w="0" w:type="dxa"/>
          <w:left w:w="0" w:type="dxa"/>
          <w:bottom w:w="0" w:type="dxa"/>
          <w:right w:w="0" w:type="dxa"/>
        </w:tblCellMar>
      </w:tblPr>
      <w:tr>
        <w:trPr>
          <w:trHeight w:val="150"/>
        </w:trPr>
        <w:tc>
          <w:tcPr>
            <w:tcW w:w="8900" w:type="dxa"/>
            <w:vAlign w:val="bottom"/>
          </w:tcPr>
          <w:p>
            <w:pPr>
              <w:spacing w:after="0"/>
              <w:rPr>
                <w:sz w:val="13"/>
                <w:szCs w:val="13"/>
                <w:color w:val="auto"/>
              </w:rPr>
            </w:pPr>
          </w:p>
        </w:tc>
        <w:tc>
          <w:tcPr>
            <w:tcW w:w="1220" w:type="dxa"/>
            <w:vAlign w:val="bottom"/>
            <w:gridSpan w:val="3"/>
          </w:tcPr>
          <w:p>
            <w:pPr>
              <w:ind w:left="60"/>
              <w:spacing w:after="0" w:line="150" w:lineRule="exact"/>
              <w:rPr>
                <w:sz w:val="20"/>
                <w:szCs w:val="20"/>
                <w:color w:val="auto"/>
              </w:rPr>
            </w:pPr>
            <w:r>
              <w:rPr>
                <w:rFonts w:ascii="Arial" w:cs="Arial" w:eastAsia="Arial" w:hAnsi="Arial"/>
                <w:sz w:val="14"/>
                <w:szCs w:val="14"/>
                <w:b w:val="1"/>
                <w:bCs w:val="1"/>
                <w:color w:val="auto"/>
              </w:rPr>
              <w:t>Second Quarter</w:t>
            </w:r>
          </w:p>
        </w:tc>
        <w:tc>
          <w:tcPr>
            <w:tcW w:w="120" w:type="dxa"/>
            <w:vAlign w:val="bottom"/>
          </w:tcPr>
          <w:p>
            <w:pPr>
              <w:spacing w:after="0"/>
              <w:rPr>
                <w:sz w:val="13"/>
                <w:szCs w:val="13"/>
                <w:color w:val="auto"/>
              </w:rPr>
            </w:pPr>
          </w:p>
        </w:tc>
        <w:tc>
          <w:tcPr>
            <w:tcW w:w="1000" w:type="dxa"/>
            <w:vAlign w:val="bottom"/>
          </w:tcPr>
          <w:p>
            <w:pPr>
              <w:jc w:val="right"/>
              <w:ind w:right="59"/>
              <w:spacing w:after="0" w:line="150" w:lineRule="exact"/>
              <w:rPr>
                <w:sz w:val="20"/>
                <w:szCs w:val="20"/>
                <w:color w:val="auto"/>
              </w:rPr>
            </w:pPr>
            <w:r>
              <w:rPr>
                <w:rFonts w:ascii="Arial" w:cs="Arial" w:eastAsia="Arial" w:hAnsi="Arial"/>
                <w:sz w:val="14"/>
                <w:szCs w:val="14"/>
                <w:b w:val="1"/>
                <w:bCs w:val="1"/>
                <w:color w:val="auto"/>
                <w:w w:val="99"/>
              </w:rPr>
              <w:t>First Quarter</w:t>
            </w:r>
          </w:p>
        </w:tc>
      </w:tr>
      <w:tr>
        <w:trPr>
          <w:trHeight w:val="192"/>
        </w:trPr>
        <w:tc>
          <w:tcPr>
            <w:tcW w:w="89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r>
      <w:tr>
        <w:trPr>
          <w:trHeight w:val="250"/>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per Class A share</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0.21</w:t>
            </w:r>
          </w:p>
        </w:tc>
      </w:tr>
      <w:tr>
        <w:trPr>
          <w:trHeight w:val="243"/>
        </w:trPr>
        <w:tc>
          <w:tcPr>
            <w:tcW w:w="8900" w:type="dxa"/>
            <w:vAlign w:val="bottom"/>
          </w:tcPr>
          <w:p>
            <w:pPr>
              <w:ind w:left="20"/>
              <w:spacing w:after="0"/>
              <w:rPr>
                <w:sz w:val="20"/>
                <w:szCs w:val="20"/>
                <w:color w:val="auto"/>
              </w:rPr>
            </w:pPr>
            <w:r>
              <w:rPr>
                <w:rFonts w:ascii="Arial" w:cs="Arial" w:eastAsia="Arial" w:hAnsi="Arial"/>
                <w:sz w:val="18"/>
                <w:szCs w:val="18"/>
                <w:color w:val="auto"/>
              </w:rPr>
              <w:t>Dividends per Class C share</w:t>
            </w: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6"/>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9"/>
              <w:spacing w:after="0"/>
              <w:rPr>
                <w:sz w:val="20"/>
                <w:szCs w:val="20"/>
                <w:color w:val="auto"/>
              </w:rPr>
            </w:pPr>
            <w:r>
              <w:rPr>
                <w:rFonts w:ascii="Arial" w:cs="Arial" w:eastAsia="Arial" w:hAnsi="Arial"/>
                <w:sz w:val="18"/>
                <w:szCs w:val="18"/>
                <w:color w:val="auto"/>
              </w:rPr>
              <w:t>0.21</w:t>
            </w:r>
          </w:p>
        </w:tc>
      </w:tr>
    </w:tbl>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July 30, 2020, the Company declared quarterly dividends on its Class A common stock and Class C common stock of $0.3125 per share payable on September 15, 2020, to stockholders of record as of September 1, 2020.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Cash Flow Discussion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reflects the changes in cash flows for the six months ended June 30, 2020, compared to the six months ended June 30, 2019:</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7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184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center"/>
              <w:ind w:left="517"/>
              <w:spacing w:after="0"/>
              <w:rPr>
                <w:sz w:val="20"/>
                <w:szCs w:val="20"/>
                <w:color w:val="auto"/>
              </w:rPr>
            </w:pPr>
            <w:r>
              <w:rPr>
                <w:rFonts w:ascii="Arial" w:cs="Arial" w:eastAsia="Arial" w:hAnsi="Arial"/>
                <w:sz w:val="18"/>
                <w:szCs w:val="18"/>
                <w:color w:val="auto"/>
                <w:w w:val="93"/>
              </w:rPr>
              <w:t>150</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w:t>
            </w: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Pr>
          <w:p>
            <w:pPr>
              <w:spacing w:after="0"/>
              <w:rPr>
                <w:sz w:val="21"/>
                <w:szCs w:val="21"/>
                <w:color w:val="auto"/>
              </w:rPr>
            </w:pPr>
          </w:p>
        </w:tc>
        <w:tc>
          <w:tcPr>
            <w:tcW w:w="1020" w:type="dxa"/>
            <w:vAlign w:val="bottom"/>
          </w:tcPr>
          <w:p>
            <w:pPr>
              <w:jc w:val="right"/>
              <w:ind w:right="97"/>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21"/>
                <w:szCs w:val="21"/>
                <w:color w:val="auto"/>
              </w:rPr>
            </w:pPr>
          </w:p>
        </w:tc>
        <w:tc>
          <w:tcPr>
            <w:tcW w:w="1160" w:type="dxa"/>
            <w:vAlign w:val="bottom"/>
          </w:tcPr>
          <w:p>
            <w:pPr>
              <w:jc w:val="center"/>
              <w:ind w:left="497"/>
              <w:spacing w:after="0"/>
              <w:rPr>
                <w:sz w:val="20"/>
                <w:szCs w:val="20"/>
                <w:color w:val="auto"/>
              </w:rPr>
            </w:pPr>
            <w:r>
              <w:rPr>
                <w:rFonts w:ascii="Arial" w:cs="Arial" w:eastAsia="Arial" w:hAnsi="Arial"/>
                <w:sz w:val="18"/>
                <w:szCs w:val="18"/>
                <w:color w:val="auto"/>
                <w:w w:val="90"/>
              </w:rPr>
              <w:t>(211)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251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center"/>
              <w:ind w:left="477"/>
              <w:spacing w:after="0"/>
              <w:rPr>
                <w:sz w:val="20"/>
                <w:szCs w:val="20"/>
                <w:color w:val="auto"/>
              </w:rPr>
            </w:pPr>
            <w:r>
              <w:rPr>
                <w:rFonts w:ascii="Arial" w:cs="Arial" w:eastAsia="Arial" w:hAnsi="Arial"/>
                <w:sz w:val="18"/>
                <w:szCs w:val="18"/>
                <w:color w:val="auto"/>
                <w:w w:val="95"/>
              </w:rPr>
              <w:t>(226)</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7200" w:type="dxa"/>
            <w:vAlign w:val="bottom"/>
            <w:gridSpan w:val="2"/>
          </w:tcPr>
          <w:p>
            <w:pPr>
              <w:ind w:left="420"/>
              <w:spacing w:after="0"/>
              <w:rPr>
                <w:sz w:val="20"/>
                <w:szCs w:val="20"/>
                <w:color w:val="auto"/>
              </w:rPr>
            </w:pPr>
            <w:r>
              <w:rPr>
                <w:rFonts w:ascii="Arial" w:cs="Arial" w:eastAsia="Arial" w:hAnsi="Arial"/>
                <w:sz w:val="18"/>
                <w:szCs w:val="18"/>
                <w:b w:val="1"/>
                <w:bCs w:val="1"/>
                <w:i w:val="1"/>
                <w:iCs w:val="1"/>
                <w:color w:val="auto"/>
              </w:rPr>
              <w:t>Net Cash Provided by Operating Activities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Changes to net cash provided by operating activities were driven by:</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7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Increase in operating income adjusted for non-cash items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960" w:type="dxa"/>
            <w:vAlign w:val="bottom"/>
            <w:gridSpan w:val="7"/>
          </w:tcPr>
          <w:p>
            <w:pPr>
              <w:ind w:left="120"/>
              <w:spacing w:after="0"/>
              <w:rPr>
                <w:sz w:val="20"/>
                <w:szCs w:val="20"/>
                <w:color w:val="auto"/>
              </w:rPr>
            </w:pPr>
            <w:r>
              <w:rPr>
                <w:rFonts w:ascii="Arial" w:cs="Arial" w:eastAsia="Arial" w:hAnsi="Arial"/>
                <w:sz w:val="18"/>
                <w:szCs w:val="18"/>
                <w:color w:val="auto"/>
                <w:w w:val="98"/>
              </w:rPr>
              <w:t>Decrease in working capital driven primarily by the timing of accounts receivable collections and payment of accounts payable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Decrease in dividend distributions received from unconsolidated affiliates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0" w:type="dxa"/>
            <w:vAlign w:val="bottom"/>
            <w:gridSpan w:val="2"/>
            <w:vMerge w:val="restart"/>
          </w:tcPr>
          <w:p>
            <w:pPr>
              <w:ind w:left="420"/>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72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Changes to net cash provided by (used in) investing activities were driven by:</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Acquisition of Duquesne University District Energy System on May 1, 2019</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20" w:type="dxa"/>
            <w:vAlign w:val="bottom"/>
            <w:gridSpan w:val="4"/>
          </w:tcPr>
          <w:p>
            <w:pPr>
              <w:ind w:left="120"/>
              <w:spacing w:after="0"/>
              <w:rPr>
                <w:sz w:val="20"/>
                <w:szCs w:val="20"/>
                <w:color w:val="auto"/>
              </w:rPr>
            </w:pPr>
            <w:r>
              <w:rPr>
                <w:rFonts w:ascii="Arial" w:cs="Arial" w:eastAsia="Arial" w:hAnsi="Arial"/>
                <w:sz w:val="18"/>
                <w:szCs w:val="18"/>
                <w:color w:val="auto"/>
                <w:w w:val="93"/>
              </w:rPr>
              <w:t>Proceeds received from sale of RPV Holdco, Energy Center Dover LLC and Energy Center Smyrna LLC in 2020</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Payment to buy out an existing tax equity partner of Wind TE Holdco on January 2, 2019</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gridSpan w:val="2"/>
          </w:tcPr>
          <w:p>
            <w:pPr>
              <w:ind w:left="120"/>
              <w:spacing w:after="0"/>
              <w:rPr>
                <w:sz w:val="20"/>
                <w:szCs w:val="20"/>
                <w:color w:val="auto"/>
              </w:rPr>
            </w:pPr>
            <w:r>
              <w:rPr>
                <w:rFonts w:ascii="Arial" w:cs="Arial" w:eastAsia="Arial" w:hAnsi="Arial"/>
                <w:sz w:val="18"/>
                <w:szCs w:val="18"/>
                <w:color w:val="auto"/>
              </w:rPr>
              <w:t>Increase in cash due to consolidation of DGPV Holdco LLC in May 2020</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960" w:type="dxa"/>
            <w:vAlign w:val="bottom"/>
            <w:gridSpan w:val="7"/>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960" w:type="dxa"/>
            <w:vAlign w:val="bottom"/>
            <w:gridSpan w:val="7"/>
            <w:shd w:val="clear" w:color="auto" w:fill="CCEEFF"/>
          </w:tcPr>
          <w:p>
            <w:pPr>
              <w:ind w:left="120"/>
              <w:spacing w:after="0"/>
              <w:rPr>
                <w:sz w:val="20"/>
                <w:szCs w:val="20"/>
                <w:color w:val="auto"/>
              </w:rPr>
            </w:pPr>
            <w:r>
              <w:rPr>
                <w:rFonts w:ascii="Arial" w:cs="Arial" w:eastAsia="Arial" w:hAnsi="Arial"/>
                <w:sz w:val="18"/>
                <w:szCs w:val="18"/>
                <w:color w:val="auto"/>
                <w:w w:val="94"/>
              </w:rPr>
              <w:t>Decrease in growth capital expenditures in the Renewables segment related to prior year expenditures for the repowering of Elbow</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Creek and Wildorado</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00" w:type="dxa"/>
            <w:vAlign w:val="bottom"/>
            <w:gridSpan w:val="2"/>
          </w:tcPr>
          <w:p>
            <w:pPr>
              <w:ind w:left="120"/>
              <w:spacing w:after="0"/>
              <w:rPr>
                <w:sz w:val="20"/>
                <w:szCs w:val="20"/>
                <w:color w:val="auto"/>
              </w:rPr>
            </w:pPr>
            <w:r>
              <w:rPr>
                <w:rFonts w:ascii="Arial" w:cs="Arial" w:eastAsia="Arial" w:hAnsi="Arial"/>
                <w:sz w:val="18"/>
                <w:szCs w:val="18"/>
                <w:color w:val="auto"/>
                <w:w w:val="89"/>
              </w:rPr>
              <w:t>Payment to acquire the Class A interest in the Oahu Partnership and Kawailoa Partnership in 2019</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Increase in net distributions from unconsolidated affiliates in 2020</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gridSpan w:val="2"/>
          </w:tcPr>
          <w:p>
            <w:pPr>
              <w:ind w:left="1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1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ectPr>
          <w:pgSz w:w="11900" w:h="16838" w:orient="portrait"/>
          <w:cols w:equalWidth="0" w:num="1">
            <w:col w:w="11240"/>
          </w:cols>
          <w:pgMar w:left="320" w:top="891" w:right="339" w:bottom="1440" w:gutter="0" w:footer="0" w:header="0"/>
        </w:sect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Changes in net cash used in financing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3086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06285" cy="308610"/>
                    </a:xfrm>
                    <a:prstGeom prst="rect">
                      <a:avLst/>
                    </a:prstGeom>
                    <a:noFill/>
                  </pic:spPr>
                </pic:pic>
              </a:graphicData>
            </a:graphic>
          </wp:anchor>
        </w:drawing>
      </w:r>
    </w:p>
    <w:p>
      <w:pPr>
        <w:spacing w:after="0" w:line="16"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Increase in net contributions received from noncontrolling interests in 2020 compared to 2019, primarily from tax equity contributions in the Wildorado TE Holdco</w:t>
      </w:r>
    </w:p>
    <w:p>
      <w:pPr>
        <w:spacing w:after="0" w:line="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Decrease in payments for long-term debt in 2020 compared to 2019 primarily due to 2019 repayment of 2019 Convertible Notes and Tapestry and Viento project level debt refinancing offset by 2020 repayments of Repowering Partnership construction debt, 2024 Senior Notes and 2020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06285"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 w:lineRule="exact"/>
        <w:rPr>
          <w:sz w:val="20"/>
          <w:szCs w:val="20"/>
          <w:color w:val="auto"/>
        </w:rPr>
      </w:pPr>
    </w:p>
    <w:p>
      <w:pPr>
        <w:ind w:left="120" w:right="3320"/>
        <w:spacing w:after="0" w:line="352" w:lineRule="auto"/>
        <w:rPr>
          <w:sz w:val="20"/>
          <w:szCs w:val="20"/>
          <w:color w:val="auto"/>
        </w:rPr>
      </w:pPr>
      <w:r>
        <w:rPr>
          <w:rFonts w:ascii="Arial" w:cs="Arial" w:eastAsia="Arial" w:hAnsi="Arial"/>
          <w:sz w:val="16"/>
          <w:szCs w:val="16"/>
          <w:color w:val="auto"/>
        </w:rPr>
        <w:t>Net proceeds received from issuance of common stock under the ATM Program in 2020 Decrease in payments for debt issuance costs due to project level debt refinancing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06285" cy="3086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06285" cy="308610"/>
                    </a:xfrm>
                    <a:prstGeom prst="rect">
                      <a:avLst/>
                    </a:prstGeom>
                    <a:noFill/>
                  </pic:spPr>
                </pic:pic>
              </a:graphicData>
            </a:graphic>
          </wp:anchor>
        </w:drawing>
      </w:r>
    </w:p>
    <w:p>
      <w:pPr>
        <w:ind w:left="120" w:right="520"/>
        <w:spacing w:after="0" w:line="277" w:lineRule="auto"/>
        <w:rPr>
          <w:sz w:val="20"/>
          <w:szCs w:val="20"/>
          <w:color w:val="auto"/>
        </w:rPr>
      </w:pPr>
      <w:r>
        <w:rPr>
          <w:rFonts w:ascii="Arial" w:cs="Arial" w:eastAsia="Arial" w:hAnsi="Arial"/>
          <w:sz w:val="18"/>
          <w:szCs w:val="18"/>
          <w:color w:val="auto"/>
        </w:rPr>
        <w:t>Decrease in proceeds from long-term debt in 2020 compared to 2019 primarily due to 2019 project level financing agreements at Repowering Partnership, Tapestry and Thermal offset by the 2028 Senior Note proceeds in 2020</w:t>
      </w:r>
    </w:p>
    <w:p>
      <w:pPr>
        <w:spacing w:after="0" w:line="8" w:lineRule="exact"/>
        <w:rPr>
          <w:sz w:val="20"/>
          <w:szCs w:val="20"/>
          <w:color w:val="auto"/>
        </w:rPr>
      </w:pPr>
    </w:p>
    <w:p>
      <w:pPr>
        <w:ind w:left="120" w:right="2420"/>
        <w:spacing w:after="0" w:line="340" w:lineRule="auto"/>
        <w:rPr>
          <w:sz w:val="20"/>
          <w:szCs w:val="20"/>
          <w:color w:val="auto"/>
        </w:rPr>
      </w:pPr>
      <w:r>
        <w:rPr>
          <w:rFonts w:ascii="Arial" w:cs="Arial" w:eastAsia="Arial" w:hAnsi="Arial"/>
          <w:sz w:val="18"/>
          <w:szCs w:val="18"/>
          <w:color w:val="auto"/>
        </w:rPr>
        <w:t>Payment to buy out CEG's noncontrolling interest in Repowering Partnership II LLC on May 11, 2020 Increase in dividends paid to common stockholders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06285"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(In millions)</w:t>
      </w:r>
    </w:p>
    <w:p>
      <w:pPr>
        <w:spacing w:after="0" w:line="266" w:lineRule="exact"/>
        <w:rPr>
          <w:sz w:val="20"/>
          <w:szCs w:val="20"/>
          <w:color w:val="auto"/>
        </w:rPr>
      </w:pPr>
    </w:p>
    <w:p>
      <w:pPr>
        <w:ind w:left="840" w:hanging="832"/>
        <w:spacing w:after="0"/>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165</w:t>
      </w:r>
    </w:p>
    <w:p>
      <w:pPr>
        <w:spacing w:after="0" w:line="200" w:lineRule="exact"/>
        <w:rPr>
          <w:sz w:val="20"/>
          <w:szCs w:val="20"/>
          <w:color w:val="auto"/>
        </w:rPr>
      </w:pPr>
    </w:p>
    <w:p>
      <w:pPr>
        <w:spacing w:after="0" w:line="29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69</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38</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13</w:t>
      </w:r>
    </w:p>
    <w:p>
      <w:pPr>
        <w:spacing w:after="0" w:line="279"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(207)</w:t>
      </w:r>
    </w:p>
    <w:p>
      <w:pPr>
        <w:spacing w:after="0" w:line="63"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(70)</w:t>
      </w:r>
    </w:p>
    <w:p>
      <w:pPr>
        <w:spacing w:after="0" w:line="63"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8058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57" w:lineRule="exact"/>
        <w:rPr>
          <w:sz w:val="20"/>
          <w:szCs w:val="20"/>
          <w:color w:val="auto"/>
        </w:rPr>
      </w:pPr>
    </w:p>
    <w:p>
      <w:pPr>
        <w:ind w:left="1020" w:hanging="1012"/>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80581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57785</wp:posOffset>
            </wp:positionV>
            <wp:extent cx="8058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920" w:space="20"/>
            <w:col w:w="1300"/>
          </w:cols>
          <w:pgMar w:left="320" w:top="89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231F20"/>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NOLs, Deferred Tax Assets and Uncertain Tax Position Implications, under ASC 740</w:t>
      </w:r>
    </w:p>
    <w:p>
      <w:pPr>
        <w:spacing w:after="0" w:line="17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As of December 31, 2019, the Company has a cumulative federal NOL carry forward balance of $1 billion for financial statement purposes, of which $0.9 billion will begin expiring between 2033 to 2037 if unutilized. The Company does not anticipate any federal income tax payments for 2020. Additionally, as of December 31, 2019, the Company has a cumulative state NOL carryforward balance of $649 million for financial statement purposes, which will expire between 2023 to 2039 if unutilized. The Company does not anticipate significant income tax payments for state and local jurisdictions in 2020. Based on the Company's current and expected NOL balances generated primarily by accelerated tax depreciation of its property, plant and equipment, the Company does not expect to pay significant federal income tax for a period of approximately ten years inclusive of any NOL generated after 2017 or later subject to an 80% limitation against future taxable income pursuant to the Tax Act.</w:t>
      </w:r>
    </w:p>
    <w:p>
      <w:pPr>
        <w:spacing w:after="0" w:line="12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of December 31, 2019, the Company has an interest disallowance carry forward of $219 million as a result of the proposed §163(j) regulation, which was enacted as part of the Tax Cut and Jobs Act. The disallowed interest deduction has an indefinite carry forward period and any limitations on the utilization of this carry forward have been factored into our valuation allowance analysis. These are proposed regulations which are not final and are subject to change in the regulatory review process. On July 28, 2020, the Internal Revenue Service issued final regulations under §163(j), which limits the deduction for business interest expense. The Company is currently analyzing the impact that the regulations will have on its consolidated financial statements and related income tax calculations.</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On March 27, 2020 the Coronavirus Aid, Relief, and Economic Security (CARES) Act, or CARES Act, was signed into law, which includes</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modifications to the business interest expense disallowance and net operating loss provisions. While the Company expects to utilize previously disallowed interest expense during 2020 as a result of the modifications, the Company does not expect the CARES Act to have a material impact on the consolidated financial statements. The Company will continue to assess the effects of the CARES Act and ongoing government guidance related to COVID-19 that may be issued.</w:t>
      </w:r>
    </w:p>
    <w:p>
      <w:pPr>
        <w:spacing w:after="0" w:line="13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June 29, 2020, governor of California signed Assembly Bill 85, or AB 85, suspending California net operating loss (NOL) utilization and imposing a cap on the amount of business incentive credits companies can utilize, effective for tax years 2020, 2021, and 2022. After assessing the law change, the Company expects AB 85 to have an immaterial impact on the consolidated financial statements.</w:t>
      </w:r>
    </w:p>
    <w:p>
      <w:pPr>
        <w:spacing w:after="0" w:line="13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is subject to examination by taxing authorities for income tax returns filed in the U.S. federal jurisdiction and various state jurisdictions. The Company is not subject to U.S. federal or state income tax examinations for years prior to 2013. The Company has no uncertain tax benefits.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under Certain Guarantee Contracts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The Company may enter into guarantee arrangements in the normal course of business to facilitate commercial transactions with third parties.</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Retained or Contingent Interests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retained or contingent interests in assets transferred to an unconsolidated entity.</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Arising Out of a Variable Interest in an Unconsolidated Entity</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Variable interest in equity investments </w:t>
      </w:r>
      <w:r>
        <w:rPr>
          <w:rFonts w:ascii="Arial" w:cs="Arial" w:eastAsia="Arial" w:hAnsi="Arial"/>
          <w:sz w:val="18"/>
          <w:szCs w:val="18"/>
          <w:color w:val="auto"/>
        </w:rPr>
        <w:t>— As of June 30, 2020, the Company has several investments with an ownership interest percentage of 50% or</w:t>
      </w:r>
      <w:r>
        <w:rPr>
          <w:rFonts w:ascii="Arial" w:cs="Arial" w:eastAsia="Arial" w:hAnsi="Arial"/>
          <w:sz w:val="18"/>
          <w:szCs w:val="18"/>
          <w:i w:val="1"/>
          <w:iCs w:val="1"/>
          <w:color w:val="auto"/>
        </w:rPr>
        <w:t xml:space="preserve"> </w:t>
      </w:r>
      <w:r>
        <w:rPr>
          <w:rFonts w:ascii="Arial" w:cs="Arial" w:eastAsia="Arial" w:hAnsi="Arial"/>
          <w:sz w:val="18"/>
          <w:szCs w:val="18"/>
          <w:color w:val="auto"/>
        </w:rPr>
        <w:t>less in energy and energy-related entities that are accounted for under the equity method. DGPV Holdco 1 LLC</w:t>
      </w:r>
      <w:r>
        <w:rPr>
          <w:rFonts w:ascii="Arial" w:cs="Arial" w:eastAsia="Arial" w:hAnsi="Arial"/>
          <w:sz w:val="18"/>
          <w:szCs w:val="18"/>
          <w:i w:val="1"/>
          <w:iCs w:val="1"/>
          <w:color w:val="auto"/>
        </w:rPr>
        <w:t>,</w:t>
      </w:r>
      <w:r>
        <w:rPr>
          <w:rFonts w:ascii="Arial" w:cs="Arial" w:eastAsia="Arial" w:hAnsi="Arial"/>
          <w:sz w:val="18"/>
          <w:szCs w:val="18"/>
          <w:color w:val="auto"/>
        </w:rPr>
        <w:t xml:space="preserve"> DGPV Holdco 2 LLC and GenConn are variable interest entities for which the Company is not the primary beneficiary. The Company's pro-rata share of non-recourse debt held by unconsolidated affiliates was approximately $660 million as of June 30, 2020. This indebtedness may restrict the ability of these subsidiaries to issue dividends or distributions to the Company.</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17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Company has a variety of contractual obligations and other commercial commitments that represent prospective cash requirements in addition to the Company's capital expenditure programs, as disclosed in the Company's 2019 Form 10-K.</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The Company may enter into fuel purchase contracts and other energy-related derivative instruments to mitigate variability in earnings due to fluctuations in spot market prices and to hedge fuel requirements at certain generation facilities. In addition, in order to mitigate interest rate risk associated with the issuance of variable rate debt, the Company enters into interest rate swap agreements.</w:t>
      </w:r>
    </w:p>
    <w:p>
      <w:pPr>
        <w:spacing w:after="0" w:line="13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Arial" w:cs="Arial" w:eastAsia="Arial" w:hAnsi="Arial"/>
          <w:sz w:val="17"/>
          <w:szCs w:val="17"/>
          <w:color w:val="000000"/>
        </w:rPr>
        <w:t>June 30, 2020</w:t>
      </w:r>
      <w:r>
        <w:rPr>
          <w:rFonts w:ascii="Arial" w:cs="Arial" w:eastAsia="Arial" w:hAnsi="Arial"/>
          <w:sz w:val="17"/>
          <w:szCs w:val="17"/>
          <w:color w:val="231F20"/>
        </w:rPr>
        <w:t xml:space="preserve">, based on their level within the fair value hierarchy defined in ASC 820; and indicate the maturities of contracts at </w:t>
      </w:r>
      <w:r>
        <w:rPr>
          <w:rFonts w:ascii="Arial" w:cs="Arial" w:eastAsia="Arial" w:hAnsi="Arial"/>
          <w:sz w:val="17"/>
          <w:szCs w:val="17"/>
          <w:color w:val="000000"/>
        </w:rPr>
        <w:t>June 30, 2020</w:t>
      </w:r>
      <w:r>
        <w:rPr>
          <w:rFonts w:ascii="Arial" w:cs="Arial" w:eastAsia="Arial" w:hAnsi="Arial"/>
          <w:sz w:val="17"/>
          <w:szCs w:val="17"/>
          <w:color w:val="231F20"/>
        </w:rPr>
        <w:t xml:space="preserve">. For a full discussion of the Company's valuation methodology of its contracts, see </w:t>
      </w:r>
      <w:r>
        <w:rPr>
          <w:rFonts w:ascii="Arial" w:cs="Arial" w:eastAsia="Arial" w:hAnsi="Arial"/>
          <w:sz w:val="17"/>
          <w:szCs w:val="17"/>
          <w:i w:val="1"/>
          <w:iCs w:val="1"/>
          <w:color w:val="231F20"/>
        </w:rPr>
        <w:t>Derivative Fair Value Measurements</w:t>
      </w:r>
      <w:r>
        <w:rPr>
          <w:rFonts w:ascii="Arial" w:cs="Arial" w:eastAsia="Arial" w:hAnsi="Arial"/>
          <w:sz w:val="17"/>
          <w:szCs w:val="17"/>
          <w:color w:val="231F20"/>
        </w:rPr>
        <w:t xml:space="preserve"> in Item — 1 </w:t>
      </w:r>
      <w:r>
        <w:rPr>
          <w:rFonts w:ascii="Arial" w:cs="Arial" w:eastAsia="Arial" w:hAnsi="Arial"/>
          <w:sz w:val="17"/>
          <w:szCs w:val="17"/>
          <w:color w:val="000000"/>
        </w:rPr>
        <w:t>Note 5</w:t>
      </w:r>
      <w:r>
        <w:rPr>
          <w:rFonts w:ascii="Arial" w:cs="Arial" w:eastAsia="Arial" w:hAnsi="Arial"/>
          <w:sz w:val="17"/>
          <w:szCs w:val="17"/>
          <w:color w:val="231F20"/>
        </w:rPr>
        <w:t xml:space="preserve">, </w:t>
      </w:r>
      <w:r>
        <w:rPr>
          <w:rFonts w:ascii="Arial" w:cs="Arial" w:eastAsia="Arial" w:hAnsi="Arial"/>
          <w:sz w:val="17"/>
          <w:szCs w:val="17"/>
          <w:i w:val="1"/>
          <w:iCs w:val="1"/>
          <w:color w:val="000000"/>
        </w:rPr>
        <w:t>Fair Value of Financial Instruments</w:t>
      </w:r>
      <w:r>
        <w:rPr>
          <w:rFonts w:ascii="Arial" w:cs="Arial" w:eastAsia="Arial" w:hAnsi="Arial"/>
          <w:sz w:val="17"/>
          <w:szCs w:val="17"/>
          <w:color w:val="231F20"/>
        </w:rPr>
        <w:t>.</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gridSpan w:val="4"/>
          </w:tcPr>
          <w:p>
            <w:pPr>
              <w:spacing w:after="0"/>
              <w:rPr>
                <w:sz w:val="20"/>
                <w:szCs w:val="20"/>
                <w:color w:val="auto"/>
              </w:rPr>
            </w:pPr>
            <w:r>
              <w:rPr>
                <w:rFonts w:ascii="Arial" w:cs="Arial" w:eastAsia="Arial" w:hAnsi="Arial"/>
                <w:sz w:val="14"/>
                <w:szCs w:val="14"/>
                <w:b w:val="1"/>
                <w:bCs w:val="1"/>
                <w:color w:val="auto"/>
              </w:rPr>
              <w:t>Derivative Activity (Losses) Gains</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Fair value of contracts as of December 31, 2019</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80" w:type="dxa"/>
            <w:vAlign w:val="bottom"/>
            <w:gridSpan w:val="3"/>
          </w:tcPr>
          <w:p>
            <w:pPr>
              <w:ind w:left="180"/>
              <w:spacing w:after="0"/>
              <w:rPr>
                <w:sz w:val="20"/>
                <w:szCs w:val="20"/>
                <w:color w:val="auto"/>
              </w:rPr>
            </w:pPr>
            <w:r>
              <w:rPr>
                <w:rFonts w:ascii="Arial" w:cs="Arial" w:eastAsia="Arial" w:hAnsi="Arial"/>
                <w:sz w:val="18"/>
                <w:szCs w:val="18"/>
                <w:color w:val="auto"/>
              </w:rPr>
              <w:t>Contracts realized or otherwise settled during the period</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Contracts acquired during the period</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80" w:type="dxa"/>
            <w:vAlign w:val="bottom"/>
            <w:gridSpan w:val="3"/>
          </w:tcPr>
          <w:p>
            <w:pPr>
              <w:ind w:left="180"/>
              <w:spacing w:after="0"/>
              <w:rPr>
                <w:sz w:val="20"/>
                <w:szCs w:val="20"/>
                <w:color w:val="auto"/>
              </w:rPr>
            </w:pPr>
            <w:r>
              <w:rPr>
                <w:rFonts w:ascii="Arial" w:cs="Arial" w:eastAsia="Arial" w:hAnsi="Arial"/>
                <w:sz w:val="18"/>
                <w:szCs w:val="18"/>
                <w:color w:val="auto"/>
              </w:rPr>
              <w:t>Changes in fair value</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4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Fair value of contracts as of June 30, 2020</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bottom w:val="single" w:sz="8" w:color="CCEEFF"/>
            </w:tcBorders>
            <w:gridSpan w:val="8"/>
            <w:vMerge w:val="restart"/>
          </w:tcPr>
          <w:p>
            <w:pPr>
              <w:jc w:val="center"/>
              <w:ind w:right="360"/>
              <w:spacing w:after="0"/>
              <w:rPr>
                <w:sz w:val="20"/>
                <w:szCs w:val="20"/>
                <w:color w:val="auto"/>
              </w:rPr>
            </w:pPr>
            <w:r>
              <w:rPr>
                <w:rFonts w:ascii="Arial" w:cs="Arial" w:eastAsia="Arial" w:hAnsi="Arial"/>
                <w:sz w:val="14"/>
                <w:szCs w:val="14"/>
                <w:b w:val="1"/>
                <w:bCs w:val="1"/>
                <w:color w:val="auto"/>
                <w:w w:val="91"/>
              </w:rPr>
              <w:t>Fair value of contracts as of June 30, 2020</w:t>
            </w: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6"/>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8"/>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rPr>
              <w:t>Maturity</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Fair Value Hierarchy (Losses) Gains</w:t>
            </w:r>
          </w:p>
        </w:tc>
        <w:tc>
          <w:tcPr>
            <w:tcW w:w="140" w:type="dxa"/>
            <w:vAlign w:val="bottom"/>
          </w:tcPr>
          <w:p>
            <w:pPr>
              <w:spacing w:after="0"/>
              <w:rPr>
                <w:sz w:val="15"/>
                <w:szCs w:val="15"/>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1 Year or Less</w:t>
            </w:r>
          </w:p>
        </w:tc>
        <w:tc>
          <w:tcPr>
            <w:tcW w:w="12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Greater Than</w:t>
            </w:r>
          </w:p>
        </w:tc>
        <w:tc>
          <w:tcPr>
            <w:tcW w:w="12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Greater Than</w:t>
            </w:r>
          </w:p>
        </w:tc>
        <w:tc>
          <w:tcPr>
            <w:tcW w:w="16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Greater Than</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Total Fair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1 Year to 3 Years</w:t>
            </w:r>
          </w:p>
        </w:tc>
        <w:tc>
          <w:tcPr>
            <w:tcW w:w="12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3 Years to 5 Years</w:t>
            </w:r>
          </w:p>
        </w:tc>
        <w:tc>
          <w:tcPr>
            <w:tcW w:w="16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5 Years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(In millions)</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800" w:type="dxa"/>
            <w:vAlign w:val="bottom"/>
            <w:gridSpan w:val="4"/>
          </w:tcPr>
          <w:p>
            <w:pPr>
              <w:ind w:left="20"/>
              <w:spacing w:after="0"/>
              <w:rPr>
                <w:sz w:val="20"/>
                <w:szCs w:val="20"/>
                <w:color w:val="auto"/>
              </w:rPr>
            </w:pPr>
            <w:r>
              <w:rPr>
                <w:rFonts w:ascii="Arial" w:cs="Arial" w:eastAsia="Arial" w:hAnsi="Arial"/>
                <w:sz w:val="18"/>
                <w:szCs w:val="18"/>
                <w:color w:val="auto"/>
              </w:rPr>
              <w:t>Level 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center"/>
              <w:ind w:left="495"/>
              <w:spacing w:after="0"/>
              <w:rPr>
                <w:sz w:val="20"/>
                <w:szCs w:val="20"/>
                <w:color w:val="auto"/>
              </w:rPr>
            </w:pPr>
            <w:r>
              <w:rPr>
                <w:rFonts w:ascii="Arial" w:cs="Arial" w:eastAsia="Arial" w:hAnsi="Arial"/>
                <w:sz w:val="18"/>
                <w:szCs w:val="18"/>
                <w:color w:val="auto"/>
                <w:w w:val="93"/>
              </w:rPr>
              <w:t>(41)</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22"/>
                <w:szCs w:val="22"/>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(216)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40" w:type="dxa"/>
            <w:vAlign w:val="bottom"/>
            <w:gridSpan w:val="2"/>
          </w:tcPr>
          <w:p>
            <w:pPr>
              <w:spacing w:after="0"/>
              <w:rPr>
                <w:sz w:val="2"/>
                <w:szCs w:val="2"/>
                <w:color w:val="auto"/>
              </w:rPr>
            </w:pPr>
          </w:p>
        </w:tc>
        <w:tc>
          <w:tcPr>
            <w:tcW w:w="2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800" w:type="dxa"/>
            <w:vAlign w:val="bottom"/>
            <w:tcBorders>
              <w:bottom w:val="single" w:sz="8" w:color="BFE4FF"/>
            </w:tcBorders>
            <w:gridSpan w:val="4"/>
            <w:shd w:val="clear" w:color="auto" w:fill="BFE4FF"/>
          </w:tcPr>
          <w:p>
            <w:pPr>
              <w:ind w:left="20"/>
              <w:spacing w:after="0"/>
              <w:rPr>
                <w:sz w:val="20"/>
                <w:szCs w:val="20"/>
                <w:color w:val="auto"/>
              </w:rPr>
            </w:pPr>
            <w:r>
              <w:rPr>
                <w:rFonts w:ascii="Arial" w:cs="Arial" w:eastAsia="Arial" w:hAnsi="Arial"/>
                <w:sz w:val="18"/>
                <w:szCs w:val="18"/>
                <w:color w:val="auto"/>
              </w:rPr>
              <w:t>Level 3</w:t>
            </w:r>
          </w:p>
        </w:tc>
        <w:tc>
          <w:tcPr>
            <w:tcW w:w="140" w:type="dxa"/>
            <w:vAlign w:val="bottom"/>
            <w:tcBorders>
              <w:bottom w:val="single" w:sz="8" w:color="BFE4FF"/>
            </w:tcBorders>
            <w:shd w:val="clear" w:color="auto" w:fill="BFE4FF"/>
          </w:tcPr>
          <w:p>
            <w:pPr>
              <w:spacing w:after="0"/>
              <w:rPr>
                <w:sz w:val="23"/>
                <w:szCs w:val="23"/>
                <w:color w:val="auto"/>
              </w:rPr>
            </w:pPr>
          </w:p>
        </w:tc>
        <w:tc>
          <w:tcPr>
            <w:tcW w:w="1220" w:type="dxa"/>
            <w:vAlign w:val="bottom"/>
            <w:tcBorders>
              <w:bottom w:val="single" w:sz="8" w:color="BFE4FF"/>
            </w:tcBorders>
            <w:gridSpan w:val="2"/>
            <w:shd w:val="clear" w:color="auto" w:fill="BFE4FF"/>
          </w:tcPr>
          <w:p>
            <w:pPr>
              <w:jc w:val="center"/>
              <w:ind w:left="355"/>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BFE4FF"/>
            </w:tcBorders>
            <w:shd w:val="clear" w:color="auto" w:fill="BFE4FF"/>
          </w:tcPr>
          <w:p>
            <w:pPr>
              <w:spacing w:after="0"/>
              <w:rPr>
                <w:sz w:val="23"/>
                <w:szCs w:val="23"/>
                <w:color w:val="auto"/>
              </w:rPr>
            </w:pPr>
          </w:p>
        </w:tc>
        <w:tc>
          <w:tcPr>
            <w:tcW w:w="12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BFE4FF"/>
            </w:tcBorders>
            <w:shd w:val="clear" w:color="auto" w:fill="BFE4FF"/>
          </w:tcPr>
          <w:p>
            <w:pPr>
              <w:spacing w:after="0"/>
              <w:rPr>
                <w:sz w:val="23"/>
                <w:szCs w:val="23"/>
                <w:color w:val="auto"/>
              </w:rPr>
            </w:pPr>
          </w:p>
        </w:tc>
        <w:tc>
          <w:tcPr>
            <w:tcW w:w="160" w:type="dxa"/>
            <w:vAlign w:val="bottom"/>
            <w:tcBorders>
              <w:bottom w:val="single" w:sz="8" w:color="BFE4FF"/>
            </w:tcBorders>
            <w:shd w:val="clear" w:color="auto" w:fill="BFE4FF"/>
          </w:tcPr>
          <w:p>
            <w:pPr>
              <w:spacing w:after="0"/>
              <w:rPr>
                <w:sz w:val="23"/>
                <w:szCs w:val="23"/>
                <w:color w:val="auto"/>
              </w:rPr>
            </w:pPr>
          </w:p>
        </w:tc>
        <w:tc>
          <w:tcPr>
            <w:tcW w:w="1100" w:type="dxa"/>
            <w:vAlign w:val="bottom"/>
            <w:tcBorders>
              <w:bottom w:val="single" w:sz="8" w:color="BFE4FF"/>
            </w:tcBorders>
            <w:shd w:val="clear" w:color="auto" w:fill="BFE4FF"/>
          </w:tcPr>
          <w:p>
            <w:pPr>
              <w:jc w:val="right"/>
              <w:ind w:right="37"/>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BFE4FF"/>
            </w:tcBorders>
            <w:shd w:val="clear" w:color="auto" w:fill="BFE4FF"/>
          </w:tcPr>
          <w:p>
            <w:pPr>
              <w:spacing w:after="0"/>
              <w:rPr>
                <w:sz w:val="23"/>
                <w:szCs w:val="23"/>
                <w:color w:val="auto"/>
              </w:rPr>
            </w:pPr>
          </w:p>
        </w:tc>
        <w:tc>
          <w:tcPr>
            <w:tcW w:w="20" w:type="dxa"/>
            <w:vAlign w:val="bottom"/>
            <w:tcBorders>
              <w:bottom w:val="single" w:sz="8" w:color="BFE4FF"/>
            </w:tcBorders>
            <w:shd w:val="clear" w:color="auto" w:fill="BFE4FF"/>
          </w:tcPr>
          <w:p>
            <w:pPr>
              <w:spacing w:after="0"/>
              <w:rPr>
                <w:sz w:val="23"/>
                <w:szCs w:val="23"/>
                <w:color w:val="auto"/>
              </w:rPr>
            </w:pPr>
          </w:p>
        </w:tc>
        <w:tc>
          <w:tcPr>
            <w:tcW w:w="140" w:type="dxa"/>
            <w:vAlign w:val="bottom"/>
            <w:tcBorders>
              <w:bottom w:val="single" w:sz="8" w:color="BFE4FF"/>
            </w:tcBorders>
            <w:shd w:val="clear" w:color="auto" w:fill="BFE4FF"/>
          </w:tcPr>
          <w:p>
            <w:pPr>
              <w:spacing w:after="0"/>
              <w:rPr>
                <w:sz w:val="23"/>
                <w:szCs w:val="23"/>
                <w:color w:val="auto"/>
              </w:rPr>
            </w:pPr>
          </w:p>
        </w:tc>
        <w:tc>
          <w:tcPr>
            <w:tcW w:w="960" w:type="dxa"/>
            <w:vAlign w:val="bottom"/>
            <w:tcBorders>
              <w:bottom w:val="single" w:sz="8" w:color="BFE4FF"/>
            </w:tcBorders>
            <w:shd w:val="clear" w:color="auto" w:fill="BFE4FF"/>
          </w:tcPr>
          <w:p>
            <w:pPr>
              <w:jc w:val="right"/>
              <w:ind w:right="15"/>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780" w:type="dxa"/>
            <w:vAlign w:val="bottom"/>
            <w:gridSpan w:val="3"/>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center"/>
              <w:ind w:left="495"/>
              <w:spacing w:after="0"/>
              <w:rPr>
                <w:sz w:val="20"/>
                <w:szCs w:val="20"/>
                <w:color w:val="auto"/>
              </w:rPr>
            </w:pPr>
            <w:r>
              <w:rPr>
                <w:rFonts w:ascii="Arial" w:cs="Arial" w:eastAsia="Arial" w:hAnsi="Arial"/>
                <w:sz w:val="18"/>
                <w:szCs w:val="18"/>
                <w:color w:val="auto"/>
                <w:w w:val="93"/>
              </w:rPr>
              <w:t>(41)</w:t>
            </w:r>
          </w:p>
        </w:tc>
        <w:tc>
          <w:tcPr>
            <w:tcW w:w="1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22"/>
                <w:szCs w:val="22"/>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231F20"/>
        </w:rPr>
        <w:t xml:space="preserve">The Company has elected to disclose derivative assets and liabilities on a trade-by-trade basis and does not offset amounts at the counterparty master agreement level. As discussed below in </w:t>
      </w:r>
      <w:r>
        <w:rPr>
          <w:rFonts w:ascii="Arial" w:cs="Arial" w:eastAsia="Arial" w:hAnsi="Arial"/>
          <w:sz w:val="16"/>
          <w:szCs w:val="16"/>
          <w:i w:val="1"/>
          <w:iCs w:val="1"/>
          <w:color w:val="231F20"/>
        </w:rPr>
        <w:t>Quantitative and Qualitative Disclosures about Market Risk - Commodity Price Risk,</w:t>
      </w:r>
      <w:r>
        <w:rPr>
          <w:rFonts w:ascii="Arial" w:cs="Arial" w:eastAsia="Arial" w:hAnsi="Arial"/>
          <w:sz w:val="16"/>
          <w:szCs w:val="16"/>
          <w:color w:val="231F20"/>
        </w:rPr>
        <w:t xml:space="preserve"> the </w:t>
      </w:r>
      <w:r>
        <w:rPr>
          <w:rFonts w:ascii="Arial" w:cs="Arial" w:eastAsia="Arial" w:hAnsi="Arial"/>
          <w:sz w:val="16"/>
          <w:szCs w:val="16"/>
          <w:color w:val="000000"/>
        </w:rPr>
        <w:t>Company, measures the</w:t>
      </w:r>
      <w:r>
        <w:rPr>
          <w:rFonts w:ascii="Arial" w:cs="Arial" w:eastAsia="Arial" w:hAnsi="Arial"/>
          <w:sz w:val="16"/>
          <w:szCs w:val="16"/>
          <w:color w:val="231F20"/>
        </w:rPr>
        <w:t xml:space="preserve"> </w:t>
      </w:r>
      <w:r>
        <w:rPr>
          <w:rFonts w:ascii="Arial" w:cs="Arial" w:eastAsia="Arial" w:hAnsi="Arial"/>
          <w:sz w:val="16"/>
          <w:szCs w:val="16"/>
          <w:color w:val="000000"/>
        </w:rPr>
        <w:t>sensitivity of the portfolio to potential changes in market prices using VaR, a statistical model which attempts to predict risk of loss based on market price and volatility. The Company's risk management policy places a limit on one-day holding period VaR, which limits the net open position.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1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an ongoing basis, the Company evaluates these estimates, utilizing historic experience, consultation with experts and other methods the Company considers reasonable. In any event,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60" w:name="page61"/>
    <w:bookmarkEnd w:id="60"/>
    <w:p>
      <w:pPr>
        <w:jc w:val="both"/>
        <w:ind w:firstLine="405"/>
        <w:spacing w:after="0" w:line="259" w:lineRule="auto"/>
        <w:rPr>
          <w:sz w:val="20"/>
          <w:szCs w:val="20"/>
          <w:color w:val="auto"/>
        </w:rPr>
      </w:pPr>
      <w:r>
        <w:rPr>
          <w:rFonts w:ascii="Arial" w:cs="Arial" w:eastAsia="Arial" w:hAnsi="Arial"/>
          <w:sz w:val="18"/>
          <w:szCs w:val="18"/>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impairment of long lived assets and other intangible assets.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Item — 1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w:t>
      </w:r>
      <w:r>
        <w:rPr>
          <w:rFonts w:ascii="Arial" w:cs="Arial" w:eastAsia="Arial" w:hAnsi="Arial"/>
          <w:sz w:val="18"/>
          <w:szCs w:val="18"/>
          <w:color w:val="000000"/>
        </w:rPr>
        <w:t>The following disclosures about market risk provide</w:t>
      </w:r>
      <w:r>
        <w:rPr>
          <w:rFonts w:ascii="Arial" w:cs="Arial" w:eastAsia="Arial" w:hAnsi="Arial"/>
          <w:sz w:val="18"/>
          <w:szCs w:val="18"/>
          <w:color w:val="231F20"/>
        </w:rPr>
        <w:t xml:space="preserve"> </w:t>
      </w:r>
      <w:r>
        <w:rPr>
          <w:rFonts w:ascii="Arial" w:cs="Arial" w:eastAsia="Arial" w:hAnsi="Arial"/>
          <w:sz w:val="18"/>
          <w:szCs w:val="18"/>
          <w:color w:val="000000"/>
        </w:rPr>
        <w:t xml:space="preserve">an update to, and should be read in conjunction with, Item 7A — </w:t>
      </w:r>
      <w:r>
        <w:rPr>
          <w:rFonts w:ascii="Arial" w:cs="Arial" w:eastAsia="Arial" w:hAnsi="Arial"/>
          <w:sz w:val="18"/>
          <w:szCs w:val="18"/>
          <w:i w:val="1"/>
          <w:iCs w:val="1"/>
          <w:color w:val="000000"/>
        </w:rPr>
        <w:t>Quantitative and Qualitative Disclosures About Market Risk,</w:t>
      </w:r>
      <w:r>
        <w:rPr>
          <w:rFonts w:ascii="Arial" w:cs="Arial" w:eastAsia="Arial" w:hAnsi="Arial"/>
          <w:sz w:val="18"/>
          <w:szCs w:val="18"/>
          <w:color w:val="000000"/>
        </w:rPr>
        <w:t xml:space="preserve"> of the Company's 2019 Form 10-K.</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Interest Rate Risk</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Item 1 </w:t>
      </w:r>
      <w:r>
        <w:rPr>
          <w:rFonts w:ascii="Arial" w:cs="Arial" w:eastAsia="Arial" w:hAnsi="Arial"/>
          <w:sz w:val="17"/>
          <w:szCs w:val="17"/>
          <w:color w:val="000000"/>
        </w:rPr>
        <w:t>— Note 6</w:t>
      </w:r>
      <w:r>
        <w:rPr>
          <w:rFonts w:ascii="Arial" w:cs="Arial" w:eastAsia="Arial" w:hAnsi="Arial"/>
          <w:sz w:val="17"/>
          <w:szCs w:val="17"/>
          <w:color w:val="231F20"/>
        </w:rPr>
        <w:t xml:space="preserve">, </w:t>
      </w:r>
      <w:r>
        <w:rPr>
          <w:rFonts w:ascii="Arial" w:cs="Arial" w:eastAsia="Arial" w:hAnsi="Arial"/>
          <w:sz w:val="17"/>
          <w:szCs w:val="17"/>
          <w:i w:val="1"/>
          <w:iCs w:val="1"/>
          <w:color w:val="000000"/>
        </w:rPr>
        <w:t>Derivative Instruments and Hedging Activities</w:t>
      </w:r>
      <w:r>
        <w:rPr>
          <w:rFonts w:ascii="Arial" w:cs="Arial" w:eastAsia="Arial" w:hAnsi="Arial"/>
          <w:sz w:val="17"/>
          <w:szCs w:val="17"/>
          <w:color w:val="231F20"/>
        </w:rPr>
        <w:t>, for more information.</w:t>
      </w:r>
    </w:p>
    <w:p>
      <w:pPr>
        <w:spacing w:after="0" w:line="11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231F20"/>
        </w:rPr>
        <w:t xml:space="preserve">Most of the Company's project subsidiaries enter into interest rate swaps, intended to hedge the risks associated with interest rates on non-recourse project level debt. See </w:t>
      </w:r>
      <w:r>
        <w:rPr>
          <w:rFonts w:ascii="Arial" w:cs="Arial" w:eastAsia="Arial" w:hAnsi="Arial"/>
          <w:sz w:val="17"/>
          <w:szCs w:val="17"/>
          <w:color w:val="000000"/>
        </w:rPr>
        <w:t>Note 10</w:t>
      </w:r>
      <w:r>
        <w:rPr>
          <w:rFonts w:ascii="Arial" w:cs="Arial" w:eastAsia="Arial" w:hAnsi="Arial"/>
          <w:sz w:val="17"/>
          <w:szCs w:val="17"/>
          <w:color w:val="231F20"/>
        </w:rPr>
        <w:t xml:space="preserve">, </w:t>
      </w:r>
      <w:r>
        <w:rPr>
          <w:rFonts w:ascii="Arial" w:cs="Arial" w:eastAsia="Arial" w:hAnsi="Arial"/>
          <w:sz w:val="17"/>
          <w:szCs w:val="17"/>
          <w:i w:val="1"/>
          <w:iCs w:val="1"/>
          <w:color w:val="000000"/>
        </w:rPr>
        <w:t>Long-term Debt</w:t>
      </w:r>
      <w:r>
        <w:rPr>
          <w:rFonts w:ascii="Arial" w:cs="Arial" w:eastAsia="Arial" w:hAnsi="Arial"/>
          <w:sz w:val="17"/>
          <w:szCs w:val="17"/>
          <w:i w:val="1"/>
          <w:iCs w:val="1"/>
          <w:color w:val="231F20"/>
        </w:rPr>
        <w:t>,</w:t>
      </w:r>
      <w:r>
        <w:rPr>
          <w:rFonts w:ascii="Arial" w:cs="Arial" w:eastAsia="Arial" w:hAnsi="Arial"/>
          <w:sz w:val="17"/>
          <w:szCs w:val="17"/>
          <w:color w:val="231F20"/>
        </w:rPr>
        <w:t xml:space="preserve"> to the Company's </w:t>
      </w:r>
      <w:r>
        <w:rPr>
          <w:rFonts w:ascii="Arial" w:cs="Arial" w:eastAsia="Arial" w:hAnsi="Arial"/>
          <w:sz w:val="17"/>
          <w:szCs w:val="17"/>
          <w:color w:val="000000"/>
        </w:rPr>
        <w:t>audited consolidated financial statements for the year ended December 31, 2019</w:t>
      </w:r>
      <w:r>
        <w:rPr>
          <w:rFonts w:ascii="Arial" w:cs="Arial" w:eastAsia="Arial" w:hAnsi="Arial"/>
          <w:sz w:val="17"/>
          <w:szCs w:val="17"/>
          <w:color w:val="231F20"/>
        </w:rPr>
        <w:t xml:space="preserve"> </w:t>
      </w:r>
      <w:r>
        <w:rPr>
          <w:rFonts w:ascii="Arial" w:cs="Arial" w:eastAsia="Arial" w:hAnsi="Arial"/>
          <w:sz w:val="17"/>
          <w:szCs w:val="17"/>
          <w:color w:val="000000"/>
        </w:rPr>
        <w:t xml:space="preserve">included in the 2019 Form 10-K </w:t>
      </w:r>
      <w:r>
        <w:rPr>
          <w:rFonts w:ascii="Arial" w:cs="Arial" w:eastAsia="Arial" w:hAnsi="Arial"/>
          <w:sz w:val="17"/>
          <w:szCs w:val="17"/>
          <w:color w:val="231F20"/>
        </w:rPr>
        <w:t>for more information about interest rate swaps of the Company's project subsidiaries.</w:t>
      </w:r>
    </w:p>
    <w:p>
      <w:pPr>
        <w:spacing w:after="0" w:line="1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 xml:space="preserve">If all of the interest rate swaps had been discontinued on </w:t>
      </w:r>
      <w:r>
        <w:rPr>
          <w:rFonts w:ascii="Arial" w:cs="Arial" w:eastAsia="Arial" w:hAnsi="Arial"/>
          <w:sz w:val="18"/>
          <w:szCs w:val="18"/>
          <w:color w:val="000000"/>
        </w:rPr>
        <w:t>June 30, 2020</w:t>
      </w:r>
      <w:r>
        <w:rPr>
          <w:rFonts w:ascii="Arial" w:cs="Arial" w:eastAsia="Arial" w:hAnsi="Arial"/>
          <w:sz w:val="18"/>
          <w:szCs w:val="18"/>
          <w:color w:val="231F20"/>
        </w:rPr>
        <w:t xml:space="preserve">, the Company would have owed the counterparties </w:t>
      </w:r>
      <w:r>
        <w:rPr>
          <w:rFonts w:ascii="Arial" w:cs="Arial" w:eastAsia="Arial" w:hAnsi="Arial"/>
          <w:sz w:val="18"/>
          <w:szCs w:val="18"/>
          <w:color w:val="000000"/>
        </w:rPr>
        <w:t>$230 million</w:t>
      </w:r>
      <w:r>
        <w:rPr>
          <w:rFonts w:ascii="Arial" w:cs="Arial" w:eastAsia="Arial" w:hAnsi="Arial"/>
          <w:sz w:val="18"/>
          <w:szCs w:val="18"/>
          <w:color w:val="231F20"/>
        </w:rPr>
        <w:t>. Based on the credit ratings of the counterparties, the Company believes its exposure to credit risk due to nonperformance by counterparties to its hedge contracts to be insignificant.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6"/>
          <w:szCs w:val="16"/>
          <w:color w:val="231F20"/>
        </w:rPr>
        <w:t xml:space="preserve">The Company has long-term debt instruments that subject it to the risk of loss associated with movements in market interest rates. As of </w:t>
      </w:r>
      <w:r>
        <w:rPr>
          <w:rFonts w:ascii="Arial" w:cs="Arial" w:eastAsia="Arial" w:hAnsi="Arial"/>
          <w:sz w:val="16"/>
          <w:szCs w:val="16"/>
          <w:color w:val="000000"/>
        </w:rPr>
        <w:t>June 30,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2020</w:t>
      </w:r>
      <w:r>
        <w:rPr>
          <w:rFonts w:ascii="Arial" w:cs="Arial" w:eastAsia="Arial" w:hAnsi="Arial"/>
          <w:sz w:val="17"/>
          <w:szCs w:val="17"/>
          <w:color w:val="231F20"/>
        </w:rPr>
        <w:t>, a 1% change in interest rates would result in an approximately $2 million change in market interest expense on a rolling twelve-month basis.</w:t>
      </w:r>
    </w:p>
    <w:p>
      <w:pPr>
        <w:spacing w:after="0" w:line="16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2020</w:t>
      </w:r>
      <w:r>
        <w:rPr>
          <w:rFonts w:ascii="Arial" w:cs="Arial" w:eastAsia="Arial" w:hAnsi="Arial"/>
          <w:sz w:val="18"/>
          <w:szCs w:val="18"/>
          <w:color w:val="231F20"/>
        </w:rPr>
        <w:t xml:space="preserve">, the fair value of the Company's debt was $6,917 million and the carrying value was $6,813 million. The Company estimates that a 1% decrease in market interest rates would have increased the fair value of its long-term debt by approximately </w:t>
      </w:r>
      <w:r>
        <w:rPr>
          <w:rFonts w:ascii="Arial" w:cs="Arial" w:eastAsia="Arial" w:hAnsi="Arial"/>
          <w:sz w:val="18"/>
          <w:szCs w:val="18"/>
          <w:color w:val="000000"/>
        </w:rPr>
        <w:t>$420 million</w:t>
      </w:r>
      <w:r>
        <w:rPr>
          <w:rFonts w:ascii="Arial" w:cs="Arial" w:eastAsia="Arial" w:hAnsi="Arial"/>
          <w:sz w:val="18"/>
          <w:szCs w:val="18"/>
          <w:color w:val="231F20"/>
        </w:rPr>
        <w: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Liquidity Risk</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Liquidity risk arises from the general funding needs of the Company's activities and in the management of the Company's assets and liabilities.</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Commodity Price Risk</w:t>
      </w:r>
    </w:p>
    <w:p>
      <w:pPr>
        <w:spacing w:after="0" w:line="17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231F20"/>
        </w:rPr>
        <w:t>Commodity price risks result from exposures to changes in spot prices, forward prices, volatilities, and correlations between various commodities, such as electricity, natural gas and emissions credits. The Company manages the commodity price risk of its merchant generation operations by entering into derivative or non-derivative instruments to hedge the variability in future cash flows from forecasted power sales or purchases of fuel. The portion of forecasted transactions hedged may vary based upon management's assessment of market, weather, operation and other factors.</w:t>
      </w:r>
    </w:p>
    <w:p>
      <w:pPr>
        <w:spacing w:after="0" w:line="10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 xml:space="preserve">Based on a sensitivity analysis using simplified assumptions, the impact of a $0.50 per MMBtu increase or decrease in natural gas prices across the term of the derivative contracts would cause a change of approximately </w:t>
      </w:r>
      <w:r>
        <w:rPr>
          <w:rFonts w:ascii="Arial" w:cs="Arial" w:eastAsia="Arial" w:hAnsi="Arial"/>
          <w:sz w:val="18"/>
          <w:szCs w:val="18"/>
          <w:color w:val="000000"/>
        </w:rPr>
        <w:t>$1 million</w:t>
      </w:r>
      <w:r>
        <w:rPr>
          <w:rFonts w:ascii="Arial" w:cs="Arial" w:eastAsia="Arial" w:hAnsi="Arial"/>
          <w:sz w:val="18"/>
          <w:szCs w:val="18"/>
          <w:color w:val="231F20"/>
        </w:rPr>
        <w:t xml:space="preserve"> to the net value of derivatives as of </w:t>
      </w:r>
      <w:r>
        <w:rPr>
          <w:rFonts w:ascii="Arial" w:cs="Arial" w:eastAsia="Arial" w:hAnsi="Arial"/>
          <w:sz w:val="18"/>
          <w:szCs w:val="18"/>
          <w:color w:val="000000"/>
        </w:rPr>
        <w:t>June 30, 2020</w:t>
      </w:r>
      <w:r>
        <w:rPr>
          <w:rFonts w:ascii="Arial" w:cs="Arial" w:eastAsia="Arial" w:hAnsi="Arial"/>
          <w:sz w:val="18"/>
          <w:szCs w:val="18"/>
          <w:color w:val="231F20"/>
        </w:rPr>
        <w:t>. The impact of a $0.50 per MWh increase or decrease in power prices across the term of the derivatives contracts would cause a change of approximately $1 million to the net value of power derivatives as of June 30, 2020.</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Counterparty Credit Risk</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Item 1 - </w:t>
      </w:r>
      <w:r>
        <w:rPr>
          <w:rFonts w:ascii="Arial" w:cs="Arial" w:eastAsia="Arial" w:hAnsi="Arial"/>
          <w:sz w:val="18"/>
          <w:szCs w:val="18"/>
          <w:color w:val="000000"/>
        </w:rPr>
        <w:t>Note 1</w:t>
      </w:r>
      <w:r>
        <w:rPr>
          <w:rFonts w:ascii="Arial" w:cs="Arial" w:eastAsia="Arial" w:hAnsi="Arial"/>
          <w:sz w:val="18"/>
          <w:szCs w:val="18"/>
          <w:color w:val="231F20"/>
        </w:rPr>
        <w:t xml:space="preserve">, </w:t>
      </w:r>
      <w:r>
        <w:rPr>
          <w:rFonts w:ascii="Arial" w:cs="Arial" w:eastAsia="Arial" w:hAnsi="Arial"/>
          <w:sz w:val="18"/>
          <w:szCs w:val="18"/>
          <w:i w:val="1"/>
          <w:iCs w:val="1"/>
          <w:color w:val="000000"/>
        </w:rPr>
        <w:t>Nature of Business</w:t>
      </w:r>
      <w:r>
        <w:rPr>
          <w:rFonts w:ascii="Arial" w:cs="Arial" w:eastAsia="Arial" w:hAnsi="Arial"/>
          <w:sz w:val="18"/>
          <w:szCs w:val="18"/>
          <w:color w:val="231F20"/>
        </w:rPr>
        <w:t xml:space="preserve">, and </w:t>
      </w:r>
      <w:r>
        <w:rPr>
          <w:rFonts w:ascii="Arial" w:cs="Arial" w:eastAsia="Arial" w:hAnsi="Arial"/>
          <w:sz w:val="18"/>
          <w:szCs w:val="18"/>
          <w:color w:val="000000"/>
        </w:rPr>
        <w:t>Note 5</w:t>
      </w:r>
      <w:r>
        <w:rPr>
          <w:rFonts w:ascii="Arial" w:cs="Arial" w:eastAsia="Arial" w:hAnsi="Arial"/>
          <w:sz w:val="18"/>
          <w:szCs w:val="18"/>
          <w:color w:val="231F20"/>
        </w:rPr>
        <w:t xml:space="preserve">, </w:t>
      </w:r>
      <w:r>
        <w:rPr>
          <w:rFonts w:ascii="Arial" w:cs="Arial" w:eastAsia="Arial" w:hAnsi="Arial"/>
          <w:sz w:val="18"/>
          <w:szCs w:val="18"/>
          <w:i w:val="1"/>
          <w:iCs w:val="1"/>
          <w:color w:val="000000"/>
        </w:rPr>
        <w:t>Fair Value of Financial Instruments</w:t>
      </w:r>
      <w:r>
        <w:rPr>
          <w:rFonts w:ascii="Arial" w:cs="Arial" w:eastAsia="Arial" w:hAnsi="Arial"/>
          <w:sz w:val="18"/>
          <w:szCs w:val="18"/>
          <w:color w:val="231F20"/>
        </w:rPr>
        <w:t>, to the consolidated financial statements for more information about concentration of credit risk.</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Conclusion Regarding the Effectiveness of Disclosure Controls and Procedures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 13a-15(f) under the Exchange Act) during the quarter ended June 30, 2020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LEGAL PROCEEDINGS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a discussion of the material legal proceedings in which the Company was involved through June 30, 2020, see Note 13, Contingencies, to this Form 10-Q.</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Information regarding risk factors appears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the Company's 2019 Form 10-K, as supplemented by the risk factors disclosed in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in the Company's Quarterly Report on Form 10-Q for the quarter ended March 31, 2020. There have been no material changes in the Company's risk factors since those reported in its 2019 Form 10-K, as supplemented by the those reported in its Quarterly Report on Form 10-Q for the quarter ended March 31, 2020.</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DEFAULTS UPON SENIOR SECURITIES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OTHER INFORMATION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ITEM 6 — EXHIBITS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00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5720" w:type="dxa"/>
            <w:vAlign w:val="bottom"/>
            <w:gridSpan w:val="13"/>
          </w:tcPr>
          <w:p>
            <w:pPr>
              <w:spacing w:after="0"/>
              <w:rPr>
                <w:sz w:val="20"/>
                <w:szCs w:val="20"/>
                <w:color w:val="auto"/>
              </w:rPr>
            </w:pPr>
            <w:r>
              <w:rPr>
                <w:rFonts w:ascii="Arial" w:cs="Arial" w:eastAsia="Arial" w:hAnsi="Arial"/>
                <w:sz w:val="16"/>
                <w:szCs w:val="16"/>
                <w:b w:val="1"/>
                <w:bCs w:val="1"/>
                <w:color w:val="auto"/>
              </w:rPr>
              <w:t>Description</w:t>
            </w:r>
          </w:p>
        </w:tc>
      </w:tr>
      <w:tr>
        <w:trPr>
          <w:trHeight w:val="208"/>
        </w:trPr>
        <w:tc>
          <w:tcPr>
            <w:tcW w:w="1000" w:type="dxa"/>
            <w:vAlign w:val="bottom"/>
          </w:tcPr>
          <w:p>
            <w:pPr>
              <w:spacing w:after="0"/>
              <w:rPr>
                <w:sz w:val="20"/>
                <w:szCs w:val="20"/>
                <w:color w:val="auto"/>
              </w:rPr>
            </w:pPr>
            <w:r>
              <w:rPr>
                <w:rFonts w:ascii="Arial" w:cs="Arial" w:eastAsia="Arial" w:hAnsi="Arial"/>
                <w:sz w:val="16"/>
                <w:szCs w:val="16"/>
                <w:color w:val="auto"/>
              </w:rPr>
              <w:t>4.1</w:t>
            </w:r>
          </w:p>
        </w:tc>
        <w:tc>
          <w:tcPr>
            <w:tcW w:w="5560" w:type="dxa"/>
            <w:vAlign w:val="bottom"/>
            <w:tcBorders>
              <w:bottom w:val="single" w:sz="8" w:color="0000FF"/>
            </w:tcBorders>
            <w:gridSpan w:val="10"/>
          </w:tcPr>
          <w:p>
            <w:pPr>
              <w:spacing w:after="0"/>
              <w:rPr>
                <w:rFonts w:ascii="Arial" w:cs="Arial" w:eastAsia="Arial" w:hAnsi="Arial"/>
                <w:sz w:val="16"/>
                <w:szCs w:val="16"/>
                <w:color w:val="0000FF"/>
                <w:w w:val="91"/>
              </w:rPr>
            </w:pPr>
            <w:hyperlink r:id="rId132">
              <w:r>
                <w:rPr>
                  <w:rFonts w:ascii="Arial" w:cs="Arial" w:eastAsia="Arial" w:hAnsi="Arial"/>
                  <w:sz w:val="16"/>
                  <w:szCs w:val="16"/>
                  <w:color w:val="0000FF"/>
                  <w:w w:val="91"/>
                </w:rPr>
                <w:t>Eleventh Supplemental Indenture, dated as of July 17, 2020, among Clearway Energy</w:t>
              </w:r>
            </w:hyperlink>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56"/>
        </w:trPr>
        <w:tc>
          <w:tcPr>
            <w:tcW w:w="1000" w:type="dxa"/>
            <w:vAlign w:val="bottom"/>
          </w:tcPr>
          <w:p>
            <w:pPr>
              <w:spacing w:after="0"/>
              <w:rPr>
                <w:sz w:val="13"/>
                <w:szCs w:val="13"/>
                <w:color w:val="auto"/>
              </w:rPr>
            </w:pPr>
          </w:p>
        </w:tc>
        <w:tc>
          <w:tcPr>
            <w:tcW w:w="5560" w:type="dxa"/>
            <w:vAlign w:val="bottom"/>
            <w:gridSpan w:val="10"/>
          </w:tcPr>
          <w:p>
            <w:pPr>
              <w:spacing w:after="0" w:line="155" w:lineRule="exact"/>
              <w:rPr>
                <w:rFonts w:ascii="Arial" w:cs="Arial" w:eastAsia="Arial" w:hAnsi="Arial"/>
                <w:sz w:val="16"/>
                <w:szCs w:val="16"/>
                <w:color w:val="0000FF"/>
                <w:w w:val="97"/>
              </w:rPr>
            </w:pPr>
            <w:hyperlink r:id="rId132">
              <w:r>
                <w:rPr>
                  <w:rFonts w:ascii="Arial" w:cs="Arial" w:eastAsia="Arial" w:hAnsi="Arial"/>
                  <w:sz w:val="16"/>
                  <w:szCs w:val="16"/>
                  <w:color w:val="0000FF"/>
                  <w:w w:val="97"/>
                </w:rPr>
                <w:t>Operating LLC, the guarantors named therein and Delaware Trust Company (as</w:t>
              </w:r>
            </w:hyperlink>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00" w:type="dxa"/>
            <w:vAlign w:val="bottom"/>
          </w:tcPr>
          <w:p>
            <w:pPr>
              <w:spacing w:after="0"/>
              <w:rPr>
                <w:sz w:val="13"/>
                <w:szCs w:val="13"/>
                <w:color w:val="auto"/>
              </w:rPr>
            </w:pPr>
          </w:p>
        </w:tc>
        <w:tc>
          <w:tcPr>
            <w:tcW w:w="5180" w:type="dxa"/>
            <w:vAlign w:val="bottom"/>
            <w:tcBorders>
              <w:top w:val="single" w:sz="8" w:color="0000FF"/>
            </w:tcBorders>
            <w:gridSpan w:val="6"/>
          </w:tcPr>
          <w:p>
            <w:pPr>
              <w:spacing w:after="0" w:line="155" w:lineRule="exact"/>
              <w:rPr>
                <w:rFonts w:ascii="Arial" w:cs="Arial" w:eastAsia="Arial" w:hAnsi="Arial"/>
                <w:sz w:val="16"/>
                <w:szCs w:val="16"/>
                <w:color w:val="0000FF"/>
              </w:rPr>
            </w:pPr>
            <w:hyperlink r:id="rId132">
              <w:r>
                <w:rPr>
                  <w:rFonts w:ascii="Arial" w:cs="Arial" w:eastAsia="Arial" w:hAnsi="Arial"/>
                  <w:sz w:val="16"/>
                  <w:szCs w:val="16"/>
                  <w:color w:val="0000FF"/>
                </w:rPr>
                <w:t>successor in interest to Law Debenture Trust Company of New York).</w:t>
              </w:r>
            </w:hyperlink>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6"/>
                <w:szCs w:val="16"/>
                <w:color w:val="auto"/>
              </w:rPr>
              <w:t>4.2</w:t>
            </w:r>
          </w:p>
        </w:tc>
        <w:tc>
          <w:tcPr>
            <w:tcW w:w="5500" w:type="dxa"/>
            <w:vAlign w:val="bottom"/>
            <w:tcBorders>
              <w:bottom w:val="single" w:sz="8" w:color="0000FF"/>
            </w:tcBorders>
            <w:gridSpan w:val="9"/>
          </w:tcPr>
          <w:p>
            <w:pPr>
              <w:spacing w:after="0"/>
              <w:rPr>
                <w:rFonts w:ascii="Arial" w:cs="Arial" w:eastAsia="Arial" w:hAnsi="Arial"/>
                <w:sz w:val="16"/>
                <w:szCs w:val="16"/>
                <w:color w:val="0000FF"/>
                <w:w w:val="90"/>
              </w:rPr>
            </w:pPr>
            <w:hyperlink r:id="rId133">
              <w:r>
                <w:rPr>
                  <w:rFonts w:ascii="Arial" w:cs="Arial" w:eastAsia="Arial" w:hAnsi="Arial"/>
                  <w:sz w:val="16"/>
                  <w:szCs w:val="16"/>
                  <w:color w:val="0000FF"/>
                  <w:w w:val="90"/>
                </w:rPr>
                <w:t>Seventh Supplemental Indenture, dated as of July 17, 2020, among Clearway Energy</w:t>
              </w:r>
            </w:hyperlink>
          </w:p>
        </w:tc>
        <w:tc>
          <w:tcPr>
            <w:tcW w:w="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0"/>
        </w:trPr>
        <w:tc>
          <w:tcPr>
            <w:tcW w:w="1000" w:type="dxa"/>
            <w:vAlign w:val="bottom"/>
          </w:tcPr>
          <w:p>
            <w:pPr>
              <w:spacing w:after="0"/>
              <w:rPr>
                <w:sz w:val="17"/>
                <w:szCs w:val="17"/>
                <w:color w:val="auto"/>
              </w:rPr>
            </w:pPr>
          </w:p>
        </w:tc>
        <w:tc>
          <w:tcPr>
            <w:tcW w:w="5500" w:type="dxa"/>
            <w:vAlign w:val="bottom"/>
            <w:gridSpan w:val="9"/>
          </w:tcPr>
          <w:p>
            <w:pPr>
              <w:spacing w:after="0"/>
              <w:rPr>
                <w:rFonts w:ascii="Arial" w:cs="Arial" w:eastAsia="Arial" w:hAnsi="Arial"/>
                <w:sz w:val="16"/>
                <w:szCs w:val="16"/>
                <w:u w:val="single" w:color="auto"/>
                <w:color w:val="0000FF"/>
              </w:rPr>
            </w:pPr>
            <w:hyperlink r:id="rId133">
              <w:r>
                <w:rPr>
                  <w:rFonts w:ascii="Arial" w:cs="Arial" w:eastAsia="Arial" w:hAnsi="Arial"/>
                  <w:sz w:val="16"/>
                  <w:szCs w:val="16"/>
                  <w:u w:val="single" w:color="auto"/>
                  <w:color w:val="0000FF"/>
                </w:rPr>
                <w:t>Operating LLC, the guarantors named therein and Delaware Trust Company</w:t>
              </w:r>
            </w:hyperlink>
          </w:p>
        </w:tc>
        <w:tc>
          <w:tcPr>
            <w:tcW w:w="1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9"/>
        </w:trPr>
        <w:tc>
          <w:tcPr>
            <w:tcW w:w="1000" w:type="dxa"/>
            <w:vAlign w:val="bottom"/>
          </w:tcPr>
          <w:p>
            <w:pPr>
              <w:spacing w:after="0"/>
              <w:rPr>
                <w:sz w:val="20"/>
                <w:szCs w:val="20"/>
                <w:color w:val="auto"/>
              </w:rPr>
            </w:pPr>
            <w:r>
              <w:rPr>
                <w:rFonts w:ascii="Arial" w:cs="Arial" w:eastAsia="Arial" w:hAnsi="Arial"/>
                <w:sz w:val="16"/>
                <w:szCs w:val="16"/>
                <w:color w:val="auto"/>
              </w:rPr>
              <w:t>4.3</w:t>
            </w:r>
          </w:p>
        </w:tc>
        <w:tc>
          <w:tcPr>
            <w:tcW w:w="5720" w:type="dxa"/>
            <w:vAlign w:val="bottom"/>
            <w:gridSpan w:val="13"/>
          </w:tcPr>
          <w:p>
            <w:pPr>
              <w:spacing w:after="0"/>
              <w:rPr>
                <w:rFonts w:ascii="Arial" w:cs="Arial" w:eastAsia="Arial" w:hAnsi="Arial"/>
                <w:sz w:val="16"/>
                <w:szCs w:val="16"/>
                <w:color w:val="0000FF"/>
                <w:w w:val="97"/>
              </w:rPr>
            </w:pPr>
            <w:hyperlink r:id="rId134">
              <w:r>
                <w:rPr>
                  <w:rFonts w:ascii="Arial" w:cs="Arial" w:eastAsia="Arial" w:hAnsi="Arial"/>
                  <w:sz w:val="16"/>
                  <w:szCs w:val="16"/>
                  <w:color w:val="0000FF"/>
                  <w:w w:val="97"/>
                </w:rPr>
                <w:t>Third Supplemental Indenture, dated as of July 17, 2020, among Clearway Energy</w:t>
              </w:r>
            </w:hyperlink>
          </w:p>
        </w:tc>
      </w:tr>
      <w:tr>
        <w:trPr>
          <w:trHeight w:val="200"/>
        </w:trPr>
        <w:tc>
          <w:tcPr>
            <w:tcW w:w="1000" w:type="dxa"/>
            <w:vAlign w:val="bottom"/>
          </w:tcPr>
          <w:p>
            <w:pPr>
              <w:spacing w:after="0"/>
              <w:rPr>
                <w:sz w:val="17"/>
                <w:szCs w:val="17"/>
                <w:color w:val="auto"/>
              </w:rPr>
            </w:pPr>
          </w:p>
        </w:tc>
        <w:tc>
          <w:tcPr>
            <w:tcW w:w="5340" w:type="dxa"/>
            <w:vAlign w:val="bottom"/>
            <w:tcBorders>
              <w:top w:val="single" w:sz="8" w:color="0000FF"/>
            </w:tcBorders>
            <w:gridSpan w:val="7"/>
          </w:tcPr>
          <w:p>
            <w:pPr>
              <w:spacing w:after="0"/>
              <w:rPr>
                <w:rFonts w:ascii="Arial" w:cs="Arial" w:eastAsia="Arial" w:hAnsi="Arial"/>
                <w:sz w:val="16"/>
                <w:szCs w:val="16"/>
                <w:u w:val="single" w:color="auto"/>
                <w:color w:val="0000FF"/>
                <w:w w:val="97"/>
              </w:rPr>
            </w:pPr>
            <w:hyperlink r:id="rId134">
              <w:r>
                <w:rPr>
                  <w:rFonts w:ascii="Arial" w:cs="Arial" w:eastAsia="Arial" w:hAnsi="Arial"/>
                  <w:sz w:val="16"/>
                  <w:szCs w:val="16"/>
                  <w:u w:val="single" w:color="auto"/>
                  <w:color w:val="0000FF"/>
                  <w:w w:val="97"/>
                </w:rPr>
                <w:t>Operating LLC, the guarantors named therein and Delaware Trust Company.</w:t>
              </w:r>
            </w:hyperlink>
          </w:p>
        </w:tc>
        <w:tc>
          <w:tcPr>
            <w:tcW w:w="140" w:type="dxa"/>
            <w:vAlign w:val="bottom"/>
          </w:tcPr>
          <w:p>
            <w:pPr>
              <w:spacing w:after="0"/>
              <w:rPr>
                <w:sz w:val="17"/>
                <w:szCs w:val="17"/>
                <w:color w:val="auto"/>
              </w:rPr>
            </w:pPr>
          </w:p>
        </w:tc>
        <w:tc>
          <w:tcPr>
            <w:tcW w:w="12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9"/>
        </w:trPr>
        <w:tc>
          <w:tcPr>
            <w:tcW w:w="1000" w:type="dxa"/>
            <w:vAlign w:val="bottom"/>
          </w:tcPr>
          <w:p>
            <w:pPr>
              <w:spacing w:after="0"/>
              <w:rPr>
                <w:sz w:val="20"/>
                <w:szCs w:val="20"/>
                <w:color w:val="auto"/>
              </w:rPr>
            </w:pPr>
            <w:r>
              <w:rPr>
                <w:rFonts w:ascii="Arial" w:cs="Arial" w:eastAsia="Arial" w:hAnsi="Arial"/>
                <w:sz w:val="16"/>
                <w:szCs w:val="16"/>
                <w:color w:val="auto"/>
              </w:rPr>
              <w:t>10.1*^</w:t>
            </w:r>
          </w:p>
        </w:tc>
        <w:tc>
          <w:tcPr>
            <w:tcW w:w="5720" w:type="dxa"/>
            <w:vAlign w:val="bottom"/>
            <w:gridSpan w:val="13"/>
          </w:tcPr>
          <w:p>
            <w:pPr>
              <w:spacing w:after="0"/>
              <w:rPr>
                <w:rFonts w:ascii="Arial" w:cs="Arial" w:eastAsia="Arial" w:hAnsi="Arial"/>
                <w:sz w:val="16"/>
                <w:szCs w:val="16"/>
                <w:color w:val="0000FF"/>
                <w:w w:val="94"/>
              </w:rPr>
            </w:pPr>
            <w:hyperlink r:id="rId135">
              <w:r>
                <w:rPr>
                  <w:rFonts w:ascii="Arial" w:cs="Arial" w:eastAsia="Arial" w:hAnsi="Arial"/>
                  <w:sz w:val="16"/>
                  <w:szCs w:val="16"/>
                  <w:color w:val="0000FF"/>
                  <w:w w:val="94"/>
                </w:rPr>
                <w:t>Purchase and Sale Agreement, dated as of April 17, 2020, by and between Clearway</w:t>
              </w:r>
            </w:hyperlink>
          </w:p>
        </w:tc>
      </w:tr>
      <w:tr>
        <w:trPr>
          <w:trHeight w:val="156"/>
        </w:trPr>
        <w:tc>
          <w:tcPr>
            <w:tcW w:w="1000" w:type="dxa"/>
            <w:vAlign w:val="bottom"/>
          </w:tcPr>
          <w:p>
            <w:pPr>
              <w:spacing w:after="0"/>
              <w:rPr>
                <w:sz w:val="13"/>
                <w:szCs w:val="13"/>
                <w:color w:val="auto"/>
              </w:rPr>
            </w:pPr>
          </w:p>
        </w:tc>
        <w:tc>
          <w:tcPr>
            <w:tcW w:w="3320" w:type="dxa"/>
            <w:vAlign w:val="bottom"/>
            <w:tcBorders>
              <w:top w:val="single" w:sz="8" w:color="0000FF"/>
              <w:bottom w:val="single" w:sz="8" w:color="0000FF"/>
            </w:tcBorders>
            <w:gridSpan w:val="2"/>
          </w:tcPr>
          <w:p>
            <w:pPr>
              <w:spacing w:after="0" w:line="155" w:lineRule="exact"/>
              <w:rPr>
                <w:rFonts w:ascii="Arial" w:cs="Arial" w:eastAsia="Arial" w:hAnsi="Arial"/>
                <w:sz w:val="16"/>
                <w:szCs w:val="16"/>
                <w:color w:val="0000FF"/>
                <w:w w:val="93"/>
              </w:rPr>
            </w:pPr>
            <w:hyperlink r:id="rId135">
              <w:r>
                <w:rPr>
                  <w:rFonts w:ascii="Arial" w:cs="Arial" w:eastAsia="Arial" w:hAnsi="Arial"/>
                  <w:sz w:val="16"/>
                  <w:szCs w:val="16"/>
                  <w:color w:val="0000FF"/>
                  <w:w w:val="93"/>
                </w:rPr>
                <w:t>Energy Operating LLC and Clearway Renew LLC.</w:t>
              </w:r>
            </w:hyperlink>
          </w:p>
        </w:tc>
        <w:tc>
          <w:tcPr>
            <w:tcW w:w="2160" w:type="dxa"/>
            <w:vAlign w:val="bottom"/>
            <w:tcBorders>
              <w:top w:val="single" w:sz="8" w:color="0000FF"/>
            </w:tcBorders>
            <w:gridSpan w:val="6"/>
          </w:tcPr>
          <w:p>
            <w:pPr>
              <w:spacing w:after="0"/>
              <w:rPr>
                <w:sz w:val="13"/>
                <w:szCs w:val="13"/>
                <w:color w:val="auto"/>
              </w:rPr>
            </w:pPr>
          </w:p>
        </w:tc>
        <w:tc>
          <w:tcPr>
            <w:tcW w:w="12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000" w:type="dxa"/>
            <w:vAlign w:val="bottom"/>
          </w:tcPr>
          <w:p>
            <w:pPr>
              <w:spacing w:after="0"/>
              <w:rPr>
                <w:sz w:val="20"/>
                <w:szCs w:val="20"/>
                <w:color w:val="auto"/>
              </w:rPr>
            </w:pPr>
            <w:r>
              <w:rPr>
                <w:rFonts w:ascii="Arial" w:cs="Arial" w:eastAsia="Arial" w:hAnsi="Arial"/>
                <w:sz w:val="16"/>
                <w:szCs w:val="16"/>
                <w:color w:val="auto"/>
              </w:rPr>
              <w:t>10.2*^</w:t>
            </w:r>
          </w:p>
        </w:tc>
        <w:tc>
          <w:tcPr>
            <w:tcW w:w="5720" w:type="dxa"/>
            <w:vAlign w:val="bottom"/>
            <w:gridSpan w:val="13"/>
          </w:tcPr>
          <w:p>
            <w:pPr>
              <w:spacing w:after="0"/>
              <w:rPr>
                <w:rFonts w:ascii="Arial" w:cs="Arial" w:eastAsia="Arial" w:hAnsi="Arial"/>
                <w:sz w:val="16"/>
                <w:szCs w:val="16"/>
                <w:color w:val="0000FF"/>
                <w:w w:val="92"/>
              </w:rPr>
            </w:pPr>
            <w:hyperlink r:id="rId136">
              <w:r>
                <w:rPr>
                  <w:rFonts w:ascii="Arial" w:cs="Arial" w:eastAsia="Arial" w:hAnsi="Arial"/>
                  <w:sz w:val="16"/>
                  <w:szCs w:val="16"/>
                  <w:color w:val="0000FF"/>
                  <w:w w:val="92"/>
                </w:rPr>
                <w:t>Membership Interest Purchase Agreement, dated as of April 17, 2020, by and between</w:t>
              </w:r>
            </w:hyperlink>
          </w:p>
        </w:tc>
      </w:tr>
      <w:tr>
        <w:trPr>
          <w:trHeight w:val="156"/>
        </w:trPr>
        <w:tc>
          <w:tcPr>
            <w:tcW w:w="1000" w:type="dxa"/>
            <w:vAlign w:val="bottom"/>
          </w:tcPr>
          <w:p>
            <w:pPr>
              <w:spacing w:after="0"/>
              <w:rPr>
                <w:sz w:val="13"/>
                <w:szCs w:val="13"/>
                <w:color w:val="auto"/>
              </w:rPr>
            </w:pPr>
          </w:p>
        </w:tc>
        <w:tc>
          <w:tcPr>
            <w:tcW w:w="4120" w:type="dxa"/>
            <w:vAlign w:val="bottom"/>
            <w:tcBorders>
              <w:top w:val="single" w:sz="8" w:color="0000FF"/>
              <w:bottom w:val="single" w:sz="8" w:color="0000FF"/>
            </w:tcBorders>
            <w:gridSpan w:val="3"/>
          </w:tcPr>
          <w:p>
            <w:pPr>
              <w:spacing w:after="0" w:line="155" w:lineRule="exact"/>
              <w:rPr>
                <w:rFonts w:ascii="Arial" w:cs="Arial" w:eastAsia="Arial" w:hAnsi="Arial"/>
                <w:sz w:val="16"/>
                <w:szCs w:val="16"/>
                <w:color w:val="0000FF"/>
                <w:w w:val="93"/>
              </w:rPr>
            </w:pPr>
            <w:hyperlink r:id="rId136">
              <w:r>
                <w:rPr>
                  <w:rFonts w:ascii="Arial" w:cs="Arial" w:eastAsia="Arial" w:hAnsi="Arial"/>
                  <w:sz w:val="16"/>
                  <w:szCs w:val="16"/>
                  <w:color w:val="0000FF"/>
                  <w:w w:val="93"/>
                </w:rPr>
                <w:t>Clearway Energy Operating LLC and SP Wind Holdings, LLC.</w:t>
              </w:r>
            </w:hyperlink>
          </w:p>
        </w:tc>
        <w:tc>
          <w:tcPr>
            <w:tcW w:w="1480" w:type="dxa"/>
            <w:vAlign w:val="bottom"/>
            <w:tcBorders>
              <w:top w:val="single" w:sz="8" w:color="0000FF"/>
            </w:tcBorders>
            <w:gridSpan w:val="8"/>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000" w:type="dxa"/>
            <w:vAlign w:val="bottom"/>
          </w:tcPr>
          <w:p>
            <w:pPr>
              <w:spacing w:after="0"/>
              <w:rPr>
                <w:sz w:val="20"/>
                <w:szCs w:val="20"/>
                <w:color w:val="auto"/>
              </w:rPr>
            </w:pPr>
            <w:r>
              <w:rPr>
                <w:rFonts w:ascii="Arial" w:cs="Arial" w:eastAsia="Arial" w:hAnsi="Arial"/>
                <w:sz w:val="16"/>
                <w:szCs w:val="16"/>
                <w:color w:val="auto"/>
              </w:rPr>
              <w:t>10.3*^</w:t>
            </w:r>
          </w:p>
        </w:tc>
        <w:tc>
          <w:tcPr>
            <w:tcW w:w="5720" w:type="dxa"/>
            <w:vAlign w:val="bottom"/>
            <w:gridSpan w:val="13"/>
          </w:tcPr>
          <w:p>
            <w:pPr>
              <w:spacing w:after="0"/>
              <w:rPr>
                <w:rFonts w:ascii="Arial" w:cs="Arial" w:eastAsia="Arial" w:hAnsi="Arial"/>
                <w:sz w:val="16"/>
                <w:szCs w:val="16"/>
                <w:color w:val="0000FF"/>
                <w:w w:val="92"/>
              </w:rPr>
            </w:pPr>
            <w:hyperlink r:id="rId137">
              <w:r>
                <w:rPr>
                  <w:rFonts w:ascii="Arial" w:cs="Arial" w:eastAsia="Arial" w:hAnsi="Arial"/>
                  <w:sz w:val="16"/>
                  <w:szCs w:val="16"/>
                  <w:color w:val="0000FF"/>
                  <w:w w:val="92"/>
                </w:rPr>
                <w:t>Membership Interest Purchase Agreement, dated as of April 17, 2020, by and between</w:t>
              </w:r>
            </w:hyperlink>
          </w:p>
        </w:tc>
      </w:tr>
      <w:tr>
        <w:trPr>
          <w:trHeight w:val="155"/>
        </w:trPr>
        <w:tc>
          <w:tcPr>
            <w:tcW w:w="1000" w:type="dxa"/>
            <w:vAlign w:val="bottom"/>
          </w:tcPr>
          <w:p>
            <w:pPr>
              <w:spacing w:after="0"/>
              <w:rPr>
                <w:sz w:val="13"/>
                <w:szCs w:val="13"/>
                <w:color w:val="auto"/>
              </w:rPr>
            </w:pPr>
          </w:p>
        </w:tc>
        <w:tc>
          <w:tcPr>
            <w:tcW w:w="5600" w:type="dxa"/>
            <w:vAlign w:val="bottom"/>
            <w:tcBorders>
              <w:top w:val="single" w:sz="8" w:color="0000FF"/>
            </w:tcBorders>
            <w:gridSpan w:val="11"/>
          </w:tcPr>
          <w:p>
            <w:pPr>
              <w:spacing w:after="0" w:line="155" w:lineRule="exact"/>
              <w:rPr>
                <w:rFonts w:ascii="Arial" w:cs="Arial" w:eastAsia="Arial" w:hAnsi="Arial"/>
                <w:sz w:val="16"/>
                <w:szCs w:val="16"/>
                <w:color w:val="0000FF"/>
              </w:rPr>
            </w:pPr>
            <w:hyperlink r:id="rId137">
              <w:r>
                <w:rPr>
                  <w:rFonts w:ascii="Arial" w:cs="Arial" w:eastAsia="Arial" w:hAnsi="Arial"/>
                  <w:sz w:val="16"/>
                  <w:szCs w:val="16"/>
                  <w:color w:val="0000FF"/>
                </w:rPr>
                <w:t>CWSP Wildorado Elbow Holding LLC and Wind TE Holdco LLC.</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020" w:type="dxa"/>
            <w:vAlign w:val="bottom"/>
            <w:gridSpan w:val="3"/>
            <w:shd w:val="clear" w:color="auto" w:fill="0000FF"/>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00" w:type="dxa"/>
            <w:vAlign w:val="bottom"/>
          </w:tcPr>
          <w:p>
            <w:pPr>
              <w:spacing w:after="0"/>
              <w:rPr>
                <w:sz w:val="20"/>
                <w:szCs w:val="20"/>
                <w:color w:val="auto"/>
              </w:rPr>
            </w:pPr>
            <w:r>
              <w:rPr>
                <w:rFonts w:ascii="Arial" w:cs="Arial" w:eastAsia="Arial" w:hAnsi="Arial"/>
                <w:sz w:val="16"/>
                <w:szCs w:val="16"/>
                <w:color w:val="auto"/>
              </w:rPr>
              <w:t>10.4*^</w:t>
            </w:r>
          </w:p>
        </w:tc>
        <w:tc>
          <w:tcPr>
            <w:tcW w:w="5720" w:type="dxa"/>
            <w:vAlign w:val="bottom"/>
            <w:gridSpan w:val="13"/>
          </w:tcPr>
          <w:p>
            <w:pPr>
              <w:spacing w:after="0"/>
              <w:rPr>
                <w:rFonts w:ascii="Arial" w:cs="Arial" w:eastAsia="Arial" w:hAnsi="Arial"/>
                <w:sz w:val="16"/>
                <w:szCs w:val="16"/>
                <w:color w:val="0000FF"/>
                <w:w w:val="93"/>
              </w:rPr>
            </w:pPr>
            <w:hyperlink r:id="rId138">
              <w:r>
                <w:rPr>
                  <w:rFonts w:ascii="Arial" w:cs="Arial" w:eastAsia="Arial" w:hAnsi="Arial"/>
                  <w:sz w:val="16"/>
                  <w:szCs w:val="16"/>
                  <w:color w:val="0000FF"/>
                  <w:w w:val="93"/>
                </w:rPr>
                <w:t>Limited Liability Company Agreement of Pinnacle Repowering Partnership LLC, dated</w:t>
              </w:r>
            </w:hyperlink>
          </w:p>
        </w:tc>
      </w:tr>
      <w:tr>
        <w:trPr>
          <w:trHeight w:val="156"/>
        </w:trPr>
        <w:tc>
          <w:tcPr>
            <w:tcW w:w="1000" w:type="dxa"/>
            <w:vAlign w:val="bottom"/>
          </w:tcPr>
          <w:p>
            <w:pPr>
              <w:spacing w:after="0"/>
              <w:rPr>
                <w:sz w:val="13"/>
                <w:szCs w:val="13"/>
                <w:color w:val="auto"/>
              </w:rPr>
            </w:pPr>
          </w:p>
        </w:tc>
        <w:tc>
          <w:tcPr>
            <w:tcW w:w="5700" w:type="dxa"/>
            <w:vAlign w:val="bottom"/>
            <w:tcBorders>
              <w:top w:val="single" w:sz="8" w:color="0000FF"/>
            </w:tcBorders>
            <w:gridSpan w:val="12"/>
          </w:tcPr>
          <w:p>
            <w:pPr>
              <w:spacing w:after="0" w:line="155" w:lineRule="exact"/>
              <w:rPr>
                <w:rFonts w:ascii="Arial" w:cs="Arial" w:eastAsia="Arial" w:hAnsi="Arial"/>
                <w:sz w:val="16"/>
                <w:szCs w:val="16"/>
                <w:color w:val="0000FF"/>
              </w:rPr>
            </w:pPr>
            <w:hyperlink r:id="rId138">
              <w:r>
                <w:rPr>
                  <w:rFonts w:ascii="Arial" w:cs="Arial" w:eastAsia="Arial" w:hAnsi="Arial"/>
                  <w:sz w:val="16"/>
                  <w:szCs w:val="16"/>
                  <w:color w:val="0000FF"/>
                </w:rPr>
                <w:t>as of April 17, 2020.</w:t>
              </w:r>
            </w:hyperlink>
          </w:p>
        </w:tc>
        <w:tc>
          <w:tcPr>
            <w:tcW w:w="2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380" w:type="dxa"/>
            <w:vAlign w:val="bottom"/>
            <w:gridSpan w:val="12"/>
          </w:tcPr>
          <w:p>
            <w:pPr>
              <w:spacing w:after="0" w:line="20" w:lineRule="exact"/>
              <w:rPr>
                <w:sz w:val="1"/>
                <w:szCs w:val="1"/>
                <w:color w:val="auto"/>
              </w:rPr>
            </w:pPr>
          </w:p>
        </w:tc>
      </w:tr>
      <w:tr>
        <w:trPr>
          <w:trHeight w:val="312"/>
        </w:trPr>
        <w:tc>
          <w:tcPr>
            <w:tcW w:w="1000" w:type="dxa"/>
            <w:vAlign w:val="bottom"/>
          </w:tcPr>
          <w:p>
            <w:pPr>
              <w:spacing w:after="0"/>
              <w:rPr>
                <w:sz w:val="20"/>
                <w:szCs w:val="20"/>
                <w:color w:val="auto"/>
              </w:rPr>
            </w:pPr>
            <w:r>
              <w:rPr>
                <w:rFonts w:ascii="Arial" w:cs="Arial" w:eastAsia="Arial" w:hAnsi="Arial"/>
                <w:sz w:val="16"/>
                <w:szCs w:val="16"/>
                <w:color w:val="auto"/>
              </w:rPr>
              <w:t>31.1</w:t>
            </w:r>
          </w:p>
        </w:tc>
        <w:tc>
          <w:tcPr>
            <w:tcW w:w="5720" w:type="dxa"/>
            <w:vAlign w:val="bottom"/>
            <w:gridSpan w:val="13"/>
          </w:tcPr>
          <w:p>
            <w:pPr>
              <w:spacing w:after="0"/>
              <w:rPr>
                <w:rFonts w:ascii="Arial" w:cs="Arial" w:eastAsia="Arial" w:hAnsi="Arial"/>
                <w:sz w:val="16"/>
                <w:szCs w:val="16"/>
                <w:u w:val="single" w:color="auto"/>
                <w:color w:val="0000FF"/>
              </w:rPr>
            </w:pPr>
            <w:hyperlink w:anchor="page67">
              <w:r>
                <w:rPr>
                  <w:rFonts w:ascii="Arial" w:cs="Arial" w:eastAsia="Arial" w:hAnsi="Arial"/>
                  <w:sz w:val="16"/>
                  <w:szCs w:val="16"/>
                  <w:u w:val="single" w:color="auto"/>
                  <w:color w:val="0000FF"/>
                </w:rPr>
                <w:t>Rule 13a-14(a)/15d-14(a) certification of Christopher S. Sotos.</w:t>
              </w:r>
            </w:hyperlink>
          </w:p>
        </w:tc>
      </w:tr>
      <w:tr>
        <w:trPr>
          <w:trHeight w:val="283"/>
        </w:trPr>
        <w:tc>
          <w:tcPr>
            <w:tcW w:w="1000" w:type="dxa"/>
            <w:vAlign w:val="bottom"/>
          </w:tcPr>
          <w:p>
            <w:pPr>
              <w:spacing w:after="0"/>
              <w:rPr>
                <w:sz w:val="20"/>
                <w:szCs w:val="20"/>
                <w:color w:val="auto"/>
              </w:rPr>
            </w:pPr>
            <w:r>
              <w:rPr>
                <w:rFonts w:ascii="Arial" w:cs="Arial" w:eastAsia="Arial" w:hAnsi="Arial"/>
                <w:sz w:val="16"/>
                <w:szCs w:val="16"/>
                <w:color w:val="auto"/>
              </w:rPr>
              <w:t>31.2</w:t>
            </w:r>
          </w:p>
        </w:tc>
        <w:tc>
          <w:tcPr>
            <w:tcW w:w="5720" w:type="dxa"/>
            <w:vAlign w:val="bottom"/>
            <w:gridSpan w:val="13"/>
          </w:tcPr>
          <w:p>
            <w:pPr>
              <w:spacing w:after="0"/>
              <w:rPr>
                <w:rFonts w:ascii="Arial" w:cs="Arial" w:eastAsia="Arial" w:hAnsi="Arial"/>
                <w:sz w:val="16"/>
                <w:szCs w:val="16"/>
                <w:u w:val="single" w:color="auto"/>
                <w:color w:val="0000FF"/>
              </w:rPr>
            </w:pPr>
            <w:hyperlink w:anchor="page68">
              <w:r>
                <w:rPr>
                  <w:rFonts w:ascii="Arial" w:cs="Arial" w:eastAsia="Arial" w:hAnsi="Arial"/>
                  <w:sz w:val="16"/>
                  <w:szCs w:val="16"/>
                  <w:u w:val="single" w:color="auto"/>
                  <w:color w:val="0000FF"/>
                </w:rPr>
                <w:t>Rule 13a-14(a)/15d-14(a) certification of Chad Plotkin.</w:t>
              </w:r>
            </w:hyperlink>
          </w:p>
        </w:tc>
      </w:tr>
      <w:tr>
        <w:trPr>
          <w:trHeight w:val="257"/>
        </w:trPr>
        <w:tc>
          <w:tcPr>
            <w:tcW w:w="1000" w:type="dxa"/>
            <w:vAlign w:val="bottom"/>
          </w:tcPr>
          <w:p>
            <w:pPr>
              <w:spacing w:after="0"/>
              <w:rPr>
                <w:sz w:val="20"/>
                <w:szCs w:val="20"/>
                <w:color w:val="auto"/>
              </w:rPr>
            </w:pPr>
            <w:r>
              <w:rPr>
                <w:rFonts w:ascii="Arial" w:cs="Arial" w:eastAsia="Arial" w:hAnsi="Arial"/>
                <w:sz w:val="16"/>
                <w:szCs w:val="16"/>
                <w:color w:val="auto"/>
              </w:rPr>
              <w:t>31.3</w:t>
            </w:r>
          </w:p>
        </w:tc>
        <w:tc>
          <w:tcPr>
            <w:tcW w:w="5720" w:type="dxa"/>
            <w:vAlign w:val="bottom"/>
            <w:gridSpan w:val="13"/>
          </w:tcPr>
          <w:p>
            <w:pPr>
              <w:spacing w:after="0"/>
              <w:rPr>
                <w:rFonts w:ascii="Arial" w:cs="Arial" w:eastAsia="Arial" w:hAnsi="Arial"/>
                <w:sz w:val="16"/>
                <w:szCs w:val="16"/>
                <w:color w:val="0000FF"/>
              </w:rPr>
            </w:pPr>
            <w:hyperlink w:anchor="page69">
              <w:r>
                <w:rPr>
                  <w:rFonts w:ascii="Arial" w:cs="Arial" w:eastAsia="Arial" w:hAnsi="Arial"/>
                  <w:sz w:val="16"/>
                  <w:szCs w:val="16"/>
                  <w:u w:val="single" w:color="auto"/>
                  <w:color w:val="0000FF"/>
                </w:rPr>
                <w:t>Rule 13a-14(a)/15d-14(a) certification of Mary-Lee Stillwell</w:t>
              </w:r>
              <w:r>
                <w:rPr>
                  <w:rFonts w:ascii="Arial" w:cs="Arial" w:eastAsia="Arial" w:hAnsi="Arial"/>
                  <w:sz w:val="16"/>
                  <w:szCs w:val="16"/>
                  <w:color w:val="0000FF"/>
                </w:rPr>
                <w:t>.</w:t>
              </w:r>
            </w:hyperlink>
          </w:p>
        </w:tc>
      </w:tr>
    </w:tbl>
    <w:p>
      <w:pPr>
        <w:spacing w:after="0" w:line="50" w:lineRule="exact"/>
        <w:rPr>
          <w:sz w:val="20"/>
          <w:szCs w:val="20"/>
          <w:color w:val="auto"/>
        </w:rPr>
      </w:pPr>
    </w:p>
    <w:p>
      <w:pPr>
        <w:ind w:left="1040" w:hanging="994"/>
        <w:spacing w:after="0"/>
        <w:tabs>
          <w:tab w:leader="none" w:pos="1040" w:val="left"/>
        </w:tabs>
        <w:numPr>
          <w:ilvl w:val="0"/>
          <w:numId w:val="33"/>
        </w:numPr>
        <w:rPr>
          <w:rFonts w:ascii="Arial" w:cs="Arial" w:eastAsia="Arial" w:hAnsi="Arial"/>
          <w:sz w:val="16"/>
          <w:szCs w:val="16"/>
          <w:color w:val="0000FF"/>
        </w:rPr>
      </w:pPr>
      <w:hyperlink w:anchor="page70">
        <w:r>
          <w:rPr>
            <w:rFonts w:ascii="Arial" w:cs="Arial" w:eastAsia="Arial" w:hAnsi="Arial"/>
            <w:sz w:val="16"/>
            <w:szCs w:val="16"/>
            <w:u w:val="single" w:color="auto"/>
            <w:color w:val="0000FF"/>
          </w:rPr>
          <w:t>Section 1350 Certification</w:t>
        </w:r>
        <w:r>
          <w:rPr>
            <w:rFonts w:ascii="Arial" w:cs="Arial" w:eastAsia="Arial" w:hAnsi="Arial"/>
            <w:sz w:val="16"/>
            <w:szCs w:val="16"/>
            <w:color w:val="0000FF"/>
          </w:rPr>
          <w:t>.</w:t>
        </w:r>
      </w:hyperlink>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40" w:type="dxa"/>
            <w:vAlign w:val="bottom"/>
          </w:tcPr>
          <w:p>
            <w:pPr>
              <w:ind w:left="20"/>
              <w:spacing w:after="0"/>
              <w:rPr>
                <w:sz w:val="20"/>
                <w:szCs w:val="20"/>
                <w:color w:val="auto"/>
              </w:rPr>
            </w:pPr>
            <w:r>
              <w:rPr>
                <w:rFonts w:ascii="Arial" w:cs="Arial" w:eastAsia="Arial" w:hAnsi="Arial"/>
                <w:sz w:val="16"/>
                <w:szCs w:val="16"/>
                <w:color w:val="auto"/>
              </w:rPr>
              <w:t>INS</w:t>
            </w:r>
          </w:p>
        </w:tc>
        <w:tc>
          <w:tcPr>
            <w:tcW w:w="4000" w:type="dxa"/>
            <w:vAlign w:val="bottom"/>
          </w:tcPr>
          <w:p>
            <w:pPr>
              <w:ind w:left="200"/>
              <w:spacing w:after="0"/>
              <w:rPr>
                <w:sz w:val="20"/>
                <w:szCs w:val="20"/>
                <w:color w:val="auto"/>
              </w:rPr>
            </w:pPr>
            <w:r>
              <w:rPr>
                <w:rFonts w:ascii="Arial" w:cs="Arial" w:eastAsia="Arial" w:hAnsi="Arial"/>
                <w:sz w:val="16"/>
                <w:szCs w:val="16"/>
                <w:color w:val="auto"/>
              </w:rPr>
              <w:t>Inline XBRL Instance Document.</w:t>
            </w:r>
          </w:p>
        </w:tc>
      </w:tr>
      <w:tr>
        <w:trPr>
          <w:trHeight w:val="256"/>
        </w:trPr>
        <w:tc>
          <w:tcPr>
            <w:tcW w:w="800" w:type="dxa"/>
            <w:vAlign w:val="bottom"/>
            <w:gridSpan w:val="2"/>
          </w:tcPr>
          <w:p>
            <w:pPr>
              <w:spacing w:after="0"/>
              <w:rPr>
                <w:sz w:val="20"/>
                <w:szCs w:val="20"/>
                <w:color w:val="auto"/>
              </w:rPr>
            </w:pPr>
            <w:r>
              <w:rPr>
                <w:rFonts w:ascii="Arial" w:cs="Arial" w:eastAsia="Arial" w:hAnsi="Arial"/>
                <w:sz w:val="16"/>
                <w:szCs w:val="16"/>
                <w:color w:val="auto"/>
              </w:rPr>
              <w:t>101 SCH</w:t>
            </w:r>
          </w:p>
        </w:tc>
        <w:tc>
          <w:tcPr>
            <w:tcW w:w="4000" w:type="dxa"/>
            <w:vAlign w:val="bottom"/>
          </w:tcPr>
          <w:p>
            <w:pPr>
              <w:ind w:left="200"/>
              <w:spacing w:after="0"/>
              <w:rPr>
                <w:sz w:val="20"/>
                <w:szCs w:val="20"/>
                <w:color w:val="auto"/>
              </w:rPr>
            </w:pPr>
            <w:r>
              <w:rPr>
                <w:rFonts w:ascii="Arial" w:cs="Arial" w:eastAsia="Arial" w:hAnsi="Arial"/>
                <w:sz w:val="16"/>
                <w:szCs w:val="16"/>
                <w:color w:val="auto"/>
              </w:rPr>
              <w:t>Inline XBRL Taxonomy Extension Schema.</w:t>
            </w:r>
          </w:p>
        </w:tc>
      </w:tr>
      <w:tr>
        <w:trPr>
          <w:trHeight w:val="257"/>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40" w:type="dxa"/>
            <w:vAlign w:val="bottom"/>
          </w:tcPr>
          <w:p>
            <w:pPr>
              <w:ind w:left="20"/>
              <w:spacing w:after="0"/>
              <w:rPr>
                <w:sz w:val="20"/>
                <w:szCs w:val="20"/>
                <w:color w:val="auto"/>
              </w:rPr>
            </w:pPr>
            <w:r>
              <w:rPr>
                <w:rFonts w:ascii="Arial" w:cs="Arial" w:eastAsia="Arial" w:hAnsi="Arial"/>
                <w:sz w:val="16"/>
                <w:szCs w:val="16"/>
                <w:color w:val="auto"/>
              </w:rPr>
              <w:t>CAL</w:t>
            </w:r>
          </w:p>
        </w:tc>
        <w:tc>
          <w:tcPr>
            <w:tcW w:w="4000" w:type="dxa"/>
            <w:vAlign w:val="bottom"/>
          </w:tcPr>
          <w:p>
            <w:pPr>
              <w:ind w:left="200"/>
              <w:spacing w:after="0"/>
              <w:rPr>
                <w:sz w:val="20"/>
                <w:szCs w:val="20"/>
                <w:color w:val="auto"/>
              </w:rPr>
            </w:pPr>
            <w:r>
              <w:rPr>
                <w:rFonts w:ascii="Arial" w:cs="Arial" w:eastAsia="Arial" w:hAnsi="Arial"/>
                <w:sz w:val="16"/>
                <w:szCs w:val="16"/>
                <w:color w:val="auto"/>
                <w:w w:val="95"/>
              </w:rPr>
              <w:t>Inline XBRL Taxonomy Extension Calculation Linkbase.</w:t>
            </w:r>
          </w:p>
        </w:tc>
      </w:tr>
      <w:tr>
        <w:trPr>
          <w:trHeight w:val="256"/>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40" w:type="dxa"/>
            <w:vAlign w:val="bottom"/>
          </w:tcPr>
          <w:p>
            <w:pPr>
              <w:ind w:left="20"/>
              <w:spacing w:after="0"/>
              <w:rPr>
                <w:sz w:val="20"/>
                <w:szCs w:val="20"/>
                <w:color w:val="auto"/>
              </w:rPr>
            </w:pPr>
            <w:r>
              <w:rPr>
                <w:rFonts w:ascii="Arial" w:cs="Arial" w:eastAsia="Arial" w:hAnsi="Arial"/>
                <w:sz w:val="16"/>
                <w:szCs w:val="16"/>
                <w:color w:val="auto"/>
              </w:rPr>
              <w:t>DEF</w:t>
            </w:r>
          </w:p>
        </w:tc>
        <w:tc>
          <w:tcPr>
            <w:tcW w:w="4000" w:type="dxa"/>
            <w:vAlign w:val="bottom"/>
          </w:tcPr>
          <w:p>
            <w:pPr>
              <w:ind w:left="200"/>
              <w:spacing w:after="0"/>
              <w:rPr>
                <w:sz w:val="20"/>
                <w:szCs w:val="20"/>
                <w:color w:val="auto"/>
              </w:rPr>
            </w:pPr>
            <w:r>
              <w:rPr>
                <w:rFonts w:ascii="Arial" w:cs="Arial" w:eastAsia="Arial" w:hAnsi="Arial"/>
                <w:sz w:val="16"/>
                <w:szCs w:val="16"/>
                <w:color w:val="auto"/>
                <w:w w:val="98"/>
              </w:rPr>
              <w:t>Inline XBRL Taxonomy Extension Definition Linkbase.</w:t>
            </w:r>
          </w:p>
        </w:tc>
      </w:tr>
      <w:tr>
        <w:trPr>
          <w:trHeight w:val="257"/>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40" w:type="dxa"/>
            <w:vAlign w:val="bottom"/>
          </w:tcPr>
          <w:p>
            <w:pPr>
              <w:ind w:left="20"/>
              <w:spacing w:after="0"/>
              <w:rPr>
                <w:sz w:val="20"/>
                <w:szCs w:val="20"/>
                <w:color w:val="auto"/>
              </w:rPr>
            </w:pPr>
            <w:r>
              <w:rPr>
                <w:rFonts w:ascii="Arial" w:cs="Arial" w:eastAsia="Arial" w:hAnsi="Arial"/>
                <w:sz w:val="16"/>
                <w:szCs w:val="16"/>
                <w:color w:val="auto"/>
              </w:rPr>
              <w:t>LAB</w:t>
            </w:r>
          </w:p>
        </w:tc>
        <w:tc>
          <w:tcPr>
            <w:tcW w:w="4000" w:type="dxa"/>
            <w:vAlign w:val="bottom"/>
          </w:tcPr>
          <w:p>
            <w:pPr>
              <w:ind w:left="200"/>
              <w:spacing w:after="0"/>
              <w:rPr>
                <w:sz w:val="20"/>
                <w:szCs w:val="20"/>
                <w:color w:val="auto"/>
              </w:rPr>
            </w:pPr>
            <w:r>
              <w:rPr>
                <w:rFonts w:ascii="Arial" w:cs="Arial" w:eastAsia="Arial" w:hAnsi="Arial"/>
                <w:sz w:val="16"/>
                <w:szCs w:val="16"/>
                <w:color w:val="auto"/>
              </w:rPr>
              <w:t>Inline XBRL Taxonomy Extension Label Linkbase.</w:t>
            </w:r>
          </w:p>
        </w:tc>
      </w:tr>
      <w:tr>
        <w:trPr>
          <w:trHeight w:val="257"/>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40" w:type="dxa"/>
            <w:vAlign w:val="bottom"/>
          </w:tcPr>
          <w:p>
            <w:pPr>
              <w:ind w:left="20"/>
              <w:spacing w:after="0"/>
              <w:rPr>
                <w:sz w:val="20"/>
                <w:szCs w:val="20"/>
                <w:color w:val="auto"/>
              </w:rPr>
            </w:pPr>
            <w:r>
              <w:rPr>
                <w:rFonts w:ascii="Arial" w:cs="Arial" w:eastAsia="Arial" w:hAnsi="Arial"/>
                <w:sz w:val="16"/>
                <w:szCs w:val="16"/>
                <w:color w:val="auto"/>
              </w:rPr>
              <w:t>PRE</w:t>
            </w:r>
          </w:p>
        </w:tc>
        <w:tc>
          <w:tcPr>
            <w:tcW w:w="4000" w:type="dxa"/>
            <w:vAlign w:val="bottom"/>
          </w:tcPr>
          <w:p>
            <w:pPr>
              <w:ind w:left="200"/>
              <w:spacing w:after="0"/>
              <w:rPr>
                <w:sz w:val="20"/>
                <w:szCs w:val="20"/>
                <w:color w:val="auto"/>
              </w:rPr>
            </w:pPr>
            <w:r>
              <w:rPr>
                <w:rFonts w:ascii="Arial" w:cs="Arial" w:eastAsia="Arial" w:hAnsi="Arial"/>
                <w:sz w:val="16"/>
                <w:szCs w:val="16"/>
                <w:color w:val="auto"/>
                <w:w w:val="93"/>
              </w:rPr>
              <w:t>Inline XBRL Taxonomy Extension Presentation Linkbase.</w:t>
            </w:r>
          </w:p>
        </w:tc>
      </w:tr>
    </w:tbl>
    <w:p>
      <w:pPr>
        <w:spacing w:after="0" w:line="50" w:lineRule="exact"/>
        <w:rPr>
          <w:sz w:val="20"/>
          <w:szCs w:val="20"/>
          <w:color w:val="auto"/>
        </w:rPr>
      </w:pPr>
    </w:p>
    <w:p>
      <w:pPr>
        <w:ind w:left="1040" w:right="40" w:hanging="994"/>
        <w:spacing w:after="0" w:line="278" w:lineRule="auto"/>
        <w:tabs>
          <w:tab w:leader="none" w:pos="10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Cover Page Interactive Data File (the cover page interactive data file does not appear in Exhibit 104 because its Inline XBRL tags are embedded within the Inline XBRL 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Method of Filing</w:t>
      </w:r>
    </w:p>
    <w:p>
      <w:pPr>
        <w:spacing w:after="0" w:line="77" w:lineRule="exact"/>
        <w:rPr>
          <w:sz w:val="20"/>
          <w:szCs w:val="20"/>
          <w:color w:val="auto"/>
        </w:rPr>
      </w:pPr>
    </w:p>
    <w:p>
      <w:pPr>
        <w:spacing w:after="0" w:line="328" w:lineRule="auto"/>
        <w:rPr>
          <w:sz w:val="20"/>
          <w:szCs w:val="20"/>
          <w:color w:val="auto"/>
        </w:rPr>
      </w:pPr>
      <w:r>
        <w:rPr>
          <w:rFonts w:ascii="Arial" w:cs="Arial" w:eastAsia="Arial" w:hAnsi="Arial"/>
          <w:sz w:val="15"/>
          <w:szCs w:val="15"/>
          <w:color w:val="auto"/>
        </w:rPr>
        <w:t>Incorporated herein by reference to Exhibit 4.1 to the Company's Current Report on Form 8-K filed on July 21, 2020.</w:t>
      </w:r>
    </w:p>
    <w:p>
      <w:pPr>
        <w:spacing w:after="0" w:line="109" w:lineRule="exact"/>
        <w:rPr>
          <w:sz w:val="20"/>
          <w:szCs w:val="20"/>
          <w:color w:val="auto"/>
        </w:rPr>
      </w:pPr>
    </w:p>
    <w:p>
      <w:pPr>
        <w:spacing w:after="0" w:line="319" w:lineRule="auto"/>
        <w:rPr>
          <w:sz w:val="20"/>
          <w:szCs w:val="20"/>
          <w:color w:val="auto"/>
        </w:rPr>
      </w:pPr>
      <w:r>
        <w:rPr>
          <w:rFonts w:ascii="Arial" w:cs="Arial" w:eastAsia="Arial" w:hAnsi="Arial"/>
          <w:sz w:val="15"/>
          <w:szCs w:val="15"/>
          <w:color w:val="auto"/>
        </w:rPr>
        <w:t>Incorporated herein by reference to Exhibit 4.2 to the Company's Current Report on Form 8-K filed on July 21, 2020.</w:t>
      </w:r>
    </w:p>
    <w:p>
      <w:pPr>
        <w:spacing w:after="0" w:line="319" w:lineRule="auto"/>
        <w:rPr>
          <w:sz w:val="20"/>
          <w:szCs w:val="20"/>
          <w:color w:val="auto"/>
        </w:rPr>
      </w:pPr>
      <w:r>
        <w:rPr>
          <w:rFonts w:ascii="Arial" w:cs="Arial" w:eastAsia="Arial" w:hAnsi="Arial"/>
          <w:sz w:val="15"/>
          <w:szCs w:val="15"/>
          <w:color w:val="auto"/>
        </w:rPr>
        <w:t>Incorporated herein by reference to Exhibit 4.3 to the Company's Current Report on Form 8-K filed on July 21, 2020.</w:t>
      </w:r>
    </w:p>
    <w:p>
      <w:pPr>
        <w:ind w:right="20"/>
        <w:spacing w:after="0" w:line="342" w:lineRule="auto"/>
        <w:rPr>
          <w:sz w:val="20"/>
          <w:szCs w:val="20"/>
          <w:color w:val="auto"/>
        </w:rPr>
      </w:pPr>
      <w:r>
        <w:rPr>
          <w:rFonts w:ascii="Arial" w:cs="Arial" w:eastAsia="Arial" w:hAnsi="Arial"/>
          <w:sz w:val="14"/>
          <w:szCs w:val="14"/>
          <w:color w:val="auto"/>
        </w:rPr>
        <w:t>Incorporated herein by reference to Exhibit 10.1 to the Company's Current Report on Form 8-K filed on April 20, 2020.</w:t>
      </w:r>
    </w:p>
    <w:p>
      <w:pPr>
        <w:ind w:right="20"/>
        <w:spacing w:after="0" w:line="342" w:lineRule="auto"/>
        <w:rPr>
          <w:sz w:val="20"/>
          <w:szCs w:val="20"/>
          <w:color w:val="auto"/>
        </w:rPr>
      </w:pPr>
      <w:r>
        <w:rPr>
          <w:rFonts w:ascii="Arial" w:cs="Arial" w:eastAsia="Arial" w:hAnsi="Arial"/>
          <w:sz w:val="14"/>
          <w:szCs w:val="14"/>
          <w:color w:val="auto"/>
        </w:rPr>
        <w:t>Incorporated herein by reference to Exhibit 10.2 to the Company's Current Report on Form 8-K filed on April 20, 2020.</w:t>
      </w:r>
    </w:p>
    <w:p>
      <w:pPr>
        <w:ind w:right="20"/>
        <w:spacing w:after="0" w:line="342" w:lineRule="auto"/>
        <w:rPr>
          <w:sz w:val="20"/>
          <w:szCs w:val="20"/>
          <w:color w:val="auto"/>
        </w:rPr>
      </w:pPr>
      <w:r>
        <w:rPr>
          <w:rFonts w:ascii="Arial" w:cs="Arial" w:eastAsia="Arial" w:hAnsi="Arial"/>
          <w:sz w:val="14"/>
          <w:szCs w:val="14"/>
          <w:color w:val="auto"/>
        </w:rPr>
        <w:t>Incorporated herein by reference to Exhibit 10.3 to the Company's Current Report on Form 8-K filed on April 20, 2020.</w:t>
      </w:r>
    </w:p>
    <w:p>
      <w:pPr>
        <w:ind w:right="20"/>
        <w:spacing w:after="0" w:line="342" w:lineRule="auto"/>
        <w:rPr>
          <w:sz w:val="20"/>
          <w:szCs w:val="20"/>
          <w:color w:val="auto"/>
        </w:rPr>
      </w:pPr>
      <w:r>
        <w:rPr>
          <w:rFonts w:ascii="Arial" w:cs="Arial" w:eastAsia="Arial" w:hAnsi="Arial"/>
          <w:sz w:val="14"/>
          <w:szCs w:val="14"/>
          <w:color w:val="auto"/>
        </w:rPr>
        <w:t>Incorporated herein by reference to Exhibit 10.4 to the Company's Current Report on Form 8-K filed on April 20, 2020.</w:t>
      </w:r>
    </w:p>
    <w:p>
      <w:pPr>
        <w:spacing w:after="0"/>
        <w:rPr>
          <w:sz w:val="20"/>
          <w:szCs w:val="20"/>
          <w:color w:val="auto"/>
        </w:rPr>
      </w:pPr>
      <w:r>
        <w:rPr>
          <w:rFonts w:ascii="Arial" w:cs="Arial" w:eastAsia="Arial" w:hAnsi="Arial"/>
          <w:sz w:val="16"/>
          <w:szCs w:val="16"/>
          <w:color w:val="auto"/>
        </w:rPr>
        <w:t>Filed herewith.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Furnished herewith.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655" w:lineRule="exact"/>
        <w:rPr>
          <w:sz w:val="20"/>
          <w:szCs w:val="20"/>
          <w:color w:val="auto"/>
        </w:rPr>
      </w:pPr>
    </w:p>
    <w:p>
      <w:pPr>
        <w:sectPr>
          <w:pgSz w:w="11900" w:h="16838" w:orient="portrait"/>
          <w:cols w:equalWidth="0" w:num="2">
            <w:col w:w="6760" w:space="180"/>
            <w:col w:w="4200"/>
          </w:cols>
          <w:pgMar w:left="320" w:top="1134" w:right="439" w:bottom="1440" w:gutter="0" w:footer="0" w:header="0"/>
        </w:sectPr>
      </w:pPr>
    </w:p>
    <w:p>
      <w:pPr>
        <w:spacing w:after="0" w:line="200" w:lineRule="exact"/>
        <w:rPr>
          <w:sz w:val="20"/>
          <w:szCs w:val="20"/>
          <w:color w:val="auto"/>
        </w:rPr>
      </w:pPr>
    </w:p>
    <w:p>
      <w:pPr>
        <w:jc w:val="both"/>
        <w:ind w:left="640" w:right="1580" w:hanging="614"/>
        <w:spacing w:after="0" w:line="278" w:lineRule="auto"/>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Schedules and similar attachments to this Exhibit have been omitted pursuant to Item 601(a)(5) of Regulation S-K. The Company agrees to furnish supplementally a copy of any omitted schedule or exhibit to the U.S. Securities and Exchange Commission (the “SEC”) upon request.</w:t>
      </w:r>
    </w:p>
    <w:p>
      <w:pPr>
        <w:spacing w:after="0" w:line="4" w:lineRule="exact"/>
        <w:rPr>
          <w:sz w:val="20"/>
          <w:szCs w:val="20"/>
          <w:color w:val="auto"/>
        </w:rPr>
      </w:pPr>
    </w:p>
    <w:p>
      <w:pPr>
        <w:jc w:val="both"/>
        <w:ind w:left="640" w:right="1580" w:hanging="614"/>
        <w:spacing w:after="0" w:line="211" w:lineRule="auto"/>
        <w:tabs>
          <w:tab w:leader="none" w:pos="640" w:val="left"/>
        </w:tabs>
        <w:numPr>
          <w:ilvl w:val="0"/>
          <w:numId w:val="36"/>
        </w:numPr>
        <w:rPr>
          <w:rFonts w:ascii="Arial" w:cs="Arial" w:eastAsia="Arial" w:hAnsi="Arial"/>
          <w:sz w:val="20"/>
          <w:szCs w:val="20"/>
          <w:color w:val="auto"/>
        </w:rPr>
      </w:pPr>
      <w:r>
        <w:rPr>
          <w:rFonts w:ascii="Arial" w:cs="Arial" w:eastAsia="Arial" w:hAnsi="Arial"/>
          <w:sz w:val="18"/>
          <w:szCs w:val="18"/>
          <w:color w:val="auto"/>
        </w:rPr>
        <w:t>C</w:t>
      </w:r>
      <w:r>
        <w:rPr>
          <w:rFonts w:ascii="Arial" w:cs="Arial" w:eastAsia="Arial" w:hAnsi="Arial"/>
          <w:sz w:val="16"/>
          <w:szCs w:val="16"/>
          <w:color w:val="auto"/>
        </w:rPr>
        <w:t>ertain portions of this Exhibit have been redacted pursuant to Item 601(b)(10)(iv) of Regulation S-K. The omitted information is (i) not</w:t>
      </w:r>
      <w:r>
        <w:rPr>
          <w:rFonts w:ascii="Arial" w:cs="Arial" w:eastAsia="Arial" w:hAnsi="Arial"/>
          <w:sz w:val="18"/>
          <w:szCs w:val="18"/>
          <w:color w:val="auto"/>
        </w:rPr>
        <w:t xml:space="preserve"> </w:t>
      </w:r>
      <w:r>
        <w:rPr>
          <w:rFonts w:ascii="Arial" w:cs="Arial" w:eastAsia="Arial" w:hAnsi="Arial"/>
          <w:sz w:val="16"/>
          <w:szCs w:val="16"/>
          <w:color w:val="auto"/>
        </w:rPr>
        <w:t>material and (ii) would likely cause competitive harm to the Company if publicly disclosed. The Company agrees to furnish supplementally an unredacted copy of this Exhibit to the SEC upon request.</w:t>
      </w:r>
    </w:p>
    <w:p>
      <w:pPr>
        <w:spacing w:after="0" w:line="200" w:lineRule="exact"/>
        <w:rPr>
          <w:sz w:val="20"/>
          <w:szCs w:val="20"/>
          <w:color w:val="auto"/>
        </w:rPr>
      </w:pPr>
    </w:p>
    <w:p>
      <w:pPr>
        <w:spacing w:after="0" w:line="3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231F20"/>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34" w:right="439" w:bottom="1440" w:gutter="0" w:footer="0" w:header="0"/>
          <w:type w:val="continuous"/>
        </w:sectPr>
      </w:pPr>
    </w:p>
    <w:bookmarkStart w:id="65" w:name="page66"/>
    <w:bookmarkEnd w:id="65"/>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w:t>
      </w:r>
    </w:p>
    <w:p>
      <w:pPr>
        <w:sectPr>
          <w:pgSz w:w="11900" w:h="16838" w:orient="portrait"/>
          <w:cols w:equalWidth="0" w:num="1">
            <w:col w:w="11220"/>
          </w:cols>
          <w:pgMar w:left="320" w:top="891" w:right="359" w:bottom="1440" w:gutter="0" w:footer="0" w:header="0"/>
        </w:sectPr>
      </w:pP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6,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CLEARWAY ENERGY,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46355</wp:posOffset>
            </wp:positionV>
            <wp:extent cx="2854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Christopher S. Sotos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2854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Chad Plotkin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 MARY-LEE STILLWELL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2854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Mary-Lee Stillwell</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Accounting Officer</w:t>
      </w:r>
    </w:p>
    <w:p>
      <w:pPr>
        <w:spacing w:after="0"/>
        <w:rPr>
          <w:sz w:val="20"/>
          <w:szCs w:val="20"/>
          <w:color w:val="auto"/>
        </w:rPr>
      </w:pPr>
      <w:r>
        <w:rPr>
          <w:rFonts w:ascii="Arial" w:cs="Arial" w:eastAsia="Arial" w:hAnsi="Arial"/>
          <w:sz w:val="17"/>
          <w:szCs w:val="17"/>
          <w:i w:val="1"/>
          <w:iCs w:val="1"/>
          <w:color w:val="auto"/>
        </w:rPr>
        <w:t>(Principal Accounting Officer)</w:t>
      </w:r>
    </w:p>
    <w:p>
      <w:pPr>
        <w:spacing w:after="0" w:line="200" w:lineRule="exact"/>
        <w:rPr>
          <w:sz w:val="20"/>
          <w:szCs w:val="20"/>
          <w:color w:val="auto"/>
        </w:rPr>
      </w:pPr>
    </w:p>
    <w:p>
      <w:pPr>
        <w:sectPr>
          <w:pgSz w:w="11900" w:h="16838" w:orient="portrait"/>
          <w:cols w:equalWidth="0" w:num="2">
            <w:col w:w="6000" w:space="720"/>
            <w:col w:w="4500"/>
          </w:cols>
          <w:pgMar w:left="320" w:top="89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231F20"/>
        </w:rPr>
        <w:t>66</w:t>
      </w:r>
    </w:p>
    <w:p>
      <w:pPr>
        <w:sectPr>
          <w:pgSz w:w="11900" w:h="16838" w:orient="portrait"/>
          <w:cols w:equalWidth="0" w:num="1">
            <w:col w:w="11220"/>
          </w:cols>
          <w:pgMar w:left="320" w:top="891" w:right="359" w:bottom="1440" w:gutter="0" w:footer="0" w:header="0"/>
          <w:type w:val="continuous"/>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 Sotos, certify that:</w:t>
      </w:r>
    </w:p>
    <w:p>
      <w:pPr>
        <w:spacing w:after="0" w:line="347"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7"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297"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20" w:hanging="644"/>
        <w:spacing w:after="0" w:line="308" w:lineRule="auto"/>
        <w:tabs>
          <w:tab w:leader="none" w:pos="1297"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294"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31750</wp:posOffset>
            </wp:positionV>
            <wp:extent cx="192024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8"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Christopher S. Sotos</w:t>
      </w:r>
    </w:p>
    <w:p>
      <w:pPr>
        <w:ind w:left="6960"/>
        <w:spacing w:after="0" w:line="203" w:lineRule="auto"/>
        <w:rPr>
          <w:sz w:val="20"/>
          <w:szCs w:val="20"/>
          <w:color w:val="auto"/>
        </w:rPr>
      </w:pPr>
      <w:r>
        <w:rPr>
          <w:rFonts w:ascii="Arial" w:cs="Arial" w:eastAsia="Arial" w:hAnsi="Arial"/>
          <w:sz w:val="18"/>
          <w:szCs w:val="18"/>
          <w:i w:val="1"/>
          <w:iCs w:val="1"/>
          <w:color w:val="auto"/>
        </w:rPr>
        <w:t>Chief Executive Officer</w:t>
      </w:r>
    </w:p>
    <w:p>
      <w:pPr>
        <w:ind w:left="6960"/>
        <w:spacing w:after="0"/>
        <w:rPr>
          <w:sz w:val="20"/>
          <w:szCs w:val="20"/>
          <w:color w:val="auto"/>
        </w:rPr>
      </w:pPr>
      <w:r>
        <w:rPr>
          <w:rFonts w:ascii="Arial" w:cs="Arial" w:eastAsia="Arial" w:hAnsi="Arial"/>
          <w:sz w:val="18"/>
          <w:szCs w:val="18"/>
          <w:i w:val="1"/>
          <w:iCs w:val="1"/>
          <w:color w:val="auto"/>
        </w:rPr>
        <w:t>(Principal Executive Officer)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ectPr>
          <w:pgSz w:w="11900" w:h="16838" w:orient="portrait"/>
          <w:cols w:equalWidth="0" w:num="1">
            <w:col w:w="11240"/>
          </w:cols>
          <w:pgMar w:left="320" w:top="985"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Chad Plotkin, certify that:</w:t>
      </w:r>
    </w:p>
    <w:p>
      <w:pPr>
        <w:spacing w:after="0" w:line="347"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7"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297"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20" w:hanging="644"/>
        <w:spacing w:after="0" w:line="308" w:lineRule="auto"/>
        <w:tabs>
          <w:tab w:leader="none" w:pos="1297"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294"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31750</wp:posOffset>
            </wp:positionV>
            <wp:extent cx="19716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28"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Chad Plotkin</w:t>
      </w:r>
    </w:p>
    <w:p>
      <w:pPr>
        <w:ind w:left="6880"/>
        <w:spacing w:after="0" w:line="203" w:lineRule="auto"/>
        <w:rPr>
          <w:sz w:val="20"/>
          <w:szCs w:val="20"/>
          <w:color w:val="auto"/>
        </w:rPr>
      </w:pPr>
      <w:r>
        <w:rPr>
          <w:rFonts w:ascii="Arial" w:cs="Arial" w:eastAsia="Arial" w:hAnsi="Arial"/>
          <w:sz w:val="18"/>
          <w:szCs w:val="18"/>
          <w:i w:val="1"/>
          <w:iCs w:val="1"/>
          <w:color w:val="auto"/>
        </w:rPr>
        <w:t>Chief Financial Officer</w:t>
      </w:r>
    </w:p>
    <w:p>
      <w:pPr>
        <w:ind w:left="6880"/>
        <w:spacing w:after="0"/>
        <w:rPr>
          <w:sz w:val="20"/>
          <w:szCs w:val="20"/>
          <w:color w:val="auto"/>
        </w:rPr>
      </w:pPr>
      <w:r>
        <w:rPr>
          <w:rFonts w:ascii="Arial" w:cs="Arial" w:eastAsia="Arial" w:hAnsi="Arial"/>
          <w:sz w:val="18"/>
          <w:szCs w:val="18"/>
          <w:i w:val="1"/>
          <w:iCs w:val="1"/>
          <w:color w:val="auto"/>
        </w:rPr>
        <w:t>(Principal Financial Officer)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ectPr>
          <w:pgSz w:w="11900" w:h="16838" w:orient="portrait"/>
          <w:cols w:equalWidth="0" w:num="1">
            <w:col w:w="11240"/>
          </w:cols>
          <w:pgMar w:left="320" w:top="985"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31.3</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Mary-Lee Stillwell, certify that:</w:t>
      </w:r>
    </w:p>
    <w:p>
      <w:pPr>
        <w:spacing w:after="0" w:line="347"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7"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297"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20" w:hanging="644"/>
        <w:spacing w:after="0" w:line="308" w:lineRule="auto"/>
        <w:tabs>
          <w:tab w:leader="none" w:pos="1297"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294"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 MARY-LEE STILLWELL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31750</wp:posOffset>
            </wp:positionV>
            <wp:extent cx="180911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1809115" cy="8890"/>
                    </a:xfrm>
                    <a:prstGeom prst="rect">
                      <a:avLst/>
                    </a:prstGeom>
                    <a:noFill/>
                  </pic:spPr>
                </pic:pic>
              </a:graphicData>
            </a:graphic>
          </wp:anchor>
        </w:drawing>
      </w:r>
    </w:p>
    <w:p>
      <w:pPr>
        <w:spacing w:after="0" w:line="28"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Mary-Lee Stillwell</w:t>
      </w:r>
    </w:p>
    <w:p>
      <w:pPr>
        <w:ind w:left="7300"/>
        <w:spacing w:after="0" w:line="203" w:lineRule="auto"/>
        <w:rPr>
          <w:sz w:val="20"/>
          <w:szCs w:val="20"/>
          <w:color w:val="auto"/>
        </w:rPr>
      </w:pPr>
      <w:r>
        <w:rPr>
          <w:rFonts w:ascii="Arial" w:cs="Arial" w:eastAsia="Arial" w:hAnsi="Arial"/>
          <w:sz w:val="18"/>
          <w:szCs w:val="18"/>
          <w:i w:val="1"/>
          <w:iCs w:val="1"/>
          <w:color w:val="auto"/>
        </w:rPr>
        <w:t>Chief Accounting Officer</w:t>
      </w:r>
    </w:p>
    <w:p>
      <w:pPr>
        <w:ind w:left="7300"/>
        <w:spacing w:after="0"/>
        <w:rPr>
          <w:sz w:val="20"/>
          <w:szCs w:val="20"/>
          <w:color w:val="auto"/>
        </w:rPr>
      </w:pPr>
      <w:r>
        <w:rPr>
          <w:rFonts w:ascii="Arial" w:cs="Arial" w:eastAsia="Arial" w:hAnsi="Arial"/>
          <w:sz w:val="18"/>
          <w:szCs w:val="18"/>
          <w:i w:val="1"/>
          <w:iCs w:val="1"/>
          <w:color w:val="auto"/>
        </w:rPr>
        <w:t>(Principal Accounting Officer)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ectPr>
          <w:pgSz w:w="11900" w:h="16838" w:orient="portrait"/>
          <w:cols w:equalWidth="0" w:num="1">
            <w:col w:w="11240"/>
          </w:cols>
          <w:pgMar w:left="320" w:top="89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the Quarterly Report of Clearway Energy, Inc. on Form 10-Q for the quarter ended June 30, 2020,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3" w:lineRule="exact"/>
        <w:rPr>
          <w:sz w:val="20"/>
          <w:szCs w:val="20"/>
          <w:color w:val="auto"/>
        </w:rPr>
      </w:pPr>
    </w:p>
    <w:p>
      <w:pPr>
        <w:ind w:left="640" w:hanging="308"/>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line="277" w:lineRule="auto"/>
        <w:tabs>
          <w:tab w:leader="none" w:pos="65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 as of the dates and for the periods expressed in the Form 10-Q.</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36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31750</wp:posOffset>
            </wp:positionV>
            <wp:extent cx="2425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5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Christopher S. Sotos</w:t>
      </w:r>
    </w:p>
    <w:p>
      <w:pPr>
        <w:spacing w:after="0" w:line="34"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Chief Executive Officer</w:t>
      </w:r>
    </w:p>
    <w:p>
      <w:pPr>
        <w:ind w:left="590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6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31750</wp:posOffset>
            </wp:positionV>
            <wp:extent cx="2425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5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Chad Plotkin</w:t>
      </w:r>
    </w:p>
    <w:p>
      <w:pPr>
        <w:spacing w:after="0" w:line="34"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Chief Financial Officer</w:t>
      </w:r>
    </w:p>
    <w:p>
      <w:pPr>
        <w:ind w:left="590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36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MARY-LEE STILLWELL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31750</wp:posOffset>
            </wp:positionV>
            <wp:extent cx="24257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5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Mary-Lee Stillwell</w:t>
      </w:r>
    </w:p>
    <w:p>
      <w:pPr>
        <w:spacing w:after="0" w:line="34"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Chief Accounting Officer</w:t>
      </w:r>
    </w:p>
    <w:p>
      <w:pPr>
        <w:ind w:left="5900"/>
        <w:spacing w:after="0"/>
        <w:rPr>
          <w:sz w:val="20"/>
          <w:szCs w:val="20"/>
          <w:color w:val="auto"/>
        </w:rPr>
      </w:pP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p>
      <w:pPr>
        <w:spacing w:after="0" w:line="10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this Form 10-Q or as a separate disclosure document.</w:t>
      </w:r>
    </w:p>
    <w:p>
      <w:pPr>
        <w:spacing w:after="0" w:line="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Inc. and will be retained by Clearway Energy, Inc.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lvl w:ilvl="1">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lowerLetter"/>
      <w:start w:val="1"/>
    </w:lvl>
  </w:abstractNum>
  <w:abstractNum w:abstractNumId="3">
    <w:nsid w:val="721DA317"/>
    <w:multiLevelType w:val="hybridMultilevel"/>
    <w:lvl w:ilvl="0">
      <w:lvlJc w:val="left"/>
      <w:lvlText w:val="(%1)"/>
      <w:numFmt w:val="lowerLetter"/>
      <w:start w:val="1"/>
    </w:lvl>
  </w:abstractNum>
  <w:abstractNum w:abstractNumId="4">
    <w:nsid w:val="2443A858"/>
    <w:multiLevelType w:val="hybridMultilevel"/>
    <w:lvl w:ilvl="0">
      <w:lvlJc w:val="left"/>
      <w:lvlText w:val="(%1)"/>
      <w:numFmt w:val="lowerLetter"/>
      <w:start w:val="1"/>
    </w:lvl>
  </w:abstractNum>
  <w:abstractNum w:abstractNumId="5">
    <w:nsid w:val="2D1D5AE9"/>
    <w:multiLevelType w:val="hybridMultilevel"/>
    <w:lvl w:ilvl="0">
      <w:lvlJc w:val="left"/>
      <w:lvlText w:val="(%1)"/>
      <w:numFmt w:val="lowerLetter"/>
      <w:start w:val="1"/>
    </w:lvl>
  </w:abstractNum>
  <w:abstractNum w:abstractNumId="6">
    <w:nsid w:val="6763845E"/>
    <w:multiLevelType w:val="hybridMultilevel"/>
    <w:lvl w:ilvl="0">
      <w:lvlJc w:val="left"/>
      <w:lvlText w:val="(%1)"/>
      <w:numFmt w:val="lowerLetter"/>
      <w:start w:val="1"/>
    </w:lvl>
  </w:abstractNum>
  <w:abstractNum w:abstractNumId="7">
    <w:nsid w:val="75A2A8D4"/>
    <w:multiLevelType w:val="hybridMultilevel"/>
    <w:lvl w:ilvl="0">
      <w:lvlJc w:val="left"/>
      <w:lvlText w:val="(%1)"/>
      <w:numFmt w:val="lowerLetter"/>
      <w:start w:val="2"/>
    </w:lvl>
  </w:abstractNum>
  <w:abstractNum w:abstractNumId="8">
    <w:nsid w:val="8EDBDAB"/>
    <w:multiLevelType w:val="hybridMultilevel"/>
    <w:lvl w:ilvl="0">
      <w:lvlJc w:val="left"/>
      <w:lvlText w:val="(%1)"/>
      <w:numFmt w:val="lowerLetter"/>
      <w:start w:val="2"/>
    </w:lvl>
  </w:abstractNum>
  <w:abstractNum w:abstractNumId="9">
    <w:nsid w:val="79838CB2"/>
    <w:multiLevelType w:val="hybridMultilevel"/>
    <w:lvl w:ilvl="0">
      <w:lvlJc w:val="left"/>
      <w:lvlText w:val="(%1)"/>
      <w:numFmt w:val="lowerLetter"/>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1)"/>
      <w:numFmt w:val="lowerLetter"/>
      <w:start w:val="1"/>
    </w:lvl>
  </w:abstractNum>
  <w:abstractNum w:abstractNumId="12">
    <w:nsid w:val="189A769B"/>
    <w:multiLevelType w:val="hybridMultilevel"/>
    <w:lvl w:ilvl="0">
      <w:lvlJc w:val="left"/>
      <w:lvlText w:val="(%1)"/>
      <w:numFmt w:val="lowerLetter"/>
      <w:start w:val="1"/>
    </w:lvl>
  </w:abstractNum>
  <w:abstractNum w:abstractNumId="13">
    <w:nsid w:val="54E49EB4"/>
    <w:multiLevelType w:val="hybridMultilevel"/>
    <w:lvl w:ilvl="0">
      <w:lvlJc w:val="left"/>
      <w:lvlText w:val="(%1)"/>
      <w:numFmt w:val="lowerLetter"/>
      <w:start w:val="1"/>
    </w:lvl>
  </w:abstractNum>
  <w:abstractNum w:abstractNumId="14">
    <w:nsid w:val="71F32454"/>
    <w:multiLevelType w:val="hybridMultilevel"/>
    <w:lvl w:ilvl="0">
      <w:lvlJc w:val="left"/>
      <w:lvlText w:val="(%1)"/>
      <w:numFmt w:val="lowerLetter"/>
      <w:start w:val="1"/>
    </w:lvl>
  </w:abstractNum>
  <w:abstractNum w:abstractNumId="15">
    <w:nsid w:val="2CA88611"/>
    <w:multiLevelType w:val="hybridMultilevel"/>
    <w:lvl w:ilvl="0">
      <w:lvlJc w:val="left"/>
      <w:lvlText w:val="(%1)"/>
      <w:numFmt w:val="lowerLetter"/>
      <w:start w:val="1"/>
    </w:lvl>
  </w:abstractNum>
  <w:abstractNum w:abstractNumId="16">
    <w:nsid w:val="836C40E"/>
    <w:multiLevelType w:val="hybridMultilevel"/>
    <w:lvl w:ilvl="0">
      <w:lvlJc w:val="left"/>
      <w:lvlText w:val="(%1)"/>
      <w:numFmt w:val="lowerLetter"/>
      <w:start w:val="1"/>
    </w:lvl>
  </w:abstractNum>
  <w:abstractNum w:abstractNumId="17">
    <w:nsid w:val="2901D82"/>
    <w:multiLevelType w:val="hybridMultilevel"/>
    <w:lvl w:ilvl="0">
      <w:lvlJc w:val="left"/>
      <w:lvlText w:val="&amp;"/>
      <w:numFmt w:val="bullet"/>
      <w:start w:val="1"/>
    </w:lvl>
  </w:abstractNum>
  <w:abstractNum w:abstractNumId="18">
    <w:nsid w:val="3A95F874"/>
    <w:multiLevelType w:val="hybridMultilevel"/>
    <w:lvl w:ilvl="0">
      <w:lvlJc w:val="left"/>
      <w:lvlText w:val="(%1)"/>
      <w:numFmt w:val="lowerLetter"/>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1)"/>
      <w:numFmt w:val="lowerLetter"/>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1)"/>
      <w:numFmt w:val="lowerLetter"/>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1"/>
      <w:numFmt w:val="decimal"/>
      <w:start w:val="32"/>
    </w:lvl>
  </w:abstractNum>
  <w:abstractNum w:abstractNumId="33">
    <w:nsid w:val="77465F01"/>
    <w:multiLevelType w:val="hybridMultilevel"/>
    <w:lvl w:ilvl="0">
      <w:lvlJc w:val="left"/>
      <w:lvlText w:val="%1"/>
      <w:numFmt w:val="decimal"/>
      <w:start w:val="104"/>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32" Type="http://schemas.openxmlformats.org/officeDocument/2006/relationships/hyperlink" Target="http://www.sec.gov/Archives/edgar/data/1567683/000110465920085304/tm2025125d1_ex4-1.htm" TargetMode="External"/><Relationship Id="rId133" Type="http://schemas.openxmlformats.org/officeDocument/2006/relationships/hyperlink" Target="http://www.sec.gov/Archives/edgar/data/1567683/000110465920085304/tm2025125d1_ex4-2.htm" TargetMode="External"/><Relationship Id="rId134" Type="http://schemas.openxmlformats.org/officeDocument/2006/relationships/hyperlink" Target="http://www.sec.gov/Archives/edgar/data/1567683/000110465920085304/tm2025125d1_ex4-3.htm" TargetMode="External"/><Relationship Id="rId135" Type="http://schemas.openxmlformats.org/officeDocument/2006/relationships/hyperlink" Target="http://www.sec.gov/Archives/edgar/data/1567683/000110465920048792/tm2016404d1_ex10-1.htm" TargetMode="External"/><Relationship Id="rId136" Type="http://schemas.openxmlformats.org/officeDocument/2006/relationships/hyperlink" Target="http://www.sec.gov/Archives/edgar/data/1567683/000110465920048792/tm2016404d1_ex10-2.htm" TargetMode="External"/><Relationship Id="rId137" Type="http://schemas.openxmlformats.org/officeDocument/2006/relationships/hyperlink" Target="http://www.sec.gov/Archives/edgar/data/1567683/000110465920048792/tm2016404d1_ex10-3.htm" TargetMode="External"/><Relationship Id="rId138" Type="http://schemas.openxmlformats.org/officeDocument/2006/relationships/hyperlink" Target="http://www.sec.gov/Archives/edgar/data/1567683/000110465920048792/tm2016404d1_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2020-08-06T14:01:32Z</dcterms:created>
  <dcterms:modified xsi:type="dcterms:W3CDTF">2020-08-06T14:01:32Z</dcterms:modified>
</cp:coreProperties>
</file>