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200025</wp:posOffset>
            </wp:positionH>
            <wp:positionV relativeFrom="page">
              <wp:posOffset>695325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661670</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63" w:lineRule="exact"/>
        <w:rPr>
          <w:sz w:val="24"/>
          <w:szCs w:val="24"/>
          <w:color w:val="auto"/>
        </w:rPr>
      </w:pPr>
    </w:p>
    <w:p>
      <w:pPr>
        <w:ind w:left="580" w:hanging="358"/>
        <w:spacing w:after="0"/>
        <w:tabs>
          <w:tab w:leader="none" w:pos="5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30" w:lineRule="exact"/>
        <w:rPr>
          <w:sz w:val="24"/>
          <w:szCs w:val="24"/>
          <w:color w:val="auto"/>
        </w:rPr>
      </w:pPr>
    </w:p>
    <w:p>
      <w:pPr>
        <w:ind w:left="540" w:hanging="334"/>
        <w:spacing w:after="0"/>
        <w:tabs>
          <w:tab w:leader="none" w:pos="5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001-36002</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Clearway Energy, Inc.</w:t>
      </w:r>
    </w:p>
    <w:p>
      <w:pPr>
        <w:spacing w:after="0" w:line="42" w:lineRule="exact"/>
        <w:rPr>
          <w:sz w:val="24"/>
          <w:szCs w:val="24"/>
          <w:color w:val="auto"/>
        </w:rPr>
      </w:pPr>
    </w:p>
    <w:tbl>
      <w:tblPr>
        <w:tblLayout w:type="fixed"/>
        <w:tblInd w:w="940" w:type="dxa"/>
        <w:tblCellMar>
          <w:top w:w="0" w:type="dxa"/>
          <w:left w:w="0" w:type="dxa"/>
          <w:bottom w:w="0" w:type="dxa"/>
          <w:right w:w="0" w:type="dxa"/>
        </w:tblCellMar>
      </w:tblPr>
      <w:tr>
        <w:trPr>
          <w:trHeight w:val="184"/>
        </w:trPr>
        <w:tc>
          <w:tcPr>
            <w:tcW w:w="2720" w:type="dxa"/>
            <w:vAlign w:val="bottom"/>
          </w:tcPr>
          <w:p>
            <w:pPr>
              <w:spacing w:after="0"/>
              <w:rPr>
                <w:sz w:val="15"/>
                <w:szCs w:val="15"/>
                <w:color w:val="auto"/>
              </w:rPr>
            </w:pPr>
          </w:p>
        </w:tc>
        <w:tc>
          <w:tcPr>
            <w:tcW w:w="3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900" w:type="dxa"/>
            <w:vAlign w:val="bottom"/>
          </w:tcPr>
          <w:p>
            <w:pPr>
              <w:spacing w:after="0"/>
              <w:rPr>
                <w:sz w:val="15"/>
                <w:szCs w:val="15"/>
                <w:color w:val="auto"/>
              </w:rPr>
            </w:pPr>
          </w:p>
        </w:tc>
      </w:tr>
      <w:tr>
        <w:trPr>
          <w:trHeight w:val="182"/>
        </w:trPr>
        <w:tc>
          <w:tcPr>
            <w:tcW w:w="2720" w:type="dxa"/>
            <w:vAlign w:val="bottom"/>
          </w:tcPr>
          <w:p>
            <w:pPr>
              <w:jc w:val="center"/>
              <w:ind w:right="76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3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900" w:type="dxa"/>
            <w:vAlign w:val="bottom"/>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46-1777204</w:t>
            </w:r>
          </w:p>
        </w:tc>
      </w:tr>
      <w:tr>
        <w:trPr>
          <w:trHeight w:val="149"/>
        </w:trPr>
        <w:tc>
          <w:tcPr>
            <w:tcW w:w="2720" w:type="dxa"/>
            <w:vAlign w:val="bottom"/>
          </w:tcPr>
          <w:p>
            <w:pPr>
              <w:jc w:val="center"/>
              <w:ind w:right="769"/>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1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900" w:type="dxa"/>
            <w:vAlign w:val="bottom"/>
          </w:tcPr>
          <w:p>
            <w:pPr>
              <w:jc w:val="center"/>
              <w:ind w:left="269"/>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2720" w:type="dxa"/>
            <w:vAlign w:val="bottom"/>
          </w:tcPr>
          <w:p>
            <w:pPr>
              <w:jc w:val="center"/>
              <w:ind w:right="769"/>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13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90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219"/>
        </w:trPr>
        <w:tc>
          <w:tcPr>
            <w:tcW w:w="2720" w:type="dxa"/>
            <w:vAlign w:val="bottom"/>
          </w:tcPr>
          <w:p>
            <w:pPr>
              <w:jc w:val="center"/>
              <w:ind w:right="789"/>
              <w:spacing w:after="0"/>
              <w:rPr>
                <w:sz w:val="20"/>
                <w:szCs w:val="20"/>
                <w:color w:val="auto"/>
              </w:rPr>
            </w:pPr>
            <w:r>
              <w:rPr>
                <w:rFonts w:ascii="Times New Roman" w:cs="Times New Roman" w:eastAsia="Times New Roman" w:hAnsi="Times New Roman"/>
                <w:sz w:val="14"/>
                <w:szCs w:val="14"/>
                <w:b w:val="1"/>
                <w:bCs w:val="1"/>
                <w:color w:val="auto"/>
              </w:rPr>
              <w:t>300 Carnegie Center, Suite 300</w:t>
            </w:r>
          </w:p>
        </w:tc>
        <w:tc>
          <w:tcPr>
            <w:tcW w:w="13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Princeton</w:t>
            </w:r>
          </w:p>
        </w:tc>
        <w:tc>
          <w:tcPr>
            <w:tcW w:w="25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New Jersey</w:t>
            </w:r>
          </w:p>
        </w:tc>
        <w:tc>
          <w:tcPr>
            <w:tcW w:w="2900" w:type="dxa"/>
            <w:vAlign w:val="bottom"/>
          </w:tcPr>
          <w:p>
            <w:pPr>
              <w:jc w:val="right"/>
              <w:ind w:right="1029"/>
              <w:spacing w:after="0"/>
              <w:rPr>
                <w:sz w:val="20"/>
                <w:szCs w:val="20"/>
                <w:color w:val="auto"/>
              </w:rPr>
            </w:pPr>
            <w:r>
              <w:rPr>
                <w:rFonts w:ascii="Times New Roman" w:cs="Times New Roman" w:eastAsia="Times New Roman" w:hAnsi="Times New Roman"/>
                <w:sz w:val="14"/>
                <w:szCs w:val="14"/>
                <w:b w:val="1"/>
                <w:bCs w:val="1"/>
                <w:color w:val="auto"/>
              </w:rPr>
              <w:t>08540</w:t>
            </w:r>
          </w:p>
        </w:tc>
      </w:tr>
      <w:tr>
        <w:trPr>
          <w:trHeight w:val="184"/>
        </w:trPr>
        <w:tc>
          <w:tcPr>
            <w:tcW w:w="4040" w:type="dxa"/>
            <w:vAlign w:val="bottom"/>
            <w:gridSpan w:val="2"/>
          </w:tcPr>
          <w:p>
            <w:pPr>
              <w:ind w:left="15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580" w:type="dxa"/>
            <w:vAlign w:val="bottom"/>
          </w:tcPr>
          <w:p>
            <w:pPr>
              <w:spacing w:after="0"/>
              <w:rPr>
                <w:sz w:val="16"/>
                <w:szCs w:val="16"/>
                <w:color w:val="auto"/>
              </w:rPr>
            </w:pPr>
          </w:p>
        </w:tc>
        <w:tc>
          <w:tcPr>
            <w:tcW w:w="29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(Zip Code)</w:t>
            </w:r>
          </w:p>
        </w:tc>
      </w:tr>
      <w:tr>
        <w:trPr>
          <w:trHeight w:val="400"/>
        </w:trPr>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80" w:type="dxa"/>
            <w:vAlign w:val="bottom"/>
          </w:tcPr>
          <w:p>
            <w:pPr>
              <w:jc w:val="center"/>
              <w:ind w:right="1189"/>
              <w:spacing w:after="0"/>
              <w:rPr>
                <w:sz w:val="20"/>
                <w:szCs w:val="20"/>
                <w:color w:val="auto"/>
              </w:rPr>
            </w:pPr>
            <w:r>
              <w:rPr>
                <w:rFonts w:ascii="Times New Roman" w:cs="Times New Roman" w:eastAsia="Times New Roman" w:hAnsi="Times New Roman"/>
                <w:sz w:val="14"/>
                <w:szCs w:val="14"/>
                <w:b w:val="1"/>
                <w:bCs w:val="1"/>
                <w:color w:val="auto"/>
              </w:rPr>
              <w:t>(609) 608-1525</w:t>
            </w:r>
          </w:p>
        </w:tc>
        <w:tc>
          <w:tcPr>
            <w:tcW w:w="2900" w:type="dxa"/>
            <w:vAlign w:val="bottom"/>
          </w:tcPr>
          <w:p>
            <w:pPr>
              <w:spacing w:after="0"/>
              <w:rPr>
                <w:sz w:val="24"/>
                <w:szCs w:val="24"/>
                <w:color w:val="auto"/>
              </w:rPr>
            </w:pPr>
          </w:p>
        </w:tc>
      </w:tr>
      <w:tr>
        <w:trPr>
          <w:trHeight w:val="184"/>
        </w:trPr>
        <w:tc>
          <w:tcPr>
            <w:tcW w:w="2720" w:type="dxa"/>
            <w:vAlign w:val="bottom"/>
          </w:tcPr>
          <w:p>
            <w:pPr>
              <w:spacing w:after="0"/>
              <w:rPr>
                <w:sz w:val="16"/>
                <w:szCs w:val="16"/>
                <w:color w:val="auto"/>
              </w:rPr>
            </w:pPr>
          </w:p>
        </w:tc>
        <w:tc>
          <w:tcPr>
            <w:tcW w:w="3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900" w:type="dxa"/>
            <w:vAlign w:val="bottom"/>
          </w:tcPr>
          <w:p>
            <w:pPr>
              <w:spacing w:after="0"/>
              <w:rPr>
                <w:sz w:val="16"/>
                <w:szCs w:val="16"/>
                <w:color w:val="auto"/>
              </w:rPr>
            </w:pPr>
          </w:p>
        </w:tc>
      </w:tr>
      <w:tr>
        <w:trPr>
          <w:trHeight w:val="255"/>
        </w:trPr>
        <w:tc>
          <w:tcPr>
            <w:tcW w:w="2720" w:type="dxa"/>
            <w:vAlign w:val="bottom"/>
          </w:tcPr>
          <w:p>
            <w:pPr>
              <w:spacing w:after="0"/>
              <w:rPr>
                <w:sz w:val="22"/>
                <w:szCs w:val="22"/>
                <w:color w:val="auto"/>
              </w:rPr>
            </w:pPr>
          </w:p>
        </w:tc>
        <w:tc>
          <w:tcPr>
            <w:tcW w:w="390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900" w:type="dxa"/>
            <w:vAlign w:val="bottom"/>
          </w:tcPr>
          <w:p>
            <w:pPr>
              <w:spacing w:after="0"/>
              <w:rPr>
                <w:sz w:val="22"/>
                <w:szCs w:val="22"/>
                <w:color w:val="auto"/>
              </w:rPr>
            </w:pPr>
          </w:p>
        </w:tc>
      </w:tr>
      <w:tr>
        <w:trPr>
          <w:trHeight w:val="198"/>
        </w:trPr>
        <w:tc>
          <w:tcPr>
            <w:tcW w:w="272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320" w:type="dxa"/>
            <w:vAlign w:val="bottom"/>
          </w:tcPr>
          <w:p>
            <w:pPr>
              <w:spacing w:after="0"/>
              <w:rPr>
                <w:sz w:val="17"/>
                <w:szCs w:val="17"/>
                <w:color w:val="auto"/>
              </w:rPr>
            </w:pPr>
          </w:p>
        </w:tc>
        <w:tc>
          <w:tcPr>
            <w:tcW w:w="2580" w:type="dxa"/>
            <w:vAlign w:val="bottom"/>
          </w:tcPr>
          <w:p>
            <w:pPr>
              <w:jc w:val="center"/>
              <w:ind w:right="118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90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0"/>
        </w:trPr>
        <w:tc>
          <w:tcPr>
            <w:tcW w:w="2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Class A Common Stock, par value $0.01</w:t>
            </w:r>
          </w:p>
        </w:tc>
        <w:tc>
          <w:tcPr>
            <w:tcW w:w="1320" w:type="dxa"/>
            <w:vAlign w:val="bottom"/>
          </w:tcPr>
          <w:p>
            <w:pPr>
              <w:spacing w:after="0"/>
              <w:rPr>
                <w:sz w:val="15"/>
                <w:szCs w:val="15"/>
                <w:color w:val="auto"/>
              </w:rPr>
            </w:pPr>
          </w:p>
        </w:tc>
        <w:tc>
          <w:tcPr>
            <w:tcW w:w="258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CWEN.A</w:t>
            </w:r>
          </w:p>
        </w:tc>
        <w:tc>
          <w:tcPr>
            <w:tcW w:w="290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184"/>
        </w:trPr>
        <w:tc>
          <w:tcPr>
            <w:tcW w:w="2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Class C Common Stock, par value $0.01</w:t>
            </w:r>
          </w:p>
        </w:tc>
        <w:tc>
          <w:tcPr>
            <w:tcW w:w="1320" w:type="dxa"/>
            <w:vAlign w:val="bottom"/>
          </w:tcPr>
          <w:p>
            <w:pPr>
              <w:spacing w:after="0"/>
              <w:rPr>
                <w:sz w:val="16"/>
                <w:szCs w:val="16"/>
                <w:color w:val="auto"/>
              </w:rPr>
            </w:pPr>
          </w:p>
        </w:tc>
        <w:tc>
          <w:tcPr>
            <w:tcW w:w="2580" w:type="dxa"/>
            <w:vAlign w:val="bottom"/>
          </w:tcPr>
          <w:p>
            <w:pPr>
              <w:jc w:val="center"/>
              <w:ind w:right="1169"/>
              <w:spacing w:after="0"/>
              <w:rPr>
                <w:sz w:val="20"/>
                <w:szCs w:val="20"/>
                <w:color w:val="auto"/>
              </w:rPr>
            </w:pPr>
            <w:r>
              <w:rPr>
                <w:rFonts w:ascii="Times New Roman" w:cs="Times New Roman" w:eastAsia="Times New Roman" w:hAnsi="Times New Roman"/>
                <w:sz w:val="14"/>
                <w:szCs w:val="14"/>
                <w:color w:val="auto"/>
              </w:rPr>
              <w:t>CWEN</w:t>
            </w:r>
          </w:p>
        </w:tc>
        <w:tc>
          <w:tcPr>
            <w:tcW w:w="290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138"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 w:lineRule="exact"/>
        <w:rPr>
          <w:sz w:val="24"/>
          <w:szCs w:val="24"/>
          <w:color w:val="auto"/>
        </w:rPr>
      </w:pPr>
    </w:p>
    <w:p>
      <w:pPr>
        <w:jc w:val="center"/>
        <w:ind w:right="-19"/>
        <w:spacing w:after="0" w:line="150" w:lineRule="exact"/>
        <w:tabs>
          <w:tab w:leader="none" w:pos="20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MS PGothic" w:cs="MS PGothic" w:eastAsia="MS PGothic" w:hAnsi="MS PGothic"/>
          <w:sz w:val="12"/>
          <w:szCs w:val="12"/>
          <w:color w:val="auto"/>
        </w:rPr>
        <w:t>☐</w:t>
      </w:r>
    </w:p>
    <w:p>
      <w:pPr>
        <w:spacing w:after="0" w:line="91"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 w:lineRule="exact"/>
        <w:rPr>
          <w:sz w:val="24"/>
          <w:szCs w:val="24"/>
          <w:color w:val="auto"/>
        </w:rPr>
      </w:pPr>
    </w:p>
    <w:p>
      <w:pPr>
        <w:jc w:val="center"/>
        <w:ind w:right="-19"/>
        <w:spacing w:after="0" w:line="150" w:lineRule="exact"/>
        <w:tabs>
          <w:tab w:leader="none" w:pos="18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MS PGothic" w:cs="MS PGothic" w:eastAsia="MS PGothic" w:hAnsi="MS PGothic"/>
          <w:sz w:val="12"/>
          <w:szCs w:val="12"/>
          <w:color w:val="auto"/>
        </w:rPr>
        <w:t>☐</w:t>
      </w:r>
    </w:p>
    <w:p>
      <w:pPr>
        <w:spacing w:after="0" w:line="91"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1200" w:type="dxa"/>
        <w:tblCellMar>
          <w:top w:w="0" w:type="dxa"/>
          <w:left w:w="0" w:type="dxa"/>
          <w:bottom w:w="0" w:type="dxa"/>
          <w:right w:w="0" w:type="dxa"/>
        </w:tblCellMar>
      </w:tblPr>
      <w:tr>
        <w:trPr>
          <w:trHeight w:val="202"/>
        </w:trPr>
        <w:tc>
          <w:tcPr>
            <w:tcW w:w="2120" w:type="dxa"/>
            <w:vAlign w:val="bottom"/>
          </w:tcPr>
          <w:p>
            <w:pPr>
              <w:jc w:val="center"/>
              <w:ind w:right="789"/>
              <w:spacing w:after="0"/>
              <w:rPr>
                <w:sz w:val="20"/>
                <w:szCs w:val="20"/>
                <w:color w:val="auto"/>
              </w:rPr>
            </w:pPr>
            <w:r>
              <w:rPr>
                <w:rFonts w:ascii="Times New Roman" w:cs="Times New Roman" w:eastAsia="Times New Roman" w:hAnsi="Times New Roman"/>
                <w:sz w:val="14"/>
                <w:szCs w:val="14"/>
                <w:color w:val="auto"/>
              </w:rPr>
              <w:t>Large accelerated filer</w:t>
            </w:r>
          </w:p>
        </w:tc>
        <w:tc>
          <w:tcPr>
            <w:tcW w:w="16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Accelerated filer</w:t>
            </w:r>
          </w:p>
        </w:tc>
        <w:tc>
          <w:tcPr>
            <w:tcW w:w="10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120" w:type="dxa"/>
            <w:vAlign w:val="bottom"/>
          </w:tcPr>
          <w:p>
            <w:pPr>
              <w:jc w:val="center"/>
              <w:ind w:right="809"/>
              <w:spacing w:after="0"/>
              <w:rPr>
                <w:sz w:val="20"/>
                <w:szCs w:val="20"/>
                <w:color w:val="auto"/>
              </w:rPr>
            </w:pPr>
            <w:r>
              <w:rPr>
                <w:rFonts w:ascii="Times New Roman" w:cs="Times New Roman" w:eastAsia="Times New Roman" w:hAnsi="Times New Roman"/>
                <w:sz w:val="14"/>
                <w:szCs w:val="14"/>
                <w:color w:val="auto"/>
              </w:rPr>
              <w:t>Non-accelerated filer</w:t>
            </w:r>
          </w:p>
        </w:tc>
        <w:tc>
          <w:tcPr>
            <w:tcW w:w="16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7" w:lineRule="exact"/>
        <w:rPr>
          <w:sz w:val="24"/>
          <w:szCs w:val="24"/>
          <w:color w:val="auto"/>
        </w:rPr>
      </w:pPr>
    </w:p>
    <w:p>
      <w:pPr>
        <w:ind w:firstLine="255"/>
        <w:spacing w:after="0" w:line="15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7" w:lineRule="exact"/>
        <w:rPr>
          <w:sz w:val="24"/>
          <w:szCs w:val="24"/>
          <w:color w:val="auto"/>
        </w:rPr>
      </w:pPr>
    </w:p>
    <w:p>
      <w:pPr>
        <w:jc w:val="right"/>
        <w:ind w:left="220" w:right="5200"/>
        <w:spacing w:after="0" w:line="21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w:t>
      </w: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27"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As of April 30, 2024, there were 34,613,853 shares of Class A common stock outstanding, par value $0.01 per share, 42,738,750 shares of Class B common stock outstanding, par value $0.01 per share, 82,454,344 shares of Class C common stock outstanding, par value $0.01 per share, and 42,336,750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623570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144145</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123825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3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FF"/>
                <w:w w:val="99"/>
              </w:rPr>
              <w:t>CAUTIONARY STATEMENT REGARDING FORWARD LOOKING INFORMATION</w:t>
            </w:r>
          </w:p>
        </w:tc>
        <w:tc>
          <w:tcPr>
            <w:tcW w:w="2460" w:type="dxa"/>
            <w:vAlign w:val="bottom"/>
            <w:gridSpan w:val="3"/>
          </w:tcPr>
          <w:p>
            <w:pPr>
              <w:spacing w:after="0"/>
              <w:rPr>
                <w:sz w:val="13"/>
                <w:szCs w:val="13"/>
                <w:color w:val="auto"/>
              </w:rPr>
            </w:pPr>
          </w:p>
        </w:tc>
        <w:tc>
          <w:tcPr>
            <w:tcW w:w="3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0000FF"/>
              </w:rPr>
              <w:t>3</w:t>
            </w: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53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FF"/>
              </w:rPr>
              <w:t>GLOSSARY OF TERMS</w:t>
            </w:r>
          </w:p>
        </w:tc>
        <w:tc>
          <w:tcPr>
            <w:tcW w:w="2460" w:type="dxa"/>
            <w:vAlign w:val="bottom"/>
            <w:gridSpan w:val="3"/>
          </w:tcPr>
          <w:p>
            <w:pPr>
              <w:spacing w:after="0"/>
              <w:rPr>
                <w:sz w:val="13"/>
                <w:szCs w:val="13"/>
                <w:color w:val="auto"/>
              </w:rPr>
            </w:pPr>
          </w:p>
        </w:tc>
        <w:tc>
          <w:tcPr>
            <w:tcW w:w="3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0000FF"/>
              </w:rPr>
              <w:t>4</w:t>
            </w: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25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0000FF"/>
                <w:w w:val="99"/>
              </w:rPr>
              <w:t>PART I — FINANCIAL INFORMATION</w:t>
            </w:r>
          </w:p>
        </w:tc>
        <w:tc>
          <w:tcPr>
            <w:tcW w:w="5260" w:type="dxa"/>
            <w:vAlign w:val="bottom"/>
            <w:gridSpan w:val="7"/>
          </w:tcPr>
          <w:p>
            <w:pPr>
              <w:spacing w:after="0"/>
              <w:rPr>
                <w:sz w:val="13"/>
                <w:szCs w:val="13"/>
                <w:color w:val="auto"/>
              </w:rPr>
            </w:pPr>
          </w:p>
        </w:tc>
        <w:tc>
          <w:tcPr>
            <w:tcW w:w="3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1 — FINANCIAL STATEMENTS AND NOTES</w:t>
            </w:r>
          </w:p>
        </w:tc>
        <w:tc>
          <w:tcPr>
            <w:tcW w:w="3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ITEM 2 — MANAGEMENT’S DISCUSSION AND ANALYSIS OF FINANCIAL CONDITION AND RESULTS OF OPERATIONS</w:t>
            </w:r>
          </w:p>
        </w:tc>
        <w:tc>
          <w:tcPr>
            <w:tcW w:w="32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28</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3 — QUANTITATIVE AND QUALITATIVE DISCLOSURES ABOUT MARKET RISK</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43</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ITEM 4 — CONTROLS AND PROCEDURES</w:t>
            </w:r>
          </w:p>
        </w:tc>
        <w:tc>
          <w:tcPr>
            <w:tcW w:w="21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44</w:t>
            </w:r>
          </w:p>
        </w:tc>
        <w:tc>
          <w:tcPr>
            <w:tcW w:w="4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b w:val="1"/>
                <w:bCs w:val="1"/>
                <w:color w:val="0000FF"/>
                <w:w w:val="99"/>
              </w:rPr>
              <w:t>PART II — OTHER INFORMATION</w:t>
            </w:r>
          </w:p>
        </w:tc>
        <w:tc>
          <w:tcPr>
            <w:tcW w:w="5500" w:type="dxa"/>
            <w:vAlign w:val="bottom"/>
            <w:gridSpan w:val="8"/>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45</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1 — LEGAL PROCEEDINGS</w:t>
            </w:r>
          </w:p>
        </w:tc>
        <w:tc>
          <w:tcPr>
            <w:tcW w:w="5520" w:type="dxa"/>
            <w:vAlign w:val="bottom"/>
            <w:gridSpan w:val="9"/>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45</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1A — RISK FACTORS</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45</w:t>
            </w:r>
          </w:p>
        </w:tc>
        <w:tc>
          <w:tcPr>
            <w:tcW w:w="4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ITEM 2 — UNREGISTERED SALES OF EQUITY SECURITIES AND USE OF PROCEEDS</w:t>
            </w:r>
          </w:p>
        </w:tc>
        <w:tc>
          <w:tcPr>
            <w:tcW w:w="2220" w:type="dxa"/>
            <w:vAlign w:val="bottom"/>
            <w:gridSpan w:val="2"/>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45</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0000FF"/>
                <w:w w:val="98"/>
              </w:rPr>
              <w:t>ITEM 3</w:t>
            </w:r>
          </w:p>
        </w:tc>
        <w:tc>
          <w:tcPr>
            <w:tcW w:w="720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0000FF"/>
              </w:rPr>
              <w:t>— DEFAULTS UPON SENIOR SECURITIES</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45</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ITEM 4</w:t>
            </w:r>
          </w:p>
        </w:tc>
        <w:tc>
          <w:tcPr>
            <w:tcW w:w="272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4"/>
                <w:szCs w:val="14"/>
                <w:color w:val="0000FF"/>
              </w:rPr>
              <w:t>— MINE SAFETY DISCLOSURES</w:t>
            </w:r>
          </w:p>
        </w:tc>
        <w:tc>
          <w:tcPr>
            <w:tcW w:w="4480" w:type="dxa"/>
            <w:vAlign w:val="bottom"/>
            <w:gridSpan w:val="4"/>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45</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ITEM 5</w:t>
            </w:r>
          </w:p>
        </w:tc>
        <w:tc>
          <w:tcPr>
            <w:tcW w:w="2120" w:type="dxa"/>
            <w:vAlign w:val="bottom"/>
            <w:tcBorders>
              <w:top w:val="single" w:sz="8" w:color="0000FF"/>
            </w:tcBorders>
            <w:gridSpan w:val="8"/>
          </w:tcPr>
          <w:p>
            <w:pPr>
              <w:ind w:left="20"/>
              <w:spacing w:after="0"/>
              <w:rPr>
                <w:sz w:val="20"/>
                <w:szCs w:val="20"/>
                <w:color w:val="auto"/>
              </w:rPr>
            </w:pPr>
            <w:r>
              <w:rPr>
                <w:rFonts w:ascii="Times New Roman" w:cs="Times New Roman" w:eastAsia="Times New Roman" w:hAnsi="Times New Roman"/>
                <w:sz w:val="14"/>
                <w:szCs w:val="14"/>
                <w:color w:val="0000FF"/>
              </w:rPr>
              <w:t>— OTHER INFORMATION</w:t>
            </w:r>
          </w:p>
        </w:tc>
        <w:tc>
          <w:tcPr>
            <w:tcW w:w="5080" w:type="dxa"/>
            <w:vAlign w:val="bottom"/>
            <w:gridSpan w:val="6"/>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45</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ITEM 6</w:t>
            </w:r>
          </w:p>
        </w:tc>
        <w:tc>
          <w:tcPr>
            <w:tcW w:w="168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4"/>
                <w:szCs w:val="14"/>
                <w:color w:val="0000FF"/>
              </w:rPr>
              <w:t>— EXHIBITS</w:t>
            </w:r>
          </w:p>
        </w:tc>
        <w:tc>
          <w:tcPr>
            <w:tcW w:w="5520" w:type="dxa"/>
            <w:vAlign w:val="bottom"/>
            <w:gridSpan w:val="9"/>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46</w:t>
            </w:r>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6360" w:type="dxa"/>
            <w:vAlign w:val="bottom"/>
            <w:gridSpan w:val="12"/>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47</w:t>
            </w:r>
          </w:p>
        </w:tc>
        <w:tc>
          <w:tcPr>
            <w:tcW w:w="40" w:type="dxa"/>
            <w:vAlign w:val="bottom"/>
          </w:tcPr>
          <w:p>
            <w:pPr>
              <w:spacing w:after="0"/>
              <w:rPr>
                <w:sz w:val="13"/>
                <w:szCs w:val="13"/>
                <w:color w:val="auto"/>
              </w:rPr>
            </w:pPr>
          </w:p>
        </w:tc>
      </w:tr>
      <w:tr>
        <w:trPr>
          <w:trHeight w:val="76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580" w:type="dxa"/>
            <w:vAlign w:val="bottom"/>
            <w:gridSpan w:val="12"/>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21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78"/>
        </w:trPr>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Part I of the Company’s Annual Report on Form 10-K for the year ended December 31, 2023, as well as the following:</w:t>
      </w:r>
    </w:p>
    <w:p>
      <w:pPr>
        <w:spacing w:after="0" w:line="19"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maintain and grow its quarterly dividend;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the Company's relationships with CEG and its owners;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successfully identify, evaluate and consummate acquisitions from, and dispositions to, third parties;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acquire assets from CEG;</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additional funds and access capital markets, as well as the Company’s substantial indebtedness and the possibility that the Company may incur additional indebtedness going forward;</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3"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operate its businesses efficiently, manage maintenance capital expenditures and costs effectively, and generate earnings and cash flows from its asset-based businesses in relation to its debt and other obligations;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the Company’s offtake agreements to fulfill their obligations under such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enter into contracts to sell power and procure fuel on acceptable terms and prices;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400" w:type="dxa"/>
            <w:vAlign w:val="bottom"/>
          </w:tcPr>
          <w:p>
            <w:pPr>
              <w:spacing w:after="0"/>
              <w:rPr>
                <w:sz w:val="16"/>
                <w:szCs w:val="16"/>
                <w:color w:val="auto"/>
              </w:rPr>
            </w:pPr>
          </w:p>
        </w:tc>
        <w:tc>
          <w:tcPr>
            <w:tcW w:w="888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GLOSSARY OF TERMS</w:t>
            </w:r>
          </w:p>
        </w:tc>
        <w:tc>
          <w:tcPr>
            <w:tcW w:w="0" w:type="dxa"/>
            <w:vAlign w:val="bottom"/>
          </w:tcPr>
          <w:p>
            <w:pPr>
              <w:spacing w:after="0"/>
              <w:rPr>
                <w:sz w:val="1"/>
                <w:szCs w:val="1"/>
                <w:color w:val="auto"/>
              </w:rPr>
            </w:pPr>
          </w:p>
        </w:tc>
      </w:tr>
      <w:tr>
        <w:trPr>
          <w:trHeight w:val="297"/>
        </w:trPr>
        <w:tc>
          <w:tcPr>
            <w:tcW w:w="112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19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$850 million aggregate principal amount of 4.75% unsecured senior notes due 2028, issued by Clearway Energy Operating LLC</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$925 million aggregate principal amount of 3.75% unsecured senior notes due 2031, issued by Clearway Energy Operating LLC</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$350 million aggregate principal amount of 3.75% unsecured senior notes due 2032, issued by Clearway Energy Operating LLC</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non-GAAP measure, represents earnings before interest (including loss on debt extinguishment), tax, depreciation and amortization adjusted for</w:t>
            </w: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mark-to-market gains or losses, asset write offs and impairments; and factors which the Company does not consider indicative of future operating</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performance</w:t>
            </w:r>
          </w:p>
        </w:tc>
        <w:tc>
          <w:tcPr>
            <w:tcW w:w="0" w:type="dxa"/>
            <w:vAlign w:val="bottom"/>
          </w:tcPr>
          <w:p>
            <w:pPr>
              <w:spacing w:after="0"/>
              <w:rPr>
                <w:sz w:val="1"/>
                <w:szCs w:val="1"/>
                <w:color w:val="auto"/>
              </w:rPr>
            </w:pPr>
          </w:p>
        </w:tc>
      </w:tr>
      <w:tr>
        <w:trPr>
          <w:trHeight w:val="187"/>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FASB Accounting Standards Codification, which the FASB established as the source of authoritative GAAP</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Program</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At-The-Market Equity Offering Program</w:t>
            </w:r>
          </w:p>
        </w:tc>
        <w:tc>
          <w:tcPr>
            <w:tcW w:w="0" w:type="dxa"/>
            <w:vAlign w:val="bottom"/>
          </w:tcPr>
          <w:p>
            <w:pPr>
              <w:spacing w:after="0"/>
              <w:rPr>
                <w:sz w:val="1"/>
                <w:szCs w:val="1"/>
                <w:color w:val="auto"/>
              </w:rPr>
            </w:pPr>
          </w:p>
        </w:tc>
      </w:tr>
      <w:tr>
        <w:trPr>
          <w:trHeight w:val="18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BESS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Battery energy storage system</w:t>
            </w:r>
          </w:p>
        </w:tc>
        <w:tc>
          <w:tcPr>
            <w:tcW w:w="0" w:type="dxa"/>
            <w:vAlign w:val="bottom"/>
          </w:tcPr>
          <w:p>
            <w:pPr>
              <w:spacing w:after="0"/>
              <w:rPr>
                <w:sz w:val="1"/>
                <w:szCs w:val="1"/>
                <w:color w:val="auto"/>
              </w:rPr>
            </w:pPr>
          </w:p>
        </w:tc>
      </w:tr>
      <w:tr>
        <w:trPr>
          <w:trHeight w:val="30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BlackRock</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BlackRock, Inc.</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CAFD</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A non-GAAP measure, Cash Available for Distribution is defined as of March 31, 2024 as Adjusted EBITDA plus cash distributions/return of</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investment from unconsolidated affiliates, cash receipts from notes receivable, cash distributions from noncontrolling interests, adjustments to</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reflect sales-type lease cash payments and payments for lease expenses, less cash distributions to noncontrolling interests, maintenance capital</w:t>
            </w:r>
          </w:p>
        </w:tc>
        <w:tc>
          <w:tcPr>
            <w:tcW w:w="0" w:type="dxa"/>
            <w:vAlign w:val="bottom"/>
          </w:tcPr>
          <w:p>
            <w:pPr>
              <w:spacing w:after="0"/>
              <w:rPr>
                <w:sz w:val="1"/>
                <w:szCs w:val="1"/>
                <w:color w:val="auto"/>
              </w:rPr>
            </w:pPr>
          </w:p>
        </w:tc>
      </w:tr>
      <w:tr>
        <w:trPr>
          <w:trHeight w:val="138"/>
        </w:trPr>
        <w:tc>
          <w:tcPr>
            <w:tcW w:w="2400" w:type="dxa"/>
            <w:vAlign w:val="bottom"/>
          </w:tcPr>
          <w:p>
            <w:pPr>
              <w:spacing w:after="0"/>
              <w:rPr>
                <w:sz w:val="11"/>
                <w:szCs w:val="11"/>
                <w:color w:val="auto"/>
              </w:rPr>
            </w:pPr>
          </w:p>
        </w:tc>
        <w:tc>
          <w:tcPr>
            <w:tcW w:w="8880" w:type="dxa"/>
            <w:vAlign w:val="bottom"/>
          </w:tcPr>
          <w:p>
            <w:pPr>
              <w:ind w:left="500"/>
              <w:spacing w:after="0" w:line="138" w:lineRule="exact"/>
              <w:rPr>
                <w:sz w:val="20"/>
                <w:szCs w:val="20"/>
                <w:color w:val="auto"/>
              </w:rPr>
            </w:pPr>
            <w:r>
              <w:rPr>
                <w:rFonts w:ascii="Times New Roman" w:cs="Times New Roman" w:eastAsia="Times New Roman" w:hAnsi="Times New Roman"/>
                <w:sz w:val="14"/>
                <w:szCs w:val="14"/>
                <w:color w:val="auto"/>
              </w:rPr>
              <w:t>expenditures, pro-rata Adjusted EBITDA from unconsolidated affiliates, cash interest paid, income taxes paid, principal amortization of</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indebtedness, changes in prepaid and accrued capacity payments and adjusted for development expenses</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Group LLC (formerly Zephyr Renewables LLC)</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CEG Master Services Agreement</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Amended and Restated Master Services Agreement, dated as of April 30, 2024, among the Company, Clearway Energy LLC, Clearway Energy</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Operating LLC and CEG</w:t>
            </w:r>
          </w:p>
        </w:tc>
        <w:tc>
          <w:tcPr>
            <w:tcW w:w="0" w:type="dxa"/>
            <w:vAlign w:val="bottom"/>
          </w:tcPr>
          <w:p>
            <w:pPr>
              <w:spacing w:after="0"/>
              <w:rPr>
                <w:sz w:val="1"/>
                <w:szCs w:val="1"/>
                <w:color w:val="auto"/>
              </w:rPr>
            </w:pPr>
          </w:p>
        </w:tc>
      </w:tr>
      <w:tr>
        <w:trPr>
          <w:trHeight w:val="145"/>
        </w:trPr>
        <w:tc>
          <w:tcPr>
            <w:tcW w:w="2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Clearway Energy LLC</w:t>
            </w: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The holding company through which the facilities are owned by Clearway Energy Group LLC, the holder of Class B and Class D units, and</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Inc., the holder of the Class A and Class C units</w:t>
            </w:r>
          </w:p>
        </w:tc>
        <w:tc>
          <w:tcPr>
            <w:tcW w:w="0" w:type="dxa"/>
            <w:vAlign w:val="bottom"/>
          </w:tcPr>
          <w:p>
            <w:pPr>
              <w:spacing w:after="0"/>
              <w:rPr>
                <w:sz w:val="1"/>
                <w:szCs w:val="1"/>
                <w:color w:val="auto"/>
              </w:rPr>
            </w:pPr>
          </w:p>
        </w:tc>
      </w:tr>
      <w:tr>
        <w:trPr>
          <w:trHeight w:val="145"/>
        </w:trPr>
        <w:tc>
          <w:tcPr>
            <w:tcW w:w="2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Clearway Energy Group LLC</w:t>
            </w: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The holder of all shares of the Company’s Class B and Class D common stock and Clearway Energy LLC’s Class B and Class D units and, from</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time to time, possibly shares of the Company’s Class A and/or Class C common stock</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Operating LLC</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holder of facilities that are owned by Clearway Energy LLC</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Renew</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Renew LLC, a subsidiary of CEG, and its wholly-owned subsidiaries</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Inc., together with its consolidated subsidiaries</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California Valley Solar Ranch</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 Holdco</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CVSR Holdco LLC, the indirect owner of CVSR</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Distributed Solar</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Solar power facilities, typically less than 20 MW in size (on an alternating current, or AC, basis), that primarily sell power produced to customers</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for usage on site, or are interconnected to sell power into the local distribution grid</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Drop Down Assets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Assets under common control acquired by the Company from CEG</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Electric Reliability Council of Texas, the ISO and the regional reliability coordinator of the various electricity systems within Texas</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Financial Accounting Standards Board</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Accounting principles generally accepted in the U.S.</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GenConn</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GenConn Energy LLC</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GIM</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Global Infrastructure Management, LLC, the manager of GIP</w:t>
            </w:r>
          </w:p>
        </w:tc>
        <w:tc>
          <w:tcPr>
            <w:tcW w:w="0" w:type="dxa"/>
            <w:vAlign w:val="bottom"/>
          </w:tcPr>
          <w:p>
            <w:pPr>
              <w:spacing w:after="0"/>
              <w:rPr>
                <w:sz w:val="1"/>
                <w:szCs w:val="1"/>
                <w:color w:val="auto"/>
              </w:rPr>
            </w:pPr>
          </w:p>
        </w:tc>
      </w:tr>
      <w:tr>
        <w:trPr>
          <w:trHeight w:val="18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GIP</w:t>
            </w:r>
          </w:p>
        </w:tc>
        <w:tc>
          <w:tcPr>
            <w:tcW w:w="88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Global Infrastructure Partners</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8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HLBV</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Hypothetical Liquidation at Book Value</w:t>
            </w:r>
          </w:p>
        </w:tc>
        <w:tc>
          <w:tcPr>
            <w:tcW w:w="0" w:type="dxa"/>
            <w:vAlign w:val="bottom"/>
          </w:tcPr>
          <w:p>
            <w:pPr>
              <w:spacing w:after="0"/>
              <w:rPr>
                <w:sz w:val="1"/>
                <w:szCs w:val="1"/>
                <w:color w:val="auto"/>
              </w:rPr>
            </w:pPr>
          </w:p>
        </w:tc>
      </w:tr>
      <w:tr>
        <w:trPr>
          <w:trHeight w:val="488"/>
        </w:trPr>
        <w:tc>
          <w:tcPr>
            <w:tcW w:w="2400" w:type="dxa"/>
            <w:vAlign w:val="bottom"/>
          </w:tcPr>
          <w:p>
            <w:pPr>
              <w:spacing w:after="0"/>
              <w:rPr>
                <w:sz w:val="24"/>
                <w:szCs w:val="24"/>
                <w:color w:val="auto"/>
              </w:rPr>
            </w:pPr>
          </w:p>
        </w:tc>
        <w:tc>
          <w:tcPr>
            <w:tcW w:w="8880" w:type="dxa"/>
            <w:vAlign w:val="bottom"/>
          </w:tcPr>
          <w:p>
            <w:pPr>
              <w:ind w:left="3200"/>
              <w:spacing w:after="0"/>
              <w:rPr>
                <w:sz w:val="20"/>
                <w:szCs w:val="20"/>
                <w:color w:val="auto"/>
              </w:rPr>
            </w:pPr>
            <w:r>
              <w:rPr>
                <w:rFonts w:ascii="Times New Roman" w:cs="Times New Roman" w:eastAsia="Times New Roman" w:hAnsi="Times New Roman"/>
                <w:sz w:val="14"/>
                <w:szCs w:val="14"/>
                <w:color w:val="231F20"/>
              </w:rPr>
              <w:t>4</w:t>
            </w:r>
          </w:p>
        </w:tc>
        <w:tc>
          <w:tcPr>
            <w:tcW w:w="0" w:type="dxa"/>
            <w:vAlign w:val="bottom"/>
          </w:tcPr>
          <w:p>
            <w:pPr>
              <w:spacing w:after="0"/>
              <w:rPr>
                <w:sz w:val="1"/>
                <w:szCs w:val="1"/>
                <w:color w:val="auto"/>
              </w:rPr>
            </w:pPr>
          </w:p>
        </w:tc>
      </w:tr>
      <w:tr>
        <w:trPr>
          <w:trHeight w:val="278"/>
        </w:trPr>
        <w:tc>
          <w:tcPr>
            <w:tcW w:w="24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IRA</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Inflation Reduction Act of 2022</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Internal Revenue Service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ISO</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Independent System Operator, also referred to as an RTO</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Investment Tax Credit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Mesquite Star</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Mesquite Star Special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MMBtu</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Million British Thermal Units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Mt. Storm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NedPower Mount Storm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Megawatt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MWh</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Saleable megawatt hours, net of internal/parasitic load megawatt-hours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Exposure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Counterparty credit exposure to Clearway Energy, Inc. net of collateral</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NOLs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Net Operating Losses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Other comprehensive income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O&amp;M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Operations and Maintenance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PG&amp;E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Pacific Gas and Electric Company</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PJM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PJM Interconnection,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PPA</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Power Purchase Agreement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PTC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Production Tax Credit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Resource adequacy</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RENOM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Clearway Renewable Operation &amp; Maintenance LLC, a wholly-owned subsidiary of CEG</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Rosie Central BESS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Rosie BESS Devco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RTO</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Regional Transmission Organization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Southern California Edison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Collectively, the 2028 Senior Notes, the 2031 Senior Notes and the 2032 Senior Notes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SPP</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Power Partners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SREC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Renewable Energy Credit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TotalEnergies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TotalEnergies SE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Utah Solar Portfolio</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Seven utility-scale solar farms located in Utah, representing 530 MW of capacity</w:t>
            </w:r>
          </w:p>
        </w:tc>
      </w:tr>
      <w:tr>
        <w:trPr>
          <w:trHeight w:val="142"/>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Utility Scale Solar</w:t>
            </w:r>
          </w:p>
        </w:tc>
        <w:tc>
          <w:tcPr>
            <w:tcW w:w="9240" w:type="dxa"/>
            <w:vAlign w:val="bottom"/>
          </w:tcPr>
          <w:p>
            <w:pPr>
              <w:ind w:left="860"/>
              <w:spacing w:after="0" w:line="142" w:lineRule="exact"/>
              <w:rPr>
                <w:sz w:val="20"/>
                <w:szCs w:val="20"/>
                <w:color w:val="auto"/>
              </w:rPr>
            </w:pPr>
            <w:r>
              <w:rPr>
                <w:rFonts w:ascii="Times New Roman" w:cs="Times New Roman" w:eastAsia="Times New Roman" w:hAnsi="Times New Roman"/>
                <w:sz w:val="14"/>
                <w:szCs w:val="14"/>
                <w:color w:val="auto"/>
              </w:rPr>
              <w:t>Solar power facilities, typically 20 MW or greater in size (on an alternating current, or AC, basis), that are interconnected into the transmission or</w:t>
            </w:r>
          </w:p>
        </w:tc>
      </w:tr>
      <w:tr>
        <w:trPr>
          <w:trHeight w:val="184"/>
        </w:trPr>
        <w:tc>
          <w:tcPr>
            <w:tcW w:w="2040" w:type="dxa"/>
            <w:vAlign w:val="bottom"/>
          </w:tcPr>
          <w:p>
            <w:pPr>
              <w:spacing w:after="0"/>
              <w:rPr>
                <w:sz w:val="16"/>
                <w:szCs w:val="16"/>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distribution grid to sell power at a wholesale level</w:t>
            </w:r>
          </w:p>
        </w:tc>
      </w:tr>
      <w:tr>
        <w:trPr>
          <w:trHeight w:val="187"/>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849"/>
        </w:trPr>
        <w:tc>
          <w:tcPr>
            <w:tcW w:w="2040" w:type="dxa"/>
            <w:vAlign w:val="bottom"/>
          </w:tcPr>
          <w:p>
            <w:pPr>
              <w:spacing w:after="0"/>
              <w:rPr>
                <w:sz w:val="24"/>
                <w:szCs w:val="24"/>
                <w:color w:val="auto"/>
              </w:rPr>
            </w:pPr>
          </w:p>
        </w:tc>
        <w:tc>
          <w:tcPr>
            <w:tcW w:w="9240" w:type="dxa"/>
            <w:vAlign w:val="bottom"/>
          </w:tcPr>
          <w:p>
            <w:pPr>
              <w:ind w:left="3560"/>
              <w:spacing w:after="0"/>
              <w:rPr>
                <w:sz w:val="20"/>
                <w:szCs w:val="20"/>
                <w:color w:val="auto"/>
              </w:rPr>
            </w:pPr>
            <w:r>
              <w:rPr>
                <w:rFonts w:ascii="Times New Roman" w:cs="Times New Roman" w:eastAsia="Times New Roman" w:hAnsi="Times New Roman"/>
                <w:sz w:val="14"/>
                <w:szCs w:val="14"/>
                <w:color w:val="231F20"/>
              </w:rPr>
              <w:t>5</w:t>
            </w:r>
          </w:p>
        </w:tc>
      </w:tr>
      <w:tr>
        <w:trPr>
          <w:trHeight w:val="278"/>
        </w:trPr>
        <w:tc>
          <w:tcPr>
            <w:tcW w:w="2040" w:type="dxa"/>
            <w:vAlign w:val="bottom"/>
            <w:tcBorders>
              <w:bottom w:val="single" w:sz="8" w:color="9A9A9A"/>
            </w:tcBorders>
          </w:tcPr>
          <w:p>
            <w:pPr>
              <w:spacing w:after="0"/>
              <w:rPr>
                <w:sz w:val="24"/>
                <w:szCs w:val="24"/>
                <w:color w:val="auto"/>
              </w:rPr>
            </w:pPr>
          </w:p>
        </w:tc>
        <w:tc>
          <w:tcPr>
            <w:tcW w:w="9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ind w:left="4080"/>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3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ITEM 1 — FINANCIAL STATEMENTS</w:t>
      </w:r>
    </w:p>
    <w:p>
      <w:pPr>
        <w:spacing w:after="0" w:line="1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(In millions, except per share amounts)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7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operating revenues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16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7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80"/>
        </w:trPr>
        <w:tc>
          <w:tcPr>
            <w:tcW w:w="7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71"/>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 Income</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0"/>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7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71"/>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other expense, net</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71"/>
        </w:trPr>
        <w:tc>
          <w:tcPr>
            <w:tcW w:w="7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 benefit</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1"/>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Net loss attributable to noncontrolling interests and redeemable noncontrolling interests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1"/>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 Attributable to Clearway Energy, Inc.</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2"/>
        </w:trPr>
        <w:tc>
          <w:tcPr>
            <w:tcW w:w="7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Per Share Attributable to Clearway Energy, Inc. Class A and Class C Common Stockholders</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80"/>
        </w:trPr>
        <w:tc>
          <w:tcPr>
            <w:tcW w:w="7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 average number of Class A common shares outstanding - basic and diluted</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 average number of Class C common shares outstanding - basic and diluted</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50"/>
        </w:trPr>
        <w:tc>
          <w:tcPr>
            <w:tcW w:w="7760" w:type="dxa"/>
            <w:vAlign w:val="bottom"/>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Loss Per Weighted Average Class A and Class C Common Share - Basic and Diluted</w:t>
            </w:r>
          </w:p>
        </w:tc>
        <w:tc>
          <w:tcPr>
            <w:tcW w:w="340" w:type="dxa"/>
            <w:vAlign w:val="bottom"/>
            <w:tcBorders>
              <w:bottom w:val="single" w:sz="8" w:color="auto"/>
            </w:tcBorders>
          </w:tcPr>
          <w:p>
            <w:pPr>
              <w:jc w:val="right"/>
              <w:ind w:right="18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8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Dividends Per Class A Common Share</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0.3745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76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Dividends Per Class C Common Share</w:t>
            </w: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0.4033</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0.3745</w:t>
            </w: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177165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580" w:top="728" w:right="57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Unrealized loss on derivatives and changes in accumulated OCI, net of income tax benefit, of $—, and $1</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7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7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 and redeemable noncontrolling interests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6"/>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Loss Attributable to Clearway Energy, Inc.</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177165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580" w:top="728" w:right="5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shares)</w:t>
            </w:r>
          </w:p>
        </w:tc>
        <w:tc>
          <w:tcPr>
            <w:tcW w:w="300" w:type="dxa"/>
            <w:vAlign w:val="bottom"/>
          </w:tcPr>
          <w:p>
            <w:pPr>
              <w:spacing w:after="0"/>
              <w:rPr>
                <w:sz w:val="13"/>
                <w:szCs w:val="13"/>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60" w:type="dxa"/>
            <w:vAlign w:val="bottom"/>
          </w:tcPr>
          <w:p>
            <w:pPr>
              <w:spacing w:after="0"/>
              <w:rPr>
                <w:sz w:val="13"/>
                <w:szCs w:val="13"/>
                <w:color w:val="auto"/>
              </w:rPr>
            </w:pPr>
          </w:p>
        </w:tc>
        <w:tc>
          <w:tcPr>
            <w:tcW w:w="150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7"/>
        </w:trPr>
        <w:tc>
          <w:tcPr>
            <w:tcW w:w="7660" w:type="dxa"/>
            <w:vAlign w:val="bottom"/>
          </w:tcPr>
          <w:p>
            <w:pPr>
              <w:ind w:left="36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0" w:type="dxa"/>
            <w:vAlign w:val="bottom"/>
          </w:tcPr>
          <w:p>
            <w:pPr>
              <w:spacing w:after="0"/>
              <w:rPr>
                <w:sz w:val="1"/>
                <w:szCs w:val="1"/>
                <w:color w:val="auto"/>
              </w:rPr>
            </w:pPr>
          </w:p>
        </w:tc>
      </w:tr>
      <w:tr>
        <w:trPr>
          <w:trHeight w:val="168"/>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 — trade</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Inventory</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68"/>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Derivative instruments</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 receivable — affiliate</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9,746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9,526</w:t>
            </w:r>
          </w:p>
        </w:tc>
        <w:tc>
          <w:tcPr>
            <w:tcW w:w="0" w:type="dxa"/>
            <w:vAlign w:val="bottom"/>
          </w:tcPr>
          <w:p>
            <w:pPr>
              <w:spacing w:after="0"/>
              <w:rPr>
                <w:sz w:val="1"/>
                <w:szCs w:val="1"/>
                <w:color w:val="auto"/>
              </w:rPr>
            </w:pPr>
          </w:p>
        </w:tc>
      </w:tr>
      <w:tr>
        <w:trPr>
          <w:trHeight w:val="15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Intangible assets for power purchase agreements, net</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w:t>
            </w:r>
          </w:p>
        </w:tc>
        <w:tc>
          <w:tcPr>
            <w:tcW w:w="0" w:type="dxa"/>
            <w:vAlign w:val="bottom"/>
          </w:tcPr>
          <w:p>
            <w:pPr>
              <w:spacing w:after="0"/>
              <w:rPr>
                <w:sz w:val="1"/>
                <w:szCs w:val="1"/>
                <w:color w:val="auto"/>
              </w:rPr>
            </w:pPr>
          </w:p>
        </w:tc>
      </w:tr>
      <w:tr>
        <w:trPr>
          <w:trHeight w:val="168"/>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Derivative instruments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68"/>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Right-of-use assets, net</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non-current assets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3,615</w:t>
            </w: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46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6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 — trade</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 affiliates</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interest expense</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0" w:type="dxa"/>
            <w:vAlign w:val="bottom"/>
          </w:tcPr>
          <w:p>
            <w:pPr>
              <w:spacing w:after="0"/>
              <w:rPr>
                <w:sz w:val="1"/>
                <w:szCs w:val="1"/>
                <w:color w:val="auto"/>
              </w:rPr>
            </w:pPr>
          </w:p>
        </w:tc>
      </w:tr>
      <w:tr>
        <w:trPr>
          <w:trHeight w:val="15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Long-term debt</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7,479</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Long-term lease liabilities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liabilities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8,800</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9,706</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Redeemable noncontrolling interest in subsidiaries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9"/>
        </w:trPr>
        <w:tc>
          <w:tcPr>
            <w:tcW w:w="76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 $0.01 par value; 10,000,000 shares authorized; none issued</w:t>
            </w:r>
          </w:p>
        </w:tc>
        <w:tc>
          <w:tcPr>
            <w:tcW w:w="30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766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Class A, Class B, Class C and Class D common stock, $0.01 par value; 3,000,000,000 shares authorized (Class A 500,000,000, Class B</w:t>
            </w:r>
          </w:p>
        </w:tc>
        <w:tc>
          <w:tcPr>
            <w:tcW w:w="3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6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3"/>
                <w:szCs w:val="13"/>
                <w:color w:val="auto"/>
              </w:rPr>
              <w:t>500,000,000, Class C 1,000,000,000, Class D 1,000,000,000); 202,080,794 shares issued and outstanding (Class A 34,613,853, Class B</w:t>
            </w:r>
          </w:p>
        </w:tc>
        <w:tc>
          <w:tcPr>
            <w:tcW w:w="3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6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3"/>
                <w:szCs w:val="13"/>
                <w:color w:val="auto"/>
              </w:rPr>
              <w:t>42,738,750, Class C 82,391,441, Class D 42,336,750) at March 31, 2024 and 202,080,794 shares issued and outstanding (Class A 34,613,853,</w:t>
            </w:r>
          </w:p>
        </w:tc>
        <w:tc>
          <w:tcPr>
            <w:tcW w:w="30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Class B 42,738,750, Class C 82,391,441, Class D 42,336,750) at December 31, 2023</w:t>
            </w:r>
          </w:p>
        </w:tc>
        <w:tc>
          <w:tcPr>
            <w:tcW w:w="300" w:type="dxa"/>
            <w:vAlign w:val="bottom"/>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Noncontrolling interest</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5,045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4,994</w:t>
            </w: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financing costs and debt discounts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Reduction in carrying amount of right-of-use assets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deferred income taxes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derivative instruments and amortization of accumulated OCI</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used in changes in other working capital:</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prepaid and accrued liabilities for tolling agreements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other working capital</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1"/>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Acquisition of Drop Down Assets, net of cash acquired</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Return of investment from unconsolidated affiliates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6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of dividends and distributions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the issuance of long-term debt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Payments for long-term debt</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17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1"/>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r>
      <w:tr>
        <w:trPr>
          <w:trHeight w:val="171"/>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Noncontrolling</w:t>
            </w:r>
          </w:p>
        </w:tc>
        <w:tc>
          <w:tcPr>
            <w:tcW w:w="140" w:type="dxa"/>
            <w:vAlign w:val="bottom"/>
          </w:tcPr>
          <w:p>
            <w:pPr>
              <w:spacing w:after="0"/>
              <w:rPr>
                <w:sz w:val="10"/>
                <w:szCs w:val="10"/>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5"/>
        </w:trPr>
        <w:tc>
          <w:tcPr>
            <w:tcW w:w="3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260"/>
              <w:spacing w:after="0" w:line="96" w:lineRule="exact"/>
              <w:rPr>
                <w:sz w:val="20"/>
                <w:szCs w:val="20"/>
                <w:color w:val="auto"/>
              </w:rPr>
            </w:pPr>
            <w:r>
              <w:rPr>
                <w:rFonts w:ascii="Times New Roman" w:cs="Times New Roman" w:eastAsia="Times New Roman" w:hAnsi="Times New Roman"/>
                <w:sz w:val="10"/>
                <w:szCs w:val="10"/>
                <w:b w:val="1"/>
                <w:bCs w:val="1"/>
                <w:color w:val="auto"/>
              </w:rPr>
              <w:t>Paid-In</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tcPr>
          <w:p>
            <w:pPr>
              <w:jc w:val="center"/>
              <w:ind w:right="160"/>
              <w:spacing w:after="0" w:line="96" w:lineRule="exact"/>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jc w:val="center"/>
              <w:ind w:right="99"/>
              <w:spacing w:after="0" w:line="96"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7"/>
              </w:rPr>
              <w:t>Retained Earnings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Comprehensive Income</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140" w:type="dxa"/>
            <w:vAlign w:val="bottom"/>
          </w:tcPr>
          <w:p>
            <w:pPr>
              <w:spacing w:after="0"/>
              <w:rPr>
                <w:sz w:val="12"/>
                <w:szCs w:val="12"/>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67"/>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1,732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4,994</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29"/>
        </w:trPr>
        <w:tc>
          <w:tcPr>
            <w:tcW w:w="4320" w:type="dxa"/>
            <w:vAlign w:val="bottom"/>
            <w:gridSpan w:val="3"/>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Unrealized (loss) gain on derivatives and changes in accumulated OCI, net</w:t>
            </w:r>
          </w:p>
        </w:tc>
        <w:tc>
          <w:tcPr>
            <w:tcW w:w="4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of tax</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to CEG, net of contributions, cash</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68"/>
        </w:trPr>
        <w:tc>
          <w:tcPr>
            <w:tcW w:w="39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Transfers of assets under common control</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2"/>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Non-cash adjustments for change in tax basis</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8"/>
        </w:trPr>
        <w:tc>
          <w:tcPr>
            <w:tcW w:w="39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Common stock dividends and distributions to CEG unit holders</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68"/>
        </w:trPr>
        <w:tc>
          <w:tcPr>
            <w:tcW w:w="39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8"/>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March 31, 2024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1,741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60" w:type="dxa"/>
            <w:vAlign w:val="bottom"/>
          </w:tcPr>
          <w:p>
            <w:pPr>
              <w:spacing w:after="0"/>
              <w:rPr>
                <w:sz w:val="24"/>
                <w:szCs w:val="2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Noncontrolling</w:t>
            </w:r>
          </w:p>
        </w:tc>
        <w:tc>
          <w:tcPr>
            <w:tcW w:w="140" w:type="dxa"/>
            <w:vAlign w:val="bottom"/>
          </w:tcPr>
          <w:p>
            <w:pPr>
              <w:spacing w:after="0"/>
              <w:rPr>
                <w:sz w:val="24"/>
                <w:szCs w:val="24"/>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5"/>
        </w:trPr>
        <w:tc>
          <w:tcPr>
            <w:tcW w:w="3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340"/>
              <w:spacing w:after="0" w:line="96" w:lineRule="exact"/>
              <w:rPr>
                <w:sz w:val="20"/>
                <w:szCs w:val="20"/>
                <w:color w:val="auto"/>
              </w:rPr>
            </w:pPr>
            <w:r>
              <w:rPr>
                <w:rFonts w:ascii="Times New Roman" w:cs="Times New Roman" w:eastAsia="Times New Roman" w:hAnsi="Times New Roman"/>
                <w:sz w:val="10"/>
                <w:szCs w:val="10"/>
                <w:b w:val="1"/>
                <w:bCs w:val="1"/>
                <w:color w:val="auto"/>
              </w:rPr>
              <w:t>Paid-In</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tcPr>
          <w:p>
            <w:pPr>
              <w:jc w:val="center"/>
              <w:ind w:right="200"/>
              <w:spacing w:after="0" w:line="96" w:lineRule="exact"/>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jc w:val="center"/>
              <w:ind w:right="99"/>
              <w:spacing w:after="0" w:line="96"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20" w:type="dxa"/>
            <w:vAlign w:val="bottom"/>
          </w:tcPr>
          <w:p>
            <w:pPr>
              <w:spacing w:after="0"/>
              <w:rPr>
                <w:sz w:val="12"/>
                <w:szCs w:val="12"/>
                <w:color w:val="auto"/>
              </w:rPr>
            </w:pP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Comprehensive Income</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140" w:type="dxa"/>
            <w:vAlign w:val="bottom"/>
          </w:tcPr>
          <w:p>
            <w:pPr>
              <w:spacing w:after="0"/>
              <w:rPr>
                <w:sz w:val="12"/>
                <w:szCs w:val="12"/>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67"/>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380" w:type="dxa"/>
            <w:vAlign w:val="bottom"/>
            <w:tcBorders>
              <w:top w:val="single" w:sz="8" w:color="auto"/>
            </w:tcBorders>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29"/>
        </w:trPr>
        <w:tc>
          <w:tcPr>
            <w:tcW w:w="3940" w:type="dxa"/>
            <w:vAlign w:val="bottom"/>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Unrealized loss on derivatives and changes in accumulated OCI, net of</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0"/>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tax</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Contributions from CEG, net of distributions, cash</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68"/>
        </w:trPr>
        <w:tc>
          <w:tcPr>
            <w:tcW w:w="39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Transfers of assets under common control</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Non-cash adjustments for change in tax basis</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8"/>
        </w:trPr>
        <w:tc>
          <w:tcPr>
            <w:tcW w:w="39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based compensation</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Common stock dividends and distributions to CEG unit holders</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60"/>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at March 31, 2023</w:t>
            </w:r>
          </w:p>
        </w:tc>
        <w:tc>
          <w:tcPr>
            <w:tcW w:w="380" w:type="dxa"/>
            <w:vAlign w:val="bottom"/>
            <w:tcBorders>
              <w:top w:val="single" w:sz="8" w:color="auto"/>
              <w:bottom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auto"/>
              <w:bottom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177165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 — </w:t>
      </w:r>
      <w:r>
        <w:rPr>
          <w:rFonts w:ascii="Times New Roman" w:cs="Times New Roman" w:eastAsia="Times New Roman" w:hAnsi="Times New Roman"/>
          <w:sz w:val="14"/>
          <w:szCs w:val="14"/>
          <w:b w:val="1"/>
          <w:bCs w:val="1"/>
          <w:i w:val="1"/>
          <w:iCs w:val="1"/>
          <w:color w:val="auto"/>
        </w:rPr>
        <w:t>Nature of Business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approximately 6,200 net MW of installed wind, solar and battery energy storage system, or BESS, facilities. The Company’s approximately 8,700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w:t>
      </w:r>
      <w:r>
        <w:rPr>
          <w:rFonts w:ascii="Times New Roman" w:cs="Times New Roman" w:eastAsia="Times New Roman" w:hAnsi="Times New Roman"/>
          <w:sz w:val="14"/>
          <w:szCs w:val="14"/>
          <w:color w:val="000000"/>
        </w:rPr>
        <w:t>From time to time, CEG may also hold shares of the Company’s Class A and/or Class C common stock.</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March 31, 2024, the Company owned 57.90% of the economic interests of Clearway Energy LLC, with CEG owning 42.10% of the economic interests of Clearway Energy LLC.</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4"/>
          <w:szCs w:val="14"/>
          <w:color w:val="auto"/>
        </w:rPr>
        <w:t>The following table represents a summarized structure of the Company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608195" cy="3388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08195" cy="338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2023 Form 10-K. Interim results are not necessarily indicative of results for a full year.</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2024, and results of operations, comprehensive loss and cash flows for the three months ended March 31, 2024 and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 </w:t>
      </w:r>
      <w:r>
        <w:rPr>
          <w:rFonts w:ascii="Times New Roman" w:cs="Times New Roman" w:eastAsia="Times New Roman" w:hAnsi="Times New Roman"/>
          <w:sz w:val="14"/>
          <w:szCs w:val="14"/>
          <w:b w:val="1"/>
          <w:bCs w:val="1"/>
          <w:i w:val="1"/>
          <w:iCs w:val="1"/>
          <w:color w:val="auto"/>
        </w:rPr>
        <w:t>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with an original maturity of three months or less at the time of purchase. Cash and cash equivalents held at subsidiary facilities was $141 million and $125 million as of March 31, 2024 and December 31, 2023, respectively.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1"/>
        </w:trPr>
        <w:tc>
          <w:tcPr>
            <w:tcW w:w="7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21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60" w:type="dxa"/>
            <w:vAlign w:val="bottom"/>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212"/>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r>
      <w:tr>
        <w:trPr>
          <w:trHeight w:val="196"/>
        </w:trPr>
        <w:tc>
          <w:tcPr>
            <w:tcW w:w="7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consolidated statements of cash flows</w:t>
            </w:r>
          </w:p>
        </w:tc>
        <w:tc>
          <w:tcPr>
            <w:tcW w:w="1460" w:type="dxa"/>
            <w:vAlign w:val="bottom"/>
            <w:tcBorders>
              <w:bottom w:val="single" w:sz="8" w:color="auto"/>
            </w:tcBorders>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Restricted cash consists primarily of funds held to satisfy the requirements of certain debt agreements and funds held within the Company’s facilities that are restricted in their use. As of March 31, 2024, these restricted funds were comprised of $173 million designated to fund operating expenses, $187 million designated for current debt service payments and $87 million restricted for reserves including debt service, performance obligations and other reserves as well as capital expenditures. The remaining $38 million is held in distributions reserve accounts.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Cash Flow Information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a disaggregation of the amounts classified as Acquisition of Drop Down Assets, net of cash acquired, shown in the consolidated statements of cash flows: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0" w:type="dxa"/>
            <w:vAlign w:val="bottom"/>
            <w:gridSpan w:val="3"/>
          </w:tcPr>
          <w:p>
            <w:pPr>
              <w:jc w:val="right"/>
              <w:ind w:right="97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3"/>
                <w:szCs w:val="13"/>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to acquire Drop Down Assets</w:t>
            </w:r>
          </w:p>
        </w:tc>
        <w:tc>
          <w:tcPr>
            <w:tcW w:w="128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acquired from the acquisition of Drop Down Assets</w:t>
            </w:r>
          </w:p>
        </w:tc>
        <w:tc>
          <w:tcPr>
            <w:tcW w:w="1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6"/>
        </w:trPr>
        <w:tc>
          <w:tcPr>
            <w:tcW w:w="7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Drop Down Assets, net of cash acquired</w:t>
            </w:r>
          </w:p>
        </w:tc>
        <w:tc>
          <w:tcPr>
            <w:tcW w:w="128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7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Depreciation and Accumulated Amortization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presents the accumulated depreciation included in property, plant and equipment, net, and accumulated amortization included in intangible assets, net: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4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1"/>
        </w:trPr>
        <w:tc>
          <w:tcPr>
            <w:tcW w:w="7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gridSpan w:val="3"/>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0" w:type="dxa"/>
            <w:vAlign w:val="bottom"/>
          </w:tcPr>
          <w:p>
            <w:pPr>
              <w:spacing w:after="0"/>
              <w:rPr>
                <w:sz w:val="14"/>
                <w:szCs w:val="14"/>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Accumulated Depreciation</w:t>
            </w:r>
          </w:p>
        </w:tc>
        <w:tc>
          <w:tcPr>
            <w:tcW w:w="142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3,633</w:t>
            </w:r>
          </w:p>
        </w:tc>
        <w:tc>
          <w:tcPr>
            <w:tcW w:w="5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w:t>
            </w:r>
          </w:p>
        </w:tc>
      </w:tr>
      <w:tr>
        <w:trPr>
          <w:trHeight w:val="184"/>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Accumulated Amortization</w:t>
            </w:r>
          </w:p>
        </w:tc>
        <w:tc>
          <w:tcPr>
            <w:tcW w:w="1420" w:type="dxa"/>
            <w:vAlign w:val="bottom"/>
          </w:tcPr>
          <w:p>
            <w:pPr>
              <w:spacing w:after="0"/>
              <w:rPr>
                <w:sz w:val="16"/>
                <w:szCs w:val="16"/>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1,055</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r>
      <w:tr>
        <w:trPr>
          <w:trHeight w:val="367"/>
        </w:trPr>
        <w:tc>
          <w:tcPr>
            <w:tcW w:w="7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to Class A and Class C Common Stockholders</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7"/>
        </w:trPr>
        <w:tc>
          <w:tcPr>
            <w:tcW w:w="8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following table lists the dividends paid on the Company's Class A and Class C common stock during the three months ended March 31, 2024:</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4"/>
        </w:trPr>
        <w:tc>
          <w:tcPr>
            <w:tcW w:w="748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per Class A share</w:t>
            </w:r>
          </w:p>
        </w:tc>
        <w:tc>
          <w:tcPr>
            <w:tcW w:w="1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4"/>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per Class C share</w:t>
            </w:r>
          </w:p>
        </w:tc>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bl>
    <w:p>
      <w:pPr>
        <w:spacing w:after="0" w:line="18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9, 2024, the Company declared quarterly dividends on its Class A and Class C common stock of $0.4102 per share payable on June 17, 2024 to stockholders of record as of June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Clearway Energy LLC Distributions to CEG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distributions paid to CEG during the three months ended March 31, 2024 on Clearway Energy LLC’s Class B and D units: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9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per Class B Unit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4"/>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per Class D Unit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bl>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9, 2024, Clearway Energy LLC declared a distribution on its Class B and Class D units of $0.4102 per unit payable on June 17, 2024 to unit holders of record as of June 3,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Disaggregated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represent the Company’s disaggregation of revenue from contracts with customers along with the reportable segment for each category:</w:t>
      </w:r>
    </w:p>
    <w:p>
      <w:pPr>
        <w:spacing w:after="0" w:line="26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26035</wp:posOffset>
            </wp:positionV>
            <wp:extent cx="304546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45460" cy="698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6620" w:val="left"/>
          <w:tab w:leader="none" w:pos="8560" w:val="left"/>
          <w:tab w:leader="none" w:pos="10380" w:val="left"/>
        </w:tabs>
        <w:rPr>
          <w:sz w:val="20"/>
          <w:szCs w:val="20"/>
          <w:color w:val="auto"/>
        </w:rPr>
      </w:pPr>
      <w:r>
        <w:rPr>
          <w:rFonts w:ascii="Times New Roman" w:cs="Times New Roman" w:eastAsia="Times New Roman" w:hAnsi="Times New Roman"/>
          <w:sz w:val="11"/>
          <w:szCs w:val="11"/>
          <w:b w:val="1"/>
          <w:bCs w:val="1"/>
          <w:u w:val="single" w:color="auto"/>
          <w:color w:val="auto"/>
        </w:rPr>
        <w:t>(In millions)</w:t>
      </w:r>
      <w:r>
        <w:rPr>
          <w:sz w:val="20"/>
          <w:szCs w:val="20"/>
          <w:color w:val="auto"/>
        </w:rPr>
        <w:tab/>
      </w:r>
      <w:r>
        <w:rPr>
          <w:rFonts w:ascii="Times New Roman" w:cs="Times New Roman" w:eastAsia="Times New Roman" w:hAnsi="Times New Roman"/>
          <w:sz w:val="11"/>
          <w:szCs w:val="11"/>
          <w:b w:val="1"/>
          <w:bCs w:val="1"/>
          <w:color w:val="auto"/>
        </w:rPr>
        <w:t>Conventional Generation</w:t>
      </w:r>
      <w:r>
        <w:rPr>
          <w:sz w:val="20"/>
          <w:szCs w:val="20"/>
          <w:color w:val="auto"/>
        </w:rPr>
        <w:tab/>
      </w:r>
      <w:r>
        <w:rPr>
          <w:rFonts w:ascii="Times New Roman" w:cs="Times New Roman" w:eastAsia="Times New Roman" w:hAnsi="Times New Roman"/>
          <w:sz w:val="11"/>
          <w:szCs w:val="11"/>
          <w:b w:val="1"/>
          <w:bCs w:val="1"/>
          <w:color w:val="auto"/>
        </w:rPr>
        <w:t>Renewables</w:t>
      </w:r>
      <w:r>
        <w:rPr>
          <w:sz w:val="20"/>
          <w:szCs w:val="20"/>
          <w:color w:val="auto"/>
        </w:rPr>
        <w:tab/>
      </w:r>
      <w:r>
        <w:rPr>
          <w:rFonts w:ascii="Times New Roman" w:cs="Times New Roman" w:eastAsia="Times New Roman" w:hAnsi="Times New Roman"/>
          <w:sz w:val="10"/>
          <w:szCs w:val="10"/>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54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61530"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revenues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Contract amortization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Mark-to-market for economic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operating revenues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Mark-to-market for economic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Less: Lease revenue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Contract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revenue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138811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200" w:hanging="131"/>
        <w:spacing w:after="0"/>
        <w:tabs>
          <w:tab w:leader="none" w:pos="20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following amounts of energy and capacity revenue relate to leases and are accounted for under ASC 842:</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6"/>
                <w:szCs w:val="16"/>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240"/>
        </w:trPr>
        <w:tc>
          <w:tcPr>
            <w:tcW w:w="6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6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6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4"/>
        </w:trPr>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7"/>
        </w:trPr>
        <w:tc>
          <w:tcPr>
            <w:tcW w:w="6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180"/>
        </w:trPr>
        <w:tc>
          <w:tcPr>
            <w:tcW w:w="6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6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84"/>
        </w:trPr>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1"/>
        </w:trPr>
        <w:tc>
          <w:tcPr>
            <w:tcW w:w="6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sectPr>
          <w:pgSz w:w="11900" w:h="16838" w:orient="portrait"/>
          <w:cols w:equalWidth="0" w:num="2">
            <w:col w:w="5780" w:space="700"/>
            <w:col w:w="4800"/>
          </w:cols>
          <w:pgMar w:left="300" w:top="728" w:right="31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1"/>
                <w:szCs w:val="11"/>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1"/>
                <w:szCs w:val="11"/>
                <w:color w:val="auto"/>
              </w:rPr>
            </w:pPr>
          </w:p>
        </w:tc>
        <w:tc>
          <w:tcPr>
            <w:tcW w:w="116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Energy revenue</w:t>
            </w:r>
          </w:p>
        </w:tc>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Capacity revenue</w:t>
            </w:r>
          </w:p>
        </w:tc>
        <w:tc>
          <w:tcPr>
            <w:tcW w:w="3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3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709"/>
              <w:spacing w:after="0"/>
              <w:rPr>
                <w:sz w:val="20"/>
                <w:szCs w:val="20"/>
                <w:color w:val="auto"/>
              </w:rPr>
            </w:pPr>
            <w:r>
              <w:rPr>
                <w:rFonts w:ascii="Times New Roman" w:cs="Times New Roman" w:eastAsia="Times New Roman" w:hAnsi="Times New Roman"/>
                <w:sz w:val="14"/>
                <w:szCs w:val="14"/>
                <w:color w:val="231F20"/>
              </w:rPr>
              <w:t>14</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gridSpan w:val="6"/>
          </w:tcPr>
          <w:p>
            <w:pPr>
              <w:jc w:val="center"/>
              <w:ind w:left="992"/>
              <w:spacing w:after="0"/>
              <w:rPr>
                <w:sz w:val="20"/>
                <w:szCs w:val="20"/>
                <w:color w:val="auto"/>
              </w:rPr>
            </w:pPr>
            <w:r>
              <w:rPr>
                <w:rFonts w:ascii="Times New Roman" w:cs="Times New Roman" w:eastAsia="Times New Roman" w:hAnsi="Times New Roman"/>
                <w:sz w:val="11"/>
                <w:szCs w:val="11"/>
                <w:b w:val="1"/>
                <w:bCs w:val="1"/>
                <w:color w:val="auto"/>
              </w:rPr>
              <w:t>Three months ended March 31, 2023</w:t>
            </w:r>
          </w:p>
        </w:tc>
        <w:tc>
          <w:tcPr>
            <w:tcW w:w="1160" w:type="dxa"/>
            <w:vAlign w:val="bottom"/>
            <w:tcBorders>
              <w:bottom w:val="single" w:sz="8" w:color="auto"/>
            </w:tcBorders>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648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0"/>
                <w:szCs w:val="10"/>
                <w:color w:val="auto"/>
              </w:rPr>
            </w:pPr>
          </w:p>
        </w:tc>
        <w:tc>
          <w:tcPr>
            <w:tcW w:w="152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0"/>
                <w:szCs w:val="10"/>
                <w:color w:val="auto"/>
              </w:rPr>
            </w:pPr>
          </w:p>
        </w:tc>
        <w:tc>
          <w:tcPr>
            <w:tcW w:w="134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0"/>
                <w:szCs w:val="10"/>
                <w:color w:val="auto"/>
              </w:rPr>
            </w:pPr>
          </w:p>
        </w:tc>
        <w:tc>
          <w:tcPr>
            <w:tcW w:w="1160" w:type="dxa"/>
            <w:vAlign w:val="bottom"/>
          </w:tcPr>
          <w:p>
            <w:pPr>
              <w:jc w:val="right"/>
              <w:ind w:right="571"/>
              <w:spacing w:after="0" w:line="117"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333333"/>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244"/>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333333"/>
              </w:rPr>
              <w: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20" w:type="dxa"/>
            <w:vAlign w:val="bottom"/>
          </w:tcPr>
          <w:p>
            <w:pPr>
              <w:spacing w:after="0"/>
              <w:rPr>
                <w:sz w:val="15"/>
                <w:szCs w:val="15"/>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Contract amortization</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1"/>
        </w:trPr>
        <w:tc>
          <w:tcPr>
            <w:tcW w:w="20" w:type="dxa"/>
            <w:vAlign w:val="bottom"/>
          </w:tcPr>
          <w:p>
            <w:pPr>
              <w:spacing w:after="0"/>
              <w:rPr>
                <w:sz w:val="14"/>
                <w:szCs w:val="14"/>
                <w:color w:val="auto"/>
              </w:rPr>
            </w:pPr>
          </w:p>
        </w:tc>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20" w:type="dxa"/>
            <w:vAlign w:val="bottom"/>
          </w:tcPr>
          <w:p>
            <w:pPr>
              <w:spacing w:after="0"/>
              <w:rPr>
                <w:sz w:val="15"/>
                <w:szCs w:val="15"/>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Lease revenue</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1"/>
        </w:trPr>
        <w:tc>
          <w:tcPr>
            <w:tcW w:w="20" w:type="dxa"/>
            <w:vAlign w:val="bottom"/>
          </w:tcPr>
          <w:p>
            <w:pPr>
              <w:spacing w:after="0"/>
              <w:rPr>
                <w:sz w:val="14"/>
                <w:szCs w:val="14"/>
                <w:color w:val="auto"/>
              </w:rPr>
            </w:pPr>
          </w:p>
        </w:tc>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60" w:hanging="128"/>
        <w:spacing w:after="0"/>
        <w:tabs>
          <w:tab w:leader="none" w:pos="26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following amounts of energy and capacity revenue relate to leases and are accounted for under ASC 842: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Energy revenue</w:t>
            </w:r>
          </w:p>
        </w:tc>
        <w:tc>
          <w:tcPr>
            <w:tcW w:w="2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Capacity revenue</w:t>
            </w:r>
          </w:p>
        </w:tc>
        <w:tc>
          <w:tcPr>
            <w:tcW w:w="2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bottom w:val="single" w:sz="8" w:color="CCEEFF"/>
            </w:tcBorders>
            <w:gridSpan w:val="2"/>
            <w:vMerge w:val="restart"/>
          </w:tcPr>
          <w:p>
            <w:pPr>
              <w:ind w:left="300"/>
              <w:spacing w:after="0"/>
              <w:rPr>
                <w:sz w:val="20"/>
                <w:szCs w:val="20"/>
                <w:color w:val="auto"/>
              </w:rPr>
            </w:pPr>
            <w:r>
              <w:rPr>
                <w:rFonts w:ascii="Times New Roman" w:cs="Times New Roman" w:eastAsia="Times New Roman" w:hAnsi="Times New Roman"/>
                <w:sz w:val="14"/>
                <w:szCs w:val="14"/>
                <w:i w:val="1"/>
                <w:iCs w:val="1"/>
                <w:color w:val="auto"/>
              </w:rPr>
              <w:t>Contract Balances</w:t>
            </w: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426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960" w:type="dxa"/>
            <w:vAlign w:val="bottom"/>
            <w:gridSpan w:val="6"/>
          </w:tcPr>
          <w:p>
            <w:pPr>
              <w:ind w:left="300"/>
              <w:spacing w:after="0"/>
              <w:rPr>
                <w:sz w:val="20"/>
                <w:szCs w:val="20"/>
                <w:color w:val="auto"/>
              </w:rPr>
            </w:pPr>
            <w:r>
              <w:rPr>
                <w:rFonts w:ascii="Times New Roman" w:cs="Times New Roman" w:eastAsia="Times New Roman" w:hAnsi="Times New Roman"/>
                <w:sz w:val="14"/>
                <w:szCs w:val="14"/>
                <w:color w:val="auto"/>
              </w:rPr>
              <w:t>The following table reflects the contract assets and liabilities included on the Company’s consolidated balance sheets: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w w:val="94"/>
              </w:rPr>
              <w:t>March 31, 2024</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ind w:left="90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net - Contracts with customers</w:t>
            </w: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3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Accounts receivable, net - Leases</w:t>
            </w:r>
          </w:p>
        </w:tc>
        <w:tc>
          <w:tcPr>
            <w:tcW w:w="22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accounts receivable, net</w:t>
            </w:r>
          </w:p>
        </w:tc>
        <w:tc>
          <w:tcPr>
            <w:tcW w:w="2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vMerge w:val="restart"/>
          </w:tcPr>
          <w:p>
            <w:pPr>
              <w:jc w:val="right"/>
              <w:ind w:right="709"/>
              <w:spacing w:after="0"/>
              <w:rPr>
                <w:sz w:val="20"/>
                <w:szCs w:val="20"/>
                <w:color w:val="auto"/>
              </w:rPr>
            </w:pPr>
            <w:r>
              <w:rPr>
                <w:rFonts w:ascii="Times New Roman" w:cs="Times New Roman" w:eastAsia="Times New Roman" w:hAnsi="Times New Roman"/>
                <w:sz w:val="14"/>
                <w:szCs w:val="14"/>
                <w:color w:val="231F20"/>
              </w:rPr>
              <w:t>15</w:t>
            </w: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Note 3 — Acquisitions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Cedar Creek Drop Down — </w:t>
      </w:r>
      <w:r>
        <w:rPr>
          <w:rFonts w:ascii="Times New Roman" w:cs="Times New Roman" w:eastAsia="Times New Roman" w:hAnsi="Times New Roman"/>
          <w:sz w:val="14"/>
          <w:szCs w:val="14"/>
          <w:color w:val="auto"/>
        </w:rPr>
        <w:t>On April 16, 2024, the Company, through its indirect subsidiary, Cedar Creek Wind Holdco LLC, acquired Cedar Creek Holdco LLC, a 160 MW wind facility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is located in Bingham County, Idaho, from Clearway Renew for cash consideration of $117 million. Cedar Creek Wind Holdco LLC consolidates as primary beneficiary, Cedar Creek TE Holdco LLC, a tax equity fund that owns the Cedar Creek wind facility. Also on April 16, 2024, a tax equity investor contributed $108 million to acquire the Class A membership interests in Cedar Creek TE Holdco LLC. Cedar Creek has a 25-year PPA with an investment-grade utility that commenced in March 2024. The acquisition was funded with existing sources of liquidity.</w:t>
      </w:r>
    </w:p>
    <w:p>
      <w:pPr>
        <w:spacing w:after="0" w:line="95"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Texas Solar Nova 2 Drop Down — </w:t>
      </w:r>
      <w:r>
        <w:rPr>
          <w:rFonts w:ascii="Times New Roman" w:cs="Times New Roman" w:eastAsia="Times New Roman" w:hAnsi="Times New Roman"/>
          <w:sz w:val="14"/>
          <w:szCs w:val="14"/>
          <w:color w:val="auto"/>
        </w:rPr>
        <w:t>On March 15, 2024, the Company, through its indirect subsidiary, TSN1 TE Holdco LLC, acquired Texas Solar Nova 2, LLC, a 200 MW solar facility that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the Texas Solar Nova 1 and Texas Solar Nova 2 solar facilities, as further described in Note 4, </w:t>
      </w:r>
      <w:r>
        <w:rPr>
          <w:rFonts w:ascii="Times New Roman" w:cs="Times New Roman" w:eastAsia="Times New Roman" w:hAnsi="Times New Roman"/>
          <w:sz w:val="14"/>
          <w:szCs w:val="14"/>
          <w:i w:val="1"/>
          <w:iCs w:val="1"/>
          <w:color w:val="auto"/>
        </w:rPr>
        <w:t>Investments Accounted for by the Equity Method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Variable Interest Entities. </w:t>
      </w:r>
      <w:r>
        <w:rPr>
          <w:rFonts w:ascii="Times New Roman" w:cs="Times New Roman" w:eastAsia="Times New Roman" w:hAnsi="Times New Roman"/>
          <w:sz w:val="14"/>
          <w:szCs w:val="14"/>
          <w:color w:val="auto"/>
        </w:rPr>
        <w:t>Texas Solar Nova 2 has an 18-year PPA with an investment-grade counterparty that commenced in March 2024. The Texas Solar Nova 2 operations are reflected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Company’s Renewables segment and the Company’s portion of the purchase price was funded with existing sources of liquidity. The acquisition was determined to be an asset acquisition and the Company consolidates Texas Solar Nova 2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cash paid of $112 million and the historical cost of the Company’s net assets acquired of $72 million was recorded as an adjustment to CEG’s noncontrolling interest balance. In addition, the Company reflected $9 million of the Company’s purchase price, which was contributed back to the Company by CEG to pay down the acquired long-term debt, in the line item distributions to CEG, net of contributions in the consolidated statements of stockholders’ equity.</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March 15,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Texas Solar Nova 2</w:t>
            </w:r>
          </w:p>
        </w:tc>
      </w:tr>
      <w:tr>
        <w:trPr>
          <w:trHeight w:val="173"/>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212"/>
        </w:trPr>
        <w:tc>
          <w:tcPr>
            <w:tcW w:w="22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80"/>
        </w:trPr>
        <w:tc>
          <w:tcPr>
            <w:tcW w:w="92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9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9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22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20"/>
        </w:trPr>
        <w:tc>
          <w:tcPr>
            <w:tcW w:w="2200" w:type="dxa"/>
            <w:vAlign w:val="bottom"/>
            <w:tcBorders>
              <w:bottom w:val="single" w:sz="8" w:color="auto"/>
            </w:tcBorders>
          </w:tcPr>
          <w:p>
            <w:pPr>
              <w:spacing w:after="0"/>
              <w:rPr>
                <w:sz w:val="10"/>
                <w:szCs w:val="10"/>
                <w:color w:val="auto"/>
              </w:rPr>
            </w:pPr>
          </w:p>
        </w:tc>
        <w:tc>
          <w:tcPr>
            <w:tcW w:w="7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40" w:type="dxa"/>
            <w:vAlign w:val="bottom"/>
          </w:tcPr>
          <w:p>
            <w:pPr>
              <w:spacing w:after="0"/>
              <w:rPr>
                <w:sz w:val="10"/>
                <w:szCs w:val="10"/>
                <w:color w:val="auto"/>
              </w:rPr>
            </w:pPr>
          </w:p>
        </w:tc>
      </w:tr>
    </w:tbl>
    <w:p>
      <w:pPr>
        <w:spacing w:after="0" w:line="40" w:lineRule="exact"/>
        <w:rPr>
          <w:sz w:val="20"/>
          <w:szCs w:val="20"/>
          <w:color w:val="auto"/>
        </w:rPr>
      </w:pPr>
    </w:p>
    <w:p>
      <w:pPr>
        <w:ind w:left="200" w:hanging="131"/>
        <w:spacing w:after="0"/>
        <w:tabs>
          <w:tab w:leader="none" w:pos="20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an $80 million term loan and a $115 million tax equity bridge loan, offset by $1 million in unamortized debt issuance costs. See Note 7,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4 — </w:t>
      </w:r>
      <w:r>
        <w:rPr>
          <w:rFonts w:ascii="Times New Roman" w:cs="Times New Roman" w:eastAsia="Times New Roman" w:hAnsi="Times New Roman"/>
          <w:sz w:val="14"/>
          <w:szCs w:val="14"/>
          <w:b w:val="1"/>
          <w:bCs w:val="1"/>
          <w:i w:val="1"/>
          <w:iCs w:val="1"/>
          <w:color w:val="auto"/>
        </w:rPr>
        <w:t>Investments Accounted for by the Equity Method and Variable Interest Entities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not Consolidated</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4"/>
          <w:szCs w:val="14"/>
          <w:i w:val="1"/>
          <w:iCs w:val="1"/>
          <w:color w:val="auto"/>
        </w:rPr>
        <w:t>Investments Accounted for by the Equity Method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Variable Interest Entities, </w:t>
      </w:r>
      <w:r>
        <w:rPr>
          <w:rFonts w:ascii="Times New Roman" w:cs="Times New Roman" w:eastAsia="Times New Roman" w:hAnsi="Times New Roman"/>
          <w:sz w:val="14"/>
          <w:szCs w:val="14"/>
          <w:color w:val="231F20"/>
        </w:rPr>
        <w:t>to the consolidated financial statements included in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31F20"/>
        </w:rPr>
        <w:t>Form 10</w:t>
      </w:r>
      <w:r>
        <w:rPr>
          <w:rFonts w:ascii="Times New Roman" w:cs="Times New Roman" w:eastAsia="Times New Roman" w:hAnsi="Times New Roman"/>
          <w:sz w:val="14"/>
          <w:szCs w:val="14"/>
          <w:color w:val="auto"/>
        </w:rPr>
        <w:t>-K.</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Company’s equity investments in unconsolidated affiliates as of March 31,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7060" w:type="dxa"/>
            <w:vAlign w:val="bottom"/>
            <w:tcBorders>
              <w:bottom w:val="single" w:sz="8" w:color="auto"/>
            </w:tcBorders>
          </w:tcPr>
          <w:p>
            <w:pPr>
              <w:jc w:val="center"/>
              <w:ind w:left="5530"/>
              <w:spacing w:after="0"/>
              <w:rPr>
                <w:sz w:val="20"/>
                <w:szCs w:val="20"/>
                <w:color w:val="auto"/>
              </w:rPr>
            </w:pPr>
            <w:r>
              <w:rPr>
                <w:rFonts w:ascii="Times New Roman" w:cs="Times New Roman" w:eastAsia="Times New Roman" w:hAnsi="Times New Roman"/>
                <w:sz w:val="13"/>
                <w:szCs w:val="13"/>
                <w:b w:val="1"/>
                <w:bCs w:val="1"/>
                <w:color w:val="auto"/>
                <w:w w:val="96"/>
              </w:rPr>
              <w:t>Economic Interest</w:t>
            </w: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 xml:space="preserve">Investment Balance </w:t>
            </w:r>
            <w:r>
              <w:rPr>
                <w:rFonts w:ascii="Times New Roman" w:cs="Times New Roman" w:eastAsia="Times New Roman" w:hAnsi="Times New Roman"/>
                <w:sz w:val="18"/>
                <w:szCs w:val="18"/>
                <w:b w:val="1"/>
                <w:bCs w:val="1"/>
                <w:color w:val="auto"/>
                <w:vertAlign w:val="superscript"/>
              </w:rPr>
              <w:t>(a)</w:t>
            </w:r>
          </w:p>
        </w:tc>
      </w:tr>
      <w:tr>
        <w:trPr>
          <w:trHeight w:val="159"/>
        </w:trPr>
        <w:tc>
          <w:tcPr>
            <w:tcW w:w="220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jc w:val="right"/>
              <w:ind w:right="61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8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Avenal</w:t>
            </w:r>
          </w:p>
        </w:tc>
        <w:tc>
          <w:tcPr>
            <w:tcW w:w="70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Desert Sunlight</w:t>
            </w:r>
          </w:p>
        </w:tc>
        <w:tc>
          <w:tcPr>
            <w:tcW w:w="7060" w:type="dxa"/>
            <w:vAlign w:val="bottom"/>
          </w:tcPr>
          <w:p>
            <w:pPr>
              <w:jc w:val="center"/>
              <w:ind w:left="5530"/>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18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Elkhorn Ridge</w:t>
            </w:r>
          </w:p>
        </w:tc>
        <w:tc>
          <w:tcPr>
            <w:tcW w:w="70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4"/>
                <w:szCs w:val="14"/>
                <w:color w:val="auto"/>
              </w:rPr>
              <w:t>67%</w:t>
            </w: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22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GenConn </w:t>
            </w:r>
            <w:r>
              <w:rPr>
                <w:rFonts w:ascii="Times New Roman" w:cs="Times New Roman" w:eastAsia="Times New Roman" w:hAnsi="Times New Roman"/>
                <w:sz w:val="18"/>
                <w:szCs w:val="18"/>
                <w:color w:val="auto"/>
                <w:vertAlign w:val="superscript"/>
              </w:rPr>
              <w:t>(b)</w:t>
            </w:r>
          </w:p>
        </w:tc>
        <w:tc>
          <w:tcPr>
            <w:tcW w:w="7060" w:type="dxa"/>
            <w:vAlign w:val="bottom"/>
          </w:tcPr>
          <w:p>
            <w:pPr>
              <w:jc w:val="center"/>
              <w:ind w:left="5530"/>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22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Rosie Central BESS </w:t>
            </w:r>
            <w:r>
              <w:rPr>
                <w:rFonts w:ascii="Times New Roman" w:cs="Times New Roman" w:eastAsia="Times New Roman" w:hAnsi="Times New Roman"/>
                <w:sz w:val="18"/>
                <w:szCs w:val="18"/>
                <w:color w:val="auto"/>
                <w:vertAlign w:val="superscript"/>
              </w:rPr>
              <w:t>(b)</w:t>
            </w:r>
          </w:p>
        </w:tc>
        <w:tc>
          <w:tcPr>
            <w:tcW w:w="70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San Juan Mesa</w:t>
            </w:r>
          </w:p>
        </w:tc>
        <w:tc>
          <w:tcPr>
            <w:tcW w:w="7060" w:type="dxa"/>
            <w:vAlign w:val="bottom"/>
            <w:tcBorders>
              <w:bottom w:val="single" w:sz="8" w:color="CCEEFF"/>
            </w:tcBorders>
          </w:tcPr>
          <w:p>
            <w:pPr>
              <w:jc w:val="center"/>
              <w:ind w:left="5530"/>
              <w:spacing w:after="0"/>
              <w:rPr>
                <w:sz w:val="20"/>
                <w:szCs w:val="20"/>
                <w:color w:val="auto"/>
              </w:rPr>
            </w:pPr>
            <w:r>
              <w:rPr>
                <w:rFonts w:ascii="Times New Roman" w:cs="Times New Roman" w:eastAsia="Times New Roman" w:hAnsi="Times New Roman"/>
                <w:sz w:val="14"/>
                <w:szCs w:val="14"/>
                <w:color w:val="auto"/>
              </w:rPr>
              <w:t>75%</w:t>
            </w: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6"/>
        </w:trPr>
        <w:tc>
          <w:tcPr>
            <w:tcW w:w="2200" w:type="dxa"/>
            <w:vAlign w:val="bottom"/>
            <w:tcBorders>
              <w:bottom w:val="single" w:sz="8" w:color="CCEEFF"/>
            </w:tcBorders>
            <w:shd w:val="clear" w:color="auto" w:fill="CCEEFF"/>
          </w:tcPr>
          <w:p>
            <w:pPr>
              <w:spacing w:after="0"/>
              <w:rPr>
                <w:sz w:val="16"/>
                <w:szCs w:val="16"/>
                <w:color w:val="auto"/>
              </w:rPr>
            </w:pPr>
          </w:p>
        </w:tc>
        <w:tc>
          <w:tcPr>
            <w:tcW w:w="70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220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80" w:type="dxa"/>
            <w:vAlign w:val="bottom"/>
          </w:tcPr>
          <w:p>
            <w:pPr>
              <w:spacing w:after="0"/>
              <w:rPr>
                <w:sz w:val="8"/>
                <w:szCs w:val="8"/>
                <w:color w:val="auto"/>
              </w:rPr>
            </w:pPr>
          </w:p>
        </w:tc>
      </w:tr>
    </w:tbl>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The Company’s maximum exposure to loss is limited to its investment balances.</w:t>
      </w:r>
    </w:p>
    <w:p>
      <w:pPr>
        <w:ind w:left="60"/>
        <w:spacing w:after="0"/>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3"/>
          <w:szCs w:val="13"/>
          <w:color w:val="auto"/>
        </w:rPr>
        <w:t xml:space="preserve"> GenConn and Rosie Central BESS are VIEs.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Consolidated</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As further described under Item 15 —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to the consolidated financial statements included in the Company’s 2023 Form 10-K, the Company has a controlling financial interest in certain entities which have been identified as VIEs under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significant activity during the three months ended March 31, 2024 related to the Company’s consolidated VIEs: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Lighthouse Renewable Holdco 2 LLC</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March 15, 2024, TSN1 TE Holdco LLC, an indirect subsidiary of the Company, acquired Texas Solar Nova 2, LLC. The Company, through Lighthouse Renewable Holdco 2 LLC, a partnership, consolidates TSN1 TE Holdco LLC, a tax equity fund that owns the Texas Solar Nova 1 and Texas Solar Nova 2 solar facilities. The Company recorded the noncontrolling interest of the cash equity investor in Lighthouse Renewable Holdco 2 LLC at historical carrying amount, with the offset to additional-paid in capital. The Class A membership interests in TSN1 TE Holdco LLC are held by a tax equity investor and are reflected as noncontrolling interest on the Company’s consolidated balance sheet.</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Daggett Renewable Holdco LLC</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Effective January 1, 2024, the Company and the cash equity investor in Daggett Renewable HoldCo LLC and Daggett 2 TargetCo LLC, the indirect owner of the Daggett 2 solar and BESS facility, agreed to transfer Daggett 2 TargetCo LLC to Daggett Renewable Holdco LLC. As the transfer was among entities under common control, the transaction was recognized at historical cost and no gain or loss was recognized.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4"/>
          <w:szCs w:val="14"/>
          <w:color w:val="auto"/>
        </w:rPr>
        <w:t>Summarized financial information for the Company’s consolidated VIEs consisted of the following as of March 31,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 xml:space="preserve">DGPV Funds </w:t>
            </w:r>
            <w:r>
              <w:rPr>
                <w:rFonts w:ascii="Times New Roman" w:cs="Times New Roman" w:eastAsia="Times New Roman" w:hAnsi="Times New Roman"/>
                <w:sz w:val="16"/>
                <w:szCs w:val="16"/>
                <w:b w:val="1"/>
                <w:bCs w:val="1"/>
                <w:color w:val="auto"/>
                <w:vertAlign w:val="superscript"/>
              </w:rPr>
              <w:t>(a)</w:t>
            </w:r>
          </w:p>
        </w:tc>
        <w:tc>
          <w:tcPr>
            <w:tcW w:w="100" w:type="dxa"/>
            <w:vAlign w:val="bottom"/>
          </w:tcPr>
          <w:p>
            <w:pPr>
              <w:spacing w:after="0"/>
              <w:rPr>
                <w:sz w:val="10"/>
                <w:szCs w:val="1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Langford TE Partnership</w:t>
            </w:r>
          </w:p>
        </w:tc>
        <w:tc>
          <w:tcPr>
            <w:tcW w:w="136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Daggett Renewable Holdco</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Lighthouse Renewable Holdco</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w w:val="98"/>
              </w:rPr>
              <w:t>Lighthouse Renewable Holdco</w:t>
            </w:r>
          </w:p>
        </w:tc>
        <w:tc>
          <w:tcPr>
            <w:tcW w:w="0" w:type="dxa"/>
            <w:vAlign w:val="bottom"/>
          </w:tcPr>
          <w:p>
            <w:pPr>
              <w:spacing w:after="0"/>
              <w:rPr>
                <w:sz w:val="1"/>
                <w:szCs w:val="1"/>
                <w:color w:val="auto"/>
              </w:rPr>
            </w:pPr>
          </w:p>
        </w:tc>
      </w:tr>
      <w:tr>
        <w:trPr>
          <w:trHeight w:val="149"/>
        </w:trPr>
        <w:tc>
          <w:tcPr>
            <w:tcW w:w="3120" w:type="dxa"/>
            <w:vAlign w:val="bottom"/>
            <w:vMerge w:val="continue"/>
          </w:tcPr>
          <w:p>
            <w:pPr>
              <w:spacing w:after="0"/>
              <w:rPr>
                <w:sz w:val="12"/>
                <w:szCs w:val="12"/>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Buckthorn Holdings, LLC</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LLC</w:t>
            </w:r>
          </w:p>
        </w:tc>
        <w:tc>
          <w:tcPr>
            <w:tcW w:w="280" w:type="dxa"/>
            <w:vAlign w:val="bottom"/>
          </w:tcPr>
          <w:p>
            <w:pPr>
              <w:spacing w:after="0"/>
              <w:rPr>
                <w:sz w:val="12"/>
                <w:szCs w:val="12"/>
                <w:color w:val="auto"/>
              </w:rPr>
            </w:pPr>
          </w:p>
        </w:tc>
        <w:tc>
          <w:tcPr>
            <w:tcW w:w="10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0"/>
                <w:szCs w:val="10"/>
                <w:b w:val="1"/>
                <w:bCs w:val="1"/>
                <w:color w:val="auto"/>
                <w:w w:val="88"/>
              </w:rPr>
              <w:t xml:space="preserve">LLC </w:t>
            </w:r>
            <w:r>
              <w:rPr>
                <w:rFonts w:ascii="Times New Roman" w:cs="Times New Roman" w:eastAsia="Times New Roman" w:hAnsi="Times New Roman"/>
                <w:sz w:val="16"/>
                <w:szCs w:val="16"/>
                <w:b w:val="1"/>
                <w:bCs w:val="1"/>
                <w:color w:val="auto"/>
                <w:w w:val="88"/>
                <w:vertAlign w:val="superscript"/>
              </w:rPr>
              <w:t>(b)</w:t>
            </w:r>
          </w:p>
        </w:tc>
        <w:tc>
          <w:tcPr>
            <w:tcW w:w="300" w:type="dxa"/>
            <w:vAlign w:val="bottom"/>
          </w:tcPr>
          <w:p>
            <w:pPr>
              <w:spacing w:after="0"/>
              <w:rPr>
                <w:sz w:val="12"/>
                <w:szCs w:val="12"/>
                <w:color w:val="auto"/>
              </w:rPr>
            </w:pPr>
          </w:p>
        </w:tc>
        <w:tc>
          <w:tcPr>
            <w:tcW w:w="1100" w:type="dxa"/>
            <w:vAlign w:val="bottom"/>
            <w:gridSpan w:val="2"/>
          </w:tcPr>
          <w:p>
            <w:pPr>
              <w:ind w:left="200"/>
              <w:spacing w:after="0" w:line="148" w:lineRule="exact"/>
              <w:rPr>
                <w:sz w:val="20"/>
                <w:szCs w:val="20"/>
                <w:color w:val="auto"/>
              </w:rPr>
            </w:pPr>
            <w:r>
              <w:rPr>
                <w:rFonts w:ascii="Times New Roman" w:cs="Times New Roman" w:eastAsia="Times New Roman" w:hAnsi="Times New Roman"/>
                <w:sz w:val="10"/>
                <w:szCs w:val="10"/>
                <w:b w:val="1"/>
                <w:bCs w:val="1"/>
                <w:color w:val="auto"/>
              </w:rPr>
              <w:t xml:space="preserve">LLC </w:t>
            </w:r>
            <w:r>
              <w:rPr>
                <w:rFonts w:ascii="Times New Roman" w:cs="Times New Roman" w:eastAsia="Times New Roman" w:hAnsi="Times New Roman"/>
                <w:sz w:val="16"/>
                <w:szCs w:val="16"/>
                <w:b w:val="1"/>
                <w:bCs w:val="1"/>
                <w:color w:val="auto"/>
                <w:vertAlign w:val="superscript"/>
              </w:rPr>
              <w:t>(c)</w:t>
            </w:r>
          </w:p>
        </w:tc>
        <w:tc>
          <w:tcPr>
            <w:tcW w:w="280" w:type="dxa"/>
            <w:vAlign w:val="bottom"/>
          </w:tcPr>
          <w:p>
            <w:pPr>
              <w:spacing w:after="0"/>
              <w:rPr>
                <w:sz w:val="12"/>
                <w:szCs w:val="12"/>
                <w:color w:val="auto"/>
              </w:rPr>
            </w:pPr>
          </w:p>
        </w:tc>
        <w:tc>
          <w:tcPr>
            <w:tcW w:w="1060" w:type="dxa"/>
            <w:vAlign w:val="bottom"/>
          </w:tcPr>
          <w:p>
            <w:pPr>
              <w:jc w:val="right"/>
              <w:ind w:right="392"/>
              <w:spacing w:after="0" w:line="148" w:lineRule="exact"/>
              <w:rPr>
                <w:sz w:val="20"/>
                <w:szCs w:val="20"/>
                <w:color w:val="auto"/>
              </w:rPr>
            </w:pPr>
            <w:r>
              <w:rPr>
                <w:rFonts w:ascii="Times New Roman" w:cs="Times New Roman" w:eastAsia="Times New Roman" w:hAnsi="Times New Roman"/>
                <w:sz w:val="10"/>
                <w:szCs w:val="10"/>
                <w:b w:val="1"/>
                <w:bCs w:val="1"/>
                <w:color w:val="auto"/>
              </w:rPr>
              <w:t xml:space="preserve">2 LLC </w:t>
            </w:r>
            <w:r>
              <w:rPr>
                <w:rFonts w:ascii="Times New Roman" w:cs="Times New Roman" w:eastAsia="Times New Roman" w:hAnsi="Times New Roman"/>
                <w:sz w:val="16"/>
                <w:szCs w:val="16"/>
                <w:b w:val="1"/>
                <w:bCs w:val="1"/>
                <w:color w:val="auto"/>
                <w:vertAlign w:val="superscript"/>
              </w:rPr>
              <w:t>(d)</w:t>
            </w:r>
          </w:p>
        </w:tc>
        <w:tc>
          <w:tcPr>
            <w:tcW w:w="0" w:type="dxa"/>
            <w:vAlign w:val="bottom"/>
          </w:tcPr>
          <w:p>
            <w:pPr>
              <w:spacing w:after="0"/>
              <w:rPr>
                <w:sz w:val="1"/>
                <w:szCs w:val="1"/>
                <w:color w:val="auto"/>
              </w:rPr>
            </w:pP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54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5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5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5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5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5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71"/>
        </w:trPr>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assets less noncontrolling interest</w:t>
            </w: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DGPV Funds is comprised of Clearway &amp; EFS Distributed Solar LLC, Golden Puma Fund LLC, Renew Solar CS4 Fund LLC and Chestnut Fund LLC, which are all tax equity funds.</w:t>
      </w:r>
    </w:p>
    <w:p>
      <w:pPr>
        <w:spacing w:after="0" w:line="34"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Daggett Renewable Holdco LLC consolidates Daggett TE Holdco LLC and Daggett 2 TE Holdco LLC, which are consolidated VIEs.</w:t>
      </w:r>
    </w:p>
    <w:p>
      <w:pPr>
        <w:spacing w:after="0" w:line="24"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LLC consolidates Black Rock TE Holdco LLC and Mililani TE Holdco LLC, which are consolidated VIEs.</w:t>
      </w:r>
    </w:p>
    <w:p>
      <w:pPr>
        <w:spacing w:after="0" w:line="35"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2 LLC consolidates Mesquite Sky TE Holdco LLC, Mesquite Star Tax Equity Holdco LLC and TSN1 TE Holdco LLC, which are consolidated VIEs.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Oahu Solar LLC</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Rattlesnake TE Holdco LLC</w:t>
            </w: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Rosie TargetCo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 xml:space="preserve">VP-Arica TargetCo LLC </w:t>
            </w:r>
            <w:r>
              <w:rPr>
                <w:rFonts w:ascii="Times New Roman" w:cs="Times New Roman" w:eastAsia="Times New Roman" w:hAnsi="Times New Roman"/>
                <w:sz w:val="16"/>
                <w:szCs w:val="16"/>
                <w:b w:val="1"/>
                <w:bCs w:val="1"/>
                <w:color w:val="auto"/>
                <w:vertAlign w:val="superscript"/>
              </w:rPr>
              <w:t>(a)</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Wildorado TE Holdco LLC</w:t>
            </w:r>
          </w:p>
        </w:tc>
        <w:tc>
          <w:tcPr>
            <w:tcW w:w="28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 xml:space="preserve">Other </w:t>
            </w:r>
            <w:r>
              <w:rPr>
                <w:rFonts w:ascii="Times New Roman" w:cs="Times New Roman" w:eastAsia="Times New Roman" w:hAnsi="Times New Roman"/>
                <w:sz w:val="16"/>
                <w:szCs w:val="16"/>
                <w:b w:val="1"/>
                <w:bCs w:val="1"/>
                <w:color w:val="auto"/>
                <w:vertAlign w:val="superscript"/>
              </w:rPr>
              <w:t>(b)</w:t>
            </w: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71"/>
        </w:trPr>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assets less noncontrolling interest</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37" w:lineRule="exact"/>
        <w:rPr>
          <w:sz w:val="20"/>
          <w:szCs w:val="20"/>
          <w:color w:val="auto"/>
        </w:rPr>
      </w:pPr>
    </w:p>
    <w:p>
      <w:pPr>
        <w:ind w:left="200" w:hanging="131"/>
        <w:spacing w:after="0"/>
        <w:tabs>
          <w:tab w:leader="none" w:pos="20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VP-Arica TargetCo LLC consolidates VP-Arica TE Holdco LLC, a consolidated VIE that owns the Victory Pass and Arica solar and BESS facilities.</w:t>
      </w:r>
    </w:p>
    <w:p>
      <w:pPr>
        <w:spacing w:after="0" w:line="45"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Other is comprised of Elbow Creek TE Holdco LLC, Pinnacle Repowering TE Holdco LLC and the Spring Canyon facilities.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5 — </w:t>
      </w:r>
      <w:r>
        <w:rPr>
          <w:rFonts w:ascii="Times New Roman" w:cs="Times New Roman" w:eastAsia="Times New Roman" w:hAnsi="Times New Roman"/>
          <w:sz w:val="14"/>
          <w:szCs w:val="14"/>
          <w:b w:val="1"/>
          <w:bCs w:val="1"/>
          <w:i w:val="1"/>
          <w:iCs w:val="1"/>
          <w:color w:val="auto"/>
        </w:rPr>
        <w:t>Fair Value of Financial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Accounting under ASC 820</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ASC 820 establishes a fair value hierarchy that prioritizes the inputs to valuation techniques used to measure fair value into three levels as follows:</w:t>
      </w:r>
    </w:p>
    <w:p>
      <w:pPr>
        <w:spacing w:after="0" w:line="51" w:lineRule="exact"/>
        <w:rPr>
          <w:sz w:val="20"/>
          <w:szCs w:val="20"/>
          <w:color w:val="auto"/>
        </w:rPr>
      </w:pPr>
    </w:p>
    <w:p>
      <w:pPr>
        <w:ind w:left="960" w:hanging="191"/>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(unadjusted) in active markets for identical assets or liabilities that the Company has the ability to access as of the measurement date.</w:t>
      </w:r>
    </w:p>
    <w:p>
      <w:pPr>
        <w:spacing w:after="0" w:line="51" w:lineRule="exact"/>
        <w:rPr>
          <w:rFonts w:ascii="Times New Roman" w:cs="Times New Roman" w:eastAsia="Times New Roman" w:hAnsi="Times New Roman"/>
          <w:sz w:val="14"/>
          <w:szCs w:val="14"/>
          <w:color w:val="auto"/>
        </w:rPr>
      </w:pPr>
    </w:p>
    <w:p>
      <w:pPr>
        <w:ind w:left="960" w:hanging="191"/>
        <w:spacing w:after="0" w:line="284" w:lineRule="auto"/>
        <w:tabs>
          <w:tab w:leader="none" w:pos="9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quoted prices included within Level 1 that are directly observable for the asset or liability or indirectly observable through corroboration with observable market data.</w:t>
      </w:r>
    </w:p>
    <w:p>
      <w:pPr>
        <w:ind w:left="960" w:hanging="191"/>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for the asset or liability only used when there is little, if any, market activity for the asset or liability at the measurement date.</w:t>
      </w:r>
    </w:p>
    <w:p>
      <w:pPr>
        <w:spacing w:after="0" w:line="13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 w:name="page19"/>
    <w:bookmarkEnd w:id="18"/>
    <w:p>
      <w:pPr>
        <w:ind w:firstLine="318"/>
        <w:spacing w:after="0" w:line="287" w:lineRule="auto"/>
        <w:rPr>
          <w:sz w:val="20"/>
          <w:szCs w:val="20"/>
          <w:color w:val="auto"/>
        </w:rPr>
      </w:pPr>
      <w:r>
        <w:rPr>
          <w:rFonts w:ascii="Times New Roman" w:cs="Times New Roman" w:eastAsia="Times New Roman" w:hAnsi="Times New Roman"/>
          <w:sz w:val="14"/>
          <w:szCs w:val="14"/>
          <w:color w:val="auto"/>
        </w:rPr>
        <w:t>For cash and cash equivalents, restricted cash, accounts receivable — trade, note receivable — affiliate,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carrying amount and estimated fair value of the Company’s recorded financial instrument not carried at fair market value or that does not approximate fair value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As of March 31, 2024</w:t>
            </w:r>
          </w:p>
        </w:tc>
        <w:tc>
          <w:tcPr>
            <w:tcW w:w="140" w:type="dxa"/>
            <w:vAlign w:val="bottom"/>
          </w:tcPr>
          <w:p>
            <w:pPr>
              <w:spacing w:after="0"/>
              <w:rPr>
                <w:sz w:val="13"/>
                <w:szCs w:val="13"/>
                <w:color w:val="auto"/>
              </w:rPr>
            </w:pPr>
          </w:p>
        </w:tc>
        <w:tc>
          <w:tcPr>
            <w:tcW w:w="23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r>
      <w:tr>
        <w:trPr>
          <w:trHeight w:val="154"/>
        </w:trPr>
        <w:tc>
          <w:tcPr>
            <w:tcW w:w="6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0"/>
        </w:trPr>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93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6"/>
        </w:trPr>
        <w:tc>
          <w:tcPr>
            <w:tcW w:w="616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4"/>
                <w:szCs w:val="14"/>
                <w:color w:val="auto"/>
              </w:rPr>
              <w:t xml:space="preserve">Long-term debt, including current portion </w:t>
            </w:r>
            <w:r>
              <w:rPr>
                <w:rFonts w:ascii="Times New Roman" w:cs="Times New Roman" w:eastAsia="Times New Roman" w:hAnsi="Times New Roman"/>
                <w:sz w:val="18"/>
                <w:szCs w:val="18"/>
                <w:color w:val="auto"/>
                <w:vertAlign w:val="superscript"/>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8,204</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8,102</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8" w:lineRule="exact"/>
        <w:rPr>
          <w:sz w:val="20"/>
          <w:szCs w:val="20"/>
          <w:color w:val="auto"/>
        </w:rPr>
      </w:pPr>
    </w:p>
    <w:p>
      <w:pPr>
        <w:ind w:left="200" w:hanging="131"/>
        <w:spacing w:after="0"/>
        <w:tabs>
          <w:tab w:leader="none" w:pos="20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Excludes net debt issuance costs, which are recorded as a reduction to long-term debt on the Company’s consolidated balance sheets.</w:t>
      </w:r>
    </w:p>
    <w:p>
      <w:pPr>
        <w:spacing w:after="0" w:line="12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4"/>
          </w:tcPr>
          <w:p>
            <w:pPr>
              <w:ind w:left="480"/>
              <w:spacing w:after="0"/>
              <w:rPr>
                <w:sz w:val="20"/>
                <w:szCs w:val="20"/>
                <w:color w:val="auto"/>
              </w:rPr>
            </w:pPr>
            <w:r>
              <w:rPr>
                <w:rFonts w:ascii="Times New Roman" w:cs="Times New Roman" w:eastAsia="Times New Roman" w:hAnsi="Times New Roman"/>
                <w:sz w:val="11"/>
                <w:szCs w:val="11"/>
                <w:b w:val="1"/>
                <w:bCs w:val="1"/>
                <w:color w:val="auto"/>
              </w:rPr>
              <w:t>As of March 31, 2024</w:t>
            </w:r>
          </w:p>
        </w:tc>
        <w:tc>
          <w:tcPr>
            <w:tcW w:w="340" w:type="dxa"/>
            <w:vAlign w:val="bottom"/>
          </w:tcPr>
          <w:p>
            <w:pPr>
              <w:spacing w:after="0"/>
              <w:rPr>
                <w:sz w:val="13"/>
                <w:szCs w:val="13"/>
                <w:color w:val="auto"/>
              </w:rPr>
            </w:pPr>
          </w:p>
        </w:tc>
        <w:tc>
          <w:tcPr>
            <w:tcW w:w="21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r>
      <w:tr>
        <w:trPr>
          <w:trHeight w:val="154"/>
        </w:trPr>
        <w:tc>
          <w:tcPr>
            <w:tcW w:w="6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0"/>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1,889</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1,939</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w:t>
            </w:r>
          </w:p>
        </w:tc>
      </w:tr>
      <w:tr>
        <w:trPr>
          <w:trHeight w:val="124"/>
        </w:trPr>
        <w:tc>
          <w:tcPr>
            <w:tcW w:w="6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March 31, 2024</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0" w:type="dxa"/>
            <w:vAlign w:val="bottom"/>
          </w:tcPr>
          <w:p>
            <w:pPr>
              <w:spacing w:after="0"/>
              <w:rPr>
                <w:sz w:val="1"/>
                <w:szCs w:val="1"/>
                <w:color w:val="auto"/>
              </w:rPr>
            </w:pPr>
          </w:p>
        </w:tc>
      </w:tr>
      <w:tr>
        <w:trPr>
          <w:trHeight w:val="159"/>
        </w:trPr>
        <w:tc>
          <w:tcPr>
            <w:tcW w:w="5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2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(a)</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4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(a)</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3"/>
                <w:szCs w:val="13"/>
                <w:color w:val="auto"/>
              </w:rPr>
            </w:pPr>
          </w:p>
        </w:tc>
        <w:tc>
          <w:tcPr>
            <w:tcW w:w="1160" w:type="dxa"/>
            <w:vAlign w:val="bottom"/>
            <w:gridSpan w:val="2"/>
          </w:tcPr>
          <w:p>
            <w:pPr>
              <w:ind w:left="180"/>
              <w:spacing w:after="0" w:line="150" w:lineRule="exact"/>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16"/>
                <w:szCs w:val="16"/>
                <w:b w:val="1"/>
                <w:bCs w:val="1"/>
                <w:color w:val="auto"/>
                <w:vertAlign w:val="superscript"/>
              </w:rPr>
              <w:t>(b)</w:t>
            </w:r>
          </w:p>
        </w:tc>
        <w:tc>
          <w:tcPr>
            <w:tcW w:w="460" w:type="dxa"/>
            <w:vAlign w:val="bottom"/>
          </w:tcPr>
          <w:p>
            <w:pPr>
              <w:spacing w:after="0"/>
              <w:rPr>
                <w:sz w:val="13"/>
                <w:szCs w:val="13"/>
                <w:color w:val="auto"/>
              </w:rPr>
            </w:pPr>
          </w:p>
        </w:tc>
        <w:tc>
          <w:tcPr>
            <w:tcW w:w="84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80"/>
              <w:spacing w:after="0" w:line="150" w:lineRule="exact"/>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16"/>
                <w:szCs w:val="16"/>
                <w:b w:val="1"/>
                <w:bCs w:val="1"/>
                <w:color w:val="auto"/>
                <w:vertAlign w:val="superscript"/>
              </w:rPr>
              <w:t>(b)</w:t>
            </w:r>
          </w:p>
        </w:tc>
        <w:tc>
          <w:tcPr>
            <w:tcW w:w="380" w:type="dxa"/>
            <w:vAlign w:val="bottom"/>
          </w:tcPr>
          <w:p>
            <w:pPr>
              <w:spacing w:after="0"/>
              <w:rPr>
                <w:sz w:val="13"/>
                <w:szCs w:val="13"/>
                <w:color w:val="auto"/>
              </w:rPr>
            </w:pPr>
          </w:p>
        </w:tc>
        <w:tc>
          <w:tcPr>
            <w:tcW w:w="92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0"/>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80" w:type="dxa"/>
            <w:vAlign w:val="bottom"/>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8"/>
                <w:szCs w:val="18"/>
                <w:color w:val="auto"/>
                <w:vertAlign w:val="superscript"/>
              </w:rPr>
              <w:t>(c)</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Other financial instruments </w:t>
            </w:r>
            <w:r>
              <w:rPr>
                <w:rFonts w:ascii="Times New Roman" w:cs="Times New Roman" w:eastAsia="Times New Roman" w:hAnsi="Times New Roman"/>
                <w:sz w:val="18"/>
                <w:szCs w:val="18"/>
                <w:b w:val="1"/>
                <w:bCs w:val="1"/>
                <w:color w:val="auto"/>
                <w:vertAlign w:val="superscript"/>
              </w:rPr>
              <w:t>(d)</w:t>
            </w:r>
          </w:p>
        </w:tc>
        <w:tc>
          <w:tcPr>
            <w:tcW w:w="2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7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8"/>
                <w:szCs w:val="18"/>
                <w:color w:val="auto"/>
                <w:vertAlign w:val="superscript"/>
              </w:rPr>
              <w:t>(e)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80"/>
        </w:trPr>
        <w:tc>
          <w:tcPr>
            <w:tcW w:w="5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00" w:hanging="131"/>
        <w:spacing w:after="0"/>
        <w:tabs>
          <w:tab w:leader="none" w:pos="20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There were no derivative assets or liabilities classified as Level 1 as of March 31, 2024 and December 31, 2023.</w:t>
      </w:r>
    </w:p>
    <w:p>
      <w:pPr>
        <w:spacing w:after="0" w:line="5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The Company’s interest rate swaps are measured at fair value using an income approach, which uses readily observable inputs, such as forward interest rates (e.g., SOFR) and contractual terms to estimate fair value.</w:t>
      </w:r>
    </w:p>
    <w:p>
      <w:pPr>
        <w:spacing w:after="0" w:line="39" w:lineRule="exact"/>
        <w:rPr>
          <w:rFonts w:ascii="Times New Roman" w:cs="Times New Roman" w:eastAsia="Times New Roman" w:hAnsi="Times New Roman"/>
          <w:sz w:val="16"/>
          <w:szCs w:val="16"/>
          <w:color w:val="auto"/>
          <w:vertAlign w:val="superscript"/>
        </w:rPr>
      </w:pPr>
    </w:p>
    <w:p>
      <w:pPr>
        <w:ind w:left="200" w:hanging="131"/>
        <w:spacing w:after="0" w:line="185" w:lineRule="auto"/>
        <w:tabs>
          <w:tab w:leader="none" w:pos="20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Includes long-term backbone transportation service contracts classified as Level 2 and short-term heat rate call option contracts classified as Level 3.</w:t>
      </w:r>
    </w:p>
    <w:p>
      <w:pPr>
        <w:spacing w:after="0" w:line="4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SREC contract.</w:t>
      </w:r>
    </w:p>
    <w:p>
      <w:pPr>
        <w:spacing w:after="0" w:line="50" w:lineRule="exact"/>
        <w:rPr>
          <w:rFonts w:ascii="Times New Roman" w:cs="Times New Roman" w:eastAsia="Times New Roman" w:hAnsi="Times New Roman"/>
          <w:sz w:val="16"/>
          <w:szCs w:val="16"/>
          <w:color w:val="auto"/>
          <w:vertAlign w:val="superscript"/>
        </w:rPr>
      </w:pPr>
    </w:p>
    <w:p>
      <w:pPr>
        <w:ind w:left="60" w:firstLine="9"/>
        <w:spacing w:after="0" w:line="201" w:lineRule="auto"/>
        <w:tabs>
          <w:tab w:leader="none" w:pos="204"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As of March 31, 2024 and December 31, 2023, amounts include $361 million and $325 million related to long-term power commodity contracts and zero and $5 million related to short-term heat rate call option contracts, respectively.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ind w:left="380"/>
        <w:spacing w:after="0"/>
        <w:rPr>
          <w:sz w:val="20"/>
          <w:szCs w:val="20"/>
          <w:color w:val="auto"/>
        </w:rPr>
      </w:pPr>
      <w:r>
        <w:rPr>
          <w:rFonts w:ascii="Times New Roman" w:cs="Times New Roman" w:eastAsia="Times New Roman" w:hAnsi="Times New Roman"/>
          <w:sz w:val="14"/>
          <w:szCs w:val="14"/>
          <w:color w:val="auto"/>
        </w:rPr>
        <w:t>The following table reconciles the beginning and ending balances for instruments that are recognized at fair value in the consolidated financial statements using significant unobservable inputs: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00" w:type="dxa"/>
            <w:vAlign w:val="bottom"/>
            <w:tcBorders>
              <w:bottom w:val="single" w:sz="8" w:color="auto"/>
            </w:tcBorders>
          </w:tcPr>
          <w:p>
            <w:pPr>
              <w:spacing w:after="0"/>
              <w:rPr>
                <w:sz w:val="13"/>
                <w:szCs w:val="13"/>
                <w:color w:val="auto"/>
              </w:rPr>
            </w:pPr>
          </w:p>
        </w:tc>
      </w:tr>
      <w:tr>
        <w:trPr>
          <w:trHeight w:val="150"/>
        </w:trPr>
        <w:tc>
          <w:tcPr>
            <w:tcW w:w="6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4"/>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Fair Value Measurement Using Significant Unobservable Inputs (Level 3)</w:t>
            </w:r>
          </w:p>
        </w:tc>
      </w:tr>
      <w:tr>
        <w:trPr>
          <w:trHeight w:val="17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8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2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(losses) gains for the period included in earnings</w:t>
            </w:r>
          </w:p>
        </w:tc>
        <w:tc>
          <w:tcPr>
            <w:tcW w:w="24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99"/>
        </w:trPr>
        <w:tc>
          <w:tcPr>
            <w:tcW w:w="6940" w:type="dxa"/>
            <w:vAlign w:val="bottom"/>
            <w:shd w:val="clear" w:color="auto" w:fill="CCEEFF"/>
          </w:tcPr>
          <w:p>
            <w:pPr>
              <w:ind w:left="120"/>
              <w:spacing w:after="0" w:line="100" w:lineRule="exact"/>
              <w:rPr>
                <w:sz w:val="20"/>
                <w:szCs w:val="20"/>
                <w:color w:val="auto"/>
              </w:rPr>
            </w:pPr>
            <w:r>
              <w:rPr>
                <w:rFonts w:ascii="Times New Roman" w:cs="Times New Roman" w:eastAsia="Times New Roman" w:hAnsi="Times New Roman"/>
                <w:sz w:val="11"/>
                <w:szCs w:val="11"/>
                <w:color w:val="auto"/>
              </w:rPr>
              <w:t>Change in unrealized losses included in earnings for derivatives and other financial instruments held as of March 31,</w:t>
            </w:r>
          </w:p>
        </w:tc>
        <w:tc>
          <w:tcPr>
            <w:tcW w:w="24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r>
      <w:tr>
        <w:trPr>
          <w:trHeight w:val="191"/>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and Financial Instruments Fair Value Measurements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March 31, 2024, contracts valued with prices provided by models and other valuation techniques make up 6% of derivative assets and 100% of derivative liabilities and other financial instruments.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Company’s significant positions classified as Level 3 include physical and financial energy-related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quantifies the significant unobservable inputs used in developing the fair value of the Company’s Level 3 positions:</w:t>
      </w:r>
    </w:p>
    <w:p>
      <w:pPr>
        <w:spacing w:after="0" w:line="8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Input/Range</w:t>
            </w:r>
          </w:p>
        </w:tc>
        <w:tc>
          <w:tcPr>
            <w:tcW w:w="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20" w:type="dxa"/>
            <w:vAlign w:val="bottom"/>
          </w:tcPr>
          <w:p>
            <w:pPr>
              <w:spacing w:after="0"/>
              <w:rPr>
                <w:sz w:val="11"/>
                <w:szCs w:val="11"/>
                <w:color w:val="auto"/>
              </w:rPr>
            </w:pPr>
          </w:p>
        </w:tc>
        <w:tc>
          <w:tcPr>
            <w:tcW w:w="9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 Technique</w:t>
            </w: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300" w:type="dxa"/>
            <w:vAlign w:val="bottom"/>
          </w:tcPr>
          <w:p>
            <w:pPr>
              <w:spacing w:after="0"/>
              <w:rPr>
                <w:sz w:val="11"/>
                <w:szCs w:val="11"/>
                <w:color w:val="auto"/>
              </w:rPr>
            </w:pPr>
          </w:p>
        </w:tc>
        <w:tc>
          <w:tcPr>
            <w:tcW w:w="102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Low</w:t>
            </w:r>
          </w:p>
        </w:tc>
        <w:tc>
          <w:tcPr>
            <w:tcW w:w="160" w:type="dxa"/>
            <w:vAlign w:val="bottom"/>
          </w:tcPr>
          <w:p>
            <w:pPr>
              <w:spacing w:after="0"/>
              <w:rPr>
                <w:sz w:val="11"/>
                <w:szCs w:val="11"/>
                <w:color w:val="auto"/>
              </w:rPr>
            </w:pPr>
          </w:p>
        </w:tc>
        <w:tc>
          <w:tcPr>
            <w:tcW w:w="11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1"/>
                <w:szCs w:val="11"/>
                <w:color w:val="auto"/>
              </w:rPr>
            </w:pPr>
          </w:p>
        </w:tc>
        <w:tc>
          <w:tcPr>
            <w:tcW w:w="12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gridSpan w:val="2"/>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Long-term Power Commodity Contracts </w:t>
            </w:r>
            <w:r>
              <w:rPr>
                <w:rFonts w:ascii="Times New Roman" w:cs="Times New Roman" w:eastAsia="Times New Roman" w:hAnsi="Times New Roman"/>
                <w:sz w:val="13"/>
                <w:szCs w:val="13"/>
                <w:color w:val="auto"/>
              </w:rPr>
              <w:t>$</w:t>
            </w:r>
          </w:p>
        </w:tc>
        <w:tc>
          <w:tcPr>
            <w:tcW w:w="5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361</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Discounted Cash Flow</w:t>
            </w: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19.73</w:t>
            </w:r>
          </w:p>
        </w:tc>
        <w:tc>
          <w:tcPr>
            <w:tcW w:w="1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43.47</w:t>
            </w:r>
          </w:p>
        </w:tc>
        <w:tc>
          <w:tcPr>
            <w:tcW w:w="0" w:type="dxa"/>
            <w:vAlign w:val="bottom"/>
          </w:tcPr>
          <w:p>
            <w:pPr>
              <w:spacing w:after="0"/>
              <w:rPr>
                <w:sz w:val="1"/>
                <w:szCs w:val="1"/>
                <w:color w:val="auto"/>
              </w:rPr>
            </w:pPr>
          </w:p>
        </w:tc>
      </w:tr>
      <w:tr>
        <w:trPr>
          <w:trHeight w:val="170"/>
        </w:trPr>
        <w:tc>
          <w:tcPr>
            <w:tcW w:w="300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0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Heat Rate Call Option Commodity</w:t>
            </w:r>
          </w:p>
        </w:tc>
        <w:tc>
          <w:tcPr>
            <w:tcW w:w="52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8</w:t>
            </w:r>
          </w:p>
        </w:tc>
        <w:tc>
          <w:tcPr>
            <w:tcW w:w="9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Option Model</w:t>
            </w:r>
          </w:p>
        </w:tc>
        <w:tc>
          <w:tcPr>
            <w:tcW w:w="14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(28.22)</w:t>
            </w:r>
          </w:p>
        </w:tc>
        <w:tc>
          <w:tcPr>
            <w:tcW w:w="1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1,321.77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53.33</w:t>
            </w:r>
          </w:p>
        </w:tc>
        <w:tc>
          <w:tcPr>
            <w:tcW w:w="0" w:type="dxa"/>
            <w:vAlign w:val="bottom"/>
          </w:tcPr>
          <w:p>
            <w:pPr>
              <w:spacing w:after="0"/>
              <w:rPr>
                <w:sz w:val="1"/>
                <w:szCs w:val="1"/>
                <w:color w:val="auto"/>
              </w:rPr>
            </w:pPr>
          </w:p>
        </w:tc>
      </w:tr>
      <w:tr>
        <w:trPr>
          <w:trHeight w:val="16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5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Option Model</w:t>
            </w: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MMBtu)</w:t>
            </w:r>
          </w:p>
        </w:tc>
        <w:tc>
          <w:tcPr>
            <w:tcW w:w="3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Forecast annual generation</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52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14</w:t>
            </w:r>
          </w:p>
        </w:tc>
        <w:tc>
          <w:tcPr>
            <w:tcW w:w="9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Discounted Cash Flow</w:t>
            </w:r>
          </w:p>
        </w:tc>
        <w:tc>
          <w:tcPr>
            <w:tcW w:w="14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levels of certain DG solar</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60,801 MWh</w:t>
            </w:r>
          </w:p>
        </w:tc>
        <w:tc>
          <w:tcPr>
            <w:tcW w:w="16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121,602 MWh</w:t>
            </w:r>
          </w:p>
        </w:tc>
        <w:tc>
          <w:tcPr>
            <w:tcW w:w="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115,622 MWh</w:t>
            </w:r>
          </w:p>
        </w:tc>
        <w:tc>
          <w:tcPr>
            <w:tcW w:w="0" w:type="dxa"/>
            <w:vAlign w:val="bottom"/>
          </w:tcPr>
          <w:p>
            <w:pPr>
              <w:spacing w:after="0"/>
              <w:rPr>
                <w:sz w:val="1"/>
                <w:szCs w:val="1"/>
                <w:color w:val="auto"/>
              </w:rPr>
            </w:pPr>
          </w:p>
        </w:tc>
      </w:tr>
      <w:tr>
        <w:trPr>
          <w:trHeight w:val="165"/>
        </w:trPr>
        <w:tc>
          <w:tcPr>
            <w:tcW w:w="30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the impact on the fair value measurements to increases/(decreases) in significant unobservable inputs as of March 31,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640" w:type="dxa"/>
            <w:vAlign w:val="bottom"/>
            <w:tcBorders>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500" w:type="dxa"/>
            <w:vAlign w:val="bottom"/>
            <w:tcBorders>
              <w:bottom w:val="single" w:sz="8" w:color="auto"/>
            </w:tcBorders>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Input</w:t>
            </w:r>
          </w:p>
        </w:tc>
        <w:tc>
          <w:tcPr>
            <w:tcW w:w="260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Impact on Fair Value Measurement</w:t>
            </w:r>
          </w:p>
        </w:tc>
      </w:tr>
      <w:tr>
        <w:trPr>
          <w:trHeight w:val="17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Energy-Related Commodity Contracts</w:t>
            </w:r>
          </w:p>
        </w:tc>
        <w:tc>
          <w:tcPr>
            <w:tcW w:w="2640" w:type="dxa"/>
            <w:vAlign w:val="bottom"/>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rPr>
              <w:t>Forward Market Price Power</w:t>
            </w:r>
          </w:p>
        </w:tc>
        <w:tc>
          <w:tcPr>
            <w:tcW w:w="1500" w:type="dxa"/>
            <w:vAlign w:val="bottom"/>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rPr>
              <w:t>Sell</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Increase/(Decrease)</w:t>
            </w:r>
          </w:p>
        </w:tc>
        <w:tc>
          <w:tcPr>
            <w:tcW w:w="26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Lower/(Higher)</w:t>
            </w: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Energy-Related Commodity Contracts</w:t>
            </w:r>
          </w:p>
        </w:tc>
        <w:tc>
          <w:tcPr>
            <w:tcW w:w="264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Forward Market Price Gas</w:t>
            </w:r>
          </w:p>
        </w:tc>
        <w:tc>
          <w:tcPr>
            <w:tcW w:w="15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Sell</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Increase/(Decrease)</w:t>
            </w:r>
          </w:p>
        </w:tc>
        <w:tc>
          <w:tcPr>
            <w:tcW w:w="26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Higher/(Lower)</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Financial Instruments</w:t>
            </w:r>
          </w:p>
        </w:tc>
        <w:tc>
          <w:tcPr>
            <w:tcW w:w="2640" w:type="dxa"/>
            <w:vAlign w:val="bottom"/>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rPr>
              <w:t>Forecast Generation Levels</w:t>
            </w:r>
          </w:p>
        </w:tc>
        <w:tc>
          <w:tcPr>
            <w:tcW w:w="1500" w:type="dxa"/>
            <w:vAlign w:val="bottom"/>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rPr>
              <w:t>Sell</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Increase/(Decrease)</w:t>
            </w:r>
          </w:p>
        </w:tc>
        <w:tc>
          <w:tcPr>
            <w:tcW w:w="26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Higher/(Lower)</w:t>
            </w:r>
          </w:p>
        </w:tc>
      </w:tr>
      <w:tr>
        <w:trPr>
          <w:trHeight w:val="615"/>
        </w:trPr>
        <w:tc>
          <w:tcPr>
            <w:tcW w:w="28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0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231F20"/>
              </w:rPr>
              <w:t>20</w:t>
            </w:r>
          </w:p>
        </w:tc>
        <w:tc>
          <w:tcPr>
            <w:tcW w:w="16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78"/>
        </w:trPr>
        <w:tc>
          <w:tcPr>
            <w:tcW w:w="28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0" w:name="page21"/>
    <w:bookmarkEnd w:id="20"/>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2024, the non-performance reserve was a $12 million gain recorded primarily to total operating revenues in the consolidated statements of operations. It is possible that future market prices could vary from those used in recording assets and liabilities and such variations could be material.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In addition to the credit risk discussion as disclosed under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w:t>
      </w:r>
      <w:r>
        <w:rPr>
          <w:rFonts w:ascii="Times New Roman" w:cs="Times New Roman" w:eastAsia="Times New Roman" w:hAnsi="Times New Roman"/>
          <w:sz w:val="14"/>
          <w:szCs w:val="14"/>
          <w:color w:val="auto"/>
        </w:rPr>
        <w:t xml:space="preserve"> consolidated financial statements included in the </w:t>
      </w:r>
      <w:r>
        <w:rPr>
          <w:rFonts w:ascii="Times New Roman" w:cs="Times New Roman" w:eastAsia="Times New Roman" w:hAnsi="Times New Roman"/>
          <w:sz w:val="14"/>
          <w:szCs w:val="14"/>
          <w:color w:val="231F20"/>
        </w:rPr>
        <w:t>Company’s</w:t>
      </w:r>
      <w:r>
        <w:rPr>
          <w:rFonts w:ascii="Times New Roman" w:cs="Times New Roman" w:eastAsia="Times New Roman" w:hAnsi="Times New Roman"/>
          <w:sz w:val="14"/>
          <w:szCs w:val="14"/>
          <w:color w:val="auto"/>
        </w:rPr>
        <w:t xml:space="preserve"> 2023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6 — </w:t>
      </w:r>
      <w:r>
        <w:rPr>
          <w:rFonts w:ascii="Times New Roman" w:cs="Times New Roman" w:eastAsia="Times New Roman" w:hAnsi="Times New Roman"/>
          <w:sz w:val="14"/>
          <w:szCs w:val="14"/>
          <w:b w:val="1"/>
          <w:bCs w:val="1"/>
          <w:i w:val="1"/>
          <w:iCs w:val="1"/>
          <w:color w:val="auto"/>
        </w:rPr>
        <w:t>Derivative Instruments and Hedging Activities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This footnote should be read in conjunction with the complete description under Item 15 — Note 7, </w:t>
      </w:r>
      <w:r>
        <w:rPr>
          <w:rFonts w:ascii="Times New Roman" w:cs="Times New Roman" w:eastAsia="Times New Roman" w:hAnsi="Times New Roman"/>
          <w:sz w:val="14"/>
          <w:szCs w:val="14"/>
          <w:i w:val="1"/>
          <w:iCs w:val="1"/>
          <w:color w:val="auto"/>
        </w:rPr>
        <w:t>Accounting for Derivative Instruments and Hedging Activities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w:t>
      </w:r>
      <w:r>
        <w:rPr>
          <w:rFonts w:ascii="Times New Roman" w:cs="Times New Roman" w:eastAsia="Times New Roman" w:hAnsi="Times New Roman"/>
          <w:sz w:val="14"/>
          <w:szCs w:val="14"/>
          <w:color w:val="auto"/>
        </w:rPr>
        <w:t xml:space="preserve"> consolidated financial statements included in the Company’s 2023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enters into interest rate swap agreements in order to hedge the variability of expected future cash interest payments. As of March 31, 2024, the Company had interest rate derivative instruments on non-recourse debt extending through 2040, a portion of which were designated as cash flow hedges. Under the interest rate swap agreements, the Company pays a fixed rate and the counterparties to the agreements pay a variable interest 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Energy-Related Commodity Contracts</w:t>
      </w:r>
    </w:p>
    <w:p>
      <w:pPr>
        <w:spacing w:after="0" w:line="13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As of March 31, 2024, the Company had energy-related derivative instruments extending through 2033. At March 31, 2024, these contracts were not designated as cash flow or fair value hedges.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Volumetric Underlying Derivative Transactions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net notional volume buy/(sell) of the Company’s open derivative transactions broken out by commodity: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left="35"/>
              <w:spacing w:after="0"/>
              <w:rPr>
                <w:sz w:val="20"/>
                <w:szCs w:val="20"/>
                <w:color w:val="auto"/>
              </w:rPr>
            </w:pPr>
            <w:r>
              <w:rPr>
                <w:rFonts w:ascii="Times New Roman" w:cs="Times New Roman" w:eastAsia="Times New Roman" w:hAnsi="Times New Roman"/>
                <w:sz w:val="11"/>
                <w:szCs w:val="11"/>
                <w:b w:val="1"/>
                <w:bCs w:val="1"/>
                <w:color w:val="auto"/>
              </w:rPr>
              <w:t>Total Volume</w:t>
            </w:r>
          </w:p>
        </w:tc>
        <w:tc>
          <w:tcPr>
            <w:tcW w:w="1480" w:type="dxa"/>
            <w:vAlign w:val="bottom"/>
            <w:tcBorders>
              <w:bottom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17"/>
        </w:trPr>
        <w:tc>
          <w:tcPr>
            <w:tcW w:w="20" w:type="dxa"/>
            <w:vAlign w:val="bottom"/>
          </w:tcPr>
          <w:p>
            <w:pPr>
              <w:spacing w:after="0"/>
              <w:rPr>
                <w:sz w:val="10"/>
                <w:szCs w:val="10"/>
                <w:color w:val="auto"/>
              </w:rPr>
            </w:pPr>
          </w:p>
        </w:tc>
        <w:tc>
          <w:tcPr>
            <w:tcW w:w="288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Commodity</w:t>
            </w:r>
          </w:p>
        </w:tc>
        <w:tc>
          <w:tcPr>
            <w:tcW w:w="4600" w:type="dxa"/>
            <w:vAlign w:val="bottom"/>
            <w:gridSpan w:val="3"/>
          </w:tcPr>
          <w:p>
            <w:pPr>
              <w:ind w:left="2200"/>
              <w:spacing w:after="0" w:line="117" w:lineRule="exact"/>
              <w:rPr>
                <w:sz w:val="20"/>
                <w:szCs w:val="20"/>
                <w:color w:val="auto"/>
              </w:rPr>
            </w:pPr>
            <w:r>
              <w:rPr>
                <w:rFonts w:ascii="Times New Roman" w:cs="Times New Roman" w:eastAsia="Times New Roman" w:hAnsi="Times New Roman"/>
                <w:sz w:val="11"/>
                <w:szCs w:val="11"/>
                <w:b w:val="1"/>
                <w:bCs w:val="1"/>
                <w:color w:val="auto"/>
              </w:rPr>
              <w:t>Units</w:t>
            </w:r>
          </w:p>
        </w:tc>
        <w:tc>
          <w:tcPr>
            <w:tcW w:w="1380" w:type="dxa"/>
            <w:vAlign w:val="bottom"/>
          </w:tcPr>
          <w:p>
            <w:pPr>
              <w:spacing w:after="0"/>
              <w:rPr>
                <w:sz w:val="10"/>
                <w:szCs w:val="10"/>
                <w:color w:val="auto"/>
              </w:rPr>
            </w:pPr>
          </w:p>
        </w:tc>
        <w:tc>
          <w:tcPr>
            <w:tcW w:w="920" w:type="dxa"/>
            <w:vAlign w:val="bottom"/>
            <w:gridSpan w:val="2"/>
          </w:tcPr>
          <w:p>
            <w:pPr>
              <w:jc w:val="center"/>
              <w:ind w:left="35"/>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w:t>
            </w:r>
          </w:p>
        </w:tc>
        <w:tc>
          <w:tcPr>
            <w:tcW w:w="4600" w:type="dxa"/>
            <w:vAlign w:val="bottom"/>
            <w:gridSpan w:val="3"/>
            <w:shd w:val="clear" w:color="auto" w:fill="CCEEFF"/>
          </w:tcPr>
          <w:p>
            <w:pPr>
              <w:ind w:left="2200"/>
              <w:spacing w:after="0"/>
              <w:rPr>
                <w:sz w:val="20"/>
                <w:szCs w:val="20"/>
                <w:color w:val="auto"/>
              </w:rPr>
            </w:pPr>
            <w:r>
              <w:rPr>
                <w:rFonts w:ascii="Times New Roman" w:cs="Times New Roman" w:eastAsia="Times New Roman" w:hAnsi="Times New Roman"/>
                <w:sz w:val="14"/>
                <w:szCs w:val="14"/>
                <w:color w:val="auto"/>
              </w:rPr>
              <w:t>MWh</w:t>
            </w:r>
          </w:p>
        </w:tc>
        <w:tc>
          <w:tcPr>
            <w:tcW w:w="13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Natural Gas</w:t>
            </w:r>
          </w:p>
        </w:tc>
        <w:tc>
          <w:tcPr>
            <w:tcW w:w="4600" w:type="dxa"/>
            <w:vAlign w:val="bottom"/>
            <w:gridSpan w:val="3"/>
          </w:tcPr>
          <w:p>
            <w:pPr>
              <w:ind w:left="2200"/>
              <w:spacing w:after="0"/>
              <w:rPr>
                <w:sz w:val="20"/>
                <w:szCs w:val="20"/>
                <w:color w:val="auto"/>
              </w:rPr>
            </w:pPr>
            <w:r>
              <w:rPr>
                <w:rFonts w:ascii="Times New Roman" w:cs="Times New Roman" w:eastAsia="Times New Roman" w:hAnsi="Times New Roman"/>
                <w:sz w:val="14"/>
                <w:szCs w:val="14"/>
                <w:color w:val="auto"/>
              </w:rPr>
              <w:t>MMBtu</w:t>
            </w:r>
          </w:p>
        </w:tc>
        <w:tc>
          <w:tcPr>
            <w:tcW w:w="138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16</w:t>
            </w:r>
          </w:p>
        </w:tc>
        <w:tc>
          <w:tcPr>
            <w:tcW w:w="4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4600" w:type="dxa"/>
            <w:vAlign w:val="bottom"/>
            <w:gridSpan w:val="3"/>
            <w:shd w:val="clear" w:color="auto" w:fill="CCEEFF"/>
          </w:tcPr>
          <w:p>
            <w:pPr>
              <w:ind w:left="2200"/>
              <w:spacing w:after="0"/>
              <w:rPr>
                <w:sz w:val="20"/>
                <w:szCs w:val="20"/>
                <w:color w:val="auto"/>
              </w:rPr>
            </w:pPr>
            <w:r>
              <w:rPr>
                <w:rFonts w:ascii="Times New Roman" w:cs="Times New Roman" w:eastAsia="Times New Roman" w:hAnsi="Times New Roman"/>
                <w:sz w:val="14"/>
                <w:szCs w:val="14"/>
                <w:color w:val="auto"/>
              </w:rPr>
              <w:t>Dollars</w:t>
            </w:r>
          </w:p>
        </w:tc>
        <w:tc>
          <w:tcPr>
            <w:tcW w:w="138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1,610</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Derivative Instruments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fair value within the derivative instrument valuation on the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4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Derivative Assets</w:t>
            </w: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Derivative Liabilities</w:t>
            </w:r>
          </w:p>
        </w:tc>
        <w:tc>
          <w:tcPr>
            <w:tcW w:w="1040" w:type="dxa"/>
            <w:vAlign w:val="bottom"/>
            <w:tcBorders>
              <w:bottom w:val="single" w:sz="8" w:color="auto"/>
            </w:tcBorders>
          </w:tcPr>
          <w:p>
            <w:pPr>
              <w:spacing w:after="0"/>
              <w:rPr>
                <w:sz w:val="13"/>
                <w:szCs w:val="13"/>
                <w:color w:val="auto"/>
              </w:rPr>
            </w:pPr>
          </w:p>
        </w:tc>
      </w:tr>
      <w:tr>
        <w:trPr>
          <w:trHeight w:val="150"/>
        </w:trPr>
        <w:tc>
          <w:tcPr>
            <w:tcW w:w="4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0"/>
        </w:trPr>
        <w:tc>
          <w:tcPr>
            <w:tcW w:w="4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5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Cash Flow Hedges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Cash Flow Hedges:</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5"/>
                <w:szCs w:val="15"/>
                <w:color w:val="auto"/>
              </w:rPr>
            </w:pPr>
          </w:p>
        </w:tc>
        <w:tc>
          <w:tcPr>
            <w:tcW w:w="5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current</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long-term</w:t>
            </w:r>
          </w:p>
        </w:tc>
        <w:tc>
          <w:tcPr>
            <w:tcW w:w="2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71"/>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Cash Flow Hedges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9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elected to present derivative assets and liabilities on the balance sheet on a trade-by-trade basis and does not offset amounts at the counterparty level. As of March 31, 2024 and December 31, 2023, the amount of outstanding collateral paid or received was immaterial. The following tables summarize the offsetting of derivatives by counterparty: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38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70"/>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r>
      <w:tr>
        <w:trPr>
          <w:trHeight w:val="171"/>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6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71"/>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58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top w:val="single" w:sz="8" w:color="auto"/>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0"/>
        </w:trPr>
        <w:tc>
          <w:tcPr>
            <w:tcW w:w="4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97"/>
        </w:trPr>
        <w:tc>
          <w:tcPr>
            <w:tcW w:w="4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jc w:val="right"/>
              <w:ind w:right="1131"/>
              <w:spacing w:after="0"/>
              <w:rPr>
                <w:sz w:val="20"/>
                <w:szCs w:val="20"/>
                <w:color w:val="auto"/>
              </w:rPr>
            </w:pPr>
            <w:r>
              <w:rPr>
                <w:rFonts w:ascii="Times New Roman" w:cs="Times New Roman" w:eastAsia="Times New Roman" w:hAnsi="Times New Roman"/>
                <w:sz w:val="14"/>
                <w:szCs w:val="14"/>
                <w:color w:val="231F20"/>
              </w:rPr>
              <w:t>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8"/>
        </w:trPr>
        <w:tc>
          <w:tcPr>
            <w:tcW w:w="4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58"/>
        </w:trPr>
        <w:tc>
          <w:tcPr>
            <w:tcW w:w="450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7"/>
          </w:tcPr>
          <w:p>
            <w:pPr>
              <w:jc w:val="center"/>
              <w:ind w:left="231"/>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1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120" w:type="dxa"/>
            <w:vAlign w:val="bottom"/>
            <w:gridSpan w:val="4"/>
            <w:shd w:val="clear" w:color="auto" w:fill="CCEEFF"/>
          </w:tcPr>
          <w:p>
            <w:pPr>
              <w:jc w:val="center"/>
              <w:ind w:right="10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500" w:type="dxa"/>
            <w:vAlign w:val="bottom"/>
          </w:tcPr>
          <w:p>
            <w:pPr>
              <w:jc w:val="right"/>
              <w:ind w:right="13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1500" w:type="dxa"/>
            <w:vAlign w:val="bottom"/>
            <w:tcBorders>
              <w:top w:val="single" w:sz="8" w:color="auto"/>
              <w:bottom w:val="single" w:sz="8" w:color="auto"/>
            </w:tcBorders>
          </w:tcPr>
          <w:p>
            <w:pPr>
              <w:jc w:val="right"/>
              <w:ind w:right="13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500" w:type="dxa"/>
            <w:vAlign w:val="bottom"/>
          </w:tcPr>
          <w:p>
            <w:pPr>
              <w:jc w:val="right"/>
              <w:ind w:right="13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5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1500" w:type="dxa"/>
            <w:vAlign w:val="bottom"/>
            <w:tcBorders>
              <w:bottom w:val="single" w:sz="8" w:color="auto"/>
            </w:tcBorders>
          </w:tcPr>
          <w:p>
            <w:pPr>
              <w:jc w:val="right"/>
              <w:ind w:right="13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1500" w:type="dxa"/>
            <w:vAlign w:val="bottom"/>
            <w:tcBorders>
              <w:bottom w:val="single" w:sz="8" w:color="auto"/>
            </w:tcBorders>
            <w:shd w:val="clear" w:color="auto" w:fill="CCEEFF"/>
          </w:tcPr>
          <w:p>
            <w:pPr>
              <w:jc w:val="right"/>
              <w:ind w:right="13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5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0840" w:type="dxa"/>
            <w:vAlign w:val="bottom"/>
            <w:gridSpan w:val="14"/>
          </w:tcPr>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effects on the Company’s accumulated OCI balance attributable to interest rate swaps designated as cash flow hedge derivatives, net of tax:</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Borders>
              <w:bottom w:val="single" w:sz="8" w:color="auto"/>
            </w:tcBorders>
            <w:gridSpan w:val="7"/>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right"/>
              <w:ind w:right="63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beginning balance</w:t>
            </w:r>
          </w:p>
        </w:tc>
        <w:tc>
          <w:tcPr>
            <w:tcW w:w="1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20" w:type="dxa"/>
            <w:vAlign w:val="bottom"/>
            <w:gridSpan w:val="3"/>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75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6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Reclassified from accumulated OCI to income due to realization of previously deferred amounts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Mark-to-market of cash flow hedge accounting contracts</w:t>
            </w:r>
          </w:p>
        </w:tc>
        <w:tc>
          <w:tcPr>
            <w:tcW w:w="1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6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Accumulated OCI ending balance, net of income tax expense of $2 and $2, respectively</w:t>
            </w: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attributable to noncontrolling interests</w:t>
            </w:r>
          </w:p>
        </w:tc>
        <w:tc>
          <w:tcPr>
            <w:tcW w:w="1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OCI attributable to Clearway Energy, Inc.</w:t>
            </w: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expected to be realized from OCI during the next 12 months, net of income tax expense of $2</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6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Amounts reclassified from accumulated OCI into income are recorded to interest expense.</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Derivative Instruments on the Consolidated Statements of Operations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60" w:type="dxa"/>
            <w:vAlign w:val="bottom"/>
            <w:gridSpan w:val="9"/>
          </w:tcPr>
          <w:p>
            <w:pPr>
              <w:ind w:left="320"/>
              <w:spacing w:after="0"/>
              <w:rPr>
                <w:sz w:val="20"/>
                <w:szCs w:val="20"/>
                <w:color w:val="auto"/>
              </w:rPr>
            </w:pPr>
            <w:r>
              <w:rPr>
                <w:rFonts w:ascii="Times New Roman" w:cs="Times New Roman" w:eastAsia="Times New Roman" w:hAnsi="Times New Roman"/>
                <w:sz w:val="14"/>
                <w:szCs w:val="14"/>
                <w:color w:val="auto"/>
              </w:rPr>
              <w:t>Mark-to-market gains/(losses) related to the Company’s derivatives are recorded in the consolidated statements of operations as follows: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7"/>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right"/>
              <w:ind w:right="65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(Interest expense)</w:t>
            </w:r>
          </w:p>
        </w:tc>
        <w:tc>
          <w:tcPr>
            <w:tcW w:w="1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20" w:type="dxa"/>
            <w:vAlign w:val="bottom"/>
            <w:gridSpan w:val="3"/>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242424"/>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23</w:t>
            </w:r>
          </w:p>
        </w:tc>
        <w:tc>
          <w:tcPr>
            <w:tcW w:w="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77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6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(Mark-to-market for economic hedging activities) </w:t>
            </w:r>
            <w:r>
              <w:rPr>
                <w:rFonts w:ascii="Times New Roman" w:cs="Times New Roman" w:eastAsia="Times New Roman" w:hAnsi="Times New Roman"/>
                <w:sz w:val="18"/>
                <w:szCs w:val="18"/>
                <w:color w:val="auto"/>
                <w:vertAlign w:val="superscript"/>
              </w:rPr>
              <w:t>(a)</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0"/>
        </w:trPr>
        <w:tc>
          <w:tcPr>
            <w:tcW w:w="7000" w:type="dxa"/>
            <w:vAlign w:val="bottom"/>
            <w:gridSpan w:val="4"/>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(Mark-to-market for economic hedging activities included in Cost of operations) </w:t>
            </w:r>
            <w:r>
              <w:rPr>
                <w:rFonts w:ascii="Times New Roman" w:cs="Times New Roman" w:eastAsia="Times New Roman" w:hAnsi="Times New Roman"/>
                <w:sz w:val="18"/>
                <w:szCs w:val="18"/>
                <w:color w:val="auto"/>
                <w:vertAlign w:val="superscript"/>
              </w:rPr>
              <w:t>(b)</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6" w:lineRule="exact"/>
        <w:rPr>
          <w:sz w:val="20"/>
          <w:szCs w:val="20"/>
          <w:color w:val="auto"/>
        </w:rPr>
      </w:pPr>
    </w:p>
    <w:p>
      <w:pPr>
        <w:ind w:left="60" w:firstLine="9"/>
        <w:spacing w:after="0"/>
        <w:tabs>
          <w:tab w:leader="none" w:pos="185"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Relates to long-term energy related commodity contracts at Elbow Creek, Mesquite Star, Mt. Storm, Langford and Mesquite Sky and short-term heat rate call option energy-related commodity contracts at El Segundo, Marsh Landing and Walnut Creek.</w:t>
      </w:r>
    </w:p>
    <w:p>
      <w:pPr>
        <w:spacing w:after="0" w:line="101" w:lineRule="exact"/>
        <w:rPr>
          <w:rFonts w:ascii="Times New Roman" w:cs="Times New Roman" w:eastAsia="Times New Roman" w:hAnsi="Times New Roman"/>
          <w:sz w:val="15"/>
          <w:szCs w:val="15"/>
          <w:color w:val="auto"/>
          <w:vertAlign w:val="superscript"/>
        </w:rPr>
      </w:pPr>
    </w:p>
    <w:p>
      <w:pPr>
        <w:ind w:left="200" w:hanging="131"/>
        <w:spacing w:after="0" w:line="235" w:lineRule="auto"/>
        <w:tabs>
          <w:tab w:leader="none" w:pos="20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Relates to long-term backbone transportation service energy-related commodity contracts at El Segundo and Walnut Creek.</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5,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for a discussion regarding concentration of credit risk.</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 xml:space="preserve">Note 7 — </w:t>
      </w:r>
      <w:r>
        <w:rPr>
          <w:rFonts w:ascii="Times New Roman" w:cs="Times New Roman" w:eastAsia="Times New Roman" w:hAnsi="Times New Roman"/>
          <w:sz w:val="14"/>
          <w:szCs w:val="14"/>
          <w:b w:val="1"/>
          <w:bCs w:val="1"/>
          <w:i w:val="1"/>
          <w:iCs w:val="1"/>
          <w:color w:val="auto"/>
        </w:rPr>
        <w:t>Long-term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This note should be read in conjunction with the complete description under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the consolidated financial statements included in the Company’s 2023 Form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10-K. The Company’s borrowings, including short-term and long-term portions,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rates)</w:t>
            </w:r>
          </w:p>
        </w:tc>
        <w:tc>
          <w:tcPr>
            <w:tcW w:w="14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20" w:type="dxa"/>
            <w:vAlign w:val="bottom"/>
          </w:tcPr>
          <w:p>
            <w:pPr>
              <w:spacing w:after="0"/>
              <w:rPr>
                <w:sz w:val="11"/>
                <w:szCs w:val="11"/>
                <w:color w:val="auto"/>
              </w:rPr>
            </w:pPr>
          </w:p>
        </w:tc>
        <w:tc>
          <w:tcPr>
            <w:tcW w:w="108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Pr>
          <w:p>
            <w:pPr>
              <w:spacing w:after="0"/>
              <w:rPr>
                <w:sz w:val="11"/>
                <w:szCs w:val="11"/>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March 31, 2024 interest rate % </w:t>
            </w:r>
            <w:r>
              <w:rPr>
                <w:rFonts w:ascii="Times New Roman" w:cs="Times New Roman" w:eastAsia="Times New Roman" w:hAnsi="Times New Roman"/>
                <w:sz w:val="16"/>
                <w:szCs w:val="16"/>
                <w:b w:val="1"/>
                <w:bCs w:val="1"/>
                <w:color w:val="auto"/>
                <w:vertAlign w:val="superscript"/>
              </w:rPr>
              <w:t>(a)</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Letters of Credit Outstanding at</w:t>
            </w:r>
          </w:p>
        </w:tc>
        <w:tc>
          <w:tcPr>
            <w:tcW w:w="0" w:type="dxa"/>
            <w:vAlign w:val="bottom"/>
          </w:tcPr>
          <w:p>
            <w:pPr>
              <w:spacing w:after="0"/>
              <w:rPr>
                <w:sz w:val="1"/>
                <w:szCs w:val="1"/>
                <w:color w:val="auto"/>
              </w:rPr>
            </w:pPr>
          </w:p>
        </w:tc>
      </w:tr>
      <w:tr>
        <w:trPr>
          <w:trHeight w:val="157"/>
        </w:trPr>
        <w:tc>
          <w:tcPr>
            <w:tcW w:w="53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0" w:type="dxa"/>
            <w:vAlign w:val="bottom"/>
          </w:tcPr>
          <w:p>
            <w:pPr>
              <w:spacing w:after="0"/>
              <w:rPr>
                <w:sz w:val="1"/>
                <w:szCs w:val="1"/>
                <w:color w:val="auto"/>
              </w:rPr>
            </w:pPr>
          </w:p>
        </w:tc>
      </w:tr>
      <w:tr>
        <w:trPr>
          <w:trHeight w:val="160"/>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 Senior Notes</w:t>
            </w: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center"/>
              <w:ind w:left="1217"/>
              <w:spacing w:after="0"/>
              <w:rPr>
                <w:sz w:val="20"/>
                <w:szCs w:val="20"/>
                <w:color w:val="auto"/>
              </w:rPr>
            </w:pPr>
            <w:r>
              <w:rPr>
                <w:rFonts w:ascii="Times New Roman" w:cs="Times New Roman" w:eastAsia="Times New Roman" w:hAnsi="Times New Roman"/>
                <w:sz w:val="13"/>
                <w:szCs w:val="13"/>
                <w:color w:val="auto"/>
              </w:rPr>
              <w:t>4.750</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2031 Senior Notes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760" w:type="dxa"/>
            <w:vAlign w:val="bottom"/>
            <w:gridSpan w:val="2"/>
          </w:tcPr>
          <w:p>
            <w:pPr>
              <w:jc w:val="center"/>
              <w:ind w:left="1316"/>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2032 Senior Notes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760" w:type="dxa"/>
            <w:vAlign w:val="bottom"/>
            <w:gridSpan w:val="2"/>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Clearway Energy LLC and Clearway Energy Operating LLC Revolving Credit Facility, due 2028 </w:t>
            </w:r>
            <w:r>
              <w:rPr>
                <w:rFonts w:ascii="Times New Roman" w:cs="Times New Roman" w:eastAsia="Times New Roman" w:hAnsi="Times New Roman"/>
                <w:sz w:val="16"/>
                <w:szCs w:val="16"/>
                <w:color w:val="auto"/>
                <w:vertAlign w:val="superscript"/>
              </w:rPr>
              <w:t>(b)</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S+1.850</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24242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228</w:t>
            </w:r>
          </w:p>
        </w:tc>
        <w:tc>
          <w:tcPr>
            <w:tcW w:w="0" w:type="dxa"/>
            <w:vAlign w:val="bottom"/>
          </w:tcPr>
          <w:p>
            <w:pPr>
              <w:spacing w:after="0"/>
              <w:rPr>
                <w:sz w:val="1"/>
                <w:szCs w:val="1"/>
                <w:color w:val="auto"/>
              </w:rPr>
            </w:pPr>
          </w:p>
        </w:tc>
      </w:tr>
      <w:tr>
        <w:trPr>
          <w:trHeight w:val="1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Non-recourse facility-level debt: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2.395-3.633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14</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S+2.775</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5.696-7.015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67</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760" w:type="dxa"/>
            <w:vAlign w:val="bottom"/>
            <w:gridSpan w:val="2"/>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7.000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Borrego, due 2024 and 2038</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1760" w:type="dxa"/>
            <w:vAlign w:val="bottom"/>
            <w:gridSpan w:val="2"/>
          </w:tcPr>
          <w:p>
            <w:pPr>
              <w:jc w:val="center"/>
              <w:ind w:left="1097"/>
              <w:spacing w:after="0"/>
              <w:rPr>
                <w:sz w:val="20"/>
                <w:szCs w:val="20"/>
                <w:color w:val="auto"/>
              </w:rPr>
            </w:pPr>
            <w:r>
              <w:rPr>
                <w:rFonts w:ascii="Times New Roman" w:cs="Times New Roman" w:eastAsia="Times New Roman" w:hAnsi="Times New Roman"/>
                <w:sz w:val="13"/>
                <w:szCs w:val="13"/>
                <w:color w:val="auto"/>
                <w:w w:val="97"/>
              </w:rPr>
              <w:t>Various</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4</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Broken Bow, due 2031</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S+2.100</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6</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Buckthorn Solar, due 2025</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S+2.100</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20</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S+1.900</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73</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760" w:type="dxa"/>
            <w:vAlign w:val="bottom"/>
            <w:gridSpan w:val="2"/>
          </w:tcPr>
          <w:p>
            <w:pPr>
              <w:jc w:val="center"/>
              <w:ind w:left="1316"/>
              <w:spacing w:after="0"/>
              <w:rPr>
                <w:sz w:val="20"/>
                <w:szCs w:val="20"/>
                <w:color w:val="auto"/>
              </w:rPr>
            </w:pPr>
            <w:r>
              <w:rPr>
                <w:rFonts w:ascii="Times New Roman" w:cs="Times New Roman" w:eastAsia="Times New Roman" w:hAnsi="Times New Roman"/>
                <w:sz w:val="13"/>
                <w:szCs w:val="13"/>
                <w:color w:val="auto"/>
              </w:rPr>
              <w:t>4.120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Holdco, LLC, due 2038</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760" w:type="dxa"/>
            <w:vAlign w:val="bottom"/>
            <w:gridSpan w:val="2"/>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4.210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5</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Cedro Hill, due 2024 and 2029</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S+1.375</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Crofton Bluffs, due 2031</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S+2.100</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CVSR, due 2037</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2.339-3.775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760" w:type="dxa"/>
            <w:vAlign w:val="bottom"/>
            <w:gridSpan w:val="2"/>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4.680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12</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Daggett 2, due 2028</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S+1.762</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32</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Daggett 3, due 2028</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S+1.762</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44</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760" w:type="dxa"/>
            <w:vAlign w:val="bottom"/>
            <w:gridSpan w:val="2"/>
          </w:tcPr>
          <w:p>
            <w:pPr>
              <w:jc w:val="center"/>
              <w:ind w:left="1316"/>
              <w:spacing w:after="0"/>
              <w:rPr>
                <w:sz w:val="20"/>
                <w:szCs w:val="20"/>
                <w:color w:val="auto"/>
              </w:rPr>
            </w:pPr>
            <w:r>
              <w:rPr>
                <w:rFonts w:ascii="Times New Roman" w:cs="Times New Roman" w:eastAsia="Times New Roman" w:hAnsi="Times New Roman"/>
                <w:sz w:val="13"/>
                <w:szCs w:val="13"/>
                <w:color w:val="auto"/>
              </w:rPr>
              <w:t>3.510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29</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Mililani Class B Member Holdco LLC, due 2028</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S+1.600</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18</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NIMH Solar, due 2024</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S+2.275</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12</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S+1.525</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10</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Rosie Class B LLC, due 2024 and 2029</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S+1.250-1.375</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26</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Texas Solar Nova 1, due 2028 </w:t>
            </w:r>
            <w:r>
              <w:rPr>
                <w:rFonts w:ascii="Times New Roman" w:cs="Times New Roman" w:eastAsia="Times New Roman" w:hAnsi="Times New Roman"/>
                <w:sz w:val="16"/>
                <w:szCs w:val="16"/>
                <w:color w:val="auto"/>
                <w:vertAlign w:val="superscript"/>
              </w:rPr>
              <w:t>(c)</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0"/>
        </w:trPr>
        <w:tc>
          <w:tcPr>
            <w:tcW w:w="53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TSN1 Class B Member LLC, due 2029 </w:t>
            </w:r>
            <w:r>
              <w:rPr>
                <w:rFonts w:ascii="Times New Roman" w:cs="Times New Roman" w:eastAsia="Times New Roman" w:hAnsi="Times New Roman"/>
                <w:sz w:val="16"/>
                <w:szCs w:val="16"/>
                <w:color w:val="auto"/>
                <w:vertAlign w:val="superscript"/>
              </w:rPr>
              <w:t>(c)</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88</w:t>
            </w:r>
          </w:p>
        </w:tc>
        <w:tc>
          <w:tcPr>
            <w:tcW w:w="0" w:type="dxa"/>
            <w:vAlign w:val="bottom"/>
          </w:tcPr>
          <w:p>
            <w:pPr>
              <w:spacing w:after="0"/>
              <w:rPr>
                <w:sz w:val="1"/>
                <w:szCs w:val="1"/>
                <w:color w:val="auto"/>
              </w:rPr>
            </w:pPr>
          </w:p>
        </w:tc>
      </w:tr>
      <w:tr>
        <w:trPr>
          <w:trHeight w:val="1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760" w:type="dxa"/>
            <w:vAlign w:val="bottom"/>
            <w:gridSpan w:val="2"/>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3.590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155</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Viento Funding II, LLC, due 2029</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S+1.475</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27</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Victory Pass and Arica, due 2024</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S+1.125</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gridSpan w:val="2"/>
          </w:tcPr>
          <w:p>
            <w:pPr>
              <w:jc w:val="center"/>
              <w:ind w:left="1097"/>
              <w:spacing w:after="0"/>
              <w:rPr>
                <w:sz w:val="20"/>
                <w:szCs w:val="20"/>
                <w:color w:val="auto"/>
              </w:rPr>
            </w:pPr>
            <w:r>
              <w:rPr>
                <w:rFonts w:ascii="Times New Roman" w:cs="Times New Roman" w:eastAsia="Times New Roman" w:hAnsi="Times New Roman"/>
                <w:sz w:val="13"/>
                <w:szCs w:val="13"/>
                <w:color w:val="auto"/>
                <w:w w:val="97"/>
              </w:rPr>
              <w:t>Various</w:t>
            </w:r>
          </w:p>
        </w:tc>
        <w:tc>
          <w:tcPr>
            <w:tcW w:w="26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242424"/>
              </w:rPr>
              <w:t>73</w:t>
            </w:r>
          </w:p>
        </w:tc>
        <w:tc>
          <w:tcPr>
            <w:tcW w:w="0" w:type="dxa"/>
            <w:vAlign w:val="bottom"/>
          </w:tcPr>
          <w:p>
            <w:pPr>
              <w:spacing w:after="0"/>
              <w:rPr>
                <w:sz w:val="1"/>
                <w:szCs w:val="1"/>
                <w:color w:val="auto"/>
              </w:rPr>
            </w:pPr>
          </w:p>
        </w:tc>
      </w:tr>
      <w:tr>
        <w:trPr>
          <w:trHeight w:val="16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Subtotal non-recourse facility-level debt</w:t>
            </w: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5,974</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debt</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8,099</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current maturities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debt issuance costs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Add premiums </w:t>
            </w:r>
            <w:r>
              <w:rPr>
                <w:rFonts w:ascii="Times New Roman" w:cs="Times New Roman" w:eastAsia="Times New Roman" w:hAnsi="Times New Roman"/>
                <w:sz w:val="16"/>
                <w:szCs w:val="16"/>
                <w:color w:val="auto"/>
                <w:vertAlign w:val="superscript"/>
              </w:rPr>
              <w:t>(d)</w:t>
            </w: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long-term debt</w:t>
            </w: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7,579</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7,479</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As of March 31, 2024, S+ equals SOFR plus x%.</w:t>
      </w:r>
    </w:p>
    <w:p>
      <w:pPr>
        <w:spacing w:after="0" w:line="13"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Applicable rate is determined by the borrower leverage ratio, as defined in the credit agreement.</w:t>
      </w:r>
    </w:p>
    <w:p>
      <w:pPr>
        <w:spacing w:after="0" w:line="35" w:lineRule="exact"/>
        <w:rPr>
          <w:rFonts w:ascii="Times New Roman" w:cs="Times New Roman" w:eastAsia="Times New Roman" w:hAnsi="Times New Roman"/>
          <w:sz w:val="14"/>
          <w:szCs w:val="14"/>
          <w:color w:val="auto"/>
          <w:vertAlign w:val="superscript"/>
        </w:rPr>
      </w:pPr>
    </w:p>
    <w:p>
      <w:pPr>
        <w:ind w:left="180" w:hanging="111"/>
        <w:spacing w:after="0" w:line="200" w:lineRule="auto"/>
        <w:tabs>
          <w:tab w:leader="none" w:pos="18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On March 15, 2024, Texas Solar Nova 1’s financing agreement was amended to merge the facility-level debt of Texas Solar Nova 1 and Texas Solar Nova 2 as a combined term loan under TSN1 Class B Member LLC.</w:t>
      </w:r>
    </w:p>
    <w:p>
      <w:pPr>
        <w:spacing w:after="0" w:line="24"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Premiums relate to the 2028 Senior Notes.</w:t>
      </w:r>
    </w:p>
    <w:p>
      <w:pPr>
        <w:spacing w:after="0" w:line="12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financing arrangements listed above contain certain covenants, including financial covenants that the Company is required to be in compliance with during the term of the respective arrangement. As of March 31, 2024, the Company was in compliance with all of the required covenants.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4"/>
          <w:szCs w:val="14"/>
          <w:color w:val="auto"/>
        </w:rPr>
        <w:t>The discussion below describes material changes to or additions of long-term debt for the three months ended March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Clearway Energy LLC and Clearway Energy Operating LLC Revolving Credit Facility</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March 31, 2024, the Company had no outstanding borrowings under the revolving credit facility and $228 million in letters of credit outstanding.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Facility-level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Victory Pass and Arica</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May 1, 2024, when the Victory Pass and Arica solar and BESS facilities reached substantial completion, the Company paid $165 million to Clearway Renew as an additional purchase price, in connection with the Company’s acquisition of the Class A membership interests in VP-Arica TargetCo LLC on October 31, 2023, which was funded with existing sources of liquidity. During the three months ended March 31, 2024, the Company borrowed an additional $62 million in tax equity bridge loans. Also on May 1, 2024, the cash equity investor contributed an additional $347 million, the tax equity investor contributed an additional $410 million and CEG contributed $52 million, which were utilized, along with the $103 million in escrow, to repay the $351 million cash equity bridge loan, to repay the $468 million tax equity bridge loan, to fund $75 million in construction completion reserves and to pay $18 million in associated fees.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Texas Solar Nova 1 and Texas Solar Nova 2</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March 15, 2024, as part of the acquisition of Texas Solar Nova 2,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an $80 million term loan and a $115 million tax equity bridge loan, offset by $1 million in unamortized debt issuance costs. At acquisition date, the tax equity investor contributed $130 million, which was utilized, along with $9 million of the Company’s purchase price that was contributed back by CEG, to repay the $115 million tax equity bridge loan, to fund $19 million in construction completion reserves, which is included in restricted cash on the Company’s consolidated balance sheet, and to pay $4 million in associated fees.</w:t>
      </w:r>
    </w:p>
    <w:p>
      <w:pPr>
        <w:spacing w:after="0" w:line="9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Additionally, on March 15, 2024, Texas Solar Nova 1’s financing agreement was amended to merge the Texas Solar Nova 1 and Texas Solar Nova 2 term loans as a combined term loan under TSN1 Class B Member LLC that matures on March 15, 2029.</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8 — </w:t>
      </w:r>
      <w:r>
        <w:rPr>
          <w:rFonts w:ascii="Times New Roman" w:cs="Times New Roman" w:eastAsia="Times New Roman" w:hAnsi="Times New Roman"/>
          <w:sz w:val="14"/>
          <w:szCs w:val="14"/>
          <w:b w:val="1"/>
          <w:bCs w:val="1"/>
          <w:i w:val="1"/>
          <w:iCs w:val="1"/>
          <w:color w:val="auto"/>
        </w:rPr>
        <w:t>Loss Per Share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Basic loss per common share is computed by dividing net income (loss) by the weighted average number of common shares outstanding. Shares issued during the year are weighted for the portion of the year that they were outstanding. Diluted loss per share is computed in a manner consistent with that of basic losses per share while giving effect to all potentially dilutive common shares that were outstanding during the period.</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reconciliation of the Company’s basic and diluted loss per share is shown in the following table:</w:t>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21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0"/>
        </w:trPr>
        <w:tc>
          <w:tcPr>
            <w:tcW w:w="21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940" w:type="dxa"/>
            <w:vAlign w:val="bottom"/>
            <w:tcBorders>
              <w:bottom w:val="single" w:sz="8" w:color="auto"/>
            </w:tcBorders>
          </w:tcPr>
          <w:p>
            <w:pPr>
              <w:spacing w:after="0"/>
              <w:rPr>
                <w:sz w:val="13"/>
                <w:szCs w:val="13"/>
                <w:color w:val="auto"/>
              </w:rPr>
            </w:pPr>
          </w:p>
        </w:tc>
      </w:tr>
      <w:tr>
        <w:trPr>
          <w:trHeight w:val="170"/>
        </w:trPr>
        <w:tc>
          <w:tcPr>
            <w:tcW w:w="682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1"/>
                <w:szCs w:val="11"/>
                <w:b w:val="1"/>
                <w:bCs w:val="1"/>
                <w:color w:val="auto"/>
              </w:rPr>
              <w:t xml:space="preserve">(In millions, except per share data) </w:t>
            </w:r>
            <w:r>
              <w:rPr>
                <w:rFonts w:ascii="Times New Roman" w:cs="Times New Roman" w:eastAsia="Times New Roman" w:hAnsi="Times New Roman"/>
                <w:sz w:val="16"/>
                <w:szCs w:val="16"/>
                <w:b w:val="1"/>
                <w:bCs w:val="1"/>
                <w:color w:val="auto"/>
                <w:vertAlign w:val="superscript"/>
              </w:rPr>
              <w:t>(a)</w:t>
            </w:r>
          </w:p>
        </w:tc>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Common Class A</w:t>
            </w:r>
          </w:p>
        </w:tc>
        <w:tc>
          <w:tcPr>
            <w:tcW w:w="1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Common Class C</w:t>
            </w: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Common Class A</w:t>
            </w:r>
          </w:p>
        </w:tc>
        <w:tc>
          <w:tcPr>
            <w:tcW w:w="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Common Class C</w:t>
            </w:r>
          </w:p>
        </w:tc>
      </w:tr>
      <w:tr>
        <w:trPr>
          <w:trHeight w:val="160"/>
        </w:trPr>
        <w:tc>
          <w:tcPr>
            <w:tcW w:w="6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and diluted loss per share attributable to Clearway Energy, Inc. common stockholders</w:t>
            </w:r>
          </w:p>
        </w:tc>
        <w:tc>
          <w:tcPr>
            <w:tcW w:w="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18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attributable to Clearway Energy, Inc.</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 and diluted</w:t>
            </w: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82</w:t>
            </w:r>
          </w:p>
        </w:tc>
      </w:tr>
      <w:tr>
        <w:trPr>
          <w:trHeight w:val="171"/>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 per weighted average common share — basic and diluted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1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0"/>
        </w:trPr>
        <w:tc>
          <w:tcPr>
            <w:tcW w:w="2180" w:type="dxa"/>
            <w:vAlign w:val="bottom"/>
            <w:tcBorders>
              <w:bottom w:val="single" w:sz="8" w:color="auto"/>
            </w:tcBorders>
          </w:tcPr>
          <w:p>
            <w:pPr>
              <w:spacing w:after="0"/>
              <w:rPr>
                <w:sz w:val="10"/>
                <w:szCs w:val="10"/>
                <w:color w:val="auto"/>
              </w:rPr>
            </w:pPr>
          </w:p>
        </w:tc>
        <w:tc>
          <w:tcPr>
            <w:tcW w:w="4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r>
    </w:tbl>
    <w:p>
      <w:pPr>
        <w:spacing w:after="0" w:line="23" w:lineRule="exact"/>
        <w:rPr>
          <w:sz w:val="20"/>
          <w:szCs w:val="20"/>
          <w:color w:val="auto"/>
        </w:rPr>
      </w:pPr>
    </w:p>
    <w:p>
      <w:pPr>
        <w:ind w:left="200" w:hanging="131"/>
        <w:spacing w:after="0"/>
        <w:tabs>
          <w:tab w:leader="none" w:pos="20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loss attributable to Clearway Energy, Inc. and basic and diluted loss per share might not recalculate due to presenting amounts in millions rather than whole dollars.</w:t>
      </w:r>
    </w:p>
    <w:p>
      <w:pPr>
        <w:spacing w:after="0" w:line="361" w:lineRule="exact"/>
        <w:rPr>
          <w:rFonts w:ascii="Times New Roman" w:cs="Times New Roman" w:eastAsia="Times New Roman" w:hAnsi="Times New Roman"/>
          <w:sz w:val="17"/>
          <w:szCs w:val="17"/>
          <w:color w:val="auto"/>
          <w:vertAlign w:val="superscript"/>
        </w:rPr>
      </w:pPr>
    </w:p>
    <w:p>
      <w:pPr>
        <w:ind w:left="55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 xml:space="preserve">Note 9 — </w:t>
      </w:r>
      <w:r>
        <w:rPr>
          <w:rFonts w:ascii="Times New Roman" w:cs="Times New Roman" w:eastAsia="Times New Roman" w:hAnsi="Times New Roman"/>
          <w:sz w:val="14"/>
          <w:szCs w:val="14"/>
          <w:b w:val="1"/>
          <w:bCs w:val="1"/>
          <w:i w:val="1"/>
          <w:iCs w:val="1"/>
          <w:color w:val="auto"/>
        </w:rPr>
        <w:t>Segment Reporting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segment structure reflects how management currently operates and allocates resources. The Company’s businesses are segregated based on conventional power generation and renewable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4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20" w:type="dxa"/>
            <w:vAlign w:val="bottom"/>
          </w:tcPr>
          <w:p>
            <w:pPr>
              <w:spacing w:after="0"/>
              <w:rPr>
                <w:sz w:val="15"/>
                <w:szCs w:val="15"/>
                <w:color w:val="auto"/>
              </w:rPr>
            </w:pPr>
          </w:p>
        </w:tc>
        <w:tc>
          <w:tcPr>
            <w:tcW w:w="11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320" w:type="dxa"/>
            <w:vAlign w:val="bottom"/>
          </w:tcPr>
          <w:p>
            <w:pPr>
              <w:spacing w:after="0"/>
              <w:rPr>
                <w:sz w:val="15"/>
                <w:szCs w:val="15"/>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1"/>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500" w:type="dxa"/>
            <w:vAlign w:val="bottom"/>
            <w:tcBorders>
              <w:top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80"/>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0"/>
        </w:trPr>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5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5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5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0"/>
        </w:trPr>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Income tax benefit</w:t>
            </w:r>
          </w:p>
        </w:tc>
        <w:tc>
          <w:tcPr>
            <w:tcW w:w="5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50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40" w:type="dxa"/>
            <w:vAlign w:val="bottom"/>
            <w:gridSpan w:val="2"/>
            <w:vMerge w:val="continue"/>
          </w:tcPr>
          <w:p>
            <w:pPr>
              <w:spacing w:after="0"/>
              <w:rPr>
                <w:sz w:val="12"/>
                <w:szCs w:val="12"/>
                <w:color w:val="auto"/>
              </w:rPr>
            </w:pPr>
          </w:p>
        </w:tc>
        <w:tc>
          <w:tcPr>
            <w:tcW w:w="500" w:type="dxa"/>
            <w:vAlign w:val="bottom"/>
          </w:tcPr>
          <w:p>
            <w:pPr>
              <w:jc w:val="right"/>
              <w:ind w:right="353"/>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2,049</w:t>
            </w:r>
          </w:p>
        </w:tc>
        <w:tc>
          <w:tcPr>
            <w:tcW w:w="100" w:type="dxa"/>
            <w:vAlign w:val="bottom"/>
          </w:tcPr>
          <w:p>
            <w:pPr>
              <w:spacing w:after="0"/>
              <w:rPr>
                <w:sz w:val="12"/>
                <w:szCs w:val="12"/>
                <w:color w:val="auto"/>
              </w:rPr>
            </w:pPr>
          </w:p>
        </w:tc>
        <w:tc>
          <w:tcPr>
            <w:tcW w:w="24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12,448</w:t>
            </w:r>
          </w:p>
        </w:tc>
        <w:tc>
          <w:tcPr>
            <w:tcW w:w="100" w:type="dxa"/>
            <w:vAlign w:val="bottom"/>
          </w:tcPr>
          <w:p>
            <w:pPr>
              <w:spacing w:after="0"/>
              <w:rPr>
                <w:sz w:val="12"/>
                <w:szCs w:val="12"/>
                <w:color w:val="auto"/>
              </w:rPr>
            </w:pPr>
          </w:p>
        </w:tc>
        <w:tc>
          <w:tcPr>
            <w:tcW w:w="22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2"/>
                <w:szCs w:val="12"/>
                <w:color w:val="auto"/>
              </w:rPr>
            </w:pPr>
          </w:p>
        </w:tc>
        <w:tc>
          <w:tcPr>
            <w:tcW w:w="320" w:type="dxa"/>
            <w:vAlign w:val="bottom"/>
          </w:tcPr>
          <w:p>
            <w:pPr>
              <w:jc w:val="right"/>
              <w:ind w:right="1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14,862</w:t>
            </w:r>
          </w:p>
        </w:tc>
        <w:tc>
          <w:tcPr>
            <w:tcW w:w="0" w:type="dxa"/>
            <w:vAlign w:val="bottom"/>
          </w:tcPr>
          <w:p>
            <w:pPr>
              <w:spacing w:after="0"/>
              <w:rPr>
                <w:sz w:val="1"/>
                <w:szCs w:val="1"/>
                <w:color w:val="auto"/>
              </w:rPr>
            </w:pPr>
          </w:p>
        </w:tc>
      </w:tr>
      <w:tr>
        <w:trPr>
          <w:trHeight w:val="134"/>
        </w:trPr>
        <w:tc>
          <w:tcPr>
            <w:tcW w:w="2200" w:type="dxa"/>
            <w:vAlign w:val="bottom"/>
            <w:tcBorders>
              <w:bottom w:val="single" w:sz="8" w:color="auto"/>
            </w:tcBorders>
          </w:tcPr>
          <w:p>
            <w:pPr>
              <w:spacing w:after="0"/>
              <w:rPr>
                <w:sz w:val="11"/>
                <w:szCs w:val="11"/>
                <w:color w:val="auto"/>
              </w:rPr>
            </w:pPr>
          </w:p>
        </w:tc>
        <w:tc>
          <w:tcPr>
            <w:tcW w:w="3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Three months ended March 31, 2023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4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20" w:type="dxa"/>
            <w:vAlign w:val="bottom"/>
          </w:tcPr>
          <w:p>
            <w:pPr>
              <w:spacing w:after="0"/>
              <w:rPr>
                <w:sz w:val="15"/>
                <w:szCs w:val="15"/>
                <w:color w:val="auto"/>
              </w:rPr>
            </w:pPr>
          </w:p>
        </w:tc>
        <w:tc>
          <w:tcPr>
            <w:tcW w:w="11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320" w:type="dxa"/>
            <w:vAlign w:val="bottom"/>
          </w:tcPr>
          <w:p>
            <w:pPr>
              <w:spacing w:after="0"/>
              <w:rPr>
                <w:sz w:val="15"/>
                <w:szCs w:val="15"/>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1"/>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500" w:type="dxa"/>
            <w:vAlign w:val="bottom"/>
            <w:tcBorders>
              <w:top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80"/>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0"/>
        </w:trPr>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71"/>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Income tax benefit</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50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200" w:type="dxa"/>
            <w:vAlign w:val="bottom"/>
            <w:tcBorders>
              <w:bottom w:val="single" w:sz="8" w:color="auto"/>
            </w:tcBorders>
          </w:tcPr>
          <w:p>
            <w:pPr>
              <w:spacing w:after="0"/>
              <w:rPr>
                <w:sz w:val="5"/>
                <w:szCs w:val="5"/>
                <w:color w:val="auto"/>
              </w:rPr>
            </w:pPr>
          </w:p>
        </w:tc>
        <w:tc>
          <w:tcPr>
            <w:tcW w:w="3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 xml:space="preserve">Note 10 — </w:t>
      </w:r>
      <w:r>
        <w:rPr>
          <w:rFonts w:ascii="Times New Roman" w:cs="Times New Roman" w:eastAsia="Times New Roman" w:hAnsi="Times New Roman"/>
          <w:sz w:val="14"/>
          <w:szCs w:val="14"/>
          <w:b w:val="1"/>
          <w:bCs w:val="1"/>
          <w:i w:val="1"/>
          <w:iCs w:val="1"/>
          <w:color w:val="auto"/>
        </w:rPr>
        <w:t>Income Taxes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Effective Tax Rate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income tax provision consisted of the following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60" w:type="dxa"/>
            <w:vAlign w:val="bottom"/>
            <w:tcBorders>
              <w:bottom w:val="single" w:sz="8" w:color="auto"/>
            </w:tcBorders>
          </w:tcPr>
          <w:p>
            <w:pPr>
              <w:spacing w:after="0"/>
              <w:rPr>
                <w:sz w:val="13"/>
                <w:szCs w:val="13"/>
                <w:color w:val="auto"/>
              </w:rPr>
            </w:pPr>
          </w:p>
        </w:tc>
      </w:tr>
      <w:tr>
        <w:trPr>
          <w:trHeight w:val="154"/>
        </w:trPr>
        <w:tc>
          <w:tcPr>
            <w:tcW w:w="77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50"/>
        </w:trPr>
        <w:tc>
          <w:tcPr>
            <w:tcW w:w="7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 except percentages)</w:t>
            </w:r>
          </w:p>
        </w:tc>
        <w:tc>
          <w:tcPr>
            <w:tcW w:w="960" w:type="dxa"/>
            <w:vAlign w:val="bottom"/>
          </w:tcPr>
          <w:p>
            <w:pPr>
              <w:spacing w:after="0"/>
              <w:rPr>
                <w:sz w:val="13"/>
                <w:szCs w:val="13"/>
                <w:color w:val="auto"/>
              </w:rPr>
            </w:pPr>
          </w:p>
        </w:tc>
      </w:tr>
      <w:tr>
        <w:trPr>
          <w:trHeight w:val="186"/>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22.0 %</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23.1 %</w:t>
            </w:r>
          </w:p>
        </w:tc>
      </w:tr>
    </w:tbl>
    <w:p>
      <w:pPr>
        <w:spacing w:after="0" w:line="18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each of the three months ended March 31, 2024 and 2023,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82" w:lineRule="exact"/>
        <w:rPr>
          <w:sz w:val="20"/>
          <w:szCs w:val="20"/>
          <w:color w:val="auto"/>
        </w:rPr>
      </w:pPr>
    </w:p>
    <w:p>
      <w:pPr>
        <w:ind w:right="1800" w:firstLine="318"/>
        <w:spacing w:after="0" w:line="442" w:lineRule="auto"/>
        <w:rPr>
          <w:sz w:val="20"/>
          <w:szCs w:val="20"/>
          <w:color w:val="auto"/>
        </w:rPr>
      </w:pPr>
      <w:r>
        <w:rPr>
          <w:rFonts w:ascii="Times New Roman" w:cs="Times New Roman" w:eastAsia="Times New Roman" w:hAnsi="Times New Roman"/>
          <w:sz w:val="14"/>
          <w:szCs w:val="14"/>
          <w:color w:val="auto"/>
        </w:rPr>
        <w:t xml:space="preserve">For tax purposes, Clearway Energy LLC is treated as a partnership; therefore, the Company and CEG each record their respective share of taxable income or loss. </w:t>
      </w:r>
      <w:r>
        <w:rPr>
          <w:rFonts w:ascii="Times New Roman" w:cs="Times New Roman" w:eastAsia="Times New Roman" w:hAnsi="Times New Roman"/>
          <w:sz w:val="14"/>
          <w:szCs w:val="14"/>
          <w:b w:val="1"/>
          <w:bCs w:val="1"/>
          <w:color w:val="auto"/>
        </w:rPr>
        <w:t xml:space="preserve">Note 11 — </w:t>
      </w:r>
      <w:r>
        <w:rPr>
          <w:rFonts w:ascii="Times New Roman" w:cs="Times New Roman" w:eastAsia="Times New Roman" w:hAnsi="Times New Roman"/>
          <w:sz w:val="14"/>
          <w:szCs w:val="14"/>
          <w:b w:val="1"/>
          <w:bCs w:val="1"/>
          <w:i w:val="1"/>
          <w:iCs w:val="1"/>
          <w:color w:val="auto"/>
        </w:rPr>
        <w:t>Related Party Transactions</w:t>
      </w:r>
    </w:p>
    <w:p>
      <w:pPr>
        <w:spacing w:after="0" w:line="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addition to the transactions and relationships described elsewhere in the notes to the consolidated financial statements, certain subsidiaries of CEG provide services to the Company and its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the Company and Clearway Renewable Operation &amp; Maintenance LLC</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$19 million and $17 million for the three months ended March 31, 2024 and 2023, respectively. There was a balance of $10 million and $13 million due to RENOM as of March 31, 2024 and December 31, 2023, respectively.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Agreements by and between the Company and CEG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Various wholly-owned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$6 million and $4 million for the three months ended March 31, 2024, and 2023, respectively. There was a balance of $2 million due to CEG for each of the periods ended March 31, 2024 and December 31,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Master Services Agreement</w:t>
      </w:r>
    </w:p>
    <w:p>
      <w:pPr>
        <w:spacing w:after="0" w:line="13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4"/>
          <w:szCs w:val="14"/>
          <w:color w:val="auto"/>
        </w:rPr>
        <w:t>The Company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and the Company provides certain services to CEG, including accounting, internal audit, tax and treasury services, in exchange for the payment of fees in respect of such services. The Company incurred net expenses under these agreements of $1 million for each of the three months ended March 31, 2024 and 2023.</w:t>
      </w:r>
    </w:p>
    <w:p>
      <w:pPr>
        <w:spacing w:after="0" w:line="9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April 30, 2024, the CEG Master Services Agreement was amended and restated as a result of a reorganization effected by the Company pursuant to which all of the employees and operations of the Company will transfer to CEG as of January 1, 2025. Under the amended and restated agreement, CEG and certain of its affiliates or third-party service providers will continue to provide the operational and administrative services outlined above, and, effective January 1, 2025, CEG will also provide accounting, internal audit, tax, legal and treasury services, in exchange for payment of fees in respect of such services. Certain independent functions will be directed by the Company’s Governance, Conflicts and Nominating Committee and paid for by the Company, while being administered by CEG.</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7" w:name="page28"/>
    <w:bookmarkEnd w:id="27"/>
    <w:p>
      <w:pPr>
        <w:ind w:right="4920"/>
        <w:spacing w:after="0" w:line="444" w:lineRule="auto"/>
        <w:rPr>
          <w:sz w:val="20"/>
          <w:szCs w:val="20"/>
          <w:color w:val="auto"/>
        </w:rPr>
      </w:pPr>
      <w:r>
        <w:rPr>
          <w:rFonts w:ascii="Times New Roman" w:cs="Times New Roman" w:eastAsia="Times New Roman" w:hAnsi="Times New Roman"/>
          <w:sz w:val="14"/>
          <w:szCs w:val="14"/>
          <w:b w:val="1"/>
          <w:bCs w:val="1"/>
          <w:color w:val="auto"/>
        </w:rPr>
        <w:t xml:space="preserve">ITEM 2 — Management’s Discussion and Analysis of Financial Condition and the Results of Operations </w:t>
      </w:r>
      <w:r>
        <w:rPr>
          <w:rFonts w:ascii="Times New Roman" w:cs="Times New Roman" w:eastAsia="Times New Roman" w:hAnsi="Times New Roman"/>
          <w:sz w:val="14"/>
          <w:szCs w:val="14"/>
          <w:color w:val="auto"/>
        </w:rPr>
        <w:t>The following discussion analyzes the Company’s historical financial condition and results of operations.</w:t>
      </w:r>
    </w:p>
    <w:p>
      <w:pPr>
        <w:spacing w:after="0" w:line="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you read this discussion and analysis, refer to the Company’s consolidated financial statements to this Form 10-Q, which present the results of operations for the three months ended March 31, 2024 and 2023. Also refer to the Company’s 2023 Form 10-K, which includes detailed discussions of various items impacting the Company’s business, results of operations and financial condition.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discussion and analysis below has been organized as follows:</w:t>
      </w:r>
    </w:p>
    <w:p>
      <w:pPr>
        <w:spacing w:after="0" w:line="94" w:lineRule="exact"/>
        <w:rPr>
          <w:sz w:val="20"/>
          <w:szCs w:val="20"/>
          <w:color w:val="auto"/>
        </w:rPr>
      </w:pPr>
    </w:p>
    <w:p>
      <w:pPr>
        <w:ind w:left="1020" w:hanging="251"/>
        <w:spacing w:after="0"/>
        <w:tabs>
          <w:tab w:leader="none" w:pos="1020" w:val="left"/>
        </w:tabs>
        <w:numPr>
          <w:ilvl w:val="0"/>
          <w:numId w:val="1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Executive Summary, including a description of the business and significant events that are important to understanding the results of operations and financial condition;</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Results of operations, including an explanation of significant differences between the periods in the specific line items of the consolidated statements of operations;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Financial condition addressing liquidity position, sources and uses of cash, capital resources and requirements, commitments and off-balance sheet arrangements;</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Known trends that may affect the Company’s results of operations and financial condition in the future; and</w:t>
      </w:r>
    </w:p>
    <w:p>
      <w:pPr>
        <w:spacing w:after="0" w:line="51" w:lineRule="exact"/>
        <w:rPr>
          <w:rFonts w:ascii="Times New Roman" w:cs="Times New Roman" w:eastAsia="Times New Roman" w:hAnsi="Times New Roman"/>
          <w:sz w:val="14"/>
          <w:szCs w:val="14"/>
          <w:color w:val="231F20"/>
        </w:rPr>
      </w:pPr>
    </w:p>
    <w:p>
      <w:pPr>
        <w:ind w:left="760" w:right="60" w:firstLine="9"/>
        <w:spacing w:after="0" w:line="287" w:lineRule="auto"/>
        <w:tabs>
          <w:tab w:leader="none" w:pos="101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Critical accounting policies which are most important to both the portrayal of the Company’s financial condition and results of operations, and which require management's most difficult, subjective or complex judgment.</w:t>
      </w: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Overview</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January 12, 2024, BlackRock entered into a definitive agreement to acquire 100% of the business and assets of GIM, which is the investment manager of the GIP funds that own an interest in CEG. BlackRock has indicated that the transaction is expected to close in the third quarter of 2024, subject to regulatory approvals and other customary closing conditions. BlackRock is a publicly-traded global investment management firm.</w:t>
      </w:r>
    </w:p>
    <w:p>
      <w:pPr>
        <w:spacing w:after="0" w:line="10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approximately 6,200 net MW of installed wind, solar and battery energy storage system, or BESS, facilities. The Company’s approximately 8,700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these offtake agreements was approximately 10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March 31, 2024 </w:t>
      </w:r>
      <w:r>
        <w:rPr>
          <w:rFonts w:ascii="Times New Roman" w:cs="Times New Roman" w:eastAsia="Times New Roman" w:hAnsi="Times New Roman"/>
          <w:sz w:val="14"/>
          <w:szCs w:val="14"/>
          <w:color w:val="231F20"/>
        </w:rPr>
        <w:t>based on CAFD.</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March 31, 2024, the Company’s operating assets are comprised of the following facilities:</w:t>
      </w:r>
    </w:p>
    <w:p>
      <w:pPr>
        <w:spacing w:after="0" w:line="67"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1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2040" w:type="dxa"/>
            <w:vAlign w:val="bottom"/>
            <w:vMerge w:val="restart"/>
          </w:tcPr>
          <w:p>
            <w:pPr>
              <w:ind w:left="86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960" w:type="dxa"/>
            <w:vAlign w:val="bottom"/>
          </w:tcPr>
          <w:p>
            <w:pPr>
              <w:jc w:val="center"/>
              <w:ind w:right="771"/>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2580" w:type="dxa"/>
            <w:vAlign w:val="bottom"/>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520" w:type="dxa"/>
            <w:vAlign w:val="bottom"/>
            <w:vMerge w:val="restart"/>
          </w:tcPr>
          <w:p>
            <w:pPr>
              <w:ind w:left="1000"/>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0" w:type="dxa"/>
            <w:vAlign w:val="bottom"/>
          </w:tcPr>
          <w:p>
            <w:pPr>
              <w:spacing w:after="0"/>
              <w:rPr>
                <w:sz w:val="1"/>
                <w:szCs w:val="1"/>
                <w:color w:val="auto"/>
              </w:rPr>
            </w:pPr>
          </w:p>
        </w:tc>
      </w:tr>
      <w:tr>
        <w:trPr>
          <w:trHeight w:val="108"/>
        </w:trPr>
        <w:tc>
          <w:tcPr>
            <w:tcW w:w="130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960" w:type="dxa"/>
            <w:vAlign w:val="bottom"/>
          </w:tcPr>
          <w:p>
            <w:pPr>
              <w:jc w:val="center"/>
              <w:ind w:right="771"/>
              <w:spacing w:after="0"/>
              <w:rPr>
                <w:sz w:val="20"/>
                <w:szCs w:val="20"/>
                <w:color w:val="auto"/>
              </w:rPr>
            </w:pPr>
            <w:r>
              <w:rPr>
                <w:rFonts w:ascii="Times New Roman" w:cs="Times New Roman" w:eastAsia="Times New Roman" w:hAnsi="Times New Roman"/>
                <w:sz w:val="8"/>
                <w:szCs w:val="8"/>
                <w:b w:val="1"/>
                <w:bCs w:val="1"/>
                <w:color w:val="auto"/>
              </w:rPr>
              <w:t>(a)</w:t>
            </w:r>
          </w:p>
        </w:tc>
        <w:tc>
          <w:tcPr>
            <w:tcW w:w="25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14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Conventional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Carlsbad</w:t>
            </w:r>
          </w:p>
        </w:tc>
        <w:tc>
          <w:tcPr>
            <w:tcW w:w="21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San Diego Gas &amp; Electric</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68"/>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El Segundo</w:t>
            </w:r>
          </w:p>
        </w:tc>
        <w:tc>
          <w:tcPr>
            <w:tcW w:w="2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rPr>
              <w:t>2026 - 2027</w:t>
            </w:r>
          </w:p>
        </w:tc>
      </w:tr>
      <w:tr>
        <w:trPr>
          <w:trHeight w:val="153"/>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GenConn Devon</w:t>
            </w:r>
          </w:p>
        </w:tc>
        <w:tc>
          <w:tcPr>
            <w:tcW w:w="21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2040</w:t>
            </w:r>
          </w:p>
        </w:tc>
      </w:tr>
      <w:tr>
        <w:trPr>
          <w:trHeight w:val="165"/>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GenConn Middletown</w:t>
            </w:r>
          </w:p>
        </w:tc>
        <w:tc>
          <w:tcPr>
            <w:tcW w:w="2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3"/>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Marsh Landing</w:t>
            </w:r>
          </w:p>
        </w:tc>
        <w:tc>
          <w:tcPr>
            <w:tcW w:w="21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rPr>
              <w:t>2026 - 2030</w:t>
            </w:r>
          </w:p>
        </w:tc>
      </w:tr>
      <w:tr>
        <w:trPr>
          <w:trHeight w:val="159"/>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Walnut Creek</w:t>
            </w:r>
          </w:p>
        </w:tc>
        <w:tc>
          <w:tcPr>
            <w:tcW w:w="2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2026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Conventional</w:t>
            </w:r>
          </w:p>
        </w:tc>
        <w:tc>
          <w:tcPr>
            <w:tcW w:w="2340" w:type="dxa"/>
            <w:vAlign w:val="bottom"/>
          </w:tcPr>
          <w:p>
            <w:pPr>
              <w:spacing w:after="0"/>
              <w:rPr>
                <w:sz w:val="13"/>
                <w:szCs w:val="13"/>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2,472</w:t>
            </w:r>
          </w:p>
        </w:tc>
        <w:tc>
          <w:tcPr>
            <w:tcW w:w="288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7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Solar</w:t>
            </w:r>
          </w:p>
        </w:tc>
        <w:tc>
          <w:tcPr>
            <w:tcW w:w="2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Agua Caliente</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51 %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148</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65"/>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Alpine</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9"/>
        </w:trPr>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6"/>
                <w:szCs w:val="16"/>
                <w:color w:val="auto"/>
                <w:vertAlign w:val="superscript"/>
              </w:rPr>
              <w:t>(b)</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40 %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Avenal</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23</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Avra Valley</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27</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Tucson Electric Power</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65"/>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Blythe</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21</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Borrego</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26</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San Diego Gas and Electric</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87"/>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Buckthorn Solar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150</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City of Georgetown, TX</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2043</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CVSR</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250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9"/>
        </w:trPr>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6"/>
                <w:szCs w:val="16"/>
                <w:color w:val="auto"/>
                <w:vertAlign w:val="superscript"/>
              </w:rPr>
              <w:t>(b)</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75</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rPr>
              <w:t>2033 - 2038</w:t>
            </w:r>
          </w:p>
        </w:tc>
      </w:tr>
      <w:tr>
        <w:trPr>
          <w:trHeight w:val="15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Desert Sunlight 250</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63</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2034</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Desert Sunlight 300</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75</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65"/>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Kansas South</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9"/>
        </w:trPr>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6"/>
                <w:szCs w:val="16"/>
                <w:color w:val="auto"/>
                <w:vertAlign w:val="superscript"/>
              </w:rPr>
              <w:t>(b)</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2042</w:t>
            </w:r>
          </w:p>
        </w:tc>
      </w:tr>
      <w:tr>
        <w:trPr>
          <w:trHeight w:val="159"/>
        </w:trPr>
        <w:tc>
          <w:tcPr>
            <w:tcW w:w="296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Oahu Solar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61</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Roadrunner</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El Paso Electric</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87"/>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rPr>
              <w:t>2035 - 2047</w:t>
            </w:r>
          </w:p>
        </w:tc>
      </w:tr>
      <w:tr>
        <w:trPr>
          <w:trHeight w:val="147"/>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TA High Desert</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bl>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26"/>
        </w:trPr>
        <w:tc>
          <w:tcPr>
            <w:tcW w:w="37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100" w:type="dxa"/>
            <w:vAlign w:val="bottom"/>
          </w:tcPr>
          <w:p>
            <w:pPr>
              <w:spacing w:after="0"/>
              <w:rPr>
                <w:sz w:val="11"/>
                <w:szCs w:val="11"/>
                <w:color w:val="auto"/>
              </w:rPr>
            </w:pPr>
          </w:p>
        </w:tc>
        <w:tc>
          <w:tcPr>
            <w:tcW w:w="408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0" w:type="dxa"/>
            <w:vAlign w:val="bottom"/>
          </w:tcPr>
          <w:p>
            <w:pPr>
              <w:spacing w:after="0"/>
              <w:rPr>
                <w:sz w:val="1"/>
                <w:szCs w:val="1"/>
                <w:color w:val="auto"/>
              </w:rPr>
            </w:pPr>
          </w:p>
        </w:tc>
      </w:tr>
      <w:tr>
        <w:trPr>
          <w:trHeight w:val="118"/>
        </w:trPr>
        <w:tc>
          <w:tcPr>
            <w:tcW w:w="37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60" w:type="dxa"/>
            <w:vAlign w:val="bottom"/>
          </w:tcPr>
          <w:p>
            <w:pPr>
              <w:jc w:val="right"/>
              <w:ind w:right="426"/>
              <w:spacing w:after="0"/>
              <w:rPr>
                <w:sz w:val="20"/>
                <w:szCs w:val="20"/>
                <w:color w:val="auto"/>
              </w:rPr>
            </w:pPr>
            <w:r>
              <w:rPr>
                <w:rFonts w:ascii="Times New Roman" w:cs="Times New Roman" w:eastAsia="Times New Roman" w:hAnsi="Times New Roman"/>
                <w:sz w:val="8"/>
                <w:szCs w:val="8"/>
                <w:b w:val="1"/>
                <w:bCs w:val="1"/>
                <w:color w:val="auto"/>
              </w:rPr>
              <w:t>(a)</w:t>
            </w:r>
          </w:p>
        </w:tc>
        <w:tc>
          <w:tcPr>
            <w:tcW w:w="100" w:type="dxa"/>
            <w:vAlign w:val="bottom"/>
          </w:tcPr>
          <w:p>
            <w:pPr>
              <w:spacing w:after="0"/>
              <w:rPr>
                <w:sz w:val="10"/>
                <w:szCs w:val="10"/>
                <w:color w:val="auto"/>
              </w:rPr>
            </w:pPr>
          </w:p>
        </w:tc>
        <w:tc>
          <w:tcPr>
            <w:tcW w:w="408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620" w:type="dxa"/>
            <w:vAlign w:val="bottom"/>
            <w:tcBorders>
              <w:top w:val="single" w:sz="8" w:color="auto"/>
            </w:tcBorders>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1 </w:t>
            </w:r>
            <w:r>
              <w:rPr>
                <w:rFonts w:ascii="Times New Roman" w:cs="Times New Roman" w:eastAsia="Times New Roman" w:hAnsi="Times New Roman"/>
                <w:sz w:val="16"/>
                <w:szCs w:val="16"/>
                <w:color w:val="auto"/>
                <w:vertAlign w:val="superscript"/>
              </w:rPr>
              <w:t>(b)</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Borders>
              <w:top w:val="single" w:sz="8" w:color="CCEEFF"/>
            </w:tcBorders>
            <w:shd w:val="clear" w:color="auto" w:fill="CCEEFF"/>
          </w:tcPr>
          <w:p>
            <w:pPr>
              <w:spacing w:after="0"/>
              <w:rPr>
                <w:sz w:val="13"/>
                <w:szCs w:val="13"/>
                <w:color w:val="auto"/>
              </w:rPr>
            </w:pPr>
          </w:p>
        </w:tc>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2042</w:t>
            </w:r>
          </w:p>
        </w:tc>
        <w:tc>
          <w:tcPr>
            <w:tcW w:w="0" w:type="dxa"/>
            <w:vAlign w:val="bottom"/>
          </w:tcPr>
          <w:p>
            <w:pPr>
              <w:spacing w:after="0"/>
              <w:rPr>
                <w:sz w:val="1"/>
                <w:szCs w:val="1"/>
                <w:color w:val="auto"/>
              </w:rPr>
            </w:pPr>
          </w:p>
        </w:tc>
      </w:tr>
      <w:tr>
        <w:trPr>
          <w:trHeight w:val="159"/>
        </w:trPr>
        <w:tc>
          <w:tcPr>
            <w:tcW w:w="37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2 </w:t>
            </w:r>
            <w:r>
              <w:rPr>
                <w:rFonts w:ascii="Times New Roman" w:cs="Times New Roman" w:eastAsia="Times New Roman" w:hAnsi="Times New Roman"/>
                <w:sz w:val="16"/>
                <w:szCs w:val="16"/>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3"/>
                <w:szCs w:val="13"/>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2042</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Utah Solar Portfolio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100" w:type="dxa"/>
            <w:vAlign w:val="bottom"/>
            <w:shd w:val="clear" w:color="auto" w:fill="CCEEFF"/>
          </w:tcPr>
          <w:p>
            <w:pPr>
              <w:spacing w:after="0"/>
              <w:rPr>
                <w:sz w:val="13"/>
                <w:szCs w:val="13"/>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2036</w:t>
            </w:r>
          </w:p>
        </w:tc>
        <w:tc>
          <w:tcPr>
            <w:tcW w:w="0" w:type="dxa"/>
            <w:vAlign w:val="bottom"/>
          </w:tcPr>
          <w:p>
            <w:pPr>
              <w:spacing w:after="0"/>
              <w:rPr>
                <w:sz w:val="1"/>
                <w:szCs w:val="1"/>
                <w:color w:val="auto"/>
              </w:rPr>
            </w:pPr>
          </w:p>
        </w:tc>
      </w:tr>
      <w:tr>
        <w:trPr>
          <w:trHeight w:val="159"/>
        </w:trPr>
        <w:tc>
          <w:tcPr>
            <w:tcW w:w="37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4"/>
                <w:szCs w:val="14"/>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3"/>
                <w:szCs w:val="13"/>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6"/>
                <w:szCs w:val="16"/>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3"/>
                <w:szCs w:val="13"/>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2043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80" w:type="dxa"/>
            <w:vAlign w:val="bottom"/>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Utility Scale Solar</w:t>
            </w:r>
          </w:p>
        </w:tc>
        <w:tc>
          <w:tcPr>
            <w:tcW w:w="19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2,101</w:t>
            </w:r>
          </w:p>
        </w:tc>
        <w:tc>
          <w:tcPr>
            <w:tcW w:w="40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BESS</w:t>
            </w:r>
          </w:p>
        </w:tc>
        <w:tc>
          <w:tcPr>
            <w:tcW w:w="19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9"/>
        </w:trPr>
        <w:tc>
          <w:tcPr>
            <w:tcW w:w="308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25 %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9"/>
        </w:trPr>
        <w:tc>
          <w:tcPr>
            <w:tcW w:w="30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2033 - 2038</w:t>
            </w:r>
          </w:p>
        </w:tc>
      </w:tr>
      <w:tr>
        <w:trPr>
          <w:trHeight w:val="159"/>
        </w:trPr>
        <w:tc>
          <w:tcPr>
            <w:tcW w:w="308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2042</w:t>
            </w:r>
          </w:p>
        </w:tc>
      </w:tr>
      <w:tr>
        <w:trPr>
          <w:trHeight w:val="159"/>
        </w:trPr>
        <w:tc>
          <w:tcPr>
            <w:tcW w:w="30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9"/>
        </w:trPr>
        <w:tc>
          <w:tcPr>
            <w:tcW w:w="3080" w:type="dxa"/>
            <w:vAlign w:val="bottom"/>
            <w:tcBorders>
              <w:bottom w:val="single" w:sz="8" w:color="CCEEFF"/>
            </w:tcBorders>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6"/>
                <w:szCs w:val="16"/>
                <w:color w:val="auto"/>
                <w:vertAlign w:val="superscript"/>
              </w:rPr>
              <w:t>(b)</w:t>
            </w:r>
          </w:p>
        </w:tc>
        <w:tc>
          <w:tcPr>
            <w:tcW w:w="1900" w:type="dxa"/>
            <w:vAlign w:val="bottom"/>
            <w:tcBorders>
              <w:bottom w:val="single" w:sz="8" w:color="CCEEFF"/>
            </w:tcBorders>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180" w:type="dxa"/>
            <w:vAlign w:val="bottom"/>
            <w:tcBorders>
              <w:bottom w:val="single" w:sz="8" w:color="CCEEFF"/>
            </w:tcBorders>
          </w:tcPr>
          <w:p>
            <w:pPr>
              <w:jc w:val="center"/>
              <w:ind w:left="63"/>
              <w:spacing w:after="0"/>
              <w:rPr>
                <w:sz w:val="20"/>
                <w:szCs w:val="20"/>
                <w:color w:val="auto"/>
              </w:rPr>
            </w:pPr>
            <w:r>
              <w:rPr>
                <w:rFonts w:ascii="Times New Roman" w:cs="Times New Roman" w:eastAsia="Times New Roman" w:hAnsi="Times New Roman"/>
                <w:sz w:val="11"/>
                <w:szCs w:val="11"/>
                <w:color w:val="auto"/>
                <w:w w:val="99"/>
              </w:rPr>
              <w:t>2043</w:t>
            </w:r>
          </w:p>
        </w:tc>
      </w:tr>
      <w:tr>
        <w:trPr>
          <w:trHeight w:val="150"/>
        </w:trPr>
        <w:tc>
          <w:tcPr>
            <w:tcW w:w="3080" w:type="dxa"/>
            <w:vAlign w:val="bottom"/>
            <w:shd w:val="clear" w:color="auto" w:fill="CCEEFF"/>
          </w:tcPr>
          <w:p>
            <w:pPr>
              <w:ind w:left="34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BESS</w:t>
            </w:r>
          </w:p>
        </w:tc>
        <w:tc>
          <w:tcPr>
            <w:tcW w:w="1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40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Distributed Solar</w:t>
            </w:r>
          </w:p>
        </w:tc>
        <w:tc>
          <w:tcPr>
            <w:tcW w:w="1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2"/>
        </w:trPr>
        <w:tc>
          <w:tcPr>
            <w:tcW w:w="3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DGPV Funds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2030 - 2044</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Solar Power Partners (SPP)</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2026 - 2037</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DG Facilities</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2025 - 2039</w:t>
            </w:r>
          </w:p>
        </w:tc>
      </w:tr>
      <w:tr>
        <w:trPr>
          <w:trHeight w:val="149"/>
        </w:trPr>
        <w:tc>
          <w:tcPr>
            <w:tcW w:w="3080" w:type="dxa"/>
            <w:vAlign w:val="bottom"/>
          </w:tcPr>
          <w:p>
            <w:pPr>
              <w:ind w:left="36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Distributed Solar</w:t>
            </w:r>
          </w:p>
        </w:tc>
        <w:tc>
          <w:tcPr>
            <w:tcW w:w="19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4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1"/>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Wind</w:t>
            </w:r>
          </w:p>
        </w:tc>
        <w:tc>
          <w:tcPr>
            <w:tcW w:w="19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I</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II</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III</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IV</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V</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X</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XI</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87"/>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Black Rock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Toyota and AEP</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2036</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Broken Bow</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Buffalo Bear</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Western Farmers Electric Co-operative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Cedro Hill</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CPS Energy</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2030</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Crofton Bluffs</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80"/>
        </w:trPr>
        <w:tc>
          <w:tcPr>
            <w:tcW w:w="3080" w:type="dxa"/>
            <w:vAlign w:val="bottom"/>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Elbow Creek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9"/>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Elkhorn Ridge</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66.7 %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Forward</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Constellation NewEnergy, Inc.</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2025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Goat Wind</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Dow Pipeline Company</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2025</w:t>
            </w:r>
          </w:p>
        </w:tc>
      </w:tr>
      <w:tr>
        <w:trPr>
          <w:trHeight w:val="180"/>
        </w:trPr>
        <w:tc>
          <w:tcPr>
            <w:tcW w:w="3080" w:type="dxa"/>
            <w:vAlign w:val="bottom"/>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Langford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Goldman Sachs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9"/>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Laredo Ridge</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Lookout</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Southern Maryland Electric Cooperative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2030</w:t>
            </w:r>
          </w:p>
        </w:tc>
      </w:tr>
      <w:tr>
        <w:trPr>
          <w:trHeight w:val="165"/>
        </w:trPr>
        <w:tc>
          <w:tcPr>
            <w:tcW w:w="308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1"/>
                <w:szCs w:val="11"/>
                <w:color w:val="auto"/>
              </w:rPr>
              <w:t xml:space="preserve">Mesquite Sky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2033 - 2036</w:t>
            </w:r>
          </w:p>
        </w:tc>
      </w:tr>
      <w:tr>
        <w:trPr>
          <w:trHeight w:val="180"/>
        </w:trPr>
        <w:tc>
          <w:tcPr>
            <w:tcW w:w="3080" w:type="dxa"/>
            <w:vAlign w:val="bottom"/>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Mesquite Star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2032 - 2035</w:t>
            </w:r>
          </w:p>
        </w:tc>
      </w:tr>
      <w:tr>
        <w:trPr>
          <w:trHeight w:val="159"/>
        </w:trPr>
        <w:tc>
          <w:tcPr>
            <w:tcW w:w="3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Mountain Wind 1</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PacifiCorp</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3"/>
        </w:trPr>
        <w:tc>
          <w:tcPr>
            <w:tcW w:w="3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Mountain Wind 2</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PacifiCorp</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Mt. Storm</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Citigroup</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Ocotillo</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N/A</w:t>
            </w:r>
          </w:p>
        </w:tc>
        <w:tc>
          <w:tcPr>
            <w:tcW w:w="1180" w:type="dxa"/>
            <w:vAlign w:val="bottom"/>
          </w:tcPr>
          <w:p>
            <w:pPr>
              <w:spacing w:after="0"/>
              <w:rPr>
                <w:sz w:val="13"/>
                <w:szCs w:val="13"/>
                <w:color w:val="auto"/>
              </w:rPr>
            </w:pP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Odin</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99.9 %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Missouri River Energy Services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2028</w:t>
            </w:r>
          </w:p>
        </w:tc>
      </w:tr>
      <w:tr>
        <w:trPr>
          <w:trHeight w:val="180"/>
        </w:trPr>
        <w:tc>
          <w:tcPr>
            <w:tcW w:w="3080" w:type="dxa"/>
            <w:vAlign w:val="bottom"/>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Pinnacle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Maryland Department of General Services and University System of Maryland</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9"/>
        </w:trPr>
        <w:tc>
          <w:tcPr>
            <w:tcW w:w="30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Rattlesnake </w:t>
            </w:r>
            <w:r>
              <w:rPr>
                <w:rFonts w:ascii="Times New Roman" w:cs="Times New Roman" w:eastAsia="Times New Roman" w:hAnsi="Times New Roman"/>
                <w:sz w:val="16"/>
                <w:szCs w:val="16"/>
                <w:color w:val="auto"/>
                <w:vertAlign w:val="superscript"/>
              </w:rPr>
              <w:t>(b) (c)</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Avista Corporation</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2040</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26"/>
        </w:trPr>
        <w:tc>
          <w:tcPr>
            <w:tcW w:w="37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80" w:type="dxa"/>
            <w:vAlign w:val="bottom"/>
          </w:tcPr>
          <w:p>
            <w:pPr>
              <w:spacing w:after="0"/>
              <w:rPr>
                <w:sz w:val="11"/>
                <w:szCs w:val="11"/>
                <w:color w:val="auto"/>
              </w:rPr>
            </w:pPr>
          </w:p>
        </w:tc>
        <w:tc>
          <w:tcPr>
            <w:tcW w:w="410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0" w:type="dxa"/>
            <w:vAlign w:val="bottom"/>
          </w:tcPr>
          <w:p>
            <w:pPr>
              <w:spacing w:after="0"/>
              <w:rPr>
                <w:sz w:val="1"/>
                <w:szCs w:val="1"/>
                <w:color w:val="auto"/>
              </w:rPr>
            </w:pPr>
          </w:p>
        </w:tc>
      </w:tr>
      <w:tr>
        <w:trPr>
          <w:trHeight w:val="118"/>
        </w:trPr>
        <w:tc>
          <w:tcPr>
            <w:tcW w:w="37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60" w:type="dxa"/>
            <w:vAlign w:val="bottom"/>
          </w:tcPr>
          <w:p>
            <w:pPr>
              <w:jc w:val="right"/>
              <w:ind w:right="445"/>
              <w:spacing w:after="0"/>
              <w:rPr>
                <w:sz w:val="20"/>
                <w:szCs w:val="20"/>
                <w:color w:val="auto"/>
              </w:rPr>
            </w:pPr>
            <w:r>
              <w:rPr>
                <w:rFonts w:ascii="Times New Roman" w:cs="Times New Roman" w:eastAsia="Times New Roman" w:hAnsi="Times New Roman"/>
                <w:sz w:val="8"/>
                <w:szCs w:val="8"/>
                <w:b w:val="1"/>
                <w:bCs w:val="1"/>
                <w:color w:val="auto"/>
              </w:rPr>
              <w:t>(a)</w:t>
            </w:r>
          </w:p>
        </w:tc>
        <w:tc>
          <w:tcPr>
            <w:tcW w:w="80" w:type="dxa"/>
            <w:vAlign w:val="bottom"/>
          </w:tcPr>
          <w:p>
            <w:pPr>
              <w:spacing w:after="0"/>
              <w:rPr>
                <w:sz w:val="10"/>
                <w:szCs w:val="10"/>
                <w:color w:val="auto"/>
              </w:rPr>
            </w:pPr>
          </w:p>
        </w:tc>
        <w:tc>
          <w:tcPr>
            <w:tcW w:w="410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San Juan Mesa</w:t>
            </w:r>
          </w:p>
        </w:tc>
        <w:tc>
          <w:tcPr>
            <w:tcW w:w="100" w:type="dxa"/>
            <w:vAlign w:val="bottom"/>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3"/>
                <w:szCs w:val="13"/>
                <w:color w:val="auto"/>
              </w:rPr>
            </w:pPr>
          </w:p>
        </w:tc>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Sleeping Bear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Public Service Company of Oklahoma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2032</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South Trent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AEP Energy Partners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2029</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Spanish Fork</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2028</w:t>
            </w:r>
          </w:p>
        </w:tc>
        <w:tc>
          <w:tcPr>
            <w:tcW w:w="0" w:type="dxa"/>
            <w:vAlign w:val="bottom"/>
          </w:tcPr>
          <w:p>
            <w:pPr>
              <w:spacing w:after="0"/>
              <w:rPr>
                <w:sz w:val="1"/>
                <w:szCs w:val="1"/>
                <w:color w:val="auto"/>
              </w:rPr>
            </w:pPr>
          </w:p>
        </w:tc>
      </w:tr>
      <w:tr>
        <w:trPr>
          <w:trHeight w:val="180"/>
        </w:trPr>
        <w:tc>
          <w:tcPr>
            <w:tcW w:w="372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Spring Canyon II </w:t>
            </w:r>
            <w:r>
              <w:rPr>
                <w:rFonts w:ascii="Times New Roman" w:cs="Times New Roman" w:eastAsia="Times New Roman" w:hAnsi="Times New Roman"/>
                <w:sz w:val="16"/>
                <w:szCs w:val="16"/>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100" w:type="dxa"/>
            <w:vAlign w:val="bottom"/>
          </w:tcPr>
          <w:p>
            <w:pPr>
              <w:spacing w:after="0"/>
              <w:rPr>
                <w:sz w:val="15"/>
                <w:szCs w:val="15"/>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5"/>
                <w:szCs w:val="15"/>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80"/>
        </w:trPr>
        <w:tc>
          <w:tcPr>
            <w:tcW w:w="372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Spring Canyon III </w:t>
            </w:r>
            <w:r>
              <w:rPr>
                <w:rFonts w:ascii="Times New Roman" w:cs="Times New Roman" w:eastAsia="Times New Roman" w:hAnsi="Times New Roman"/>
                <w:sz w:val="16"/>
                <w:szCs w:val="16"/>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Taloga</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Oklahoma Gas &amp; Electric</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2031</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line="165" w:lineRule="exact"/>
              <w:rPr>
                <w:sz w:val="20"/>
                <w:szCs w:val="20"/>
                <w:color w:val="auto"/>
              </w:rPr>
            </w:pPr>
            <w:r>
              <w:rPr>
                <w:rFonts w:ascii="Times New Roman" w:cs="Times New Roman" w:eastAsia="Times New Roman" w:hAnsi="Times New Roman"/>
                <w:sz w:val="11"/>
                <w:szCs w:val="11"/>
                <w:color w:val="auto"/>
              </w:rPr>
              <w:t xml:space="preserve">Wildorado </w:t>
            </w:r>
            <w:r>
              <w:rPr>
                <w:rFonts w:ascii="Times New Roman" w:cs="Times New Roman" w:eastAsia="Times New Roman" w:hAnsi="Times New Roman"/>
                <w:sz w:val="16"/>
                <w:szCs w:val="16"/>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2027</w:t>
            </w:r>
          </w:p>
        </w:tc>
        <w:tc>
          <w:tcPr>
            <w:tcW w:w="0" w:type="dxa"/>
            <w:vAlign w:val="bottom"/>
          </w:tcPr>
          <w:p>
            <w:pPr>
              <w:spacing w:after="0"/>
              <w:rPr>
                <w:sz w:val="1"/>
                <w:szCs w:val="1"/>
                <w:color w:val="auto"/>
              </w:rPr>
            </w:pPr>
          </w:p>
        </w:tc>
      </w:tr>
      <w:tr>
        <w:trPr>
          <w:trHeight w:val="149"/>
        </w:trPr>
        <w:tc>
          <w:tcPr>
            <w:tcW w:w="3720" w:type="dxa"/>
            <w:vAlign w:val="bottom"/>
            <w:tcBorders>
              <w:bottom w:val="single" w:sz="8" w:color="CCEEFF"/>
            </w:tcBorders>
            <w:gridSpan w:val="2"/>
          </w:tcPr>
          <w:p>
            <w:pPr>
              <w:ind w:left="36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Wind</w:t>
            </w: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3,658</w:t>
            </w:r>
          </w:p>
        </w:tc>
        <w:tc>
          <w:tcPr>
            <w:tcW w:w="8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net generation capacity</w:t>
            </w: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8,691</w:t>
            </w:r>
          </w:p>
        </w:tc>
        <w:tc>
          <w:tcPr>
            <w:tcW w:w="80" w:type="dxa"/>
            <w:vAlign w:val="bottom"/>
            <w:tcBorders>
              <w:bottom w:val="single" w:sz="8" w:color="CCEEFF"/>
            </w:tcBorders>
            <w:shd w:val="clear" w:color="auto" w:fill="CCEEFF"/>
          </w:tcPr>
          <w:p>
            <w:pPr>
              <w:spacing w:after="0"/>
              <w:rPr>
                <w:sz w:val="14"/>
                <w:szCs w:val="14"/>
                <w:color w:val="auto"/>
              </w:rPr>
            </w:pPr>
          </w:p>
        </w:tc>
        <w:tc>
          <w:tcPr>
            <w:tcW w:w="4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Net capacity represents the maximum, or rated, generating or storage capacity of the facility multiplied by the Company’s percentage ownership in the facility as of March 31, 2024.</w:t>
      </w:r>
    </w:p>
    <w:p>
      <w:pPr>
        <w:spacing w:after="0" w:line="45"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1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 xml:space="preserve">Facilities are part of tax equity arrangements, as further described in Note 4, </w:t>
      </w:r>
      <w:r>
        <w:rPr>
          <w:rFonts w:ascii="Times New Roman" w:cs="Times New Roman" w:eastAsia="Times New Roman" w:hAnsi="Times New Roman"/>
          <w:sz w:val="10"/>
          <w:szCs w:val="10"/>
          <w:i w:val="1"/>
          <w:iCs w:val="1"/>
          <w:color w:val="auto"/>
        </w:rPr>
        <w:t>Investments Accounted for by the Equity Method and Variable Interest Entities</w:t>
      </w:r>
      <w:r>
        <w:rPr>
          <w:rFonts w:ascii="Times New Roman" w:cs="Times New Roman" w:eastAsia="Times New Roman" w:hAnsi="Times New Roman"/>
          <w:sz w:val="10"/>
          <w:szCs w:val="10"/>
          <w:color w:val="auto"/>
        </w:rPr>
        <w:t>.</w:t>
      </w:r>
    </w:p>
    <w:p>
      <w:pPr>
        <w:spacing w:after="0" w:line="45"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1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Rattlesnake has a deliverable capacity of 144 MW.</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Significant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Drop Down Transactions</w:t>
      </w:r>
    </w:p>
    <w:p>
      <w:pPr>
        <w:spacing w:after="0" w:line="138" w:lineRule="exact"/>
        <w:rPr>
          <w:sz w:val="20"/>
          <w:szCs w:val="20"/>
          <w:color w:val="auto"/>
        </w:rPr>
      </w:pPr>
    </w:p>
    <w:p>
      <w:pPr>
        <w:jc w:val="both"/>
        <w:ind w:left="52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 2024, the Company, through an indirect subsidiary, entered into an agreement with Clearway Renew to acquire the Class A membership interests in Dan’s Mountain, a 55 MW wind facility currently under construction in Allegany County, Maryland, for $44 million in cash consideration, subject to closing adjustments. The consummation of the transaction is subject to customary closing conditions and certain third-party approvals and is expected in the first half of 2025.</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7, 2024, the Company, through an indirect subsidiary, entered into an agreement with Clearway Renew to acquire the Class A membership interests in Rosamond South I, a 140 MW solar facility that will be paired with a 117 MW BESS currently under development in Rosamond, California, for $21 million in cash consideration, subject to closing adjustments. The consummation of the transaction is subject to customary closing conditions and certain third-party approvals and is expected in the first half of 2025.</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16, 2024, the Company, through its indirect subsidiary, Cedar Creek Wind Holdco LLC, acquired Cedar Creek Holdco LLC, a 160 MW wind facility that is located in Bingham County, Idaho, from Clearway Renew for cash consideration of $117 million. Cedar Creek Wind Holdco LLC consolidates as primary beneficiary, Cedar Creek TE Holdco LLC, a tax equity fund that owns the Cedar Creek wind facility. See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March 15, 2024, the Company, through its indirect subsidiary, TSN1 TE Holdco LLC, acquired Texas Solar Nova 2, LLC,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the Texas Solar Nova 1 and Texas Solar Nova 2 solar facilities. See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 Agreements</w:t>
      </w:r>
    </w:p>
    <w:p>
      <w:pPr>
        <w:spacing w:after="0" w:line="138" w:lineRule="exact"/>
        <w:rPr>
          <w:sz w:val="20"/>
          <w:szCs w:val="20"/>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2024, the Company contracted with a load serving entity to sell approximately 97 MW of Walnut Creek’s RA commencing in January 2027 and ending in December 2027. Walnut Creek is contracted for 100% of its capacity through 2026 and is now contracted for approximately 20% of its capacity through 2027.</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28, 2024, the Company contracted with a load serving entity to sell approximately 90 MW of Marsh Landing’s RA commencing in September 2026 and ending in December 2030. Marsh Landing is now contracted for 100% of its capacity through the majority of 2026 and approximately 74% of its capacity through 2027.</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Facility-level Financing Activities</w:t>
      </w:r>
    </w:p>
    <w:p>
      <w:pPr>
        <w:spacing w:after="0" w:line="136" w:lineRule="exact"/>
        <w:rPr>
          <w:sz w:val="20"/>
          <w:szCs w:val="20"/>
          <w:color w:val="auto"/>
        </w:rPr>
      </w:pPr>
    </w:p>
    <w:p>
      <w:pPr>
        <w:ind w:left="520" w:hanging="260"/>
        <w:spacing w:after="0" w:line="29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connection with the 2024 Drop Down of Texas Solar Nova 2, the Company assumed non-recourse facility-level debt. See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non-recourse facility-level debt.</w:t>
      </w:r>
    </w:p>
    <w:p>
      <w:pPr>
        <w:spacing w:after="0" w:line="79"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May 1, 2024, when the Victory Pass and Arica solar and BESS facilities reached substantial completion, the Company paid $165 million to Clearway Renew as an additional purchase price, in connection with the Company’s acquisition of the Class A membership interests in VP-Arica TargetCo LLC on October 31, 2023. Also on May 1, 2024, the cash equity investor contributed an additional $347 million, the tax equity investor contributed an additional $410 million and CEG contributed $52 million, which were utilized, along with the $103 million in escrow, to repay the cash equity bridge loan, to repay the tax equity bridge loan, to fund construction completion reserves and to pay associated fees. See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non-recourse facility-level debt.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2" w:name="page33"/>
    <w:bookmarkEnd w:id="32"/>
    <w:p>
      <w:pPr>
        <w:ind w:right="1320" w:firstLine="318"/>
        <w:spacing w:after="0" w:line="442" w:lineRule="auto"/>
        <w:rPr>
          <w:sz w:val="20"/>
          <w:szCs w:val="20"/>
          <w:color w:val="auto"/>
        </w:rPr>
      </w:pPr>
      <w:r>
        <w:rPr>
          <w:rFonts w:ascii="Times New Roman" w:cs="Times New Roman" w:eastAsia="Times New Roman" w:hAnsi="Times New Roman"/>
          <w:sz w:val="14"/>
          <w:szCs w:val="14"/>
          <w:color w:val="auto"/>
        </w:rPr>
        <w:t xml:space="preserve">The Company’s environmental matters are further described in the Company’s 2023 Form 10-K in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Environmental Matters</w:t>
      </w:r>
      <w:r>
        <w:rPr>
          <w:rFonts w:ascii="Times New Roman" w:cs="Times New Roman" w:eastAsia="Times New Roman" w:hAnsi="Times New Roman"/>
          <w:sz w:val="14"/>
          <w:szCs w:val="14"/>
          <w:color w:val="auto"/>
        </w:rPr>
        <w:t xml:space="preserve"> and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Regulatory Matters</w:t>
      </w:r>
    </w:p>
    <w:p>
      <w:pPr>
        <w:spacing w:after="0" w:line="1"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The following disclosures about the Company’s regulatory matters provide an update to, and should be read in conjunction with,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Regulatory Matters</w:t>
      </w:r>
      <w:r>
        <w:rPr>
          <w:rFonts w:ascii="Times New Roman" w:cs="Times New Roman" w:eastAsia="Times New Roman" w:hAnsi="Times New Roman"/>
          <w:sz w:val="14"/>
          <w:szCs w:val="14"/>
          <w:color w:val="auto"/>
        </w:rPr>
        <w:t xml:space="preserve"> and Item 1A,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w:t>
      </w:r>
      <w:r>
        <w:rPr>
          <w:rFonts w:ascii="Times New Roman" w:cs="Times New Roman" w:eastAsia="Times New Roman" w:hAnsi="Times New Roman"/>
          <w:sz w:val="14"/>
          <w:szCs w:val="14"/>
          <w:color w:val="auto"/>
        </w:rPr>
        <w:t>, of the Company’s 2023 Form 10-K</w:t>
      </w:r>
      <w:r>
        <w:rPr>
          <w:rFonts w:ascii="Times New Roman" w:cs="Times New Roman" w:eastAsia="Times New Roman" w:hAnsi="Times New Roman"/>
          <w:sz w:val="14"/>
          <w:szCs w:val="14"/>
          <w:i w:val="1"/>
          <w:iCs w:val="1"/>
          <w:color w:val="auto"/>
        </w:rPr>
        <w:t>.</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On April 4, 2024, the SEC issued an order staying the final rules until judicial review is complete.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selected financial information: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8"/>
          </w:tcPr>
          <w:p>
            <w:pPr>
              <w:jc w:val="center"/>
              <w:ind w:left="81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7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0"/>
                <w:szCs w:val="10"/>
                <w:color w:val="auto"/>
              </w:rPr>
            </w:pPr>
          </w:p>
        </w:tc>
        <w:tc>
          <w:tcPr>
            <w:tcW w:w="1000" w:type="dxa"/>
            <w:vAlign w:val="bottom"/>
          </w:tcPr>
          <w:p>
            <w:pPr>
              <w:jc w:val="right"/>
              <w:ind w:right="371"/>
              <w:spacing w:after="0" w:line="117" w:lineRule="exact"/>
              <w:rPr>
                <w:sz w:val="20"/>
                <w:szCs w:val="20"/>
                <w:color w:val="auto"/>
              </w:rPr>
            </w:pPr>
            <w:r>
              <w:rPr>
                <w:rFonts w:ascii="Times New Roman" w:cs="Times New Roman" w:eastAsia="Times New Roman" w:hAnsi="Times New Roman"/>
                <w:sz w:val="11"/>
                <w:szCs w:val="11"/>
                <w:b w:val="1"/>
                <w:bCs w:val="1"/>
                <w:color w:val="auto"/>
              </w:rPr>
              <w:t>2024</w:t>
            </w:r>
          </w:p>
        </w:tc>
        <w:tc>
          <w:tcPr>
            <w:tcW w:w="860" w:type="dxa"/>
            <w:vAlign w:val="bottom"/>
            <w:gridSpan w:val="4"/>
          </w:tcPr>
          <w:p>
            <w:pPr>
              <w:jc w:val="right"/>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290"/>
              <w:spacing w:after="0" w:line="117" w:lineRule="exact"/>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Energy and capacity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333333"/>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315</w:t>
            </w:r>
          </w:p>
        </w:tc>
        <w:tc>
          <w:tcPr>
            <w:tcW w:w="56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color w:val="333333"/>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304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revenues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Contract amortization</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(46)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77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263</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Cost of fuels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333333"/>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83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333333"/>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333333"/>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776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292</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(Loss) Income</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(29)</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42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333333"/>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interest income (expense)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7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Other interest expense</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(78)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other expense, net</w:t>
            </w: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(30)</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(94)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(59)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 benefit</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Net loss attributable to noncontrolling interests and redeemable noncontrolling interests</w:t>
            </w: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Loss Attributable to Clearway Energy, Inc.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Borders>
              <w:bottom w:val="single" w:sz="8" w:color="auto"/>
            </w:tcBorders>
            <w:gridSpan w:val="9"/>
          </w:tcPr>
          <w:p>
            <w:pPr>
              <w:jc w:val="right"/>
              <w:ind w:right="87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metrics:</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80"/>
              <w:spacing w:after="0" w:line="171" w:lineRule="exact"/>
              <w:rPr>
                <w:sz w:val="20"/>
                <w:szCs w:val="20"/>
                <w:color w:val="auto"/>
              </w:rPr>
            </w:pPr>
            <w:r>
              <w:rPr>
                <w:rFonts w:ascii="Times New Roman" w:cs="Times New Roman" w:eastAsia="Times New Roman" w:hAnsi="Times New Roman"/>
                <w:sz w:val="14"/>
                <w:szCs w:val="14"/>
                <w:color w:val="auto"/>
              </w:rPr>
              <w:t xml:space="preserve">Solar MWh generated/sold (in thousands) </w:t>
            </w:r>
            <w:r>
              <w:rPr>
                <w:rFonts w:ascii="Times New Roman" w:cs="Times New Roman" w:eastAsia="Times New Roman" w:hAnsi="Times New Roman"/>
                <w:sz w:val="18"/>
                <w:szCs w:val="18"/>
                <w:color w:val="auto"/>
                <w:vertAlign w:val="superscript"/>
              </w:rPr>
              <w:t>(a)</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760" w:type="dxa"/>
            <w:vAlign w:val="bottom"/>
            <w:tcBorders>
              <w:bottom w:val="single" w:sz="8" w:color="CCEEFF"/>
            </w:tcBorders>
            <w:gridSpan w:val="2"/>
          </w:tcPr>
          <w:p>
            <w:pPr>
              <w:ind w:left="60"/>
              <w:spacing w:after="0" w:line="181" w:lineRule="exact"/>
              <w:rPr>
                <w:sz w:val="20"/>
                <w:szCs w:val="20"/>
                <w:color w:val="auto"/>
              </w:rPr>
            </w:pPr>
            <w:r>
              <w:rPr>
                <w:rFonts w:ascii="Times New Roman" w:cs="Times New Roman" w:eastAsia="Times New Roman" w:hAnsi="Times New Roman"/>
                <w:sz w:val="14"/>
                <w:szCs w:val="14"/>
                <w:color w:val="auto"/>
              </w:rPr>
              <w:t xml:space="preserve">Wind MWh generated/sold (in thousands) </w:t>
            </w:r>
            <w:r>
              <w:rPr>
                <w:rFonts w:ascii="Times New Roman" w:cs="Times New Roman" w:eastAsia="Times New Roman" w:hAnsi="Times New Roman"/>
                <w:sz w:val="18"/>
                <w:szCs w:val="18"/>
                <w:color w:val="auto"/>
                <w:vertAlign w:val="superscript"/>
              </w:rPr>
              <w:t>(a)</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2,519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2,744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760" w:type="dxa"/>
            <w:vAlign w:val="bottom"/>
            <w:tcBorders>
              <w:bottom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 xml:space="preserve">Renewables MWh generated/sold (in thousands) </w:t>
            </w:r>
            <w:r>
              <w:rPr>
                <w:rFonts w:ascii="Times New Roman" w:cs="Times New Roman" w:eastAsia="Times New Roman" w:hAnsi="Times New Roman"/>
                <w:sz w:val="18"/>
                <w:szCs w:val="18"/>
                <w:color w:val="auto"/>
                <w:vertAlign w:val="superscript"/>
              </w:rPr>
              <w:t>(a)</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3,962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bottom w:val="single" w:sz="8" w:color="CCEEFF"/>
            </w:tcBorders>
            <w:gridSpan w:val="2"/>
            <w:vMerge w:val="restart"/>
          </w:tcPr>
          <w:p>
            <w:pPr>
              <w:spacing w:after="0" w:line="182" w:lineRule="exact"/>
              <w:rPr>
                <w:sz w:val="20"/>
                <w:szCs w:val="20"/>
                <w:color w:val="auto"/>
              </w:rPr>
            </w:pPr>
            <w:r>
              <w:rPr>
                <w:rFonts w:ascii="Times New Roman" w:cs="Times New Roman" w:eastAsia="Times New Roman" w:hAnsi="Times New Roman"/>
                <w:sz w:val="14"/>
                <w:szCs w:val="14"/>
                <w:color w:val="auto"/>
              </w:rPr>
              <w:t xml:space="preserve">Solar weighted-average capacity factor </w:t>
            </w:r>
            <w:r>
              <w:rPr>
                <w:rFonts w:ascii="Times New Roman" w:cs="Times New Roman" w:eastAsia="Times New Roman" w:hAnsi="Times New Roman"/>
                <w:sz w:val="18"/>
                <w:szCs w:val="18"/>
                <w:color w:val="auto"/>
                <w:vertAlign w:val="superscript"/>
              </w:rPr>
              <w:t>(b)</w:t>
            </w: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21.0 %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19.9 %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7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Wind weighted-average capacity factor </w:t>
            </w:r>
            <w:r>
              <w:rPr>
                <w:rFonts w:ascii="Times New Roman" w:cs="Times New Roman" w:eastAsia="Times New Roman" w:hAnsi="Times New Roman"/>
                <w:sz w:val="18"/>
                <w:szCs w:val="18"/>
                <w:color w:val="auto"/>
                <w:vertAlign w:val="superscript"/>
              </w:rPr>
              <w:t>(c)</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Conventional MWh generated (in thousands)</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Conventional equivalent availability factor</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Volumes do not include the MWh generated/sold by the Company’s equity method investments.</w:t>
      </w:r>
    </w:p>
    <w:p>
      <w:pPr>
        <w:spacing w:after="0" w:line="3"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2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Typical average capacity factors for solar facilities is 25%. The weighted-average capacity factors can vary based on seasonality and weather.</w:t>
      </w:r>
    </w:p>
    <w:p>
      <w:pPr>
        <w:spacing w:after="0" w:line="14"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2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Typical average capacity factors for wind facilities is 25-45%. The weighted-average capacity factors can vary based on seasonality and weather.</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Management’s Discussion of the Results of Operations for the Three Months Ended March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Revenues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Operating revenues decreased by $25 million during the three months ended March 31, 2024, compared to the same period in 2023, due to a combination of the drivers summarized in the table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Borders>
              <w:bottom w:val="single" w:sz="8" w:color="CCEEFF"/>
            </w:tcBorders>
          </w:tcPr>
          <w:p>
            <w:pPr>
              <w:spacing w:after="0"/>
              <w:rPr>
                <w:sz w:val="14"/>
                <w:szCs w:val="14"/>
                <w:color w:val="auto"/>
              </w:rPr>
            </w:pPr>
          </w:p>
        </w:tc>
        <w:tc>
          <w:tcPr>
            <w:tcW w:w="75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20"/>
        </w:trPr>
        <w:tc>
          <w:tcPr>
            <w:tcW w:w="240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Conventional Segment</w:t>
            </w:r>
          </w:p>
        </w:tc>
        <w:tc>
          <w:tcPr>
            <w:tcW w:w="7520" w:type="dxa"/>
            <w:vAlign w:val="bottom"/>
            <w:shd w:val="clear" w:color="auto" w:fill="CCEEFF"/>
          </w:tcPr>
          <w:p>
            <w:pPr>
              <w:ind w:left="260"/>
              <w:spacing w:after="0" w:line="120" w:lineRule="exact"/>
              <w:rPr>
                <w:sz w:val="20"/>
                <w:szCs w:val="20"/>
                <w:color w:val="auto"/>
              </w:rPr>
            </w:pPr>
            <w:r>
              <w:rPr>
                <w:rFonts w:ascii="Times New Roman" w:cs="Times New Roman" w:eastAsia="Times New Roman" w:hAnsi="Times New Roman"/>
                <w:sz w:val="13"/>
                <w:szCs w:val="13"/>
                <w:color w:val="auto"/>
              </w:rPr>
              <w:t>Decrease primarily driven by lower prices for capacity revenue due to the expiration of PPAs and commencement of RA</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91"/>
        </w:trPr>
        <w:tc>
          <w:tcPr>
            <w:tcW w:w="2400" w:type="dxa"/>
            <w:vAlign w:val="bottom"/>
            <w:shd w:val="clear" w:color="auto" w:fill="CCEEFF"/>
          </w:tcPr>
          <w:p>
            <w:pPr>
              <w:spacing w:after="0"/>
              <w:rPr>
                <w:sz w:val="16"/>
                <w:szCs w:val="16"/>
                <w:color w:val="auto"/>
              </w:rPr>
            </w:pP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capacity revenue at the Walnut Creek, Marsh Landing and El Segundo facilities during 2023.</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38"/>
        </w:trPr>
        <w:tc>
          <w:tcPr>
            <w:tcW w:w="2400" w:type="dxa"/>
            <w:vAlign w:val="bottom"/>
          </w:tcPr>
          <w:p>
            <w:pPr>
              <w:spacing w:after="0"/>
              <w:rPr>
                <w:sz w:val="11"/>
                <w:szCs w:val="11"/>
                <w:color w:val="auto"/>
              </w:rPr>
            </w:pPr>
          </w:p>
        </w:tc>
        <w:tc>
          <w:tcPr>
            <w:tcW w:w="752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primarily driven by higher energy revenue due to the commencement of merchant operations following the expiration</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4"/>
        </w:trPr>
        <w:tc>
          <w:tcPr>
            <w:tcW w:w="2400" w:type="dxa"/>
            <w:vAlign w:val="bottom"/>
          </w:tcPr>
          <w:p>
            <w:pPr>
              <w:spacing w:after="0"/>
              <w:rPr>
                <w:sz w:val="12"/>
                <w:szCs w:val="12"/>
                <w:color w:val="auto"/>
              </w:rPr>
            </w:pPr>
          </w:p>
        </w:tc>
        <w:tc>
          <w:tcPr>
            <w:tcW w:w="752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of PPAs at the Walnut Creek and Marsh Landing facilities during the second quarter of 2023 and the El Segundo facility during</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84"/>
        </w:trPr>
        <w:tc>
          <w:tcPr>
            <w:tcW w:w="2400" w:type="dxa"/>
            <w:vAlign w:val="bottom"/>
          </w:tcPr>
          <w:p>
            <w:pPr>
              <w:spacing w:after="0"/>
              <w:rPr>
                <w:sz w:val="16"/>
                <w:szCs w:val="16"/>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third quarter of 2023.</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1"/>
        </w:trPr>
        <w:tc>
          <w:tcPr>
            <w:tcW w:w="2400" w:type="dxa"/>
            <w:vAlign w:val="bottom"/>
            <w:shd w:val="clear" w:color="auto" w:fill="CCEEFF"/>
          </w:tcPr>
          <w:p>
            <w:pPr>
              <w:spacing w:after="0"/>
              <w:rPr>
                <w:sz w:val="15"/>
                <w:szCs w:val="15"/>
                <w:color w:val="auto"/>
              </w:rPr>
            </w:pP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driven by lower availability at El Segundo facility in 2023 due to the timing of annual planned maintenance outages.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38"/>
        </w:trPr>
        <w:tc>
          <w:tcPr>
            <w:tcW w:w="24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Renewables Segment</w:t>
            </w:r>
          </w:p>
        </w:tc>
        <w:tc>
          <w:tcPr>
            <w:tcW w:w="752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for solar and BESS acquisitions driven by Daggett 2, Daggett 3 and Arica, which reached commercial operations in</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91"/>
        </w:trPr>
        <w:tc>
          <w:tcPr>
            <w:tcW w:w="2400" w:type="dxa"/>
            <w:vAlign w:val="bottom"/>
          </w:tcPr>
          <w:p>
            <w:pPr>
              <w:spacing w:after="0"/>
              <w:rPr>
                <w:sz w:val="16"/>
                <w:szCs w:val="16"/>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December 2023, July 2023 and March 2024, respectively, and the acquisition of Texas Solar Nova 1 in December 2023.</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1"/>
        </w:trPr>
        <w:tc>
          <w:tcPr>
            <w:tcW w:w="2400" w:type="dxa"/>
            <w:vAlign w:val="bottom"/>
            <w:shd w:val="clear" w:color="auto" w:fill="CCEEFF"/>
          </w:tcPr>
          <w:p>
            <w:pPr>
              <w:spacing w:after="0"/>
              <w:rPr>
                <w:sz w:val="15"/>
                <w:szCs w:val="15"/>
                <w:color w:val="auto"/>
              </w:rPr>
            </w:pP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driven by higher wind production primarily at the Alta wind facilities.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amortization</w:t>
            </w:r>
          </w:p>
        </w:tc>
        <w:tc>
          <w:tcPr>
            <w:tcW w:w="7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Decrease driven by the Walnut Creek PPA, which was fully amortized during the second quarter of 2023.</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38"/>
        </w:trPr>
        <w:tc>
          <w:tcPr>
            <w:tcW w:w="24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Mark-to-market economic hedging</w:t>
            </w:r>
          </w:p>
        </w:tc>
        <w:tc>
          <w:tcPr>
            <w:tcW w:w="7520" w:type="dxa"/>
            <w:vAlign w:val="bottom"/>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Decrease driven by increases in forward power prices in the ERCOT and PJM markets.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9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38"/>
        </w:trPr>
        <w:tc>
          <w:tcPr>
            <w:tcW w:w="2400" w:type="dxa"/>
            <w:vAlign w:val="bottom"/>
          </w:tcPr>
          <w:p>
            <w:pPr>
              <w:spacing w:after="0"/>
              <w:rPr>
                <w:sz w:val="11"/>
                <w:szCs w:val="11"/>
                <w:color w:val="auto"/>
              </w:rPr>
            </w:pPr>
          </w:p>
        </w:tc>
        <w:tc>
          <w:tcPr>
            <w:tcW w:w="752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due to heat rate call option contracts entered into by El Segundo, Marsh Landing and Walnut Creek during the fourth</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91"/>
        </w:trPr>
        <w:tc>
          <w:tcPr>
            <w:tcW w:w="2400" w:type="dxa"/>
            <w:vAlign w:val="bottom"/>
            <w:tcBorders>
              <w:bottom w:val="single" w:sz="8" w:color="CCEEFF"/>
            </w:tcBorders>
          </w:tcPr>
          <w:p>
            <w:pPr>
              <w:spacing w:after="0"/>
              <w:rPr>
                <w:sz w:val="16"/>
                <w:szCs w:val="16"/>
                <w:color w:val="auto"/>
              </w:rPr>
            </w:pPr>
          </w:p>
        </w:tc>
        <w:tc>
          <w:tcPr>
            <w:tcW w:w="7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quarter of 2023.</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2400" w:type="dxa"/>
            <w:vAlign w:val="bottom"/>
            <w:tcBorders>
              <w:bottom w:val="single" w:sz="8" w:color="CCEEFF"/>
            </w:tcBorders>
            <w:shd w:val="clear" w:color="auto" w:fill="CCEEFF"/>
          </w:tcPr>
          <w:p>
            <w:pPr>
              <w:spacing w:after="0"/>
              <w:rPr>
                <w:sz w:val="16"/>
                <w:szCs w:val="16"/>
                <w:color w:val="auto"/>
              </w:rPr>
            </w:pPr>
          </w:p>
        </w:tc>
        <w:tc>
          <w:tcPr>
            <w:tcW w:w="7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Fuels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Cost of fuels increased by $14 million during the three months ended March 31, 2024, compared to the same period in 2023, primarily driven by fuel purchases and the related cost of emissions obligations as a result of the expiration of PPAs and the commencement of merchant operations at the Walnut Creek and Marsh Landing facilities in the second quarter of 2023 and the El Segundo facility in the third quarter of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Amortization and Accretion</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Depreciation, amortization and accretion increased $26 million during the three months ended March 31, 2024, compared to the same period in 2023, due to a $27 million increase in the Renewables segment primarily related to the Daggett 2 and Daggett 3 solar and BESS facilities, which reached commercial operations in December 2023 and July 2023, respectively, and the acquisition of the Texas Solar Nova 1 solar facility in December 2023, offset by a $1 million decrease in the Conventional segment.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expense decreased by $42 million during the three months ended March 31, 2024, compared to the same period in 2023, primarily due to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3"/>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interest rate swaps due to changes in interest rates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38"/>
        </w:trPr>
        <w:tc>
          <w:tcPr>
            <w:tcW w:w="101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Increase in interest expense for the Renewables segment primarily due to the Daggett 2 and Daggett 3 solar and BESS acquisitions in February 2023 and August 2023,</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0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 and the Texas Solar Nova 1 acquisition in December 2023</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1"/>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10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
        </w:trPr>
        <w:tc>
          <w:tcPr>
            <w:tcW w:w="10100" w:type="dxa"/>
            <w:vAlign w:val="bottom"/>
            <w:vMerge w:val="restart"/>
          </w:tcPr>
          <w:p>
            <w:pPr>
              <w:ind w:left="5580"/>
              <w:spacing w:after="0"/>
              <w:rPr>
                <w:sz w:val="20"/>
                <w:szCs w:val="20"/>
                <w:color w:val="auto"/>
              </w:rPr>
            </w:pPr>
            <w:r>
              <w:rPr>
                <w:rFonts w:ascii="Times New Roman" w:cs="Times New Roman" w:eastAsia="Times New Roman" w:hAnsi="Times New Roman"/>
                <w:sz w:val="14"/>
                <w:szCs w:val="14"/>
                <w:color w:val="231F20"/>
              </w:rPr>
              <w:t>35</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0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Benefit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2024, the Company recorded an income tax benefit of $13 million on pretax loss of $59 million. For the same period in 2023, the Company recorded an income tax benefit of $12 million on a pretax loss of $52 million. The $1 million increase in income tax benefit during the three months ended March 31, 2024, compared to the same period in 2023, was primarily due to the allocation of taxable earnings and losses, which includes the effect of applying the HLBV method of accounting for book purposes for certain partnerships.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Interests and Redeemable Noncontrolling Interests</w:t>
      </w:r>
    </w:p>
    <w:p>
      <w:pPr>
        <w:spacing w:after="0" w:line="13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For the three months ended March 31, 2024, the Company had a net loss of $44 million attributable to noncontrolling interests and redeemable noncontrolling interests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9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99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
        </w:trPr>
        <w:tc>
          <w:tcPr>
            <w:tcW w:w="9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For the three months ended March 31, 2023, the Company had a net loss of $40 million attributable to noncontrolling interests and redeemable noncontrolling interests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Borders>
              <w:bottom w:val="single" w:sz="8" w:color="CCEEFF"/>
            </w:tcBorders>
          </w:tcPr>
          <w:p>
            <w:pPr>
              <w:spacing w:after="0"/>
              <w:rPr>
                <w:sz w:val="14"/>
                <w:szCs w:val="14"/>
                <w:color w:val="auto"/>
              </w:rPr>
            </w:pPr>
          </w:p>
        </w:tc>
        <w:tc>
          <w:tcPr>
            <w:tcW w:w="4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w:t>
            </w:r>
          </w:p>
        </w:tc>
        <w:tc>
          <w:tcPr>
            <w:tcW w:w="43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w:t>
            </w:r>
          </w:p>
        </w:tc>
        <w:tc>
          <w:tcPr>
            <w:tcW w:w="43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360" w:type="dxa"/>
            <w:vAlign w:val="bottom"/>
            <w:vMerge w:val="restart"/>
          </w:tcPr>
          <w:p>
            <w:pPr>
              <w:jc w:val="right"/>
              <w:ind w:right="4129"/>
              <w:spacing w:after="0"/>
              <w:rPr>
                <w:sz w:val="20"/>
                <w:szCs w:val="20"/>
                <w:color w:val="auto"/>
              </w:rPr>
            </w:pPr>
            <w:r>
              <w:rPr>
                <w:rFonts w:ascii="Times New Roman" w:cs="Times New Roman" w:eastAsia="Times New Roman" w:hAnsi="Times New Roman"/>
                <w:sz w:val="14"/>
                <w:szCs w:val="14"/>
                <w:color w:val="231F20"/>
                <w:w w:val="99"/>
              </w:rPr>
              <w:t>36</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556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5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Liquidity Position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December 31, 2023</w:t>
      </w:r>
      <w:r>
        <w:rPr>
          <w:rFonts w:ascii="Times New Roman" w:cs="Times New Roman" w:eastAsia="Times New Roman" w:hAnsi="Times New Roman"/>
          <w:sz w:val="14"/>
          <w:szCs w:val="14"/>
          <w:color w:val="231F20"/>
        </w:rPr>
        <w:t>, the Company’s liquidity was approximately $1.44 billion and $1.51 billion, respectively, comprised of cash, restricted cash and availability under the Company’s revolving credit facility.</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162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220" w:type="dxa"/>
            <w:vAlign w:val="bottom"/>
          </w:tcPr>
          <w:p>
            <w:pPr>
              <w:spacing w:after="0"/>
              <w:rPr>
                <w:sz w:val="13"/>
                <w:szCs w:val="13"/>
                <w:color w:val="auto"/>
              </w:rPr>
            </w:pPr>
          </w:p>
        </w:tc>
        <w:tc>
          <w:tcPr>
            <w:tcW w:w="1560" w:type="dxa"/>
            <w:vAlign w:val="bottom"/>
          </w:tcPr>
          <w:p>
            <w:pPr>
              <w:jc w:val="right"/>
              <w:ind w:right="310"/>
              <w:spacing w:after="0" w:line="141" w:lineRule="exact"/>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Clearway Energy, Inc. and Clearway Energy LLC, excluding subsidiaries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r>
      <w:tr>
        <w:trPr>
          <w:trHeight w:val="180"/>
        </w:trPr>
        <w:tc>
          <w:tcPr>
            <w:tcW w:w="20" w:type="dxa"/>
            <w:vAlign w:val="bottom"/>
            <w:shd w:val="clear" w:color="auto" w:fill="CCEEFF"/>
          </w:tcPr>
          <w:p>
            <w:pPr>
              <w:spacing w:after="0"/>
              <w:rPr>
                <w:sz w:val="15"/>
                <w:szCs w:val="15"/>
                <w:color w:val="auto"/>
              </w:rPr>
            </w:pPr>
          </w:p>
        </w:tc>
        <w:tc>
          <w:tcPr>
            <w:tcW w:w="7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Subsidiaries</w:t>
            </w: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0"/>
        </w:trPr>
        <w:tc>
          <w:tcPr>
            <w:tcW w:w="20" w:type="dxa"/>
            <w:vAlign w:val="bottom"/>
          </w:tcPr>
          <w:p>
            <w:pPr>
              <w:spacing w:after="0"/>
              <w:rPr>
                <w:sz w:val="15"/>
                <w:szCs w:val="15"/>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accounts</w:t>
            </w: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20" w:type="dxa"/>
            <w:vAlign w:val="bottom"/>
            <w:tcBorders>
              <w:bottom w:val="single" w:sz="8" w:color="CCEEFF"/>
            </w:tcBorders>
          </w:tcPr>
          <w:p>
            <w:pPr>
              <w:spacing w:after="0"/>
              <w:rPr>
                <w:sz w:val="15"/>
                <w:szCs w:val="15"/>
                <w:color w:val="auto"/>
              </w:rPr>
            </w:pPr>
          </w:p>
        </w:tc>
        <w:tc>
          <w:tcPr>
            <w:tcW w:w="75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Reserves, including debt service, distributions, performance obligations and other reserves</w:t>
            </w: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71"/>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r>
      <w:tr>
        <w:trPr>
          <w:trHeight w:val="180"/>
        </w:trPr>
        <w:tc>
          <w:tcPr>
            <w:tcW w:w="20" w:type="dxa"/>
            <w:vAlign w:val="bottom"/>
            <w:tcBorders>
              <w:bottom w:val="single" w:sz="8" w:color="CCEEFF"/>
            </w:tcBorders>
          </w:tcPr>
          <w:p>
            <w:pPr>
              <w:spacing w:after="0"/>
              <w:rPr>
                <w:sz w:val="15"/>
                <w:szCs w:val="15"/>
                <w:color w:val="auto"/>
              </w:rPr>
            </w:pPr>
          </w:p>
        </w:tc>
        <w:tc>
          <w:tcPr>
            <w:tcW w:w="75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Revolving credit facility availability</w:t>
            </w: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liquidity</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 xml:space="preserve">The Company’s liquidity includes $485 million and $516 million of restricted cash balances as of March 31, 2024 and December 31, 2023, respectively. Restricted cash consists primarily of funds to satisfy the requirements of certain debt arrangements and funds held within the Company’s facilities that are restricted in their use. As of </w:t>
      </w:r>
      <w:r>
        <w:rPr>
          <w:rFonts w:ascii="Times New Roman" w:cs="Times New Roman" w:eastAsia="Times New Roman" w:hAnsi="Times New Roman"/>
          <w:sz w:val="14"/>
          <w:szCs w:val="14"/>
          <w:color w:val="000000"/>
        </w:rPr>
        <w:t>March 31, 2024, these restricted funds were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comprised of $173 million designated to fund operating expenses, approximately $187 million designated for current debt service payments and $87 million restricted for reserves including debt service, performance obligations and other reserves, as well as capital expenditures. The remaining $38 million is held in distribution reserve accounts.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Clearway Energy LLC and Clearway Energy Operating LLC Revolving Credit Facility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As of March 31, 2024, the Company had no outstanding borrowings under the revolving credit facility and $228 million in letters of credit outstanding. </w:t>
      </w:r>
      <w:r>
        <w:rPr>
          <w:rFonts w:ascii="Times New Roman" w:cs="Times New Roman" w:eastAsia="Times New Roman" w:hAnsi="Times New Roman"/>
          <w:sz w:val="14"/>
          <w:szCs w:val="14"/>
          <w:color w:val="231F20"/>
        </w:rPr>
        <w:t>The facility will continue to be used 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general corporate purposes including financing of future acquisitions and posting letters of credit.</w:t>
      </w:r>
    </w:p>
    <w:p>
      <w:pPr>
        <w:spacing w:after="0" w:line="8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2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Credit Ratings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7" w:name="page38"/>
    <w:bookmarkEnd w:id="37"/>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credit ratings for the Company and its Senior Notes as of March 31,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1"/>
                <w:szCs w:val="11"/>
                <w:b w:val="1"/>
                <w:bCs w:val="1"/>
                <w:color w:val="auto"/>
              </w:rPr>
              <w:t>S&amp;P</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Moody’s</w:t>
            </w:r>
          </w:p>
        </w:tc>
      </w:tr>
      <w:tr>
        <w:trPr>
          <w:trHeight w:val="180"/>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Clearway Energy, Inc.</w:t>
            </w:r>
          </w:p>
        </w:tc>
        <w:tc>
          <w:tcPr>
            <w:tcW w:w="15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4.750% Senior Notes, due 2028</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3.750% Senior Notes, due 2031</w:t>
            </w: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4"/>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3.750% Senior Notes, due 2032</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Sources of Liquidity</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xml:space="preserve">, to this Form 10-Q and Item 15 — Note 10,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to the consolidated financial statements included in the Company’s 2023 Form 10-K, the Company’s financing arrangements consist of corporate level debt, which includes Senior Notes and the revolving credit facility; the ATM Program; and facility-level financings for its various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Uses of Liquidity</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(ii) capital expenditures; (iii) off-balance sheet arrangements; (iv) acquisitions and investments, as described more fully in</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Note 3,</w:t>
      </w:r>
      <w:r>
        <w:rPr>
          <w:rFonts w:ascii="Times New Roman" w:cs="Times New Roman" w:eastAsia="Times New Roman" w:hAnsi="Times New Roman"/>
          <w:sz w:val="14"/>
          <w:szCs w:val="14"/>
          <w:i w:val="1"/>
          <w:iCs w:val="1"/>
          <w:color w:val="000000"/>
        </w:rPr>
        <w:t xml:space="preserve"> Acquisitions</w:t>
      </w:r>
      <w:r>
        <w:rPr>
          <w:rFonts w:ascii="Times New Roman" w:cs="Times New Roman" w:eastAsia="Times New Roman" w:hAnsi="Times New Roman"/>
          <w:sz w:val="14"/>
          <w:szCs w:val="14"/>
          <w:color w:val="231F20"/>
        </w:rPr>
        <w:t>; and (v) cash dividends to investors.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Capital Expenditures</w:t>
      </w:r>
    </w:p>
    <w:p>
      <w:pPr>
        <w:spacing w:after="0" w:line="138"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pacing w:after="0" w:line="26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231F20"/>
        </w:rPr>
        <w:t xml:space="preserve">For the three months ended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xml:space="preserve">, the Company used approximately $98 million to fund capital expenditures, including growth </w:t>
      </w:r>
      <w:r>
        <w:rPr>
          <w:rFonts w:ascii="Times New Roman" w:cs="Times New Roman" w:eastAsia="Times New Roman" w:hAnsi="Times New Roman"/>
          <w:sz w:val="14"/>
          <w:szCs w:val="14"/>
          <w:color w:val="000000"/>
        </w:rPr>
        <w:t>expenditures of $96 million in the Renewables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segment, funded through construction-related financing. Renewables segment capital expenditures included $56 million incurred in connection with the Victory Pass and Arica solar and BESS facilities, $14 million incurred in connection with the Daggett 2 solar and BESS facility, $8 million incurred in connection with the Rosamond Central BESS addition, $8 million incurred in connection with the Daggett 3 solar and BESS facility, $7 million incurred in connection with the Texas Solar Nova 1 solar facility and $3 million incurred by other wind and solar facilities. In addition, the Company incurred $2 million in maintenance capital expenditures. The Company estimates $40 million of maintenance expenditures for 2024. These estimates are subject to continuing review and adjustment. Actual capital expenditures may vary from these estimates.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under Certain Guarantee Contracts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may enter into guarantee arrangements in the normal course of business to facilitate commercial transactions with third parties.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Retained or Contingent Interests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does not have any material retained or contingent interests in assets transferred to an unconsolidated entity.</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Arising Out of a Variable Interest in an Unconsolidated Entity</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Variable interest in equity investments </w:t>
      </w:r>
      <w:r>
        <w:rPr>
          <w:rFonts w:ascii="Times New Roman" w:cs="Times New Roman" w:eastAsia="Times New Roman" w:hAnsi="Times New Roman"/>
          <w:sz w:val="14"/>
          <w:szCs w:val="14"/>
          <w:color w:val="auto"/>
        </w:rPr>
        <w:t>— As of March 31, 2024, the Company has several investments with an ownership interest percentage of 50% or less. GenConn and Rosie Central BESS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VIEs for which the Company is not the primary beneficiary. The Company’s pro-rata share of non-recourse debt held by unconsolidated affiliates was approximately $299 million as of March 31, 2024. This indebtedness may restrict the ability of these subsidiaries to issue dividends or distributions to the Company.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Commercial Commitments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 w:cs="Times New Roman" w:eastAsia="Times New Roman" w:hAnsi="Times New Roman"/>
          <w:sz w:val="14"/>
          <w:szCs w:val="14"/>
          <w:color w:val="231F20"/>
        </w:rPr>
        <w:t>2023</w:t>
      </w:r>
      <w:r>
        <w:rPr>
          <w:rFonts w:ascii="Times New Roman" w:cs="Times New Roman" w:eastAsia="Times New Roman" w:hAnsi="Times New Roman"/>
          <w:sz w:val="14"/>
          <w:szCs w:val="14"/>
          <w:color w:val="auto"/>
        </w:rPr>
        <w:t xml:space="preserve"> Form 10-K.</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Acquisitions and Investments</w:t>
      </w:r>
    </w:p>
    <w:p>
      <w:pPr>
        <w:spacing w:after="0" w:line="1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8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Victory Pass and Arica Drop Down — </w:t>
      </w:r>
      <w:r>
        <w:rPr>
          <w:rFonts w:ascii="Times New Roman" w:cs="Times New Roman" w:eastAsia="Times New Roman" w:hAnsi="Times New Roman"/>
          <w:sz w:val="14"/>
          <w:szCs w:val="14"/>
          <w:color w:val="auto"/>
        </w:rPr>
        <w:t>On May 1, 2024, when the Victory Pass and Arica solar and BESS facilities reached substantial completion, the Company paid $165 million to Clearway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Renew as an additional purchase price, in connection with the Company’s acquisition of the Class A membership interests in VP-Arica TargetCo LLC on October 31, 2023, which was funded with existing sources of liquidity. During the three months ended March 31, 2024, the Company borrowed an additional $62 million in tax equity bridge loans. Also on May 1, 2024, the cash equity investor contributed an additional $347 million, the tax equity investor contributed an additional $410 million and CEG contributed $52 million, which were utilized, along with the $103 million in escrow, to repay the cash equity bridge loan, to repay the tax equity bridge loan, to fund construction completion reserves and to pay associated fees.</w:t>
      </w:r>
    </w:p>
    <w:p>
      <w:pPr>
        <w:spacing w:after="0" w:line="9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Cedar Creek Drop Down — </w:t>
      </w:r>
      <w:r>
        <w:rPr>
          <w:rFonts w:ascii="Times New Roman" w:cs="Times New Roman" w:eastAsia="Times New Roman" w:hAnsi="Times New Roman"/>
          <w:sz w:val="14"/>
          <w:szCs w:val="14"/>
          <w:color w:val="auto"/>
        </w:rPr>
        <w:t>On April 16, 2024, the Company, through its indirect subsidiary, Cedar Creek Wind Holdco LLC, acquired Cedar Creek Holdco LLC, a 160 MW wind facility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is located in Bingham County, Idaho, from Clearway Renew for cash consideration of $117 million. Cedar Creek Wind Holdco LLC consolidates as primary beneficiary, Cedar Creek TE Holdco LLC, a tax equity fund that owns the Cedar Creek wind facility. Also on April 16, 2024, a tax equity investor contributed $108 million to acquire the Class A membership interests in Cedar Creek TE Holdco LLC. Cedar Creek has a 25-year PPA with an investment-grade utility that commenced in March 2024. The acquisition was funded with existing sources of liquidity.</w:t>
      </w:r>
    </w:p>
    <w:p>
      <w:pPr>
        <w:spacing w:after="0" w:line="95"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Texas Solar Nova 2 Drop Down — </w:t>
      </w:r>
      <w:r>
        <w:rPr>
          <w:rFonts w:ascii="Times New Roman" w:cs="Times New Roman" w:eastAsia="Times New Roman" w:hAnsi="Times New Roman"/>
          <w:sz w:val="14"/>
          <w:szCs w:val="14"/>
          <w:color w:val="auto"/>
        </w:rPr>
        <w:t>On March 15, 2024, the Company, through its indirect subsidiary, TSN1 TE Holdco LLC, acquired Texas Solar Nova 2, LLC, a 200 MW solar facility that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the Texas Solar Nova 1 and Texas Solar Nova 2 solar facilities. Texas Solar Nova 2 has an 18-year PPA with an investment-grade counterparty that commenced in March 2024. The Company’s portion of the purchase price was funded with existing sources of liquidity. Additionally, the Company assumed the facility’s financing agreement, which included a tax equity bridge loan that was repaid at acquisition date and a term loan.</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Cash Dividends to Investors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 w:cs="Times New Roman" w:eastAsia="Times New Roman" w:hAnsi="Times New Roman"/>
          <w:sz w:val="14"/>
          <w:szCs w:val="14"/>
          <w:color w:val="000000"/>
        </w:rPr>
        <w:t>he Class A common stock and Class C common stock are subject to available capital, market conditions and compliance with associated laws, regulations and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other contractual obligations. The Company expects that, based on current circumstances, comparable cash dividends will continue to be paid in the foreseeable future.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dividends paid on the Company’s Class A common stock and Class C common stock during the three months ended March 31, 2024: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7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per Class A share</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4"/>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per Class C share</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bl>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9, 2024, the Company declared quarterly dividends on its Class A and Class C common stock of $0.4102 per share payable on June 17, 2024 to stockholders of record as of June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Cash Flow Discussion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reflect the changes in cash flows for the comparative periods: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40" w:type="dxa"/>
            <w:vAlign w:val="bottom"/>
          </w:tcPr>
          <w:p>
            <w:pPr>
              <w:spacing w:after="0"/>
              <w:rPr>
                <w:sz w:val="13"/>
                <w:szCs w:val="13"/>
                <w:color w:val="auto"/>
              </w:rPr>
            </w:pPr>
          </w:p>
        </w:tc>
        <w:tc>
          <w:tcPr>
            <w:tcW w:w="240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7240" w:type="dxa"/>
            <w:vAlign w:val="bottom"/>
          </w:tcPr>
          <w:p>
            <w:pPr>
              <w:spacing w:after="0"/>
              <w:rPr>
                <w:sz w:val="13"/>
                <w:szCs w:val="13"/>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0"/>
        </w:trPr>
        <w:tc>
          <w:tcPr>
            <w:tcW w:w="7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81</w:t>
            </w:r>
          </w:p>
        </w:tc>
        <w:tc>
          <w:tcPr>
            <w:tcW w:w="104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75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6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(203)</w:t>
            </w:r>
          </w:p>
        </w:tc>
        <w:tc>
          <w:tcPr>
            <w:tcW w:w="1040" w:type="dxa"/>
            <w:vAlign w:val="bottom"/>
          </w:tcPr>
          <w:p>
            <w:pPr>
              <w:spacing w:after="0"/>
              <w:rPr>
                <w:sz w:val="15"/>
                <w:szCs w:val="15"/>
                <w:color w:val="auto"/>
              </w:rPr>
            </w:pPr>
          </w:p>
        </w:tc>
        <w:tc>
          <w:tcPr>
            <w:tcW w:w="3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4"/>
              </w:rPr>
              <w:t>(86)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w:t>
            </w: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28</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bl>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ectPr>
          <w:pgSz w:w="11900" w:h="16838" w:orient="portrait"/>
          <w:cols w:equalWidth="0" w:num="1">
            <w:col w:w="11280"/>
          </w:cols>
          <w:pgMar w:left="300" w:top="727" w:right="319" w:bottom="1440" w:gutter="0" w:footer="0" w:header="0"/>
        </w:sectPr>
      </w:pP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Increase in operating income after adjusting for non-cash items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Increase in distributions from unconsolidated affiliates</w:t>
      </w:r>
    </w:p>
    <w:p>
      <w:pPr>
        <w:spacing w:after="0" w:line="19" w:lineRule="exact"/>
        <w:rPr>
          <w:sz w:val="20"/>
          <w:szCs w:val="20"/>
          <w:color w:val="auto"/>
        </w:rPr>
      </w:pPr>
    </w:p>
    <w:p>
      <w:pPr>
        <w:ind w:left="100"/>
        <w:spacing w:after="0" w:line="237" w:lineRule="auto"/>
        <w:rPr>
          <w:sz w:val="20"/>
          <w:szCs w:val="20"/>
          <w:color w:val="auto"/>
        </w:rPr>
      </w:pPr>
      <w:r>
        <w:rPr>
          <w:rFonts w:ascii="Times New Roman" w:cs="Times New Roman" w:eastAsia="Times New Roman" w:hAnsi="Times New Roman"/>
          <w:sz w:val="14"/>
          <w:szCs w:val="14"/>
          <w:color w:val="auto"/>
        </w:rPr>
        <w:t>Decrease in working capital primarily driven by the timing of accounts receivable collections and payments of current liabilities, including accounts payable and current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61530" cy="2089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1120" w:hanging="1116"/>
        <w:spacing w:after="0"/>
        <w:tabs>
          <w:tab w:leader="none" w:pos="1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w:t>
      </w:r>
    </w:p>
    <w:p>
      <w:pPr>
        <w:spacing w:after="0" w:line="23" w:lineRule="exact"/>
        <w:rPr>
          <w:rFonts w:ascii="Times New Roman" w:cs="Times New Roman" w:eastAsia="Times New Roman" w:hAnsi="Times New Roman"/>
          <w:sz w:val="14"/>
          <w:szCs w:val="14"/>
          <w:color w:val="auto"/>
        </w:rPr>
      </w:pPr>
    </w:p>
    <w:p>
      <w:pPr>
        <w:ind w:left="1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w:t>
      </w:r>
    </w:p>
    <w:p>
      <w:pPr>
        <w:spacing w:after="0" w:line="16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0835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10" w:lineRule="exact"/>
        <w:rPr>
          <w:sz w:val="20"/>
          <w:szCs w:val="20"/>
          <w:color w:val="auto"/>
        </w:rPr>
      </w:pPr>
    </w:p>
    <w:p>
      <w:pPr>
        <w:ind w:left="1120" w:hanging="1116"/>
        <w:spacing w:after="0"/>
        <w:tabs>
          <w:tab w:leader="none" w:pos="1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0835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0835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80835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40" w:space="380"/>
            <w:col w:w="1260"/>
          </w:cols>
          <w:pgMar w:left="300" w:top="727" w:right="319" w:bottom="1440" w:gutter="0" w:footer="0" w:header="0"/>
          <w:type w:val="continuous"/>
        </w:sectPr>
      </w:pP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ectPr>
          <w:pgSz w:w="11900" w:h="16838" w:orient="portrait"/>
          <w:cols w:equalWidth="0" w:num="1">
            <w:col w:w="11280"/>
          </w:cols>
          <w:pgMar w:left="300" w:top="727" w:right="319" w:bottom="1440" w:gutter="0" w:footer="0" w:header="0"/>
          <w:type w:val="continuous"/>
        </w:sectPr>
      </w:pP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Increase in cash paid for Drop Down Assets, net of cash acquired</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Increase in capital expenditures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the 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96"/>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916" w:hanging="916"/>
        <w:spacing w:after="0"/>
        <w:tabs>
          <w:tab w:leader="none" w:pos="9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w:t>
      </w:r>
    </w:p>
    <w:p>
      <w:pPr>
        <w:spacing w:after="0" w:line="23" w:lineRule="exact"/>
        <w:rPr>
          <w:rFonts w:ascii="Times New Roman" w:cs="Times New Roman" w:eastAsia="Times New Roman" w:hAnsi="Times New Roman"/>
          <w:sz w:val="14"/>
          <w:szCs w:val="14"/>
          <w:color w:val="auto"/>
        </w:rPr>
      </w:pPr>
    </w:p>
    <w:p>
      <w:pPr>
        <w:ind w:left="99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w:t>
      </w:r>
    </w:p>
    <w:p>
      <w:pPr>
        <w:spacing w:after="0" w:line="19" w:lineRule="exact"/>
        <w:rPr>
          <w:rFonts w:ascii="Times New Roman" w:cs="Times New Roman" w:eastAsia="Times New Roman" w:hAnsi="Times New Roman"/>
          <w:sz w:val="14"/>
          <w:szCs w:val="14"/>
          <w:color w:val="auto"/>
        </w:rPr>
      </w:pPr>
    </w:p>
    <w:p>
      <w:pPr>
        <w:ind w:left="105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w:t>
      </w:r>
    </w:p>
    <w:p>
      <w:pPr>
        <w:spacing w:after="0" w:line="19" w:lineRule="exact"/>
        <w:rPr>
          <w:rFonts w:ascii="Times New Roman" w:cs="Times New Roman" w:eastAsia="Times New Roman" w:hAnsi="Times New Roman"/>
          <w:sz w:val="14"/>
          <w:szCs w:val="14"/>
          <w:color w:val="auto"/>
        </w:rPr>
      </w:pPr>
    </w:p>
    <w:p>
      <w:pPr>
        <w:ind w:left="111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26" w:lineRule="exact"/>
        <w:rPr>
          <w:sz w:val="20"/>
          <w:szCs w:val="20"/>
          <w:color w:val="auto"/>
        </w:rPr>
      </w:pPr>
    </w:p>
    <w:p>
      <w:pPr>
        <w:ind w:left="936" w:hanging="936"/>
        <w:spacing w:after="0"/>
        <w:tabs>
          <w:tab w:leader="none" w:pos="936"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80835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487" w:lineRule="exact"/>
        <w:rPr>
          <w:sz w:val="20"/>
          <w:szCs w:val="20"/>
          <w:color w:val="auto"/>
        </w:rPr>
      </w:pPr>
    </w:p>
    <w:p>
      <w:pPr>
        <w:sectPr>
          <w:pgSz w:w="11900" w:h="16838" w:orient="portrait"/>
          <w:cols w:equalWidth="0" w:num="2">
            <w:col w:w="9304" w:space="720"/>
            <w:col w:w="1256"/>
          </w:cols>
          <w:pgMar w:left="300" w:top="727"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in net cash provided by financing activities were driven by:</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1"/>
        </w:trPr>
        <w:tc>
          <w:tcPr>
            <w:tcW w:w="10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payments for long-term debt and an increase in proceeds from issuance of long-term debt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0"/>
        </w:trPr>
        <w:tc>
          <w:tcPr>
            <w:tcW w:w="10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of debt issuance costs in 2023</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10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contributions from noncontrolling interests, net of distributions</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0"/>
        </w:trPr>
        <w:tc>
          <w:tcPr>
            <w:tcW w:w="10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Increase in dividends paid to common stockholders and distributions paid to CEG unit holders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100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1000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231F20"/>
              </w:rPr>
              <w:t>40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10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NOLs, Deferred Tax Assets and Uncertain Tax Position Implications, under ASC 740</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December 31, 2023, the Company had a cumulative federal NOL carryforward balance of $353 million for financial statement purposes, none of which were subject to expiration. Additionally, as of December 31, 2023, the Company had a cumulative state NOL carryforward balance of $102 million for financial statement purposes, which will expire between 2024 and 2040 if unutilized. The Company does not anticipate material income tax payments through 2026. In addition, as of December 31, 2023, the Company had PTC and ITC carryforward balances totaling $21 million, which will expire between 2035 and 2043 if unutilized.</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2023, the Company had an interest disallowance carryforward of $75 million as a result of Internal Revenue Code §163(j). The disallowed interest deduction has an indefinite carryforward period and any limitations on the utilization of this carryforward have been factored into the Company’s valuation allowance analysis.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did not make any income tax payments during the three months ended March 31, 2024. The Company does not anticipate being subject to the corporate minimum tax on financial statement income as enacted by the recently passed the IRA, which is discussed in further detail below.</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IRA contains a number of revisions to the Internal Revenue Code, including a 15% corporate minimum income tax for certain taxpayers, a 1% excise tax on corporate stock repurchases in tax years beginning after December 31, 2022 and business tax credits and incentives for the development of clean energy facilities and the production of clean energy. The Company continues to analyze the potential impact of the IRA and monitor guidance to be issued by the United States Department of the Treasury, but it does not anticipate the corporate minimum tax will apply to it or that the IRA will otherwise have a material impact on its consolidated financial statements.</w:t>
      </w:r>
    </w:p>
    <w:p>
      <w:pPr>
        <w:spacing w:after="0" w:line="9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is subject to examination by taxing authorities for income tax returns filed in the U.S. federal and various state jurisdictions. All tax returns filed by the Company for the year ended December 31, 2013 and forward remain subject to audit. As of December 31, 2023, the U.S. federal partnership returns of three of the Company’s subsidiaries are under audit by the IRS. The IRS has issued proposed adjustments with respect to one of the subsidiaries under audit, which the Company believes that such proposed adjustments are without merit and would not impact the Company’s tax liability or the tax liability of such subsidiary. The IRS has not yet issued any proposed adjustments with respect to the other two subsidiaries under audit. The Company believes that the ultimate resolution of each of these audits will not be material to the Company’s financial condition, results of operations or liquidity. The Company believes that an adequate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has no material uncertain tax benefits as of March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xml:space="preserve">, based on their level within the fair value hierarchy defined in ASC 820; and indicate the maturities of contracts at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For a full discussion of the Company’s valuation methodology of its contracts, see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231F20"/>
        </w:rPr>
        <w:t>Derivative Fair Value Measurements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w:t>
      </w:r>
      <w:r>
        <w:rPr>
          <w:rFonts w:ascii="Times New Roman" w:cs="Times New Roman" w:eastAsia="Times New Roman" w:hAnsi="Times New Roman"/>
          <w:sz w:val="14"/>
          <w:szCs w:val="14"/>
          <w:color w:val="000000"/>
        </w:rPr>
        <w:t xml:space="preserve"> Note 5</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Derivative Activity (Losses) Gains</w:t>
            </w:r>
          </w:p>
        </w:tc>
        <w:tc>
          <w:tcPr>
            <w:tcW w:w="5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6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2023</w:t>
            </w:r>
          </w:p>
        </w:tc>
        <w:tc>
          <w:tcPr>
            <w:tcW w:w="57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2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Changes in fair value</w:t>
            </w:r>
          </w:p>
        </w:tc>
        <w:tc>
          <w:tcPr>
            <w:tcW w:w="57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contracts as of March 31, 2024</w:t>
            </w:r>
          </w:p>
        </w:tc>
        <w:tc>
          <w:tcPr>
            <w:tcW w:w="57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bottom w:val="single" w:sz="8" w:color="CCEEFF"/>
            </w:tcBorders>
            <w:vMerge w:val="restart"/>
          </w:tcPr>
          <w:p>
            <w:pPr>
              <w:jc w:val="right"/>
              <w:ind w:right="4129"/>
              <w:spacing w:after="0"/>
              <w:rPr>
                <w:sz w:val="20"/>
                <w:szCs w:val="20"/>
                <w:color w:val="auto"/>
              </w:rPr>
            </w:pPr>
            <w:r>
              <w:rPr>
                <w:rFonts w:ascii="Times New Roman" w:cs="Times New Roman" w:eastAsia="Times New Roman" w:hAnsi="Times New Roman"/>
                <w:sz w:val="14"/>
                <w:szCs w:val="14"/>
                <w:color w:val="231F20"/>
              </w:rPr>
              <w:t>41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Fair value of contracts as of March 31, 2024</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Fair Value Hierarchy (Losses) Gains</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Greater Than</w:t>
            </w:r>
          </w:p>
        </w:tc>
        <w:tc>
          <w:tcPr>
            <w:tcW w:w="10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Greater Than</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Greater Than</w:t>
            </w:r>
          </w:p>
        </w:tc>
        <w:tc>
          <w:tcPr>
            <w:tcW w:w="220" w:type="dxa"/>
            <w:vAlign w:val="bottom"/>
          </w:tcPr>
          <w:p>
            <w:pPr>
              <w:spacing w:after="0"/>
              <w:rPr>
                <w:sz w:val="12"/>
                <w:szCs w:val="12"/>
                <w:color w:val="auto"/>
              </w:rPr>
            </w:pPr>
          </w:p>
        </w:tc>
        <w:tc>
          <w:tcPr>
            <w:tcW w:w="920" w:type="dxa"/>
            <w:vAlign w:val="bottom"/>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w w:val="99"/>
              </w:rPr>
              <w:t>Total Fair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tcBorders>
              <w:bottom w:val="single" w:sz="8" w:color="auto"/>
            </w:tcBorders>
            <w:vMerge w:val="continue"/>
          </w:tcPr>
          <w:p>
            <w:pPr>
              <w:spacing w:after="0"/>
              <w:rPr>
                <w:sz w:val="10"/>
                <w:szCs w:val="10"/>
                <w:color w:val="auto"/>
              </w:rPr>
            </w:pPr>
          </w:p>
        </w:tc>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80"/>
              <w:spacing w:after="0" w:line="107" w:lineRule="exact"/>
              <w:rPr>
                <w:sz w:val="20"/>
                <w:szCs w:val="20"/>
                <w:color w:val="auto"/>
              </w:rPr>
            </w:pPr>
            <w:r>
              <w:rPr>
                <w:rFonts w:ascii="Times New Roman" w:cs="Times New Roman" w:eastAsia="Times New Roman" w:hAnsi="Times New Roman"/>
                <w:sz w:val="11"/>
                <w:szCs w:val="11"/>
                <w:b w:val="1"/>
                <w:bCs w:val="1"/>
                <w:color w:val="auto"/>
              </w:rPr>
              <w:t>1 Year or Less</w:t>
            </w:r>
          </w:p>
        </w:tc>
        <w:tc>
          <w:tcPr>
            <w:tcW w:w="100" w:type="dxa"/>
            <w:vAlign w:val="bottom"/>
          </w:tcPr>
          <w:p>
            <w:pPr>
              <w:spacing w:after="0"/>
              <w:rPr>
                <w:sz w:val="10"/>
                <w:szCs w:val="10"/>
                <w:color w:val="auto"/>
              </w:rPr>
            </w:pPr>
          </w:p>
        </w:tc>
        <w:tc>
          <w:tcPr>
            <w:tcW w:w="114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1"/>
                <w:szCs w:val="11"/>
                <w:b w:val="1"/>
                <w:bCs w:val="1"/>
                <w:color w:val="auto"/>
              </w:rPr>
              <w:t>1 Year to 3 Years</w:t>
            </w: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w w:val="99"/>
              </w:rPr>
              <w:t>3 Years to 5 Years</w:t>
            </w:r>
          </w:p>
        </w:tc>
        <w:tc>
          <w:tcPr>
            <w:tcW w:w="180" w:type="dxa"/>
            <w:vAlign w:val="bottom"/>
          </w:tcPr>
          <w:p>
            <w:pPr>
              <w:spacing w:after="0"/>
              <w:rPr>
                <w:sz w:val="10"/>
                <w:szCs w:val="10"/>
                <w:color w:val="auto"/>
              </w:rPr>
            </w:pPr>
          </w:p>
        </w:tc>
        <w:tc>
          <w:tcPr>
            <w:tcW w:w="1200" w:type="dxa"/>
            <w:vAlign w:val="bottom"/>
            <w:gridSpan w:val="2"/>
          </w:tcPr>
          <w:p>
            <w:pPr>
              <w:jc w:val="center"/>
              <w:ind w:right="300"/>
              <w:spacing w:after="0" w:line="107" w:lineRule="exact"/>
              <w:rPr>
                <w:sz w:val="20"/>
                <w:szCs w:val="20"/>
                <w:color w:val="auto"/>
              </w:rPr>
            </w:pPr>
            <w:r>
              <w:rPr>
                <w:rFonts w:ascii="Times New Roman" w:cs="Times New Roman" w:eastAsia="Times New Roman" w:hAnsi="Times New Roman"/>
                <w:sz w:val="11"/>
                <w:szCs w:val="11"/>
                <w:b w:val="1"/>
                <w:bCs w:val="1"/>
                <w:color w:val="auto"/>
                <w:w w:val="94"/>
              </w:rPr>
              <w:t>5 Years</w:t>
            </w:r>
          </w:p>
        </w:tc>
        <w:tc>
          <w:tcPr>
            <w:tcW w:w="220" w:type="dxa"/>
            <w:vAlign w:val="bottom"/>
          </w:tcPr>
          <w:p>
            <w:pPr>
              <w:spacing w:after="0"/>
              <w:rPr>
                <w:sz w:val="10"/>
                <w:szCs w:val="10"/>
                <w:color w:val="auto"/>
              </w:rPr>
            </w:pPr>
          </w:p>
        </w:tc>
        <w:tc>
          <w:tcPr>
            <w:tcW w:w="920" w:type="dxa"/>
            <w:vAlign w:val="bottom"/>
          </w:tcPr>
          <w:p>
            <w:pPr>
              <w:jc w:val="center"/>
              <w:ind w:right="135"/>
              <w:spacing w:after="0" w:line="107"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center"/>
              <w:ind w:left="737"/>
              <w:spacing w:after="0"/>
              <w:rPr>
                <w:sz w:val="20"/>
                <w:szCs w:val="20"/>
                <w:color w:val="auto"/>
              </w:rPr>
            </w:pPr>
            <w:r>
              <w:rPr>
                <w:rFonts w:ascii="Times New Roman" w:cs="Times New Roman" w:eastAsia="Times New Roman" w:hAnsi="Times New Roman"/>
                <w:sz w:val="14"/>
                <w:szCs w:val="14"/>
                <w:color w:val="auto"/>
                <w:w w:val="99"/>
              </w:rPr>
              <w:t>61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4"/>
                <w:szCs w:val="14"/>
                <w:color w:val="auto"/>
                <w:w w:val="95"/>
              </w:rPr>
              <w:t>157</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Level 3</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697"/>
              <w:spacing w:after="0"/>
              <w:rPr>
                <w:sz w:val="20"/>
                <w:szCs w:val="20"/>
                <w:color w:val="auto"/>
              </w:rPr>
            </w:pPr>
            <w:r>
              <w:rPr>
                <w:rFonts w:ascii="Times New Roman" w:cs="Times New Roman" w:eastAsia="Times New Roman" w:hAnsi="Times New Roman"/>
                <w:sz w:val="14"/>
                <w:szCs w:val="14"/>
                <w:color w:val="auto"/>
                <w:w w:val="94"/>
              </w:rPr>
              <w:t>(95)</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4"/>
                <w:szCs w:val="14"/>
                <w:color w:val="auto"/>
                <w:w w:val="98"/>
              </w:rPr>
              <w:t>(353)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center"/>
              <w:ind w:left="697"/>
              <w:spacing w:after="0"/>
              <w:rPr>
                <w:sz w:val="20"/>
                <w:szCs w:val="20"/>
                <w:color w:val="auto"/>
              </w:rPr>
            </w:pPr>
            <w:r>
              <w:rPr>
                <w:rFonts w:ascii="Times New Roman" w:cs="Times New Roman" w:eastAsia="Times New Roman" w:hAnsi="Times New Roman"/>
                <w:sz w:val="14"/>
                <w:szCs w:val="14"/>
                <w:color w:val="auto"/>
                <w:w w:val="94"/>
              </w:rPr>
              <w:t>(34)</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4"/>
                <w:szCs w:val="14"/>
                <w:color w:val="auto"/>
                <w:w w:val="98"/>
              </w:rPr>
              <w:t>(196)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has elected to disclose derivative assets and liabilities on a trade-by-trade basis and does not offset amounts at the counterparty master agreement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HLBV, acquisition accounting and determining the fair value of financial instruments.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Developments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for a discussion of recent accounting developments.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ITEM 3 — Quantitative and Qualitative Disclosures About Market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4"/>
          <w:szCs w:val="14"/>
          <w:color w:val="000000"/>
        </w:rPr>
        <w:t>The following disclosures about market risk provide an update to, and should be read in conjunction with, Item 7A —</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Quantitative and Qualitative Disclosures About Market Risk,</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of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Company’s 2023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Commodity Price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Based on a sensitivity analysis using simplified assumptions, the impact of a $0.50 per MWh increase or decrease in power prices across the term of the long-term power commodity contracts would cause a change of approximately $6 million to the net value of the related derivatives as of March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Interest Rate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4"/>
          <w:szCs w:val="14"/>
          <w:color w:val="000000"/>
        </w:rPr>
        <w:t>Note 6</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Derivative Instruments and Hedging Activities</w:t>
      </w:r>
      <w:r>
        <w:rPr>
          <w:rFonts w:ascii="Times New Roman" w:cs="Times New Roman" w:eastAsia="Times New Roman" w:hAnsi="Times New Roman"/>
          <w:sz w:val="14"/>
          <w:szCs w:val="14"/>
          <w:color w:val="231F20"/>
        </w:rPr>
        <w:t>, for more information.</w:t>
      </w:r>
    </w:p>
    <w:p>
      <w:pPr>
        <w:spacing w:after="0" w:line="9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231F20"/>
        </w:rPr>
        <w:t xml:space="preserve">Most of the Company’s subsidiaries enter into interest rate swaps intended to hedge the risks associated with interest rates on non-recourse facility-level debt. See Item 15 — </w:t>
      </w:r>
      <w:r>
        <w:rPr>
          <w:rFonts w:ascii="Times New Roman" w:cs="Times New Roman" w:eastAsia="Times New Roman" w:hAnsi="Times New Roman"/>
          <w:sz w:val="14"/>
          <w:szCs w:val="14"/>
          <w:color w:val="000000"/>
        </w:rPr>
        <w:t>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to the Company’s</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audited consolidated financial statements for the year ended December 31, 2023 included in the 2023 Form 10-K</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for more information about interest rate swaps of the</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Company’s subsidiaries.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If all of the interest rate swaps had been discontinued on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xml:space="preserve">, the counterparties would have owed the Company </w:t>
      </w:r>
      <w:r>
        <w:rPr>
          <w:rFonts w:ascii="Times New Roman" w:cs="Times New Roman" w:eastAsia="Times New Roman" w:hAnsi="Times New Roman"/>
          <w:sz w:val="14"/>
          <w:szCs w:val="14"/>
          <w:color w:val="000000"/>
        </w:rPr>
        <w:t>$163 million.</w:t>
      </w:r>
      <w:r>
        <w:rPr>
          <w:rFonts w:ascii="Times New Roman" w:cs="Times New Roman" w:eastAsia="Times New Roman" w:hAnsi="Times New Roman"/>
          <w:sz w:val="14"/>
          <w:szCs w:val="14"/>
          <w:color w:val="231F20"/>
        </w:rPr>
        <w:t xml:space="preserve"> Based on the credit ratings of the counterparties, the Company believes its exposure to credit risk due to nonperformance by counterparties to its hedge contracts to be insignificant.</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a change of 1%, or 100 basis points, in interest rates would result in an approximately $5 million change in market interest expense on a rolling twelve-month basis.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the fair value of the Company’s debt was $7.63 billion and the carrying value was $8.20 billion. The Company estimates that a decrease of 1%, or 100 basis points, in market interest rates would have increased the fair value of its long-term debt by approximately $322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Liquidity Risk</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Liquidity risk arises from the general funding needs of the Company’s activities and in the management of the Company’s assets and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Counterparty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4"/>
          <w:szCs w:val="14"/>
          <w:color w:val="000000"/>
        </w:rPr>
        <w:t>Note 5</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 to the consolidated financial statements for more information about concentration of credit risk.</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ITEM 4 —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Conclusion Regarding the Effectiveness of Disclosure Controls and Procedures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(as such term is defined in Rule 13a-15(f) under the Exchange Act) during the quarter ended March 31, 2024 that materially affected, or are reasonably likely to materially affect, the Company’s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LEGAL PROCEEDINGS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3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Information regarding risk factors appears in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the Company’s 2023 Form 10-K. There have been no material changes in the Company’s risk factors since those reported in its 2023 Form 10-K.</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 UNREGISTERED SALES OF EQUITY SECURITIES AND USE OF PROCEEDS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 DEFAULTS UPON SENIOR SECURITIES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 OTHER INFORMATION</w:t>
      </w:r>
    </w:p>
    <w:p>
      <w:pPr>
        <w:spacing w:after="0" w:line="127"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4"/>
          <w:szCs w:val="14"/>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ITEM 6 — EXHIBITS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1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Method of Filing</w:t>
            </w:r>
          </w:p>
        </w:tc>
      </w:tr>
      <w:tr>
        <w:trPr>
          <w:trHeight w:val="142"/>
        </w:trPr>
        <w:tc>
          <w:tcPr>
            <w:tcW w:w="2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w w:val="87"/>
              </w:rPr>
              <w:t>10.1</w:t>
            </w:r>
          </w:p>
        </w:tc>
        <w:tc>
          <w:tcPr>
            <w:tcW w:w="780" w:type="dxa"/>
            <w:vAlign w:val="bottom"/>
          </w:tcPr>
          <w:p>
            <w:pPr>
              <w:spacing w:after="0"/>
              <w:rPr>
                <w:sz w:val="12"/>
                <w:szCs w:val="12"/>
                <w:color w:val="auto"/>
              </w:rPr>
            </w:pPr>
          </w:p>
        </w:tc>
        <w:tc>
          <w:tcPr>
            <w:tcW w:w="5820" w:type="dxa"/>
            <w:vAlign w:val="bottom"/>
            <w:gridSpan w:val="6"/>
          </w:tcPr>
          <w:p>
            <w:pPr>
              <w:spacing w:after="0" w:line="143" w:lineRule="exact"/>
              <w:rPr>
                <w:sz w:val="20"/>
                <w:szCs w:val="20"/>
                <w:color w:val="auto"/>
              </w:rPr>
            </w:pPr>
            <w:r>
              <w:rPr>
                <w:rFonts w:ascii="Times New Roman" w:cs="Times New Roman" w:eastAsia="Times New Roman" w:hAnsi="Times New Roman"/>
                <w:sz w:val="13"/>
                <w:szCs w:val="13"/>
                <w:color w:val="0000FF"/>
                <w:w w:val="99"/>
              </w:rPr>
              <w:t>Amended and Restated Master Services Agreement, dated as of April 30, 2024, by and among Clearway Energy</w:t>
            </w:r>
          </w:p>
        </w:tc>
        <w:tc>
          <w:tcPr>
            <w:tcW w:w="110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720" w:type="dxa"/>
            <w:vAlign w:val="bottom"/>
            <w:tcBorders>
              <w:top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Group LLC, Clearway Energy, Inc., Clearway Energy LLC and Clearway Energy Operating LLC</w:t>
            </w: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w w:val="87"/>
              </w:rPr>
              <w:t>31.1</w:t>
            </w:r>
          </w:p>
        </w:tc>
        <w:tc>
          <w:tcPr>
            <w:tcW w:w="78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Christopher S. Sotos.</w:t>
            </w:r>
          </w:p>
        </w:tc>
        <w:tc>
          <w:tcPr>
            <w:tcW w:w="1740" w:type="dxa"/>
            <w:vAlign w:val="bottom"/>
            <w:tcBorders>
              <w:top w:val="single" w:sz="8" w:color="0000FF"/>
            </w:tcBorders>
          </w:tcPr>
          <w:p>
            <w:pPr>
              <w:spacing w:after="0"/>
              <w:rPr>
                <w:sz w:val="13"/>
                <w:szCs w:val="13"/>
                <w:color w:val="auto"/>
              </w:rPr>
            </w:pPr>
          </w:p>
        </w:tc>
        <w:tc>
          <w:tcPr>
            <w:tcW w:w="860" w:type="dxa"/>
            <w:vAlign w:val="bottom"/>
            <w:gridSpan w:val="2"/>
          </w:tcPr>
          <w:p>
            <w:pPr>
              <w:spacing w:after="0"/>
              <w:rPr>
                <w:sz w:val="13"/>
                <w:szCs w:val="13"/>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w w:val="87"/>
              </w:rPr>
              <w:t>31.2</w:t>
            </w:r>
          </w:p>
        </w:tc>
        <w:tc>
          <w:tcPr>
            <w:tcW w:w="780" w:type="dxa"/>
            <w:vAlign w:val="bottom"/>
          </w:tcPr>
          <w:p>
            <w:pPr>
              <w:spacing w:after="0"/>
              <w:rPr>
                <w:sz w:val="13"/>
                <w:szCs w:val="13"/>
                <w:color w:val="auto"/>
              </w:rPr>
            </w:pPr>
          </w:p>
        </w:tc>
        <w:tc>
          <w:tcPr>
            <w:tcW w:w="3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Sarah Rubenstein.</w:t>
            </w:r>
          </w:p>
        </w:tc>
        <w:tc>
          <w:tcPr>
            <w:tcW w:w="2760" w:type="dxa"/>
            <w:vAlign w:val="bottom"/>
            <w:gridSpan w:val="4"/>
          </w:tcPr>
          <w:p>
            <w:pPr>
              <w:spacing w:after="0"/>
              <w:rPr>
                <w:sz w:val="13"/>
                <w:szCs w:val="13"/>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780" w:type="dxa"/>
            <w:vAlign w:val="bottom"/>
          </w:tcPr>
          <w:p>
            <w:pPr>
              <w:spacing w:after="0"/>
              <w:rPr>
                <w:sz w:val="13"/>
                <w:szCs w:val="13"/>
                <w:color w:val="auto"/>
              </w:rPr>
            </w:pP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Section 1350 Certification.</w:t>
            </w:r>
          </w:p>
        </w:tc>
        <w:tc>
          <w:tcPr>
            <w:tcW w:w="11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6"/>
              </w:rPr>
              <w:t>Furnished herewith.</w:t>
            </w: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7"/>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INS</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1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SCH</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Schema.</w:t>
            </w:r>
          </w:p>
        </w:tc>
        <w:tc>
          <w:tcPr>
            <w:tcW w:w="1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CAL</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w:t>
            </w:r>
          </w:p>
        </w:tc>
        <w:tc>
          <w:tcPr>
            <w:tcW w:w="1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DEF</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w:t>
            </w:r>
          </w:p>
        </w:tc>
        <w:tc>
          <w:tcPr>
            <w:tcW w:w="1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LAB</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w:t>
            </w:r>
          </w:p>
        </w:tc>
        <w:tc>
          <w:tcPr>
            <w:tcW w:w="1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PRE</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1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32"/>
        </w:trPr>
        <w:tc>
          <w:tcPr>
            <w:tcW w:w="22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104</w:t>
            </w:r>
          </w:p>
        </w:tc>
        <w:tc>
          <w:tcPr>
            <w:tcW w:w="780" w:type="dxa"/>
            <w:vAlign w:val="bottom"/>
          </w:tcPr>
          <w:p>
            <w:pPr>
              <w:spacing w:after="0"/>
              <w:rPr>
                <w:sz w:val="11"/>
                <w:szCs w:val="11"/>
                <w:color w:val="auto"/>
              </w:rPr>
            </w:pPr>
          </w:p>
        </w:tc>
        <w:tc>
          <w:tcPr>
            <w:tcW w:w="5820" w:type="dxa"/>
            <w:vAlign w:val="bottom"/>
            <w:gridSpan w:val="6"/>
          </w:tcPr>
          <w:p>
            <w:pPr>
              <w:spacing w:after="0" w:line="132" w:lineRule="exact"/>
              <w:rPr>
                <w:sz w:val="20"/>
                <w:szCs w:val="20"/>
                <w:color w:val="auto"/>
              </w:rPr>
            </w:pPr>
            <w:r>
              <w:rPr>
                <w:rFonts w:ascii="Times New Roman" w:cs="Times New Roman" w:eastAsia="Times New Roman" w:hAnsi="Times New Roman"/>
                <w:sz w:val="13"/>
                <w:szCs w:val="13"/>
                <w:color w:val="auto"/>
              </w:rPr>
              <w:t>Cover Page Interactive Data File (the cover page interactive data file does not appear in Exhibit 104 because its</w:t>
            </w:r>
          </w:p>
        </w:tc>
        <w:tc>
          <w:tcPr>
            <w:tcW w:w="110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Filed herewith.</w:t>
            </w:r>
          </w:p>
        </w:tc>
      </w:tr>
      <w:tr>
        <w:trPr>
          <w:trHeight w:val="165"/>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tags are embedded within the Inline XBRL document).</w:t>
            </w:r>
          </w:p>
        </w:tc>
        <w:tc>
          <w:tcPr>
            <w:tcW w:w="1100" w:type="dxa"/>
            <w:vAlign w:val="bottom"/>
          </w:tcPr>
          <w:p>
            <w:pPr>
              <w:spacing w:after="0"/>
              <w:rPr>
                <w:sz w:val="14"/>
                <w:szCs w:val="14"/>
                <w:color w:val="auto"/>
              </w:rPr>
            </w:pPr>
          </w:p>
        </w:tc>
      </w:tr>
    </w:tbl>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19"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w:t>
      </w:r>
    </w:p>
    <w:p>
      <w:pPr>
        <w:sectPr>
          <w:pgSz w:w="11900" w:h="16838" w:orient="portrait"/>
          <w:cols w:equalWidth="0" w:num="1">
            <w:col w:w="11280"/>
          </w:cols>
          <w:pgMar w:left="300" w:top="728" w:right="31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May 9, 2024</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CLEARWAY ENERGY, INC.</w:t>
      </w:r>
    </w:p>
    <w:p>
      <w:pPr>
        <w:spacing w:after="0"/>
        <w:rPr>
          <w:sz w:val="20"/>
          <w:szCs w:val="20"/>
          <w:color w:val="auto"/>
        </w:rPr>
      </w:pPr>
      <w:r>
        <w:rPr>
          <w:rFonts w:ascii="Times New Roman" w:cs="Times New Roman" w:eastAsia="Times New Roman" w:hAnsi="Times New Roman"/>
          <w:sz w:val="14"/>
          <w:szCs w:val="14"/>
          <w:color w:val="auto"/>
        </w:rPr>
        <w:t>(Registrant)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90385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90385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p>
      <w:pPr>
        <w:spacing w:after="0" w:line="200" w:lineRule="exact"/>
        <w:rPr>
          <w:sz w:val="20"/>
          <w:szCs w:val="20"/>
          <w:color w:val="auto"/>
        </w:rPr>
      </w:pPr>
    </w:p>
    <w:p>
      <w:pPr>
        <w:sectPr>
          <w:pgSz w:w="11900" w:h="16838" w:orient="portrait"/>
          <w:cols w:equalWidth="0" w:num="2">
            <w:col w:w="6000" w:space="720"/>
            <w:col w:w="4560"/>
          </w:cols>
          <w:pgMar w:left="300" w:top="728" w:right="319" w:bottom="1440" w:gutter="0" w:footer="0" w:header="0"/>
          <w:type w:val="continuous"/>
        </w:sect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47</w:t>
      </w:r>
    </w:p>
    <w:p>
      <w:pPr>
        <w:sectPr>
          <w:pgSz w:w="11900" w:h="16838" w:orient="portrait"/>
          <w:cols w:equalWidth="0" w:num="1">
            <w:col w:w="11280"/>
          </w:cols>
          <w:pgMar w:left="300" w:top="728" w:right="319" w:bottom="1440" w:gutter="0" w:footer="0" w:header="0"/>
          <w:type w:val="continuous"/>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S. Sotos, certify that:</w:t>
      </w:r>
    </w:p>
    <w:p>
      <w:pPr>
        <w:spacing w:after="0" w:line="274" w:lineRule="exact"/>
        <w:rPr>
          <w:sz w:val="20"/>
          <w:szCs w:val="20"/>
          <w:color w:val="auto"/>
        </w:rPr>
      </w:pPr>
    </w:p>
    <w:p>
      <w:pPr>
        <w:ind w:left="520" w:hanging="515"/>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4537075</wp:posOffset>
            </wp:positionH>
            <wp:positionV relativeFrom="paragraph">
              <wp:posOffset>14605</wp:posOffset>
            </wp:positionV>
            <wp:extent cx="183896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38960" cy="6985"/>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color w:val="auto"/>
        </w:rPr>
        <w:t>Christopher S. Sotos</w:t>
      </w:r>
    </w:p>
    <w:p>
      <w:pPr>
        <w:ind w:left="7160"/>
        <w:spacing w:after="0" w:line="205"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71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9, 2024</w:t>
      </w:r>
    </w:p>
    <w:p>
      <w:pPr>
        <w:sectPr>
          <w:pgSz w:w="11900" w:h="16838" w:orient="portrait"/>
          <w:cols w:equalWidth="0" w:num="1">
            <w:col w:w="11280"/>
          </w:cols>
          <w:pgMar w:left="300" w:top="802" w:right="3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Sarah Rubenstein, certify that:</w:t>
      </w:r>
    </w:p>
    <w:p>
      <w:pPr>
        <w:spacing w:after="0" w:line="274" w:lineRule="exact"/>
        <w:rPr>
          <w:sz w:val="20"/>
          <w:szCs w:val="20"/>
          <w:color w:val="auto"/>
        </w:rPr>
      </w:pPr>
    </w:p>
    <w:p>
      <w:pPr>
        <w:ind w:left="520" w:hanging="515"/>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14605</wp:posOffset>
            </wp:positionV>
            <wp:extent cx="186626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66265" cy="6985"/>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color w:val="auto"/>
        </w:rPr>
        <w:t>Sarah Rubenstein</w:t>
      </w:r>
    </w:p>
    <w:p>
      <w:pPr>
        <w:ind w:left="7480"/>
        <w:spacing w:after="0" w:line="221" w:lineRule="auto"/>
        <w:rPr>
          <w:sz w:val="20"/>
          <w:szCs w:val="20"/>
          <w:color w:val="auto"/>
        </w:rPr>
      </w:pPr>
      <w:r>
        <w:rPr>
          <w:rFonts w:ascii="Times New Roman" w:cs="Times New Roman" w:eastAsia="Times New Roman" w:hAnsi="Times New Roman"/>
          <w:sz w:val="14"/>
          <w:szCs w:val="14"/>
          <w:i w:val="1"/>
          <w:iCs w:val="1"/>
          <w:color w:val="auto"/>
        </w:rPr>
        <w:t>Executive Vice President and Chief Financial</w:t>
      </w:r>
    </w:p>
    <w:p>
      <w:pPr>
        <w:ind w:left="7480"/>
        <w:spacing w:after="0" w:line="206" w:lineRule="auto"/>
        <w:rPr>
          <w:sz w:val="20"/>
          <w:szCs w:val="20"/>
          <w:color w:val="auto"/>
        </w:rPr>
      </w:pPr>
      <w:r>
        <w:rPr>
          <w:rFonts w:ascii="Times New Roman" w:cs="Times New Roman" w:eastAsia="Times New Roman" w:hAnsi="Times New Roman"/>
          <w:sz w:val="14"/>
          <w:szCs w:val="14"/>
          <w:i w:val="1"/>
          <w:iCs w:val="1"/>
          <w:color w:val="auto"/>
        </w:rPr>
        <w:t>Officer</w:t>
      </w:r>
    </w:p>
    <w:p>
      <w:pPr>
        <w:ind w:left="7480"/>
        <w:spacing w:after="0" w:line="205" w:lineRule="auto"/>
        <w:rPr>
          <w:sz w:val="20"/>
          <w:szCs w:val="20"/>
          <w:color w:val="auto"/>
        </w:rPr>
      </w:pPr>
      <w:r>
        <w:rPr>
          <w:rFonts w:ascii="Times New Roman" w:cs="Times New Roman" w:eastAsia="Times New Roman" w:hAnsi="Times New Roman"/>
          <w:sz w:val="14"/>
          <w:szCs w:val="14"/>
          <w:i w:val="1"/>
          <w:iCs w:val="1"/>
          <w:color w:val="auto"/>
        </w:rPr>
        <w:t>(Principal Financial Officer and Principal</w:t>
      </w:r>
    </w:p>
    <w:p>
      <w:pPr>
        <w:ind w:left="7480"/>
        <w:spacing w:after="0"/>
        <w:rPr>
          <w:sz w:val="20"/>
          <w:szCs w:val="20"/>
          <w:color w:val="auto"/>
        </w:rPr>
      </w:pPr>
      <w:r>
        <w:rPr>
          <w:rFonts w:ascii="Times New Roman" w:cs="Times New Roman" w:eastAsia="Times New Roman" w:hAnsi="Times New Roman"/>
          <w:sz w:val="14"/>
          <w:szCs w:val="14"/>
          <w:i w:val="1"/>
          <w:iCs w:val="1"/>
          <w:color w:val="auto"/>
        </w:rPr>
        <w:t>Accounting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9, 2024</w:t>
      </w:r>
    </w:p>
    <w:p>
      <w:pPr>
        <w:sectPr>
          <w:pgSz w:w="11900" w:h="16838" w:orient="portrait"/>
          <w:cols w:equalWidth="0" w:num="1">
            <w:col w:w="11280"/>
          </w:cols>
          <w:pgMar w:left="300" w:top="728" w:right="3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Clearway Energy, Inc. on Form 10-Q for the quarter ended March 31, 2024,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8" w:lineRule="exact"/>
        <w:rPr>
          <w:sz w:val="20"/>
          <w:szCs w:val="20"/>
          <w:color w:val="auto"/>
        </w:rPr>
      </w:pPr>
    </w:p>
    <w:p>
      <w:pPr>
        <w:ind w:left="500" w:hanging="240"/>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10-Q fully complies with the requirements of Section 13(a) or 15(d) of the Securities Exchange Act of 1934;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10-Q fairly presents, in all material respects, the financial condition and results of operations of the Company as of the dates and for the periods expressed in the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9, 2024</w:t>
      </w:r>
    </w:p>
    <w:p>
      <w:pPr>
        <w:spacing w:after="0" w:line="8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this Form 10-Q or as a separate disclosure document.</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2024-05-09T13:10:35Z</dcterms:created>
  <dcterms:modified xsi:type="dcterms:W3CDTF">2024-05-09T13:10:35Z</dcterms:modified>
</cp:coreProperties>
</file>