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NRG Yield Operating LLC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804 Carnegie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Princeton, New Jersey 08540</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9,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ectPr>
          <w:pgSz w:w="11900" w:h="16838" w:orient="portrait"/>
          <w:cols w:equalWidth="0" w:num="1">
            <w:col w:w="11400"/>
          </w:cols>
          <w:pgMar w:left="240" w:top="445" w:right="259" w:bottom="0" w:gutter="0" w:footer="0" w:header="0"/>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NRG Yield Operating LLC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S-4</w:t>
      </w:r>
    </w:p>
    <w:p>
      <w:pPr>
        <w:spacing w:after="0" w:line="200" w:lineRule="exact"/>
        <w:rPr>
          <w:sz w:val="24"/>
          <w:szCs w:val="24"/>
          <w:color w:val="auto"/>
        </w:rPr>
      </w:pPr>
    </w:p>
    <w:p>
      <w:pPr>
        <w:sectPr>
          <w:pgSz w:w="11900" w:h="16838" w:orient="portrait"/>
          <w:cols w:equalWidth="0" w:num="2">
            <w:col w:w="900" w:space="400"/>
            <w:col w:w="10100"/>
          </w:cols>
          <w:pgMar w:left="240" w:top="445" w:right="25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firstLine="648"/>
        <w:spacing w:after="0" w:line="279" w:lineRule="auto"/>
        <w:rPr>
          <w:sz w:val="20"/>
          <w:szCs w:val="20"/>
          <w:color w:val="auto"/>
        </w:rPr>
      </w:pPr>
      <w:r>
        <w:rPr>
          <w:rFonts w:ascii="Arial" w:cs="Arial" w:eastAsia="Arial" w:hAnsi="Arial"/>
          <w:sz w:val="17"/>
          <w:szCs w:val="17"/>
          <w:color w:val="auto"/>
        </w:rPr>
        <w:t>Reference is made to the Registration Statement on Form S-4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of NRG Yield Operating LLC (the “</w:t>
      </w:r>
      <w:r>
        <w:rPr>
          <w:rFonts w:ascii="Arial" w:cs="Arial" w:eastAsia="Arial" w:hAnsi="Arial"/>
          <w:sz w:val="17"/>
          <w:szCs w:val="17"/>
          <w:u w:val="single" w:color="auto"/>
          <w:color w:val="auto"/>
        </w:rPr>
        <w:t>Issuer</w:t>
      </w:r>
      <w:r>
        <w:rPr>
          <w:rFonts w:ascii="Arial" w:cs="Arial" w:eastAsia="Arial" w:hAnsi="Arial"/>
          <w:sz w:val="17"/>
          <w:szCs w:val="17"/>
          <w:color w:val="auto"/>
        </w:rPr>
        <w:t>”), and the other registrants listed on the signature pages hereto (collectively with the Issuer, the “</w:t>
      </w:r>
      <w:r>
        <w:rPr>
          <w:rFonts w:ascii="Arial" w:cs="Arial" w:eastAsia="Arial" w:hAnsi="Arial"/>
          <w:sz w:val="17"/>
          <w:szCs w:val="17"/>
          <w:u w:val="single" w:color="auto"/>
          <w:color w:val="auto"/>
        </w:rPr>
        <w:t>Registrants</w:t>
      </w:r>
      <w:r>
        <w:rPr>
          <w:rFonts w:ascii="Arial" w:cs="Arial" w:eastAsia="Arial" w:hAnsi="Arial"/>
          <w:sz w:val="17"/>
          <w:szCs w:val="17"/>
          <w:color w:val="auto"/>
        </w:rPr>
        <w:t>”), originally filed on May 9, 2017, registering the offer to exchange up to $350 million aggregate principal amount of 5.000% Senior Notes due 2026 (together with the guarantees thereof, the “</w:t>
      </w:r>
      <w:r>
        <w:rPr>
          <w:rFonts w:ascii="Arial" w:cs="Arial" w:eastAsia="Arial" w:hAnsi="Arial"/>
          <w:sz w:val="17"/>
          <w:szCs w:val="17"/>
          <w:u w:val="single" w:color="auto"/>
          <w:color w:val="auto"/>
        </w:rPr>
        <w:t>Exchange Notes</w:t>
      </w:r>
      <w:r>
        <w:rPr>
          <w:rFonts w:ascii="Arial" w:cs="Arial" w:eastAsia="Arial" w:hAnsi="Arial"/>
          <w:sz w:val="17"/>
          <w:szCs w:val="17"/>
          <w:color w:val="auto"/>
        </w:rPr>
        <w:t>”) for a like aggregate principal amount of 5.000% Senior Notes due 2026 (together with the guarantees thereof, the “</w:t>
      </w:r>
      <w:r>
        <w:rPr>
          <w:rFonts w:ascii="Arial" w:cs="Arial" w:eastAsia="Arial" w:hAnsi="Arial"/>
          <w:sz w:val="17"/>
          <w:szCs w:val="17"/>
          <w:u w:val="single" w:color="auto"/>
          <w:color w:val="auto"/>
        </w:rPr>
        <w:t>Old Notes</w:t>
      </w:r>
      <w:r>
        <w:rPr>
          <w:rFonts w:ascii="Arial" w:cs="Arial" w:eastAsia="Arial" w:hAnsi="Arial"/>
          <w:sz w:val="17"/>
          <w:szCs w:val="17"/>
          <w:color w:val="auto"/>
        </w:rPr>
        <w:t>”).</w:t>
      </w:r>
    </w:p>
    <w:p>
      <w:pPr>
        <w:spacing w:after="0" w:line="171" w:lineRule="exact"/>
        <w:rPr>
          <w:sz w:val="24"/>
          <w:szCs w:val="24"/>
          <w:color w:val="auto"/>
        </w:rPr>
      </w:pPr>
    </w:p>
    <w:p>
      <w:pPr>
        <w:ind w:right="160" w:firstLine="648"/>
        <w:spacing w:after="0" w:line="268" w:lineRule="auto"/>
        <w:rPr>
          <w:sz w:val="20"/>
          <w:szCs w:val="20"/>
          <w:color w:val="auto"/>
        </w:rPr>
      </w:pPr>
      <w:r>
        <w:rPr>
          <w:rFonts w:ascii="Arial" w:cs="Arial" w:eastAsia="Arial" w:hAnsi="Arial"/>
          <w:sz w:val="17"/>
          <w:szCs w:val="17"/>
          <w:color w:val="auto"/>
        </w:rPr>
        <w:t>Please be advised that the Registrants are registering the exchange offer in reliance on the position of the staff of the Securities and Exchange Commission (the “</w:t>
      </w:r>
      <w:r>
        <w:rPr>
          <w:rFonts w:ascii="Arial" w:cs="Arial" w:eastAsia="Arial" w:hAnsi="Arial"/>
          <w:sz w:val="17"/>
          <w:szCs w:val="17"/>
          <w:u w:val="single" w:color="auto"/>
          <w:color w:val="auto"/>
        </w:rPr>
        <w:t>Staff</w:t>
      </w:r>
      <w:r>
        <w:rPr>
          <w:rFonts w:ascii="Arial" w:cs="Arial" w:eastAsia="Arial" w:hAnsi="Arial"/>
          <w:sz w:val="17"/>
          <w:szCs w:val="17"/>
          <w:color w:val="auto"/>
        </w:rPr>
        <w:t xml:space="preserve">”) enunciated in: </w:t>
      </w:r>
      <w:r>
        <w:rPr>
          <w:rFonts w:ascii="Arial" w:cs="Arial" w:eastAsia="Arial" w:hAnsi="Arial"/>
          <w:sz w:val="17"/>
          <w:szCs w:val="17"/>
          <w:i w:val="1"/>
          <w:iCs w:val="1"/>
          <w:color w:val="auto"/>
        </w:rPr>
        <w:t>Exxon Capital Holdings Corporation</w:t>
      </w:r>
      <w:r>
        <w:rPr>
          <w:rFonts w:ascii="Arial" w:cs="Arial" w:eastAsia="Arial" w:hAnsi="Arial"/>
          <w:sz w:val="17"/>
          <w:szCs w:val="17"/>
          <w:color w:val="auto"/>
        </w:rPr>
        <w:t xml:space="preserve"> (available May 13, 1988); </w:t>
      </w:r>
      <w:r>
        <w:rPr>
          <w:rFonts w:ascii="Arial" w:cs="Arial" w:eastAsia="Arial" w:hAnsi="Arial"/>
          <w:sz w:val="17"/>
          <w:szCs w:val="17"/>
          <w:i w:val="1"/>
          <w:iCs w:val="1"/>
          <w:color w:val="auto"/>
        </w:rPr>
        <w:t>Morgan Stanley &amp; Co. Incorporated</w:t>
      </w:r>
      <w:r>
        <w:rPr>
          <w:rFonts w:ascii="Arial" w:cs="Arial" w:eastAsia="Arial" w:hAnsi="Arial"/>
          <w:sz w:val="17"/>
          <w:szCs w:val="17"/>
          <w:color w:val="auto"/>
        </w:rPr>
        <w:t xml:space="preserve"> (available June 5, 1991); and </w:t>
      </w:r>
      <w:r>
        <w:rPr>
          <w:rFonts w:ascii="Arial" w:cs="Arial" w:eastAsia="Arial" w:hAnsi="Arial"/>
          <w:sz w:val="17"/>
          <w:szCs w:val="17"/>
          <w:i w:val="1"/>
          <w:iCs w:val="1"/>
          <w:color w:val="auto"/>
        </w:rPr>
        <w:t>Shearman &amp; Sterling</w:t>
      </w:r>
      <w:r>
        <w:rPr>
          <w:rFonts w:ascii="Arial" w:cs="Arial" w:eastAsia="Arial" w:hAnsi="Arial"/>
          <w:sz w:val="17"/>
          <w:szCs w:val="17"/>
          <w:color w:val="auto"/>
        </w:rPr>
        <w:t xml:space="preserve"> (available July 2, 1993). In addition, the Registrants hereby represent that they have not entered into any arrangement or understanding with any person to distribute the Exchange Notes to be received in the exchange offer and, to the best of the Registrants’ information and belief, each person participating in the exchange offer will be acquiring the Exchange Notes in its ordinary course of business and will not have any arrangement or understanding with any person to participate in the distribution of the Exchange Notes to be received in the exchange offer. In this regard, the Registrants will make each person participating in the exchange offer aware, by means of the exchange offer prospectus and the related letter of transmittal, that if such person is participating in the exchange offer for the purpose of distributing the Exchange Notes to be acquired in the exchange offer, such person (i) cannot rely on the Staff’s position enunciated in </w:t>
      </w:r>
      <w:r>
        <w:rPr>
          <w:rFonts w:ascii="Arial" w:cs="Arial" w:eastAsia="Arial" w:hAnsi="Arial"/>
          <w:sz w:val="17"/>
          <w:szCs w:val="17"/>
          <w:i w:val="1"/>
          <w:iCs w:val="1"/>
          <w:color w:val="auto"/>
        </w:rPr>
        <w:t>Exxon Capital Holdings Corporation</w:t>
      </w:r>
      <w:r>
        <w:rPr>
          <w:rFonts w:ascii="Arial" w:cs="Arial" w:eastAsia="Arial" w:hAnsi="Arial"/>
          <w:sz w:val="17"/>
          <w:szCs w:val="17"/>
          <w:color w:val="auto"/>
        </w:rPr>
        <w:t xml:space="preserve"> or interpretative letters to similar effect and (ii) must comply with the registration and prospectus delivery requirements of the Securities Act of 1933, as amended, in connection with a secondary resale transaction. The Registrants acknowledge that such a secondary resale transaction by such person participating in the exchange offer for the purpose of distributing the Exchange Notes should be covered by an effective registration statement containing the selling securityholder information required by Item 507 of Regulation S-K under the Securities Act of 1933, as amended.</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firstLine="648"/>
        <w:spacing w:after="0" w:line="270" w:lineRule="auto"/>
        <w:rPr>
          <w:sz w:val="20"/>
          <w:szCs w:val="20"/>
          <w:color w:val="auto"/>
        </w:rPr>
      </w:pPr>
      <w:r>
        <w:rPr>
          <w:rFonts w:ascii="Arial" w:cs="Arial" w:eastAsia="Arial" w:hAnsi="Arial"/>
          <w:sz w:val="17"/>
          <w:szCs w:val="17"/>
          <w:color w:val="auto"/>
        </w:rPr>
        <w:t>The Registrants represent that with respect to any broker-dealer that participates in the exchange offer with respect to Old Notes acquired for its own account as a result of market-making activities or other trading activities, each such broker-dealer must confirm that it has not entered into any arrangement or understanding with the Registrants or an affiliate of the Registrants to distribute the Exchange Notes. The Registrants will make each person participating in the exchange offer aware (through the exchange offer prospectus) that any broker-dealer who holds Old Notes acquired for its own account as a result of market-making activities or other trading activities, and who receives Exchange Notes in exchange for such Old Notes pursuant to the exchange offer, may be a statutory underwriter and, in connection with any resale of such Exchange Notes, must deliver a prospectus meeting the requirements of the Securities Act of 1933, as amended, which may be the prospectus for the exchange offer so long as it contains a plan of distribution with respect to such resale transactions (such plan of distribution need not name the broker-dealer or disclose the amount of Exchange Notes held by the broker-dealer). In addition, the Registrants will include in the transmittal letter or similar documentation to be executed by an exchange offeree in order to participate in the exchange offer the following additional representation, in substantially the form set forth below:</w:t>
      </w:r>
    </w:p>
    <w:p>
      <w:pPr>
        <w:spacing w:after="0" w:line="178" w:lineRule="exact"/>
        <w:rPr>
          <w:sz w:val="24"/>
          <w:szCs w:val="24"/>
          <w:color w:val="auto"/>
        </w:rPr>
      </w:pPr>
    </w:p>
    <w:p>
      <w:pPr>
        <w:ind w:left="660" w:right="120" w:hanging="4"/>
        <w:spacing w:after="0" w:line="255" w:lineRule="auto"/>
        <w:tabs>
          <w:tab w:leader="none" w:pos="7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 if it is a broker-dealer that will receive Exchange Notes for its own account in exchange for Old Notes: (1) the Old Notes to be exchanged for Exchange Notes were acquired by it as a result of market-making or other trading activities, (2) it has not entered into any arrangement or understanding with the Issuer or an affiliate of the Issuer to distribute the Exchange Notes and (3) it will deliver a prospectus meeting the requirements of the Securities Act of 1933, as amended, in connection with any resale of such Exchange Notes; however, by so representing and by delivering a prospectus, a broker-dealer will not be deemed to admit that it is an “underwriter” within the meaning of the Securities Act of 1933, as amended.</w:t>
      </w:r>
    </w:p>
    <w:p>
      <w:pPr>
        <w:spacing w:after="0" w:line="193" w:lineRule="exact"/>
        <w:rPr>
          <w:sz w:val="24"/>
          <w:szCs w:val="24"/>
          <w:color w:val="auto"/>
        </w:rPr>
      </w:pPr>
    </w:p>
    <w:p>
      <w:pPr>
        <w:jc w:val="center"/>
        <w:ind w:right="-39"/>
        <w:spacing w:after="0"/>
        <w:tabs>
          <w:tab w:leader="none" w:pos="220" w:val="left"/>
          <w:tab w:leader="none" w:pos="200" w:val="left"/>
          <w:tab w:leader="none" w:pos="200" w:val="left"/>
        </w:tabs>
        <w:rPr>
          <w:sz w:val="20"/>
          <w:szCs w:val="20"/>
          <w:color w:val="auto"/>
        </w:rPr>
      </w:pPr>
      <w:r>
        <w:rPr>
          <w:rFonts w:ascii="Arial" w:cs="Arial" w:eastAsia="Arial" w:hAnsi="Arial"/>
          <w:sz w:val="18"/>
          <w:szCs w:val="18"/>
          <w:color w:val="auto"/>
        </w:rPr>
        <w:t>*</w:t>
        <w:tab/>
        <w:t>*</w:t>
        <w:tab/>
        <w:t>*</w:t>
        <w:tab/>
        <w: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you have any further questions or comments or desire further information in respect of the Registration Statement, please do not hesitate to contact Paul Zier of Kirkland &amp; Ellis LLP, special counsel to the Registrants, at (312) 862-2180.</w:t>
      </w:r>
    </w:p>
    <w:p>
      <w:pPr>
        <w:spacing w:after="0" w:line="170"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NRG YIELD OPERATING LLC</w:t>
      </w:r>
    </w:p>
    <w:p>
      <w:pPr>
        <w:spacing w:after="0" w:line="200" w:lineRule="exact"/>
        <w:rPr>
          <w:sz w:val="24"/>
          <w:szCs w:val="24"/>
          <w:color w:val="auto"/>
        </w:rPr>
      </w:pPr>
    </w:p>
    <w:p>
      <w:pPr>
        <w:spacing w:after="0" w:line="241" w:lineRule="exact"/>
        <w:rPr>
          <w:sz w:val="24"/>
          <w:szCs w:val="24"/>
          <w:color w:val="auto"/>
        </w:rPr>
      </w:pPr>
    </w:p>
    <w:p>
      <w:pPr>
        <w:ind w:left="578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 Sotos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3302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ectPr>
          <w:pgSz w:w="11900" w:h="16838" w:orient="portrait"/>
          <w:cols w:equalWidth="0" w:num="1">
            <w:col w:w="11400"/>
          </w:cols>
          <w:pgMar w:left="240" w:top="445" w:right="259" w:bottom="0" w:gutter="0" w:footer="0" w:header="0"/>
          <w:type w:val="continuous"/>
        </w:sectPr>
      </w:pPr>
    </w:p>
    <w:bookmarkStart w:id="1" w:name="page2"/>
    <w:bookmarkEnd w:id="1"/>
    <w:p>
      <w:pPr>
        <w:ind w:left="502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222" w:lineRule="exact"/>
        <w:rPr>
          <w:sz w:val="20"/>
          <w:szCs w:val="20"/>
          <w:color w:val="auto"/>
        </w:rPr>
      </w:pPr>
    </w:p>
    <w:p>
      <w:pPr>
        <w:sectPr>
          <w:pgSz w:w="11900" w:h="16838" w:orient="portrait"/>
          <w:cols w:equalWidth="0" w:num="2">
            <w:col w:w="5500" w:space="240"/>
            <w:col w:w="3279"/>
          </w:cols>
          <w:pgMar w:left="1440" w:top="125" w:right="1440" w:bottom="1440" w:gutter="0" w:footer="0" w:header="0"/>
        </w:sectPr>
      </w:pPr>
    </w:p>
    <w:p>
      <w:pPr>
        <w:spacing w:after="0" w:line="2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NRG YIELD LLC</w:t>
      </w:r>
    </w:p>
    <w:p>
      <w:pPr>
        <w:spacing w:after="0" w:line="225" w:lineRule="exact"/>
        <w:rPr>
          <w:sz w:val="20"/>
          <w:szCs w:val="20"/>
          <w:color w:val="auto"/>
        </w:rPr>
      </w:pPr>
    </w:p>
    <w:p>
      <w:pPr>
        <w:ind w:left="458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Curci</w:t>
      </w:r>
    </w:p>
    <w:p>
      <w:pPr>
        <w:spacing w:after="0" w:line="23" w:lineRule="exact"/>
        <w:rPr>
          <w:sz w:val="20"/>
          <w:szCs w:val="20"/>
          <w:color w:val="auto"/>
        </w:rPr>
      </w:pPr>
    </w:p>
    <w:p>
      <w:pPr>
        <w:ind w:left="5020"/>
        <w:spacing w:after="0"/>
        <w:tabs>
          <w:tab w:leader="none" w:pos="5720" w:val="left"/>
        </w:tabs>
        <w:rPr>
          <w:sz w:val="20"/>
          <w:szCs w:val="20"/>
          <w:color w:val="auto"/>
        </w:rPr>
      </w:pPr>
      <w:r>
        <w:rPr>
          <w:rFonts w:ascii="Arial" w:cs="Arial" w:eastAsia="Arial" w:hAnsi="Arial"/>
          <w:sz w:val="18"/>
          <w:szCs w:val="18"/>
          <w:color w:val="auto"/>
        </w:rPr>
        <w:t>Name:</w:t>
        <w:tab/>
        <w:t>Brian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-130810</wp:posOffset>
            </wp:positionV>
            <wp:extent cx="3302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02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pacing w:after="0" w:line="200" w:lineRule="exact"/>
        <w:rPr>
          <w:sz w:val="20"/>
          <w:szCs w:val="20"/>
          <w:color w:val="auto"/>
        </w:rPr>
      </w:pPr>
    </w:p>
    <w:p>
      <w:pPr>
        <w:spacing w:after="0" w:line="2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NRG ENERGY CENTER OMAHA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NRG ENERGY CENTER OMAHA HOLDINGS LLC</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NRG YIELD DGPV HOLDING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NRG YIELD RPV HOLDING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NRG SOUTH TRENT HOLDINGS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NYLD FUEL CELL HOLDINGS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p>
      <w:pPr>
        <w:ind w:left="458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 Sotos</w:t>
      </w:r>
    </w:p>
    <w:p>
      <w:pPr>
        <w:spacing w:after="0" w:line="23" w:lineRule="exact"/>
        <w:rPr>
          <w:sz w:val="20"/>
          <w:szCs w:val="20"/>
          <w:color w:val="auto"/>
        </w:rPr>
      </w:pPr>
    </w:p>
    <w:p>
      <w:pPr>
        <w:ind w:left="5020"/>
        <w:spacing w:after="0"/>
        <w:tabs>
          <w:tab w:leader="none" w:pos="5720" w:val="left"/>
        </w:tabs>
        <w:rPr>
          <w:sz w:val="20"/>
          <w:szCs w:val="20"/>
          <w:color w:val="auto"/>
        </w:rPr>
      </w:pPr>
      <w:r>
        <w:rPr>
          <w:rFonts w:ascii="Arial" w:cs="Arial" w:eastAsia="Arial" w:hAnsi="Arial"/>
          <w:sz w:val="18"/>
          <w:szCs w:val="18"/>
          <w:color w:val="auto"/>
        </w:rPr>
        <w:t>Name:</w:t>
        <w:tab/>
        <w:t>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-130810</wp:posOffset>
            </wp:positionV>
            <wp:extent cx="3302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02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2019-12-16T22:01:29Z</dcterms:created>
  <dcterms:modified xsi:type="dcterms:W3CDTF">2019-12-16T22:01:29Z</dcterms:modified>
</cp:coreProperties>
</file>