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1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58420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4"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94"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51435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3"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67"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3330575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422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4220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2145665</wp:posOffset>
            </wp:positionH>
            <wp:positionV relativeFrom="paragraph">
              <wp:posOffset>139700</wp:posOffset>
            </wp:positionV>
            <wp:extent cx="2520315"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031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March 15, 2024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Clearway Energy, Inc.’s Annual Meeting of Stockholders, which will be held at 9 a.m., Eastern Time, on April 25, 2024.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w:t>
      </w:r>
    </w:p>
    <w:p>
      <w:pPr>
        <w:spacing w:after="0" w:line="11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vote as soon as possible. Information about voting methods is set forth in the accompanying Notice of Annual Meeting of Stockholders and Proxy Statement.</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On behalf of Clearway Energy, Inc., I thank you for your ongoing interest and investment in Clearway Energy, Inc. We are committed to acting in your best interests. If you have any questions with respect to voting, please call our proxy solicitor, MacKenzie Partners, Inc. at (800) 322-2885.</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137160</wp:posOffset>
            </wp:positionV>
            <wp:extent cx="1311275"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Jonathan Bram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Chairman of the Board</w:t>
      </w:r>
    </w:p>
    <w:p>
      <w:pPr>
        <w:spacing w:after="0" w:line="1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THIS PROXY STATEMENT AND PROXY CARD ARE</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BEING DISTRIBUTED ON OR ABOUT MARCH 15,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3293745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300 Carnegie Center, Suite 300, Princeton, New Jersey 08540</w:t>
      </w:r>
    </w:p>
    <w:p>
      <w:pPr>
        <w:spacing w:after="0" w:line="203" w:lineRule="exact"/>
        <w:rPr>
          <w:sz w:val="20"/>
          <w:szCs w:val="20"/>
          <w:color w:val="auto"/>
        </w:rPr>
      </w:pPr>
    </w:p>
    <w:p>
      <w:pPr>
        <w:ind w:left="1260" w:right="2299" w:firstLine="1886"/>
        <w:spacing w:after="0" w:line="422" w:lineRule="auto"/>
        <w:rPr>
          <w:sz w:val="20"/>
          <w:szCs w:val="20"/>
          <w:color w:val="auto"/>
        </w:rPr>
      </w:pPr>
      <w:r>
        <w:rPr>
          <w:rFonts w:ascii="Times New Roman" w:cs="Times New Roman" w:eastAsia="Times New Roman" w:hAnsi="Times New Roman"/>
          <w:sz w:val="18"/>
          <w:szCs w:val="18"/>
          <w:b w:val="1"/>
          <w:bCs w:val="1"/>
          <w:color w:val="auto"/>
        </w:rPr>
        <w:t xml:space="preserve">NOTICE OF ANNUAL MEETING OF STOCKHOLDERS When: </w:t>
      </w:r>
      <w:r>
        <w:rPr>
          <w:rFonts w:ascii="Times New Roman" w:cs="Times New Roman" w:eastAsia="Times New Roman" w:hAnsi="Times New Roman"/>
          <w:sz w:val="18"/>
          <w:szCs w:val="18"/>
          <w:color w:val="auto"/>
        </w:rPr>
        <w:t>Thursday, April 25, 2024, 9:00 a.m., Eastern Time</w:t>
      </w:r>
    </w:p>
    <w:p>
      <w:pPr>
        <w:spacing w:after="0" w:line="1"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 </w:t>
      </w:r>
      <w:r>
        <w:rPr>
          <w:rFonts w:ascii="Times New Roman" w:cs="Times New Roman" w:eastAsia="Times New Roman" w:hAnsi="Times New Roman"/>
          <w:sz w:val="18"/>
          <w:szCs w:val="18"/>
          <w:color w:val="auto"/>
        </w:rPr>
        <w:t>Virtual via live webcast on the Internet at www.virtualshareholdermeeting.com/CWEN2024.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physical meeting will be held.</w:t>
      </w:r>
    </w:p>
    <w:p>
      <w:pPr>
        <w:sectPr>
          <w:pgSz w:w="11900" w:h="16838" w:orient="portrait"/>
          <w:cols w:equalWidth="0" w:num="1">
            <w:col w:w="9879"/>
          </w:cols>
          <w:pgMar w:left="580" w:top="97" w:right="1440" w:bottom="1440" w:gutter="0" w:footer="0" w:header="0"/>
        </w:sectPr>
      </w:pPr>
    </w:p>
    <w:p>
      <w:pPr>
        <w:spacing w:after="0" w:line="60" w:lineRule="exact"/>
        <w:rPr>
          <w:sz w:val="20"/>
          <w:szCs w:val="20"/>
          <w:color w:val="auto"/>
        </w:rPr>
      </w:pPr>
    </w:p>
    <w:p>
      <w:pPr>
        <w:ind w:left="1260" w:right="220"/>
        <w:spacing w:after="0" w:line="299" w:lineRule="auto"/>
        <w:rPr>
          <w:sz w:val="20"/>
          <w:szCs w:val="20"/>
          <w:color w:val="auto"/>
        </w:rPr>
      </w:pPr>
      <w:r>
        <w:rPr>
          <w:rFonts w:ascii="Times New Roman" w:cs="Times New Roman" w:eastAsia="Times New Roman" w:hAnsi="Times New Roman"/>
          <w:sz w:val="17"/>
          <w:szCs w:val="17"/>
          <w:b w:val="1"/>
          <w:bCs w:val="1"/>
          <w:color w:val="auto"/>
        </w:rPr>
        <w:t>We are pleased to invite you to join our Board of Directors and senior leadership at the Clearway Energy, Inc. 2024 Annual Meeting of Stockholders.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175" w:lineRule="exact"/>
        <w:rPr>
          <w:sz w:val="20"/>
          <w:szCs w:val="20"/>
          <w:color w:val="auto"/>
        </w:rPr>
      </w:pPr>
    </w:p>
    <w:p>
      <w:pPr>
        <w:ind w:left="1620" w:hanging="360"/>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eleven directors.</w:t>
      </w:r>
    </w:p>
    <w:p>
      <w:pPr>
        <w:spacing w:after="0" w:line="171" w:lineRule="exact"/>
        <w:rPr>
          <w:rFonts w:ascii="Times New Roman" w:cs="Times New Roman" w:eastAsia="Times New Roman" w:hAnsi="Times New Roman"/>
          <w:sz w:val="18"/>
          <w:szCs w:val="18"/>
          <w:color w:val="auto"/>
        </w:rPr>
      </w:pPr>
    </w:p>
    <w:p>
      <w:pPr>
        <w:ind w:left="1620" w:right="200" w:hanging="360"/>
        <w:spacing w:after="0" w:line="266"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Clearway Energy, Inc.’s executive compensation.</w:t>
      </w:r>
    </w:p>
    <w:p>
      <w:pPr>
        <w:spacing w:after="0" w:line="135" w:lineRule="exact"/>
        <w:rPr>
          <w:rFonts w:ascii="Times New Roman" w:cs="Times New Roman" w:eastAsia="Times New Roman" w:hAnsi="Times New Roman"/>
          <w:sz w:val="18"/>
          <w:szCs w:val="18"/>
          <w:color w:val="auto"/>
        </w:rPr>
      </w:pPr>
    </w:p>
    <w:p>
      <w:pPr>
        <w:ind w:left="1620" w:right="120" w:hanging="360"/>
        <w:spacing w:after="0" w:line="261"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Clearway Energy, Inc.’s independent registered public accounting firm for the 2024 fiscal year.</w:t>
      </w:r>
    </w:p>
    <w:p>
      <w:pPr>
        <w:spacing w:after="0" w:line="125" w:lineRule="exact"/>
        <w:rPr>
          <w:rFonts w:ascii="Times New Roman" w:cs="Times New Roman" w:eastAsia="Times New Roman" w:hAnsi="Times New Roman"/>
          <w:sz w:val="18"/>
          <w:szCs w:val="18"/>
          <w:color w:val="auto"/>
        </w:rPr>
      </w:pPr>
    </w:p>
    <w:p>
      <w:pPr>
        <w:ind w:left="1620" w:hanging="360"/>
        <w:spacing w:after="0" w:line="266" w:lineRule="auto"/>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and any adjournment or postponement.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62" w:lineRule="exact"/>
        <w:rPr>
          <w:sz w:val="20"/>
          <w:szCs w:val="20"/>
          <w:color w:val="auto"/>
        </w:rPr>
      </w:pPr>
    </w:p>
    <w:p>
      <w:pPr>
        <w:ind w:left="1260" w:right="20"/>
        <w:spacing w:after="0" w:line="271" w:lineRule="auto"/>
        <w:rPr>
          <w:sz w:val="20"/>
          <w:szCs w:val="20"/>
          <w:color w:val="auto"/>
        </w:rPr>
      </w:pPr>
      <w:r>
        <w:rPr>
          <w:rFonts w:ascii="Times New Roman" w:cs="Times New Roman" w:eastAsia="Times New Roman" w:hAnsi="Times New Roman"/>
          <w:sz w:val="18"/>
          <w:szCs w:val="18"/>
          <w:color w:val="auto"/>
        </w:rPr>
        <w:t>You are entitled to vote if you were a stockholder of record of our Class A, Class B, Class C or Class D common stock at the close of business on March 4, 2024.</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8915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915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7" w:lineRule="exact"/>
        <w:rPr>
          <w:sz w:val="20"/>
          <w:szCs w:val="20"/>
          <w:color w:val="auto"/>
        </w:rPr>
      </w:pPr>
    </w:p>
    <w:p>
      <w:pPr>
        <w:ind w:left="1260" w:right="400"/>
        <w:spacing w:after="0" w:line="292" w:lineRule="auto"/>
        <w:rPr>
          <w:sz w:val="20"/>
          <w:szCs w:val="20"/>
          <w:color w:val="auto"/>
        </w:rPr>
      </w:pPr>
      <w:r>
        <w:rPr>
          <w:rFonts w:ascii="Times New Roman" w:cs="Times New Roman" w:eastAsia="Times New Roman" w:hAnsi="Times New Roman"/>
          <w:sz w:val="18"/>
          <w:szCs w:val="18"/>
          <w:i w:val="1"/>
          <w:iCs w:val="1"/>
          <w:color w:val="auto"/>
        </w:rPr>
        <w:t>Executive Vice President, General Counsel and Corporate Secretary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35" w:lineRule="exact"/>
        <w:rPr>
          <w:sz w:val="20"/>
          <w:szCs w:val="20"/>
          <w:color w:val="auto"/>
        </w:rPr>
      </w:pPr>
    </w:p>
    <w:p>
      <w:pPr>
        <w:ind w:left="8" w:right="459"/>
        <w:spacing w:after="0" w:line="250" w:lineRule="auto"/>
        <w:rPr>
          <w:sz w:val="20"/>
          <w:szCs w:val="20"/>
          <w:color w:val="auto"/>
        </w:rPr>
      </w:pPr>
      <w:r>
        <w:rPr>
          <w:rFonts w:ascii="Times New Roman" w:cs="Times New Roman" w:eastAsia="Times New Roman" w:hAnsi="Times New Roman"/>
          <w:sz w:val="18"/>
          <w:szCs w:val="18"/>
          <w:color w:val="auto"/>
        </w:rPr>
        <w:t>Even if you plan to attend the Annual Meeting virtually, please vote right away using one of the following advance voting methods. Make sure to have your proxy card or voting instruction form in hand and follow the instructions in the card or form.</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Via the Internet:</w:t>
      </w:r>
    </w:p>
    <w:p>
      <w:pPr>
        <w:spacing w:after="0" w:line="133" w:lineRule="exact"/>
        <w:rPr>
          <w:sz w:val="20"/>
          <w:szCs w:val="20"/>
          <w:color w:val="auto"/>
        </w:rPr>
      </w:pPr>
    </w:p>
    <w:p>
      <w:pPr>
        <w:ind w:left="8" w:right="459"/>
        <w:spacing w:after="0" w:line="252" w:lineRule="auto"/>
        <w:rPr>
          <w:sz w:val="20"/>
          <w:szCs w:val="20"/>
          <w:color w:val="auto"/>
        </w:rPr>
      </w:pPr>
      <w:r>
        <w:rPr>
          <w:rFonts w:ascii="Times New Roman" w:cs="Times New Roman" w:eastAsia="Times New Roman" w:hAnsi="Times New Roman"/>
          <w:sz w:val="18"/>
          <w:szCs w:val="18"/>
          <w:color w:val="auto"/>
        </w:rPr>
        <w:t xml:space="preserve">You may vote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from anywhere in the world, 24 hours a day, 7 days a week, up until 11:59 p.m. Eastern Time on April 24, 2024.</w:t>
      </w:r>
    </w:p>
    <w:p>
      <w:pPr>
        <w:spacing w:after="0" w:line="3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By phone:</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If you live in the United States, you may vote</w:t>
      </w:r>
    </w:p>
    <w:p>
      <w:pPr>
        <w:spacing w:after="0" w:line="16" w:lineRule="exact"/>
        <w:rPr>
          <w:sz w:val="20"/>
          <w:szCs w:val="20"/>
          <w:color w:val="auto"/>
        </w:rPr>
      </w:pPr>
    </w:p>
    <w:p>
      <w:pPr>
        <w:jc w:val="both"/>
        <w:ind w:left="8" w:right="619"/>
        <w:spacing w:after="0" w:line="246" w:lineRule="auto"/>
        <w:rPr>
          <w:sz w:val="20"/>
          <w:szCs w:val="20"/>
          <w:color w:val="auto"/>
        </w:rPr>
      </w:pPr>
      <w:r>
        <w:rPr>
          <w:rFonts w:ascii="Times New Roman" w:cs="Times New Roman" w:eastAsia="Times New Roman" w:hAnsi="Times New Roman"/>
          <w:sz w:val="18"/>
          <w:szCs w:val="18"/>
          <w:color w:val="auto"/>
        </w:rPr>
        <w:t>24 hours a day, 7 days a week, up until 11:59 p.m. Eastern Time on April 24, 2024, by calling 1-800-690-6903 from a touch-tone phone.</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135" w:lineRule="exact"/>
        <w:rPr>
          <w:sz w:val="20"/>
          <w:szCs w:val="20"/>
          <w:color w:val="auto"/>
        </w:rPr>
      </w:pPr>
    </w:p>
    <w:p>
      <w:pPr>
        <w:ind w:left="8" w:right="459"/>
        <w:spacing w:after="0" w:line="247" w:lineRule="auto"/>
        <w:rPr>
          <w:sz w:val="20"/>
          <w:szCs w:val="20"/>
          <w:color w:val="auto"/>
        </w:rPr>
      </w:pPr>
      <w:r>
        <w:rPr>
          <w:rFonts w:ascii="Times New Roman" w:cs="Times New Roman" w:eastAsia="Times New Roman" w:hAnsi="Times New Roman"/>
          <w:sz w:val="18"/>
          <w:szCs w:val="18"/>
          <w:color w:val="auto"/>
        </w:rPr>
        <w:t>If you received a paper copy of the materials, you may mark, sign, date and mail your proxy card or voting instruction card in the enclosed, postage- paid address envelope, as soon as possible as it must be received by the Company prior to April 25, 2024, the Annual Meeting date.</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At the virtual meeting:</w:t>
      </w:r>
    </w:p>
    <w:p>
      <w:pPr>
        <w:spacing w:after="0" w:line="148" w:lineRule="exact"/>
        <w:rPr>
          <w:sz w:val="20"/>
          <w:szCs w:val="20"/>
          <w:color w:val="auto"/>
        </w:rPr>
      </w:pPr>
    </w:p>
    <w:p>
      <w:pPr>
        <w:ind w:left="8" w:right="419"/>
        <w:spacing w:after="0" w:line="241" w:lineRule="auto"/>
        <w:rPr>
          <w:sz w:val="20"/>
          <w:szCs w:val="20"/>
          <w:color w:val="auto"/>
        </w:rPr>
      </w:pPr>
      <w:r>
        <w:rPr>
          <w:rFonts w:ascii="Times New Roman" w:cs="Times New Roman" w:eastAsia="Times New Roman" w:hAnsi="Times New Roman"/>
          <w:sz w:val="18"/>
          <w:szCs w:val="18"/>
          <w:color w:val="auto"/>
        </w:rPr>
        <w:t>Stockholders of record at the close of business on March 4, 2024, or their legal proxy holders, will be able to access the Annual Meeting webcast, ask questions and vote online at www.virtualshareholdermeeting.com/CWEN2024 by entering their 16-digit control number provided on their proxy card. This website also will contain instructions to participate in the virtual Annual Meeting. Please see the Questions and Answers section beginning on page 68 for important information about participating in the virtual Annual Meeting. Additional questions may be directed to our proxy solicitor, MacKenzie Partners, Inc. at</w:t>
      </w:r>
    </w:p>
    <w:p>
      <w:pPr>
        <w:spacing w:after="0" w:line="4" w:lineRule="exact"/>
        <w:rPr>
          <w:sz w:val="20"/>
          <w:szCs w:val="20"/>
          <w:color w:val="auto"/>
        </w:rPr>
      </w:pPr>
    </w:p>
    <w:p>
      <w:pPr>
        <w:ind w:left="8" w:right="1999" w:hanging="8"/>
        <w:spacing w:after="0" w:line="243" w:lineRule="auto"/>
        <w:tabs>
          <w:tab w:leader="none" w:pos="4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322-2885 or </w:t>
      </w:r>
      <w:r>
        <w:rPr>
          <w:rFonts w:ascii="Times New Roman" w:cs="Times New Roman" w:eastAsia="Times New Roman" w:hAnsi="Times New Roman"/>
          <w:sz w:val="18"/>
          <w:szCs w:val="18"/>
          <w:i w:val="1"/>
          <w:iCs w:val="1"/>
          <w:color w:val="auto"/>
        </w:rPr>
        <w:t>proxy@mackenziepartners.com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980440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20" w:space="252"/>
            <w:col w:w="4407"/>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80" w:type="dxa"/>
            <w:vAlign w:val="bottom"/>
            <w:gridSpan w:val="1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6"/>
              </w:rPr>
              <w:t>2024 ANNUAL MEETING OF STOCKHOLDERS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5"/>
              </w:rPr>
              <w:t>PROXY STATEMENT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60" w:type="dxa"/>
            <w:vAlign w:val="bottom"/>
            <w:gridSpan w:val="10"/>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2920" w:type="dxa"/>
            <w:vAlign w:val="bottom"/>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PROXY STATEMENT HIGHLIGHTS</w:t>
            </w:r>
          </w:p>
        </w:tc>
        <w:tc>
          <w:tcPr>
            <w:tcW w:w="4760" w:type="dxa"/>
            <w:vAlign w:val="bottom"/>
            <w:gridSpan w:val="10"/>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1</w:t>
            </w:r>
          </w:p>
        </w:tc>
      </w:tr>
      <w:tr>
        <w:trPr>
          <w:trHeight w:val="27"/>
        </w:trPr>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GOVERNANCE OF THE COMPANY</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7"/>
        </w:trPr>
        <w:tc>
          <w:tcPr>
            <w:tcW w:w="262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PROPOSALS TO BE VOTED ON</w:t>
            </w:r>
          </w:p>
        </w:tc>
        <w:tc>
          <w:tcPr>
            <w:tcW w:w="5060" w:type="dxa"/>
            <w:vAlign w:val="bottom"/>
            <w:tcBorders>
              <w:bottom w:val="single" w:sz="8" w:color="CCEEFF"/>
            </w:tcBorders>
            <w:gridSpan w:val="11"/>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16</w:t>
            </w:r>
          </w:p>
        </w:tc>
      </w:tr>
      <w:tr>
        <w:trPr>
          <w:trHeight w:val="229"/>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680" w:type="dxa"/>
            <w:vAlign w:val="bottom"/>
            <w:tcBorders>
              <w:bottom w:val="single" w:sz="8" w:color="0000EE"/>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PROPOSAL NO. 2 APPROVAL, ON AN ADVISORY BASIS, OF THE COMPANY’S EXECUTIVE</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6060" w:type="dxa"/>
            <w:vAlign w:val="bottom"/>
            <w:tcBorders>
              <w:bottom w:val="single" w:sz="8" w:color="CCEEFF"/>
            </w:tcBorders>
            <w:gridSpan w:val="16"/>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23</w:t>
            </w:r>
          </w:p>
        </w:tc>
      </w:tr>
      <w:tr>
        <w:trPr>
          <w:trHeight w:val="216"/>
        </w:trPr>
        <w:tc>
          <w:tcPr>
            <w:tcW w:w="7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PROPOSAL NO. 3 RATIFICATION OF INDEPENDENT REGISTERED PUBLIC ACCOUNTING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5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FIRM</w:t>
            </w:r>
          </w:p>
        </w:tc>
        <w:tc>
          <w:tcPr>
            <w:tcW w:w="5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16"/>
        </w:trPr>
        <w:tc>
          <w:tcPr>
            <w:tcW w:w="716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OWNERSHIP OF DIRECTORS, NAMED EXECUTIVE OFFICERS AND CERTAIN</w:t>
            </w:r>
          </w:p>
        </w:tc>
        <w:tc>
          <w:tcPr>
            <w:tcW w:w="520" w:type="dxa"/>
            <w:vAlign w:val="bottom"/>
            <w:tcBorders>
              <w:bottom w:val="single" w:sz="8" w:color="CCEEFF"/>
            </w:tcBorders>
            <w:gridSpan w:val="2"/>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BENEFICIAL OWNERS</w:t>
            </w:r>
          </w:p>
        </w:tc>
        <w:tc>
          <w:tcPr>
            <w:tcW w:w="5580" w:type="dxa"/>
            <w:vAlign w:val="bottom"/>
            <w:tcBorders>
              <w:bottom w:val="single" w:sz="8" w:color="CCEEFF"/>
            </w:tcBorders>
            <w:gridSpan w:val="15"/>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r>
      <w:tr>
        <w:trPr>
          <w:trHeight w:val="230"/>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2520" w:type="dxa"/>
            <w:vAlign w:val="bottom"/>
            <w:tcBorders>
              <w:bottom w:val="single" w:sz="8" w:color="0000EE"/>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160" w:type="dxa"/>
            <w:vAlign w:val="bottom"/>
            <w:tcBorders>
              <w:bottom w:val="single" w:sz="8" w:color="CCEEFF"/>
            </w:tcBorders>
            <w:gridSpan w:val="1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r>
      <w:tr>
        <w:trPr>
          <w:trHeight w:val="230"/>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COMPENSATION COMMITTEE REPORT ON EXECUTIVE COMPENSATION</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60</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64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1260" w:type="dxa"/>
            <w:vAlign w:val="bottom"/>
            <w:tcBorders>
              <w:bottom w:val="single" w:sz="8" w:color="CCEEFF"/>
            </w:tcBorders>
            <w:gridSpan w:val="4"/>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60</w:t>
            </w:r>
          </w:p>
        </w:tc>
      </w:tr>
      <w:tr>
        <w:trPr>
          <w:trHeight w:val="229"/>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66</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496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720" w:type="dxa"/>
            <w:vAlign w:val="bottom"/>
            <w:tcBorders>
              <w:bottom w:val="single" w:sz="8" w:color="CCEEFF"/>
            </w:tcBorders>
            <w:gridSpan w:val="7"/>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67</w:t>
            </w:r>
          </w:p>
        </w:tc>
      </w:tr>
      <w:tr>
        <w:trPr>
          <w:trHeight w:val="229"/>
        </w:trPr>
        <w:tc>
          <w:tcPr>
            <w:tcW w:w="7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68</w:t>
            </w: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6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REQUIREMENTS FOR SUBMISSION OF STOCKHOLDER PROPOSALS FOR THE 2025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ANNUAL MEETING OF STOCKHOLDERS</w:t>
            </w:r>
          </w:p>
        </w:tc>
        <w:tc>
          <w:tcPr>
            <w:tcW w:w="640" w:type="dxa"/>
            <w:vAlign w:val="bottom"/>
            <w:tcBorders>
              <w:top w:val="single" w:sz="8" w:color="CCEEFF"/>
            </w:tcBorders>
            <w:gridSpan w:val="3"/>
            <w:shd w:val="clear" w:color="auto" w:fill="CCEEFF"/>
          </w:tcPr>
          <w:p>
            <w:pPr>
              <w:spacing w:after="0"/>
              <w:rPr>
                <w:sz w:val="17"/>
                <w:szCs w:val="17"/>
                <w:color w:val="auto"/>
              </w:rPr>
            </w:pPr>
          </w:p>
        </w:tc>
        <w:tc>
          <w:tcPr>
            <w:tcW w:w="5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73</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9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4410710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PROXY STATEMENT HIGHLIGHTS</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2023 performance, please review Clearway Energy, Inc.’s Annual Report on Form 10-K for the year ended December 31, 2023 (the “2023 Form 10-K”).</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ROADMAP OF VOTING MATTERS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Stockholders are being asked to vote on the following matters at the 2024 Annual Meeting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Stockholders (the “Annual Meeting”):</w:t>
      </w:r>
    </w:p>
    <w:p>
      <w:pPr>
        <w:spacing w:after="0" w:line="160"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Board</w:t>
      </w:r>
    </w:p>
    <w:p>
      <w:pPr>
        <w:spacing w:after="0" w:line="19"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4"/>
          <w:szCs w:val="14"/>
          <w:b w:val="1"/>
          <w:bCs w:val="1"/>
          <w:color w:val="auto"/>
        </w:rPr>
        <w:t>Recommendation</w:t>
      </w:r>
    </w:p>
    <w:p>
      <w:pPr>
        <w:sectPr>
          <w:pgSz w:w="11900" w:h="16838" w:orient="portrait"/>
          <w:cols w:equalWidth="0" w:num="1">
            <w:col w:w="9879"/>
          </w:cols>
          <w:pgMar w:left="580" w:top="97" w:right="1440" w:bottom="1440" w:gutter="0" w:footer="0" w:header="0"/>
        </w:sectPr>
      </w:pP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Election of Directors (page 16)</w:t>
      </w:r>
    </w:p>
    <w:p>
      <w:pPr>
        <w:spacing w:after="0" w:line="40" w:lineRule="exact"/>
        <w:rPr>
          <w:sz w:val="20"/>
          <w:szCs w:val="20"/>
          <w:color w:val="auto"/>
        </w:rPr>
      </w:pPr>
    </w:p>
    <w:p>
      <w:pPr>
        <w:ind w:left="1260"/>
        <w:spacing w:after="0" w:line="254" w:lineRule="auto"/>
        <w:rPr>
          <w:sz w:val="20"/>
          <w:szCs w:val="20"/>
          <w:color w:val="auto"/>
        </w:rPr>
      </w:pPr>
      <w:r>
        <w:rPr>
          <w:rFonts w:ascii="Times New Roman" w:cs="Times New Roman" w:eastAsia="Times New Roman" w:hAnsi="Times New Roman"/>
          <w:sz w:val="18"/>
          <w:szCs w:val="18"/>
          <w:color w:val="auto"/>
        </w:rPr>
        <w:t>The Board of Directors (the “Board”) and the Corporate Governance, Conflicts and Nominating Committee believe that the eleven director nominees possess the necessary qualifications, attributes, skills and experience to provide advice and counsel to the Company’s management and effectively oversee the business and the long-term interests of our stockholders.</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-116840</wp:posOffset>
            </wp:positionV>
            <wp:extent cx="1071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nominee</w:t>
      </w:r>
    </w:p>
    <w:p>
      <w:pPr>
        <w:spacing w:after="0" w:line="656" w:lineRule="exact"/>
        <w:rPr>
          <w:sz w:val="20"/>
          <w:szCs w:val="20"/>
          <w:color w:val="auto"/>
        </w:rPr>
      </w:pPr>
    </w:p>
    <w:p>
      <w:pPr>
        <w:sectPr>
          <w:pgSz w:w="11900" w:h="16838" w:orient="portrait"/>
          <w:cols w:equalWidth="0" w:num="2">
            <w:col w:w="7400" w:space="380"/>
            <w:col w:w="2099"/>
          </w:cols>
          <w:pgMar w:left="580" w:top="97" w:right="1440" w:bottom="1440" w:gutter="0" w:footer="0" w:header="0"/>
          <w:type w:val="continuous"/>
        </w:sectPr>
      </w:pPr>
    </w:p>
    <w:p>
      <w:pPr>
        <w:spacing w:after="0" w:line="18" w:lineRule="exact"/>
        <w:rPr>
          <w:sz w:val="20"/>
          <w:szCs w:val="20"/>
          <w:color w:val="auto"/>
        </w:rPr>
      </w:pPr>
    </w:p>
    <w:p>
      <w:pPr>
        <w:ind w:left="1260" w:right="44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Approval, on a non-binding advisory basis, of Clearway Energy, Inc.’s executive compensation (the “Say on Pay Proposal”) (page 23)</w:t>
      </w:r>
    </w:p>
    <w:p>
      <w:pPr>
        <w:spacing w:after="0" w:line="91" w:lineRule="exact"/>
        <w:rPr>
          <w:sz w:val="20"/>
          <w:szCs w:val="20"/>
          <w:color w:val="auto"/>
        </w:rPr>
      </w:pPr>
    </w:p>
    <w:p>
      <w:pPr>
        <w:ind w:left="1260" w:right="320"/>
        <w:spacing w:after="0" w:line="256" w:lineRule="auto"/>
        <w:rPr>
          <w:sz w:val="20"/>
          <w:szCs w:val="20"/>
          <w:color w:val="auto"/>
        </w:rPr>
      </w:pPr>
      <w:r>
        <w:rPr>
          <w:rFonts w:ascii="Times New Roman" w:cs="Times New Roman" w:eastAsia="Times New Roman" w:hAnsi="Times New Roman"/>
          <w:sz w:val="18"/>
          <w:szCs w:val="18"/>
          <w:color w:val="auto"/>
        </w:rPr>
        <w:t>The Company seeks a non-binding advisory vote to approve the compensation of its named executive officers (the “NEOs”) as described in the Compensation Discussion and Analysis (the “CD&amp;A”) beginning on page 41 and the compensation tables and respective narrative discussion. The Board values stockholders’ opinions, and the Compensation Committee will take into account the outcome of the Say on Pay Proposal when considering future executive compensation decisions.</w:t>
      </w:r>
    </w:p>
    <w:p>
      <w:pPr>
        <w:spacing w:after="0" w:line="20" w:lineRule="exact"/>
        <w:rPr>
          <w:sz w:val="20"/>
          <w:szCs w:val="20"/>
          <w:color w:val="auto"/>
        </w:rPr>
      </w:pPr>
      <w:r>
        <w:rPr>
          <w:sz w:val="20"/>
          <w:szCs w:val="20"/>
          <w:color w:val="auto"/>
        </w:rPr>
        <w:br w:type="column"/>
      </w: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92" w:lineRule="exact"/>
        <w:rPr>
          <w:sz w:val="20"/>
          <w:szCs w:val="20"/>
          <w:color w:val="auto"/>
        </w:rPr>
      </w:pPr>
    </w:p>
    <w:p>
      <w:pPr>
        <w:jc w:val="center"/>
        <w:ind w:right="107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1321" w:lineRule="exact"/>
        <w:rPr>
          <w:sz w:val="20"/>
          <w:szCs w:val="20"/>
          <w:color w:val="auto"/>
        </w:rPr>
      </w:pPr>
    </w:p>
    <w:p>
      <w:pPr>
        <w:sectPr>
          <w:pgSz w:w="11900" w:h="16838" w:orient="portrait"/>
          <w:cols w:equalWidth="0" w:num="2">
            <w:col w:w="7700" w:space="720"/>
            <w:col w:w="1459"/>
          </w:cols>
          <w:pgMar w:left="580" w:top="97" w:right="1440" w:bottom="1440" w:gutter="0" w:footer="0" w:header="0"/>
          <w:type w:val="continuous"/>
        </w:sectPr>
      </w:pPr>
    </w:p>
    <w:p>
      <w:pPr>
        <w:spacing w:after="0" w:line="6"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 Ratification of the appointment of Ernst &amp; Young LLP as Clearway</w:t>
            </w:r>
          </w:p>
        </w:tc>
        <w:tc>
          <w:tcPr>
            <w:tcW w:w="84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Energy, Inc.’s independent registered public accounting firm for the 2024 fiscal year</w:t>
            </w:r>
          </w:p>
        </w:tc>
        <w:tc>
          <w:tcPr>
            <w:tcW w:w="840" w:type="dxa"/>
            <w:vAlign w:val="bottom"/>
          </w:tcPr>
          <w:p>
            <w:pPr>
              <w:spacing w:after="0"/>
              <w:rPr>
                <w:sz w:val="18"/>
                <w:szCs w:val="18"/>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“Ratification of Ernst &amp; Young LLP’s Appointment Proposal”) (page 24)</w:t>
            </w:r>
          </w:p>
        </w:tc>
        <w:tc>
          <w:tcPr>
            <w:tcW w:w="840" w:type="dxa"/>
            <w:vAlign w:val="bottom"/>
          </w:tcPr>
          <w:p>
            <w:pPr>
              <w:spacing w:after="0"/>
              <w:rPr>
                <w:sz w:val="20"/>
                <w:szCs w:val="20"/>
                <w:color w:val="auto"/>
              </w:rPr>
            </w:pPr>
          </w:p>
        </w:tc>
      </w:tr>
      <w:tr>
        <w:trPr>
          <w:trHeight w:val="34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Audit Committee and the Board believe that the retention of Ernst &amp; Young</w:t>
            </w:r>
          </w:p>
        </w:tc>
        <w:tc>
          <w:tcPr>
            <w:tcW w:w="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FOR</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LLP as the Company’s independent registered public accounting firm for the 2024</w:t>
            </w:r>
          </w:p>
        </w:tc>
        <w:tc>
          <w:tcPr>
            <w:tcW w:w="84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fiscal year is in the best interests of the Company and its stockholders. As a matter</w:t>
            </w:r>
          </w:p>
        </w:tc>
        <w:tc>
          <w:tcPr>
            <w:tcW w:w="84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of good corporate governance, stockholders are being asked to ratify the Audit</w:t>
            </w:r>
          </w:p>
        </w:tc>
        <w:tc>
          <w:tcPr>
            <w:tcW w:w="840" w:type="dxa"/>
            <w:vAlign w:val="bottom"/>
          </w:tcPr>
          <w:p>
            <w:pPr>
              <w:spacing w:after="0"/>
              <w:rPr>
                <w:sz w:val="18"/>
                <w:szCs w:val="18"/>
                <w:color w:val="auto"/>
              </w:rPr>
            </w:pPr>
          </w:p>
        </w:tc>
      </w:tr>
      <w:tr>
        <w:trPr>
          <w:trHeight w:val="234"/>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Committee’s selection of Ernst &amp; Young LLP.</w:t>
            </w:r>
          </w:p>
        </w:tc>
        <w:tc>
          <w:tcPr>
            <w:tcW w:w="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committed to maintaining high standards of corporate governance, which promote the long-term interests of our stockholders, strengthen Board and management accountability and help build public trust in the Company. The “Governance of the Company” section beginning on page 4 describes our corporate governance framework, which includes the following highlights: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Separate Chairman and Chief Executive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9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Independent audit and governance committees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11 director nominees</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Regular executive sessions of independent directors</w:t>
            </w: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  4 independent director nominees</w:t>
            </w:r>
          </w:p>
        </w:tc>
        <w:tc>
          <w:tcPr>
            <w:tcW w:w="2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18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auto"/>
              </w:rPr>
              <w:t>Anti-hedging and anti-pledging policies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Risk oversight by full Board and committees</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Director orientation and continuing education program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Annual self-evaluation of full Board and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Engagement on and oversight of environmental, social</w:t>
            </w:r>
          </w:p>
        </w:tc>
        <w:tc>
          <w:tcPr>
            <w:tcW w:w="0" w:type="dxa"/>
            <w:vAlign w:val="bottom"/>
          </w:tcPr>
          <w:p>
            <w:pPr>
              <w:spacing w:after="0"/>
              <w:rPr>
                <w:sz w:val="1"/>
                <w:szCs w:val="1"/>
                <w:color w:val="auto"/>
              </w:rPr>
            </w:pPr>
          </w:p>
        </w:tc>
      </w:tr>
      <w:tr>
        <w:trPr>
          <w:trHeight w:val="22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committee</w:t>
            </w:r>
          </w:p>
        </w:tc>
        <w:tc>
          <w:tcPr>
            <w:tcW w:w="220" w:type="dxa"/>
            <w:vAlign w:val="bottom"/>
          </w:tcPr>
          <w:p>
            <w:pPr>
              <w:spacing w:after="0"/>
              <w:rPr>
                <w:sz w:val="19"/>
                <w:szCs w:val="19"/>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governance (“ESG”) matters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Lead Independent Director</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Board Diversity Policy</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NOMINEES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Other Public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6"/>
            <w:vMerge w:val="restart"/>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4"/>
              </w:rPr>
              <w:t>Memberships</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Director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Company</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Primary Occupation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​Age ​​  Since</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Independent ​</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Boards</w:t>
            </w:r>
          </w:p>
        </w:tc>
        <w:tc>
          <w:tcPr>
            <w:tcW w:w="640" w:type="dxa"/>
            <w:vAlign w:val="bottom"/>
            <w:gridSpan w:val="5"/>
          </w:tcPr>
          <w:p>
            <w:pPr>
              <w:ind w:left="20"/>
              <w:spacing w:after="0" w:line="210"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perscript"/>
              </w:rPr>
              <w:t>A</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24"/>
                <w:szCs w:val="24"/>
                <w:b w:val="1"/>
                <w:bCs w:val="1"/>
                <w:color w:val="auto"/>
                <w:vertAlign w:val="superscript"/>
              </w:rPr>
              <w:t>C</w:t>
            </w: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GCN</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ERM</w:t>
            </w:r>
          </w:p>
        </w:tc>
        <w:tc>
          <w:tcPr>
            <w:tcW w:w="0" w:type="dxa"/>
            <w:vAlign w:val="bottom"/>
          </w:tcPr>
          <w:p>
            <w:pPr>
              <w:spacing w:after="0"/>
              <w:rPr>
                <w:sz w:val="1"/>
                <w:szCs w:val="1"/>
                <w:color w:val="auto"/>
              </w:rPr>
            </w:pPr>
          </w:p>
        </w:tc>
      </w:tr>
      <w:tr>
        <w:trPr>
          <w:trHeight w:val="20"/>
        </w:trPr>
        <w:tc>
          <w:tcPr>
            <w:tcW w:w="3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Jonathan Bram</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​58 ​​ 2018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of the Board of the Company, Founding</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Partner of Global Infrastructure Partners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Nathaniel Anschuetz</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2018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at Global Infrastructure Partners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Emmanuel Barrois</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​41 ​​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Head of Renewables Portfolio Management for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TotalEnergies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43"/>
        </w:trPr>
        <w:tc>
          <w:tcPr>
            <w:tcW w:w="37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Brian R. Ford</w:t>
            </w:r>
            <w:r>
              <w:rPr>
                <w:rFonts w:ascii="Times New Roman" w:cs="Times New Roman" w:eastAsia="Times New Roman" w:hAnsi="Times New Roman"/>
                <w:sz w:val="23"/>
                <w:szCs w:val="23"/>
                <w:b w:val="1"/>
                <w:bCs w:val="1"/>
                <w:color w:val="auto"/>
                <w:vertAlign w:val="superscript"/>
              </w:rPr>
              <w:t>(2)</w:t>
            </w:r>
          </w:p>
        </w:tc>
        <w:tc>
          <w:tcPr>
            <w:tcW w:w="22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​75 ​​ 2013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5"/>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Executive Officer of Washington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Philadelphia Partners, LP</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Guillaume Hédiard</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​42 ​​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Transactions for TotalEnergies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Renewables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Jennifer Lowry</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​55 ​​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5"/>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Vice President of Risk, Treasury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Finance for McCormick &amp; Company,</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Inc.</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Bruce MacLennan</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2018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Partner of Global Infrastructure Partners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 More</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​67 ​​ 2019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gridSpan w:val="5"/>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p>
        </w:tc>
        <w:tc>
          <w:tcPr>
            <w:tcW w:w="440" w:type="dxa"/>
            <w:vAlign w:val="bottom"/>
            <w:gridSpan w:val="2"/>
            <w:shd w:val="clear" w:color="auto" w:fill="CCEEFF"/>
          </w:tcPr>
          <w:p>
            <w:pPr>
              <w:jc w:val="center"/>
              <w:ind w:right="120"/>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Senior Advisor at Guggenheim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 Stanley O’Neal</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​72 ​​ 2018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5"/>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 </w:t>
            </w:r>
            <w:r>
              <w:rPr>
                <w:rFonts w:ascii="MS PGothic" w:cs="MS PGothic" w:eastAsia="MS PGothic" w:hAnsi="MS PGothic"/>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2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Chairman of the Board and Chief Executive</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of Merrill Lynch &amp; Co.</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Christopher S. Sotos</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​52 ​​ 2013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the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Company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Vincent Stoquart</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​49 ​​ 2022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20" w:type="dxa"/>
            <w:vAlign w:val="bottom"/>
            <w:gridSpan w:val="4"/>
          </w:tcPr>
          <w:p>
            <w:pPr>
              <w:ind w:left="180"/>
              <w:spacing w:after="0"/>
              <w:rPr>
                <w:sz w:val="20"/>
                <w:szCs w:val="20"/>
                <w:color w:val="auto"/>
              </w:rPr>
            </w:pPr>
            <w:r>
              <w:rPr>
                <w:rFonts w:ascii="Times New Roman" w:cs="Times New Roman" w:eastAsia="Times New Roman" w:hAnsi="Times New Roman"/>
                <w:sz w:val="18"/>
                <w:szCs w:val="18"/>
                <w:i w:val="1"/>
                <w:iCs w:val="1"/>
                <w:color w:val="auto"/>
              </w:rPr>
              <w:t>Senior Vice President for TotalEnergies Renewables ​</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76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800" w:type="dxa"/>
            <w:vAlign w:val="bottom"/>
          </w:tcPr>
          <w:p>
            <w:pPr>
              <w:jc w:val="right"/>
              <w:ind w:right="272"/>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5728970</wp:posOffset>
            </wp:positionH>
            <wp:positionV relativeFrom="paragraph">
              <wp:posOffset>-4217035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5454650</wp:posOffset>
            </wp:positionH>
            <wp:positionV relativeFrom="paragraph">
              <wp:posOffset>-4217035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-4217035</wp:posOffset>
            </wp:positionV>
            <wp:extent cx="59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-4217035</wp:posOffset>
            </wp:positionV>
            <wp:extent cx="596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4545965</wp:posOffset>
            </wp:positionH>
            <wp:positionV relativeFrom="paragraph">
              <wp:posOffset>-4217035</wp:posOffset>
            </wp:positionV>
            <wp:extent cx="6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-4217035</wp:posOffset>
            </wp:positionV>
            <wp:extent cx="60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-4217035</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3414395</wp:posOffset>
            </wp:positionH>
            <wp:positionV relativeFrom="paragraph">
              <wp:posOffset>-4217035</wp:posOffset>
            </wp:positionV>
            <wp:extent cx="43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9" w:lineRule="exact"/>
        <w:rPr>
          <w:sz w:val="20"/>
          <w:szCs w:val="20"/>
          <w:color w:val="auto"/>
        </w:rPr>
      </w:pPr>
    </w:p>
    <w:p>
      <w:pPr>
        <w:ind w:left="1620" w:hanging="360"/>
        <w:spacing w:after="0" w:line="207" w:lineRule="exact"/>
        <w:tabs>
          <w:tab w:leader="none" w:pos="16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Chair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Member</w:t>
      </w:r>
    </w:p>
    <w:p>
      <w:pPr>
        <w:spacing w:after="0" w:line="69" w:lineRule="exact"/>
        <w:rPr>
          <w:rFonts w:ascii="Times New Roman" w:cs="Times New Roman" w:eastAsia="Times New Roman" w:hAnsi="Times New Roman"/>
          <w:sz w:val="18"/>
          <w:szCs w:val="18"/>
          <w:color w:val="auto"/>
        </w:rPr>
      </w:pPr>
    </w:p>
    <w:p>
      <w:pPr>
        <w:ind w:left="1620" w:right="719"/>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 Audit Committee; C = Compensation Committee; GCN = Corporate Governance, Conflicts and Nominating Committee; ERM = Energy Risk Management Committee</w:t>
      </w:r>
    </w:p>
    <w:p>
      <w:pPr>
        <w:ind w:left="1620" w:hanging="360"/>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Independent Director</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Please see the Questions and Answers section beginning on page 68 for important information about the proxy materials, voting and the Annual Meeting. Additional questions may be directed to our proxy solicitor, MacKenzie Partners, Inc. at (800) 322-2885 or </w:t>
      </w:r>
      <w:r>
        <w:rPr>
          <w:rFonts w:ascii="Times New Roman" w:cs="Times New Roman" w:eastAsia="Times New Roman" w:hAnsi="Times New Roman"/>
          <w:sz w:val="18"/>
          <w:szCs w:val="18"/>
          <w:i w:val="1"/>
          <w:iCs w:val="1"/>
          <w:color w:val="auto"/>
        </w:rPr>
        <w:t>proxy@mackenziepartners.com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LEARN MORE ABOUT OUR COMPANY</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You can learn more about the Company and view our governance materials and much more by visiting the “Corporate Governance” section of our website, </w:t>
      </w:r>
      <w:r>
        <w:rPr>
          <w:rFonts w:ascii="Times New Roman" w:cs="Times New Roman" w:eastAsia="Times New Roman" w:hAnsi="Times New Roman"/>
          <w:sz w:val="18"/>
          <w:szCs w:val="18"/>
          <w:i w:val="1"/>
          <w:iCs w:val="1"/>
          <w:color w:val="auto"/>
        </w:rPr>
        <w:t>www.clearwayenergy.com.</w:t>
      </w:r>
    </w:p>
    <w:p>
      <w:pPr>
        <w:spacing w:after="0" w:line="79"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Please also visit our Annual Meeting website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easily access the Company’s proxy materials and vote through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are providing these proxy materials to you in connection with the solicitation of proxies by the Board of Clearway Energy, Inc. for the Annual Meeting and for any adjournment or postponement of the Annual Meeting. The Annual Meeting will be held Thursday, April 25, 2024, at 9 a.m., Eastern Time. The Annual Meeting will be held in a virtual meeting format only, via live webcast on the Internet. In this Proxy Statement, “we,” “us,” “our,” “Clearway Energy,” “Clearway,” “CWEN” and the “Company” refer to Clearway Energy, Inc.</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w:t>
      </w:r>
    </w:p>
    <w:p>
      <w:pPr>
        <w:spacing w:after="0" w:line="17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Thursday, April 25, 2024</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Each of the Notice of Annual Meeting, this Proxy Statement and our 2023 Form 10-K is available at</w:t>
      </w:r>
    </w:p>
    <w:p>
      <w:pPr>
        <w:spacing w:after="0" w:line="27" w:lineRule="exact"/>
        <w:rPr>
          <w:sz w:val="20"/>
          <w:szCs w:val="20"/>
          <w:color w:val="auto"/>
        </w:rPr>
      </w:pPr>
    </w:p>
    <w:p>
      <w:pPr>
        <w:ind w:left="1260" w:right="679"/>
        <w:spacing w:after="0"/>
        <w:rPr>
          <w:sz w:val="20"/>
          <w:szCs w:val="20"/>
          <w:color w:val="auto"/>
        </w:rPr>
      </w:pP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If you would like to receive, without charge, a paper copy of our 2023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including the financial statements and the financial statement schedules, please send your request to Investor Relations, 300 Carnegie Center, Suite 300, Princeton, New Jersey 08540.</w:t>
      </w:r>
    </w:p>
    <w:p>
      <w:pPr>
        <w:spacing w:after="0" w:line="19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GOVERNANCE OF THE COMPANY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CHARTERS</w:t>
      </w:r>
    </w:p>
    <w:p>
      <w:pPr>
        <w:spacing w:after="0" w:line="14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(the “Guidelines”) that, along with the Amended and Restated Certificate of Incorporation,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Times New Roman" w:cs="Times New Roman" w:eastAsia="Times New Roman" w:hAnsi="Times New Roman"/>
          <w:sz w:val="18"/>
          <w:szCs w:val="18"/>
          <w:i w:val="1"/>
          <w:iCs w:val="1"/>
          <w:color w:val="auto"/>
        </w:rPr>
        <w:t>www.clearwayenergy.com</w:t>
      </w:r>
      <w:r>
        <w:rPr>
          <w:rFonts w:ascii="Times New Roman" w:cs="Times New Roman" w:eastAsia="Times New Roman" w:hAnsi="Times New Roman"/>
          <w:sz w:val="18"/>
          <w:szCs w:val="18"/>
          <w:color w:val="auto"/>
        </w:rPr>
        <w:t>,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Clearway Energy Group LLC (“CEG”), which is equally owned by TotalEnergies SE (“TotalEnergies”) and funds comprising Global Infrastructure Partners III (“GIP”),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nominating/​corporate governance and compensation committees. Therefore, our stockholders may not have the same protections afforded to stockholders of companies that are subject to all of the applicable NYSE rules.</w:t>
      </w:r>
    </w:p>
    <w:p>
      <w:pPr>
        <w:spacing w:after="0" w:line="125"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the Committees. The controlled company exemption does not modify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independence requirements for the Audit Committee, and we comply with the requirements of the Sarbanes-Oxley Act of 2002 and the NYSE rules, which require that our Audit Committee be composed of at least three members, all of whom are independent.</w:t>
      </w:r>
    </w:p>
    <w:p>
      <w:pPr>
        <w:sectPr>
          <w:pgSz w:w="11900" w:h="16838" w:orient="portrait"/>
          <w:cols w:equalWidth="0" w:num="1">
            <w:col w:w="9879"/>
          </w:cols>
          <w:pgMar w:left="580" w:top="97" w:right="1440" w:bottom="1440" w:gutter="0" w:footer="0" w:header="0"/>
        </w:sectPr>
      </w:pP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 AND LEADERSHIP</w:t>
      </w:r>
    </w:p>
    <w:p>
      <w:pPr>
        <w:spacing w:after="0" w:line="185" w:lineRule="exact"/>
        <w:rPr>
          <w:sz w:val="20"/>
          <w:szCs w:val="20"/>
          <w:color w:val="auto"/>
        </w:rPr>
      </w:pPr>
    </w:p>
    <w:p>
      <w:pPr>
        <w:jc w:val="right"/>
        <w:spacing w:after="0"/>
        <w:tabs>
          <w:tab w:leader="none" w:pos="1100" w:val="left"/>
        </w:tabs>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w:t>
        <w:tab/>
        <w:t>Jonathan Bram</w:t>
      </w:r>
    </w:p>
    <w:p>
      <w:pPr>
        <w:spacing w:after="0" w:line="20" w:lineRule="exact"/>
        <w:rPr>
          <w:sz w:val="20"/>
          <w:szCs w:val="20"/>
          <w:color w:val="auto"/>
        </w:rPr>
      </w:pPr>
    </w:p>
    <w:p>
      <w:pPr>
        <w:ind w:left="1620"/>
        <w:spacing w:after="0"/>
        <w:tabs>
          <w:tab w:leader="none" w:pos="348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of directors</w:t>
      </w:r>
      <w:r>
        <w:rPr>
          <w:rFonts w:ascii="Times New Roman" w:cs="Times New Roman" w:eastAsia="Times New Roman" w:hAnsi="Times New Roman"/>
          <w:sz w:val="18"/>
          <w:szCs w:val="18"/>
          <w:color w:val="auto"/>
        </w:rPr>
        <w:t>:</w:t>
        <w:tab/>
        <w:t>11</w:t>
      </w:r>
    </w:p>
    <w:p>
      <w:pPr>
        <w:spacing w:after="0" w:line="73" w:lineRule="exact"/>
        <w:rPr>
          <w:sz w:val="20"/>
          <w:szCs w:val="20"/>
          <w:color w:val="auto"/>
        </w:rPr>
      </w:pPr>
    </w:p>
    <w:p>
      <w:pPr>
        <w:ind w:left="1620"/>
        <w:spacing w:after="0"/>
        <w:tabs>
          <w:tab w:leader="none" w:pos="462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of regular meetings in 2023</w:t>
      </w:r>
      <w:r>
        <w:rPr>
          <w:rFonts w:ascii="Times New Roman" w:cs="Times New Roman" w:eastAsia="Times New Roman" w:hAnsi="Times New Roman"/>
          <w:sz w:val="18"/>
          <w:szCs w:val="18"/>
          <w:color w:val="auto"/>
        </w:rPr>
        <w:t>:</w:t>
        <w:tab/>
        <w:t>5</w:t>
      </w: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special meetings in 2023</w:t>
      </w:r>
      <w:r>
        <w:rPr>
          <w:rFonts w:ascii="Times New Roman" w:cs="Times New Roman" w:eastAsia="Times New Roman" w:hAnsi="Times New Roman"/>
          <w:sz w:val="18"/>
          <w:szCs w:val="18"/>
          <w:color w:val="auto"/>
        </w:rPr>
        <w:t>:  1</w:t>
      </w:r>
    </w:p>
    <w:p>
      <w:pPr>
        <w:ind w:left="1620"/>
        <w:spacing w:after="0" w:line="238"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Annual election of directors</w:t>
      </w:r>
    </w:p>
    <w:p>
      <w:pPr>
        <w:spacing w:after="0" w:line="1" w:lineRule="exact"/>
        <w:rPr>
          <w:sz w:val="20"/>
          <w:szCs w:val="20"/>
          <w:color w:val="auto"/>
        </w:rPr>
      </w:pPr>
    </w:p>
    <w:p>
      <w:pPr>
        <w:ind w:left="1800" w:right="20" w:hanging="179"/>
        <w:spacing w:after="0" w:line="196"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Separate 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Lead Independent Director</w:t>
            </w:r>
            <w:r>
              <w:rPr>
                <w:rFonts w:ascii="Times New Roman" w:cs="Times New Roman" w:eastAsia="Times New Roman" w:hAnsi="Times New Roman"/>
                <w:sz w:val="18"/>
                <w:szCs w:val="18"/>
                <w:color w:val="auto"/>
              </w:rPr>
              <w:t>:  Brian R. Ford</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2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bscript"/>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executive sessions of independent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20" w:type="dxa"/>
            <w:vAlign w:val="bottom"/>
            <w:vMerge w:val="continue"/>
          </w:tcPr>
          <w:p>
            <w:pPr>
              <w:spacing w:after="0"/>
              <w:rPr>
                <w:sz w:val="23"/>
                <w:szCs w:val="23"/>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and Corporate Governance, Conflicts</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Nominating Committees composed of all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w:t>
            </w: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independent directors</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320" w:type="dxa"/>
            <w:vAlign w:val="bottom"/>
            <w:vMerge w:val="continue"/>
          </w:tcPr>
          <w:p>
            <w:pPr>
              <w:spacing w:after="0"/>
              <w:rPr>
                <w:sz w:val="21"/>
                <w:szCs w:val="21"/>
                <w:color w:val="auto"/>
              </w:rPr>
            </w:pPr>
          </w:p>
        </w:tc>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Active engagement by all directors</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3500" w:type="dxa"/>
            <w:vAlign w:val="bottom"/>
          </w:tcPr>
          <w:p>
            <w:pPr>
              <w:spacing w:after="0"/>
              <w:rPr>
                <w:sz w:val="20"/>
                <w:szCs w:val="20"/>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413" w:lineRule="exact"/>
        <w:rPr>
          <w:sz w:val="20"/>
          <w:szCs w:val="20"/>
          <w:color w:val="auto"/>
        </w:rPr>
      </w:pPr>
    </w:p>
    <w:p>
      <w:pPr>
        <w:sectPr>
          <w:pgSz w:w="11900" w:h="16838" w:orient="portrait"/>
          <w:cols w:equalWidth="0" w:num="2">
            <w:col w:w="4840" w:space="420"/>
            <w:col w:w="4619"/>
          </w:cols>
          <w:pgMar w:left="580" w:top="97" w:right="1440" w:bottom="1440" w:gutter="0" w:footer="0" w:header="0"/>
          <w:type w:val="continuous"/>
        </w:sect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w:t>
      </w:r>
    </w:p>
    <w:p>
      <w:pPr>
        <w:spacing w:after="0" w:line="124"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During the 2023 fiscal year, all directors attended at least 75% of the meetings of the Board and Committees on which they served in 2023, other than Vincent Stoquart due to pre-existing scheduling conflicts when he was appointed to the Board. Non-management directors meet in executive session regularly following Board meetings. Directors are encouraged to attend the annual meetings of stockholders. All of the directors who served as such at the time of the meeting attended the 2023 Annual Meeting of Stockholders.</w:t>
      </w:r>
    </w:p>
    <w:p>
      <w:pPr>
        <w:spacing w:after="0" w:line="3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of GIP, our shared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w:t>
      </w:r>
    </w:p>
    <w:p>
      <w:pPr>
        <w:spacing w:after="0" w:line="329"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Our President and CEO, Mr. Sotos, and the Chairman, Mr. Bram, work together in complementary roles. Mr. Sotos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w:t>
      </w:r>
    </w:p>
    <w:p>
      <w:pPr>
        <w:spacing w:after="0" w:line="336"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When the Chairman is a director affiliated with GIP, TotalEnergies,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w:t>
      </w:r>
    </w:p>
    <w:p>
      <w:pPr>
        <w:sectPr>
          <w:pgSz w:w="11900" w:h="16838" w:orient="portrait"/>
          <w:cols w:equalWidth="0" w:num="1">
            <w:col w:w="9879"/>
          </w:cols>
          <w:pgMar w:left="580" w:top="97" w:right="1440" w:bottom="1440" w:gutter="0" w:footer="0" w:header="0"/>
          <w:type w:val="continuous"/>
        </w:sect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19"/>
        <w:spacing w:after="0" w:line="282" w:lineRule="auto"/>
        <w:rPr>
          <w:sz w:val="20"/>
          <w:szCs w:val="20"/>
          <w:color w:val="auto"/>
        </w:rPr>
      </w:pPr>
      <w:r>
        <w:rPr>
          <w:rFonts w:ascii="Times New Roman" w:cs="Times New Roman" w:eastAsia="Times New Roman" w:hAnsi="Times New Roman"/>
          <w:sz w:val="18"/>
          <w:szCs w:val="18"/>
          <w:color w:val="auto"/>
        </w:rPr>
        <w:t>directors, chairs executive sessions of the independent directors, and performs the other duties either specified in the Guidelines or as assigned from time to time by the Board.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PRACTICES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w:t>
      </w:r>
    </w:p>
    <w:p>
      <w:pPr>
        <w:spacing w:after="0" w:line="68" w:lineRule="exact"/>
        <w:rPr>
          <w:sz w:val="20"/>
          <w:szCs w:val="20"/>
          <w:color w:val="auto"/>
        </w:rPr>
      </w:pPr>
    </w:p>
    <w:p>
      <w:pPr>
        <w:ind w:left="1800" w:hanging="180"/>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planning for the CEO and other senior management;</w:t>
      </w:r>
    </w:p>
    <w:p>
      <w:pPr>
        <w:spacing w:after="0" w:line="13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performance evaluations of the Board and each of its standing Committees, as well as periodic peer review for individual directors;</w:t>
      </w:r>
    </w:p>
    <w:p>
      <w:pPr>
        <w:spacing w:after="0" w:line="53" w:lineRule="exact"/>
        <w:rPr>
          <w:rFonts w:ascii="Times New Roman" w:cs="Times New Roman" w:eastAsia="Times New Roman" w:hAnsi="Times New Roman"/>
          <w:sz w:val="18"/>
          <w:szCs w:val="18"/>
          <w:color w:val="auto"/>
        </w:rPr>
      </w:pPr>
    </w:p>
    <w:p>
      <w:pPr>
        <w:ind w:left="1800" w:right="131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orientation and continuing education program, including Company site visits and information sessions with Company management at relevant sites;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and engagement of outside advisors and consultants to assist the Board and the Committees in the performance of their duties, as appropriate.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responsibility for overall risk oversight of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oversees financial risks.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oversees risks related to compensation policies and practices.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Conflicts and Nominating Committee oversees risks related to governance practices, including ESG-related matters, conflicts of interest or changes of control and related person transactions.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Energy Risk Management Committee oversees risks related to the marketing and trading of fuel, transportation, energy and related products and services.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oversight includes understanding the material risks to the business and what steps management is taking or should be taking to manage those risks, as well as understanding and determining the appropriate risk appetite for the Company.</w:t>
      </w:r>
    </w:p>
    <w:p>
      <w:pPr>
        <w:spacing w:after="0" w:line="6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define the Company’s risk appetite, the Board reviews and approves the annual business plan, budget and long-term plan, strategic initiatives, individual development projects, capital raising, acquisitions and divestitures, and capital allocation plan.</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Other than the Energy Risk Management Committee, 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w:t>
      </w:r>
    </w:p>
    <w:p>
      <w:pPr>
        <w:spacing w:after="0" w:line="107"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from, and agreements that we have in place with, CEG, and its affiliates, and other related person transactions. The Corporate Governance, Conflicts and Nominating Committee is also responsible for reviewing and assessing risks from ESG-related matters.</w:t>
      </w:r>
    </w:p>
    <w:p>
      <w:pPr>
        <w:spacing w:after="0" w:line="12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Energy Risk Management Committee oversees risks related to management’s process for the identification, evaluation and mitigation of risks related to our marketing and trading of fuel, transportation, energy and related products and services.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 SELECTION PROCESS</w:t>
      </w:r>
    </w:p>
    <w:p>
      <w:pPr>
        <w:spacing w:after="0" w:line="14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w:t>
      </w:r>
    </w:p>
    <w:p>
      <w:pPr>
        <w:spacing w:after="0" w:line="340" w:lineRule="exact"/>
        <w:rPr>
          <w:sz w:val="20"/>
          <w:szCs w:val="20"/>
          <w:color w:val="auto"/>
        </w:rPr>
      </w:pPr>
    </w:p>
    <w:p>
      <w:pPr>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w:t>
      </w:r>
    </w:p>
    <w:p>
      <w:pPr>
        <w:spacing w:after="0" w:line="11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In December 2020, in addition to the emphasis in the Guidelines on diversity of backgrounds and perspectives on the Board, the Board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Stockholder-Recommended Director Candidates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requirements to submit nominees discussed under “Stockholder Proposals or Stockholder Nomination of Director to be brought at the 2024 Annual Meeting (without Inclusion in the Company’s Proxy Statement).”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Stockholder-Nominated Director Candidates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As discussed under “Requirements for Submission of Stockholder Proposals for the 2025 Annual Meeting of Stockholders,” stockholders intending to appear at the 2025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the following four standing Committees:</w:t>
      </w:r>
    </w:p>
    <w:p>
      <w:pPr>
        <w:spacing w:after="0" w:line="117"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Conflicts and Nominating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Risk Management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membership and the functions of each Committee are described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17"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Brian R. Ford (Chair), Jennifer Lowry, Daniel B. More, E. Stanley O’Neal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2023:  </w:t>
      </w:r>
      <w:r>
        <w:rPr>
          <w:rFonts w:ascii="Times New Roman" w:cs="Times New Roman" w:eastAsia="Times New Roman" w:hAnsi="Times New Roman"/>
          <w:sz w:val="18"/>
          <w:szCs w:val="18"/>
          <w:color w:val="auto"/>
        </w:rPr>
        <w:t>4</w:t>
      </w:r>
    </w:p>
    <w:p>
      <w:pPr>
        <w:spacing w:after="0" w:line="117" w:lineRule="exact"/>
        <w:rPr>
          <w:rFonts w:ascii="Times New Roman" w:cs="Times New Roman" w:eastAsia="Times New Roman" w:hAnsi="Times New Roman"/>
          <w:sz w:val="18"/>
          <w:szCs w:val="18"/>
          <w:color w:val="auto"/>
        </w:rPr>
      </w:pPr>
    </w:p>
    <w:p>
      <w:pPr>
        <w:ind w:left="1800" w:right="839" w:hanging="180"/>
        <w:spacing w:after="0" w:line="28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Committee Financial Experts: </w:t>
      </w:r>
      <w:r>
        <w:rPr>
          <w:rFonts w:ascii="Times New Roman" w:cs="Times New Roman" w:eastAsia="Times New Roman" w:hAnsi="Times New Roman"/>
          <w:sz w:val="18"/>
          <w:szCs w:val="18"/>
          <w:color w:val="auto"/>
        </w:rPr>
        <w:t>Brian R. Ford, Jennifer Lowry, Daniel B. More, E. Stanley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O’Neal</w:t>
      </w:r>
    </w:p>
    <w:p>
      <w:pPr>
        <w:spacing w:after="0" w:line="46" w:lineRule="exact"/>
        <w:rPr>
          <w:rFonts w:ascii="Times New Roman" w:cs="Times New Roman" w:eastAsia="Times New Roman" w:hAnsi="Times New Roman"/>
          <w:sz w:val="18"/>
          <w:szCs w:val="18"/>
          <w:color w:val="auto"/>
        </w:rPr>
      </w:pPr>
    </w:p>
    <w:p>
      <w:pPr>
        <w:ind w:left="1800" w:right="659" w:hanging="180"/>
        <w:spacing w:after="0" w:line="26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appoints, retains, oversees, evaluates, and compensates the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auditors; reviews the annual audited and quarterly consolidated financial statements; and reviews major issues regarding accounting principles and financial statement presentations.</w:t>
      </w:r>
    </w:p>
    <w:p>
      <w:pPr>
        <w:spacing w:after="0" w:line="6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all members</w:t>
      </w:r>
    </w:p>
    <w:p>
      <w:pPr>
        <w:spacing w:after="0" w:line="14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Audit Committee:</w:t>
      </w:r>
    </w:p>
    <w:p>
      <w:pPr>
        <w:spacing w:after="0" w:line="144" w:lineRule="exact"/>
        <w:rPr>
          <w:sz w:val="20"/>
          <w:szCs w:val="20"/>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retains, oversees, evaluates, compensates, and terminates the independent auditors;</w:t>
      </w:r>
    </w:p>
    <w:p>
      <w:pPr>
        <w:spacing w:after="0" w:line="157"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annual audited and quarterly consolidated financial statements with management and independent auditors;</w:t>
      </w:r>
    </w:p>
    <w:p>
      <w:pPr>
        <w:spacing w:after="0" w:line="94"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significant accounting and reporting issues, including significant changes in Company’s application of accounting principles and recent professional or regulatory pronouncements;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major issues regarding accounting principles and financial statement presentations;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earnings press releases and earnings guidance provided to analysts and rating agencies;</w:t>
      </w:r>
    </w:p>
    <w:p>
      <w:pPr>
        <w:spacing w:after="0" w:line="14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pre-approves all audit and permitted non-audit services provided by the independent auditors;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105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resolves disagreements between management and independent auditors regarding financial reporting;</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the adequacy and effectiveness of the Company’s internal control and reporting system;</w:t>
      </w:r>
    </w:p>
    <w:p>
      <w:pPr>
        <w:spacing w:after="0" w:line="144" w:lineRule="exact"/>
        <w:rPr>
          <w:rFonts w:ascii="Times New Roman" w:cs="Times New Roman" w:eastAsia="Times New Roman" w:hAnsi="Times New Roman"/>
          <w:sz w:val="18"/>
          <w:szCs w:val="18"/>
          <w:color w:val="auto"/>
        </w:rPr>
      </w:pPr>
    </w:p>
    <w:p>
      <w:pPr>
        <w:ind w:left="1980" w:right="97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internal corporate audit staff functions and sets hiring policies for employees or former employees of the independent auditors;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concurs the appointment, replacement, and dismissal of the Chief Audit Executive;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rotation of the lead or coordinating audit partner;</w:t>
      </w:r>
    </w:p>
    <w:p>
      <w:pPr>
        <w:spacing w:after="0" w:line="157" w:lineRule="exact"/>
        <w:rPr>
          <w:rFonts w:ascii="Times New Roman" w:cs="Times New Roman" w:eastAsia="Times New Roman" w:hAnsi="Times New Roman"/>
          <w:sz w:val="18"/>
          <w:szCs w:val="18"/>
          <w:color w:val="auto"/>
        </w:rPr>
      </w:pPr>
    </w:p>
    <w:p>
      <w:pPr>
        <w:ind w:left="1980" w:right="539" w:hanging="360"/>
        <w:spacing w:after="0" w:line="261"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w:t>
      </w:r>
    </w:p>
    <w:p>
      <w:pPr>
        <w:spacing w:after="0" w:line="98"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regularly to the Board regarding its activities and prepares and publishes required annual Committee reports;</w:t>
      </w:r>
    </w:p>
    <w:p>
      <w:pPr>
        <w:spacing w:after="0" w:line="80" w:lineRule="exact"/>
        <w:rPr>
          <w:rFonts w:ascii="Times New Roman" w:cs="Times New Roman" w:eastAsia="Times New Roman" w:hAnsi="Times New Roman"/>
          <w:sz w:val="18"/>
          <w:szCs w:val="18"/>
          <w:color w:val="auto"/>
        </w:rPr>
      </w:pPr>
    </w:p>
    <w:p>
      <w:pPr>
        <w:ind w:left="1980" w:right="51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updates from management and Company legal counsel regarding compliance matters that may be material to financial performance or reporting obligations;</w:t>
      </w:r>
    </w:p>
    <w:p>
      <w:pPr>
        <w:spacing w:after="0" w:line="80" w:lineRule="exact"/>
        <w:rPr>
          <w:rFonts w:ascii="Times New Roman" w:cs="Times New Roman" w:eastAsia="Times New Roman" w:hAnsi="Times New Roman"/>
          <w:sz w:val="18"/>
          <w:szCs w:val="18"/>
          <w:color w:val="auto"/>
        </w:rPr>
      </w:pPr>
    </w:p>
    <w:p>
      <w:pPr>
        <w:ind w:left="1980" w:right="63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management and the internal audit executive compliance by the Company and its subsidiaries with material applicable laws and regulations and the Code of Conduct;</w:t>
      </w:r>
    </w:p>
    <w:p>
      <w:pPr>
        <w:spacing w:after="0" w:line="94" w:lineRule="exact"/>
        <w:rPr>
          <w:rFonts w:ascii="Times New Roman" w:cs="Times New Roman" w:eastAsia="Times New Roman" w:hAnsi="Times New Roman"/>
          <w:sz w:val="18"/>
          <w:szCs w:val="18"/>
          <w:color w:val="auto"/>
        </w:rPr>
      </w:pPr>
    </w:p>
    <w:p>
      <w:pPr>
        <w:ind w:left="1980" w:right="619" w:hanging="360"/>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confidential and anonymous procedures for the receipt, retention, and treatment of complaints and concerns regarding accounting, internal accounting controls, or auditing matters;</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internal audit and corporate compliance functions;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report required to be included in the Company’s proxy statement;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Audit Committee and the adequacy of its charter.</w:t>
      </w:r>
    </w:p>
    <w:p>
      <w:pPr>
        <w:spacing w:after="0" w:line="14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Board has determined that all of the current Audit Committee members are independent according to the rules and regulations of the SEC and the listing standards of the NYSE with respect to audit committee membership.</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17" w:lineRule="exact"/>
        <w:rPr>
          <w:sz w:val="20"/>
          <w:szCs w:val="20"/>
          <w:color w:val="auto"/>
        </w:rPr>
      </w:pPr>
    </w:p>
    <w:p>
      <w:pPr>
        <w:ind w:left="1800" w:right="919" w:hanging="180"/>
        <w:spacing w:after="0" w:line="28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E. Stanley O’Neal (Chair), Jonathan Bram, Brian R. Ford, Jennifer Lowry,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Daniel B. More</w:t>
      </w:r>
    </w:p>
    <w:p>
      <w:pPr>
        <w:spacing w:after="0" w:line="3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2023:  </w:t>
      </w:r>
      <w:r>
        <w:rPr>
          <w:rFonts w:ascii="Times New Roman" w:cs="Times New Roman" w:eastAsia="Times New Roman" w:hAnsi="Times New Roman"/>
          <w:sz w:val="18"/>
          <w:szCs w:val="18"/>
          <w:color w:val="auto"/>
        </w:rPr>
        <w:t>5</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oversees the Company’s overall compensation structure,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evaluates the performance of the CEO and other senior executives against goals and objectives relevant to their compensation; and reviews the compensation of directors for service on the Board and its Committees.</w:t>
      </w:r>
    </w:p>
    <w:p>
      <w:pPr>
        <w:spacing w:after="0" w:line="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4 members</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provides leadership and guidance to the Board regarding the Company’s overall compensation strategy, structure, policies and programs.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Compensation Committee:</w:t>
      </w:r>
    </w:p>
    <w:p>
      <w:pPr>
        <w:spacing w:after="0" w:line="144" w:lineRule="exact"/>
        <w:rPr>
          <w:sz w:val="20"/>
          <w:szCs w:val="20"/>
          <w:color w:val="auto"/>
        </w:rPr>
      </w:pPr>
    </w:p>
    <w:p>
      <w:pPr>
        <w:ind w:left="1980" w:right="599" w:hanging="360"/>
        <w:spacing w:after="0" w:line="261" w:lineRule="auto"/>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for approval annual and long-term goals and objectives relevant to the compensation of the CEO, evaluates the performance of the CEO in light of those goals and objectives, and determines, approves and recommends to the Board for approval, the CEO’s compensation level based on such evaluation;</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the Board with respect to the Chief Financial Officer (the “CFO”), any executive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spacing w:after="0" w:line="255" w:lineRule="auto"/>
        <w:rPr>
          <w:sz w:val="20"/>
          <w:szCs w:val="20"/>
          <w:color w:val="auto"/>
        </w:rPr>
      </w:pPr>
      <w:r>
        <w:rPr>
          <w:rFonts w:ascii="Times New Roman" w:cs="Times New Roman" w:eastAsia="Times New Roman" w:hAnsi="Times New Roman"/>
          <w:sz w:val="18"/>
          <w:szCs w:val="18"/>
          <w:color w:val="auto"/>
        </w:rPr>
        <w:t>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w:t>
      </w:r>
    </w:p>
    <w:p>
      <w:pPr>
        <w:spacing w:after="0" w:line="121" w:lineRule="exact"/>
        <w:rPr>
          <w:sz w:val="20"/>
          <w:szCs w:val="20"/>
          <w:color w:val="auto"/>
        </w:rPr>
      </w:pPr>
    </w:p>
    <w:p>
      <w:pPr>
        <w:ind w:left="1980" w:right="43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the compensation, incentive compensation and equity-based plans that are subject to Board approval;</w:t>
      </w:r>
    </w:p>
    <w:p>
      <w:pPr>
        <w:spacing w:after="0" w:line="94"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3"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discusses with management the CD&amp;A to be included in the Company’s proxy statement or annual report on Form 10-K, and based on such review and discussions, recommends to the Board that the CD&amp;A be included in the Company’s proxy statement or annual report on Form 10-K;</w:t>
      </w:r>
    </w:p>
    <w:p>
      <w:pPr>
        <w:spacing w:after="0" w:line="345" w:lineRule="exact"/>
        <w:rPr>
          <w:rFonts w:ascii="Times New Roman" w:cs="Times New Roman" w:eastAsia="Times New Roman" w:hAnsi="Times New Roman"/>
          <w:sz w:val="18"/>
          <w:szCs w:val="18"/>
          <w:color w:val="auto"/>
        </w:rPr>
      </w:pPr>
    </w:p>
    <w:p>
      <w:pPr>
        <w:ind w:left="1980" w:right="519" w:hanging="360"/>
        <w:spacing w:after="0" w:line="261"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w:t>
      </w:r>
    </w:p>
    <w:p>
      <w:pPr>
        <w:spacing w:after="0" w:line="112" w:lineRule="exact"/>
        <w:rPr>
          <w:rFonts w:ascii="Times New Roman" w:cs="Times New Roman" w:eastAsia="Times New Roman" w:hAnsi="Times New Roman"/>
          <w:sz w:val="18"/>
          <w:szCs w:val="18"/>
          <w:color w:val="auto"/>
        </w:rPr>
      </w:pPr>
    </w:p>
    <w:p>
      <w:pPr>
        <w:ind w:left="1980" w:right="65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reviews and approves any changes to the Company’s policy on recoupment of incentive compensation in the event of a financial restatement or other events that could require the recoupment or forfeiture of incentive compensation;</w:t>
      </w:r>
    </w:p>
    <w:p>
      <w:pPr>
        <w:spacing w:after="0" w:line="108"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and monitors officers’ and directors’ compliance regarding any stock ownership guidelines;</w:t>
      </w:r>
    </w:p>
    <w:p>
      <w:pPr>
        <w:spacing w:after="0" w:line="94" w:lineRule="exact"/>
        <w:rPr>
          <w:rFonts w:ascii="Times New Roman" w:cs="Times New Roman" w:eastAsia="Times New Roman" w:hAnsi="Times New Roman"/>
          <w:sz w:val="18"/>
          <w:szCs w:val="18"/>
          <w:color w:val="auto"/>
        </w:rPr>
      </w:pPr>
    </w:p>
    <w:p>
      <w:pPr>
        <w:ind w:left="1980" w:right="133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compensation of directors for service on the Board and its Committees and recommends changes in compensation to the Board;</w:t>
      </w:r>
    </w:p>
    <w:p>
      <w:pPr>
        <w:spacing w:after="0" w:line="94" w:lineRule="exact"/>
        <w:rPr>
          <w:rFonts w:ascii="Times New Roman" w:cs="Times New Roman" w:eastAsia="Times New Roman" w:hAnsi="Times New Roman"/>
          <w:sz w:val="18"/>
          <w:szCs w:val="18"/>
          <w:color w:val="auto"/>
        </w:rPr>
      </w:pPr>
    </w:p>
    <w:p>
      <w:pPr>
        <w:ind w:left="1980" w:right="479" w:hanging="360"/>
        <w:spacing w:after="0" w:line="266"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and terminates any adviser to assist the Compensation Committee in the performance of its duties, but only after taking into consideration all factors relevant to the adviser’s independence from management; and</w:t>
      </w:r>
    </w:p>
    <w:p>
      <w:pPr>
        <w:spacing w:after="0" w:line="108"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Compensation Committee and the adequacy of its charter.</w:t>
      </w:r>
    </w:p>
    <w:p>
      <w:pPr>
        <w:spacing w:after="0" w:line="94"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w:t>
      </w:r>
    </w:p>
    <w:p>
      <w:pPr>
        <w:spacing w:after="0" w:line="32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LLC (“Pay Governance”) served as the Compensation Committee’s independent compensation consultant for fiscal year 2023. The Compensation Committee’s independent compensation consultants, Pay Governance, worked with the Compensation Committee in connection with the director compensation, executive compensation programs, and the CEO evaluation process.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Ford, Ms. Lowry, Mr. More and Mr. O’Neal are independent under the listing standards of the NYSE and that they are “nonemployee directors” for purposes of Rule 16b-3 under the Securities Exchange Act of 1934, as amended (the “Exchange 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Conflicts and Nominating Committee</w:t>
      </w:r>
    </w:p>
    <w:p>
      <w:pPr>
        <w:spacing w:after="0" w:line="117"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Daniel B. More (Chair), Brian R. Ford, Jennifer Lowry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2023:  </w:t>
      </w:r>
      <w:r>
        <w:rPr>
          <w:rFonts w:ascii="Times New Roman" w:cs="Times New Roman" w:eastAsia="Times New Roman" w:hAnsi="Times New Roman"/>
          <w:sz w:val="18"/>
          <w:szCs w:val="18"/>
          <w:color w:val="auto"/>
        </w:rPr>
        <w:t>11</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recommends director candidates to the Board; makes recommendations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and Committee structure and function and governance related matters; oversees the evaluation of the Board and Committees; reviews potential conflict transactions between the Company and any affiliated parties, including CEG, and any change of control of the Company; and reviews and makes recommendations to the Board regarding ESG matters.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all members</w:t>
      </w:r>
    </w:p>
    <w:p>
      <w:pPr>
        <w:spacing w:after="0" w:line="14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Board and committees annual performance review and ESG matters.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Among other things, the Corporate Governance, Conflicts and Nominating Committee:</w:t>
      </w:r>
    </w:p>
    <w:p>
      <w:pPr>
        <w:spacing w:after="0" w:line="158" w:lineRule="exact"/>
        <w:rPr>
          <w:sz w:val="20"/>
          <w:szCs w:val="20"/>
          <w:color w:val="auto"/>
        </w:rPr>
      </w:pPr>
    </w:p>
    <w:p>
      <w:pPr>
        <w:ind w:left="1980" w:right="43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and reviews the qualifications of potential nominees to the Board consistent with criteria approved by the Board, including the relative experience, strength and conviction of independent directors;</w:t>
      </w:r>
    </w:p>
    <w:p>
      <w:pPr>
        <w:spacing w:after="0" w:line="94"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assesses the contributions and independence of incumbent directors in determining whether to recommend them for re-election;</w:t>
      </w:r>
    </w:p>
    <w:p>
      <w:pPr>
        <w:spacing w:after="0" w:line="94" w:lineRule="exact"/>
        <w:rPr>
          <w:rFonts w:ascii="Times New Roman" w:cs="Times New Roman" w:eastAsia="Times New Roman" w:hAnsi="Times New Roman"/>
          <w:sz w:val="18"/>
          <w:szCs w:val="18"/>
          <w:color w:val="auto"/>
        </w:rPr>
      </w:pPr>
    </w:p>
    <w:p>
      <w:pPr>
        <w:ind w:left="1980" w:right="65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periodically evaluates, and oversees compliance with the Guidelines and recommends any changes to the Guidelines to the Board;</w:t>
      </w:r>
    </w:p>
    <w:p>
      <w:pPr>
        <w:spacing w:after="0" w:line="94"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and reviews procedures for the consideration of Board candidates recommended by the Company’s stockholders;</w:t>
      </w:r>
    </w:p>
    <w:p>
      <w:pPr>
        <w:spacing w:after="0" w:line="80" w:lineRule="exact"/>
        <w:rPr>
          <w:rFonts w:ascii="Times New Roman" w:cs="Times New Roman" w:eastAsia="Times New Roman" w:hAnsi="Times New Roman"/>
          <w:sz w:val="18"/>
          <w:szCs w:val="18"/>
          <w:color w:val="auto"/>
        </w:rPr>
      </w:pPr>
    </w:p>
    <w:p>
      <w:pPr>
        <w:ind w:left="1980" w:right="87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potential conflict transactions between the Company and any affiliated parties, including CEG, with respect to acquisitions of assets and other transactions;</w:t>
      </w:r>
    </w:p>
    <w:p>
      <w:pPr>
        <w:spacing w:after="0" w:line="94"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strategic transactions involving the transfer of 50% or more of the voting power in the Company;</w:t>
      </w:r>
    </w:p>
    <w:p>
      <w:pPr>
        <w:spacing w:after="0" w:line="94" w:lineRule="exact"/>
        <w:rPr>
          <w:rFonts w:ascii="Times New Roman" w:cs="Times New Roman" w:eastAsia="Times New Roman" w:hAnsi="Times New Roman"/>
          <w:sz w:val="18"/>
          <w:szCs w:val="18"/>
          <w:color w:val="auto"/>
        </w:rPr>
      </w:pPr>
    </w:p>
    <w:p>
      <w:pPr>
        <w:ind w:left="1980" w:right="559" w:hanging="360"/>
        <w:spacing w:after="0" w:line="266"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relationships between the Company and each director and reports the results of its review to the Board for purposes of determining whether directors satisfy independence requirements;</w:t>
      </w:r>
    </w:p>
    <w:p>
      <w:pPr>
        <w:spacing w:after="0" w:line="94"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candidates for appointment to Board committees;</w:t>
      </w:r>
    </w:p>
    <w:p>
      <w:pPr>
        <w:spacing w:after="0" w:line="157"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assesses the channels through which the Board receives information, and the quality and timeliness of information received;</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to the Board retirement and other tenure policies for directors;</w:t>
      </w:r>
    </w:p>
    <w:p>
      <w:pPr>
        <w:spacing w:after="0" w:line="157"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Company policies applicable to the Board, the directors and officers subject to Section 16 of the Exchange Act;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reports to the Board regarding potential conflicts of interests of directors;</w:t>
      </w:r>
    </w:p>
    <w:p>
      <w:pPr>
        <w:spacing w:after="0" w:line="144" w:lineRule="exact"/>
        <w:rPr>
          <w:rFonts w:ascii="Times New Roman" w:cs="Times New Roman" w:eastAsia="Times New Roman" w:hAnsi="Times New Roman"/>
          <w:sz w:val="18"/>
          <w:szCs w:val="18"/>
          <w:color w:val="auto"/>
        </w:rPr>
      </w:pPr>
    </w:p>
    <w:p>
      <w:pPr>
        <w:ind w:left="1980" w:right="1159" w:hanging="360"/>
        <w:spacing w:after="0" w:line="266"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director candidates for the annual meeting of stockholders, and candidates to be elected by the Board as necessary to fill vacancies and newly created directorships;</w:t>
      </w:r>
    </w:p>
    <w:p>
      <w:pPr>
        <w:spacing w:after="0" w:line="94" w:lineRule="exact"/>
        <w:rPr>
          <w:rFonts w:ascii="Times New Roman" w:cs="Times New Roman" w:eastAsia="Times New Roman" w:hAnsi="Times New Roman"/>
          <w:sz w:val="18"/>
          <w:szCs w:val="18"/>
          <w:color w:val="auto"/>
        </w:rPr>
      </w:pPr>
    </w:p>
    <w:p>
      <w:pPr>
        <w:ind w:left="1980" w:right="859" w:hanging="360"/>
        <w:spacing w:after="0" w:line="282"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evaluation of the Board, its committees and management, and develops and recommends to the Board an annual self-evaluation process of the Board and its Committees;</w:t>
      </w:r>
    </w:p>
    <w:p>
      <w:pPr>
        <w:spacing w:after="0" w:line="80" w:lineRule="exact"/>
        <w:rPr>
          <w:rFonts w:ascii="Times New Roman" w:cs="Times New Roman" w:eastAsia="Times New Roman" w:hAnsi="Times New Roman"/>
          <w:sz w:val="18"/>
          <w:szCs w:val="18"/>
          <w:color w:val="auto"/>
        </w:rPr>
      </w:pPr>
    </w:p>
    <w:p>
      <w:pPr>
        <w:ind w:left="1980" w:right="959" w:hanging="360"/>
        <w:spacing w:after="0" w:line="282"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directorships in other public companies held by directors and senior officers of the Company;</w:t>
      </w:r>
    </w:p>
    <w:p>
      <w:pPr>
        <w:spacing w:after="0" w:line="67"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orientation process for new director and programs for the continuing education of directors;</w:t>
      </w:r>
    </w:p>
    <w:p>
      <w:pPr>
        <w:spacing w:after="0" w:line="80"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developing trends and emerging ESG matters, as well as the Company’s strategies, activities polices and communications regarding ESG matters, and makes recommendations to the Board regarding potential actions by the Company; and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such other duties and responsibilities as are consistent with the purpose of the Committee and as the Board deems appropriate.</w:t>
      </w:r>
    </w:p>
    <w:p>
      <w:pPr>
        <w:spacing w:after="0" w:line="8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w:t>
      </w:r>
    </w:p>
    <w:p>
      <w:pPr>
        <w:spacing w:after="0" w:line="10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has determined that all of the Corporate Governance, Conflicts, and Nominating Committee members are independent under the listing standards of the NYSE.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Energy Risk Management Committee</w:t>
      </w:r>
    </w:p>
    <w:p>
      <w:pPr>
        <w:spacing w:after="0" w:line="104"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Current Members:  </w:t>
      </w:r>
      <w:r>
        <w:rPr>
          <w:rFonts w:ascii="Times New Roman" w:cs="Times New Roman" w:eastAsia="Times New Roman" w:hAnsi="Times New Roman"/>
          <w:sz w:val="18"/>
          <w:szCs w:val="18"/>
          <w:color w:val="auto"/>
        </w:rPr>
        <w:t>Jennifer Lowry (Chair), Emmanuel Barrois, Nathaniel Anschuetz</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Number of meetings in 2023:  </w:t>
      </w:r>
      <w:r>
        <w:rPr>
          <w:rFonts w:ascii="Times New Roman" w:cs="Times New Roman" w:eastAsia="Times New Roman" w:hAnsi="Times New Roman"/>
          <w:sz w:val="18"/>
          <w:szCs w:val="18"/>
          <w:color w:val="auto"/>
        </w:rPr>
        <w:t>8</w:t>
      </w:r>
    </w:p>
    <w:p>
      <w:pPr>
        <w:spacing w:after="0" w:line="103" w:lineRule="exact"/>
        <w:rPr>
          <w:rFonts w:ascii="Times New Roman" w:cs="Times New Roman" w:eastAsia="Times New Roman" w:hAnsi="Times New Roman"/>
          <w:sz w:val="18"/>
          <w:szCs w:val="18"/>
          <w:color w:val="auto"/>
        </w:rPr>
      </w:pPr>
    </w:p>
    <w:p>
      <w:pPr>
        <w:ind w:left="1800" w:right="579" w:hanging="180"/>
        <w:spacing w:after="0" w:line="28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Primary Responsibilities: </w:t>
      </w:r>
      <w:r>
        <w:rPr>
          <w:rFonts w:ascii="Times New Roman" w:cs="Times New Roman" w:eastAsia="Times New Roman" w:hAnsi="Times New Roman"/>
          <w:sz w:val="18"/>
          <w:szCs w:val="18"/>
          <w:color w:val="auto"/>
        </w:rPr>
        <w:t>oversee risks related to our marketing and trading of fuel, transportation,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and related products and services.</w:t>
      </w:r>
    </w:p>
    <w:p>
      <w:pPr>
        <w:spacing w:after="0" w:line="3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Independence:  </w:t>
      </w:r>
      <w:r>
        <w:rPr>
          <w:rFonts w:ascii="Times New Roman" w:cs="Times New Roman" w:eastAsia="Times New Roman" w:hAnsi="Times New Roman"/>
          <w:sz w:val="18"/>
          <w:szCs w:val="18"/>
          <w:color w:val="auto"/>
        </w:rPr>
        <w:t>1 member</w:t>
      </w:r>
    </w:p>
    <w:p>
      <w:pPr>
        <w:spacing w:after="0" w:line="162"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The Energy Risk Management Committee provides advice and assistance to the Board and to the Company to oversee risks related to management’s process for the identification, evaluation and mitigation of risks related to our marketing and trading of fuel, transportation, energy and related products and services.</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other things, the Energy Risk Management Committee:</w:t>
      </w:r>
    </w:p>
    <w:p>
      <w:pPr>
        <w:spacing w:after="0" w:line="131" w:lineRule="exact"/>
        <w:rPr>
          <w:sz w:val="20"/>
          <w:szCs w:val="20"/>
          <w:color w:val="auto"/>
        </w:rPr>
      </w:pPr>
    </w:p>
    <w:p>
      <w:pPr>
        <w:ind w:left="1980" w:right="51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policies and procedures established by management to assess, monitor, manage and control the Company’s material energy risk exposures, including commodity market (including marketing and trading of fuel, transportation, energy and related products and services, and hedging of generation portfolio obligations), strategic, credit, and liquidity;</w:t>
      </w:r>
    </w:p>
    <w:p>
      <w:pPr>
        <w:spacing w:after="0" w:line="98" w:lineRule="exact"/>
        <w:rPr>
          <w:rFonts w:ascii="Times New Roman" w:cs="Times New Roman" w:eastAsia="Times New Roman" w:hAnsi="Times New Roman"/>
          <w:sz w:val="18"/>
          <w:szCs w:val="18"/>
          <w:color w:val="auto"/>
        </w:rPr>
      </w:pPr>
    </w:p>
    <w:p>
      <w:pPr>
        <w:ind w:left="1980" w:right="599" w:hanging="360"/>
        <w:spacing w:after="0" w:line="266"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and assists the Board in its review of the processes by which management and the combined Energy Risk Management Committee of the Company and CEG assess the Company’s exposure to risk;</w:t>
      </w:r>
    </w:p>
    <w:p>
      <w:pPr>
        <w:spacing w:after="0" w:line="94" w:lineRule="exact"/>
        <w:rPr>
          <w:rFonts w:ascii="Times New Roman" w:cs="Times New Roman" w:eastAsia="Times New Roman" w:hAnsi="Times New Roman"/>
          <w:sz w:val="18"/>
          <w:szCs w:val="18"/>
          <w:color w:val="auto"/>
        </w:rPr>
      </w:pPr>
    </w:p>
    <w:p>
      <w:pPr>
        <w:ind w:left="1980" w:right="679" w:hanging="360"/>
        <w:spacing w:after="0" w:line="261"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revisions to the Company’s Energy Risk Management Policy effecting changes to (a) approved list of commodities, products and instruments, (b) the project limits,</w:t>
      </w:r>
    </w:p>
    <w:p>
      <w:pPr>
        <w:ind w:left="1980" w:right="5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Company’s Credit Risk Management Policy, and (d) provisions explicitly stated to require Board or Committee approval to be revised;</w:t>
      </w:r>
    </w:p>
    <w:p>
      <w:pPr>
        <w:spacing w:after="0" w:line="100"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any amendments to the Energy Risk Management Committee Charter, which is reviewed annually;</w:t>
      </w:r>
    </w:p>
    <w:p>
      <w:pPr>
        <w:spacing w:after="0" w:line="67" w:lineRule="exact"/>
        <w:rPr>
          <w:rFonts w:ascii="Times New Roman" w:cs="Times New Roman" w:eastAsia="Times New Roman" w:hAnsi="Times New Roman"/>
          <w:sz w:val="18"/>
          <w:szCs w:val="18"/>
          <w:color w:val="auto"/>
        </w:rPr>
      </w:pPr>
    </w:p>
    <w:p>
      <w:pPr>
        <w:ind w:left="1980" w:right="939" w:hanging="360"/>
        <w:spacing w:after="0" w:line="282" w:lineRule="auto"/>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transactions exceeding the Approval Authorities as outlined under the Company’s Energy Risk Management Policy;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8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assists the Audit Committee as necessary in matters related to the risks related to energy risk management of the Company;</w:t>
      </w:r>
    </w:p>
    <w:p>
      <w:pPr>
        <w:spacing w:after="0" w:line="94"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other matters that may be delegated by the Board or expressly noted in the Company’s Energy Risk Management Policy;</w:t>
      </w:r>
    </w:p>
    <w:p>
      <w:pPr>
        <w:spacing w:after="0" w:line="94" w:lineRule="exact"/>
        <w:rPr>
          <w:rFonts w:ascii="Times New Roman" w:cs="Times New Roman" w:eastAsia="Times New Roman" w:hAnsi="Times New Roman"/>
          <w:sz w:val="18"/>
          <w:szCs w:val="18"/>
          <w:color w:val="auto"/>
        </w:rPr>
      </w:pPr>
    </w:p>
    <w:p>
      <w:pPr>
        <w:ind w:left="1980" w:right="125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evaluates the performance of the Energy Risk Management Committee and the appropriateness of its charter; and</w:t>
      </w:r>
    </w:p>
    <w:p>
      <w:pPr>
        <w:spacing w:after="0" w:line="94" w:lineRule="exact"/>
        <w:rPr>
          <w:rFonts w:ascii="Times New Roman" w:cs="Times New Roman" w:eastAsia="Times New Roman" w:hAnsi="Times New Roman"/>
          <w:sz w:val="18"/>
          <w:szCs w:val="18"/>
          <w:color w:val="auto"/>
        </w:rPr>
      </w:pPr>
    </w:p>
    <w:p>
      <w:pPr>
        <w:ind w:left="1980" w:right="719" w:hanging="360"/>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such other duties and responsibilities as are consistent with the purpose of the Energy Risk Management Committee and as the Board deems appropriate.</w:t>
      </w:r>
    </w:p>
    <w:p>
      <w:pPr>
        <w:spacing w:after="0" w:line="8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Energy Risk Management Committee may delegate to one or more subcommittees such power and authority as the Energy Risk Management Committee deems appropriate. No subcommittee can consist of fewer than two members, and the Energy Risk Management Committee may not delegate to a subcommittee any power or authority that is required by any law, regulation or listing standard to be exercised by the Energy Risk Management Committee as a whole. The Energy Risk Management Committee has the authority to retain at the expense of the Company such outside counsel, experts, and other advisors as it determines appropriate to assist it in the full performance of its functions.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6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ESG and Sustainability</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engaging with our stakeholders on environmental, social and governance (ESG) matters in a proactive, holistic and integrated manner. We strive to provide recent, credible and comparable data to ESG agencies while engaging institutional investors and investor advocacy organizations around ESG issues. As described above, the Corporate Governance, Conflicts and Nominating Committee reviews developing trends and emerging ESG matters, as well as the Company’s strategies, activities, policies and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1" w:lineRule="auto"/>
        <w:rPr>
          <w:sz w:val="20"/>
          <w:szCs w:val="20"/>
          <w:color w:val="auto"/>
        </w:rPr>
      </w:pPr>
      <w:r>
        <w:rPr>
          <w:rFonts w:ascii="Times New Roman" w:cs="Times New Roman" w:eastAsia="Times New Roman" w:hAnsi="Times New Roman"/>
          <w:sz w:val="18"/>
          <w:szCs w:val="18"/>
          <w:color w:val="auto"/>
        </w:rPr>
        <w:t xml:space="preserve">communications regarding ESG matters, and makes recommendations to the Board regarding potential actions by the Company. Our Board is committed to active oversight of our ESG-related matters, including reviewing the status and performance of our ESG initiatives. To learn more about our ESG practices, visit our website at </w:t>
      </w:r>
      <w:r>
        <w:rPr>
          <w:rFonts w:ascii="Times New Roman" w:cs="Times New Roman" w:eastAsia="Times New Roman" w:hAnsi="Times New Roman"/>
          <w:sz w:val="18"/>
          <w:szCs w:val="18"/>
          <w:i w:val="1"/>
          <w:iCs w:val="1"/>
          <w:color w:val="auto"/>
        </w:rPr>
        <w:t>www.investor.clearwwayenergy.com/green-bonds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Since December 2019, we have issued approximately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Our green bond framework received a second party opinion from Sustainalytics, an outside consultant with recognized expertise in ESG research and analysis, with respect to the credibility of the green bond framework and its alignment with the four core components of our Green Bond Principles (2018).</w:t>
      </w:r>
    </w:p>
    <w:p>
      <w:pPr>
        <w:spacing w:after="0" w:line="336"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Workplace safety impacts annual incentive payments to management. We monitor U.S. Occupational Safety and Health Administration (“OSHA”) recordable injuries to manage our safety performance, and awards made under our annual incentive program are negatively adjusted for any OSHA recordable injuries that occur during the year. In 2023, we had zero OSHA recordable injuries.</w:t>
      </w:r>
    </w:p>
    <w:p>
      <w:pPr>
        <w:spacing w:after="0" w:line="9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Biden Administration ended the COVID-19 public health emergency declarations on May 11, 2023. In response, we modified our corporate and regional response plans to continue to protect the health and safety of our employees, customers and other business counterparties, while supporting our suppliers and customers’ operations to the best of our ability. We also reevaluated and modified, where applicable, business practices and procedures that were implemented or modified during the various stages of the COVID-19 pandemic (including business travel and remote work policy) to ensure continued support of our operations while maintaining appropriate safety considerations for our employees. We will continue to monitor this issue and re-evaluate response plans and business practices should conditions in this area change.</w:t>
      </w:r>
    </w:p>
    <w:p>
      <w:pPr>
        <w:spacing w:after="0" w:line="34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As discussed in greater detail below, we have focused our diversity, equity and inclusion efforts in three areas: Our People; Our Brand, Customers and Community; and Our Purchasing — through our Equity, Partnership &amp; Inclusion Council, or EPIC. With the involvement of our employees, EPIC is advancing efforts in each of these areas to identify and implement opportunities for us to address equity, partnership and inclusion issues in its business activities.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focus on attracting, developing and retaining a team of highly talented and motivated employees. We also depend upon personnel of CEG for the provision of asset management, administration and O&amp;M services. For more detail regarding our relationship with CEG, see “Certain Relationships and Related Person Transactions.” We regularly conduct assessments of our compensation and benefit practices and pay levels to help ensure that staff members are compensated equitably and competitively. We devote extensive resources to staff development and training, including tuition assistance for career-enhancing academic and professional programs. Employee performance is measured in part based on goals set in alignment with our annual objectives. We recognize that our success is based on the talents and dedication of those we employ, and we are highly invested in their success.</w:t>
      </w:r>
    </w:p>
    <w:p>
      <w:pPr>
        <w:spacing w:after="0" w:line="10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committed to maintaining a workplace that acknowledges, encourages, and values diversity and inclusion and provides its employees with unconscious bias training. We believe that individual differences, experiences, and strengths enrich the culture and fabric of our organization. Having employees with backgrounds and orientations that reflect a variety of viewpoints and experiences also helps us to better understand the needs of our customers and the communities in which we operate.</w:t>
      </w:r>
    </w:p>
    <w:p>
      <w:pPr>
        <w:spacing w:after="0" w:line="11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By leveraging the multitude of backgrounds and perspectives of our team and developing ongoing relationships with diverse vendors, we achieve a collective strength that enhances the workplace and makes the Company a better business partner for our customers and others with a stake in our success.</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also have an Equity, Partnership &amp; Inclusion Council, or EPIC. As part of our commitment, the Company provides education on topics related to diversity, inclusion, and equity. We also identified three areas of focus — Our People; Our Brand, Customers and Community; and Our Purchasing. With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involvement of our employees, EPIC is advancing efforts in each of these areas to identify and implement opportunities for us to address equity, partnership and inclusion issues in our business activities.</w:t>
      </w:r>
    </w:p>
    <w:p>
      <w:pPr>
        <w:spacing w:after="0" w:line="92" w:lineRule="exact"/>
        <w:rPr>
          <w:sz w:val="20"/>
          <w:szCs w:val="20"/>
          <w:color w:val="auto"/>
        </w:rPr>
      </w:pPr>
    </w:p>
    <w:p>
      <w:pPr>
        <w:ind w:left="1620" w:right="11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Our People </w:t>
      </w:r>
      <w:r>
        <w:rPr>
          <w:rFonts w:ascii="Times New Roman" w:cs="Times New Roman" w:eastAsia="Times New Roman" w:hAnsi="Times New Roman"/>
          <w:sz w:val="18"/>
          <w:szCs w:val="18"/>
          <w:color w:val="auto"/>
        </w:rPr>
        <w:t>focuses on education and training; diversity, equity and inclusion policies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recruitment strategies; community and industry partnerships; and maintaining high employee engagement and retention.</w:t>
      </w:r>
    </w:p>
    <w:p>
      <w:pPr>
        <w:spacing w:after="0" w:line="106"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Our Brand, Customers and Community </w:t>
      </w:r>
      <w:r>
        <w:rPr>
          <w:rFonts w:ascii="Times New Roman" w:cs="Times New Roman" w:eastAsia="Times New Roman" w:hAnsi="Times New Roman"/>
          <w:sz w:val="18"/>
          <w:szCs w:val="18"/>
          <w:color w:val="auto"/>
        </w:rPr>
        <w:t>focuses on pursuing opportunities that provide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equitable access to renewable energy for low-to-moderate income customers; broadening participation for small to medium enterprises; supporting the diversity, equity and inclusion goals of the Company’s offtakers; building robust community engagement relationships; and meaningfully representing that work in the external market.</w:t>
      </w:r>
    </w:p>
    <w:p>
      <w:pPr>
        <w:spacing w:after="0" w:line="102" w:lineRule="exact"/>
        <w:rPr>
          <w:sz w:val="20"/>
          <w:szCs w:val="20"/>
          <w:color w:val="auto"/>
        </w:rPr>
      </w:pPr>
    </w:p>
    <w:p>
      <w:pPr>
        <w:ind w:left="1620" w:right="1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Our Purchasing </w:t>
      </w:r>
      <w:r>
        <w:rPr>
          <w:rFonts w:ascii="Times New Roman" w:cs="Times New Roman" w:eastAsia="Times New Roman" w:hAnsi="Times New Roman"/>
          <w:sz w:val="18"/>
          <w:szCs w:val="18"/>
          <w:color w:val="auto"/>
        </w:rPr>
        <w:t>focuses on establishing a non-discriminatory practices standard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suppliers, diverse vendor sourcing and benchmarking.</w:t>
      </w:r>
    </w:p>
    <w:p>
      <w:pPr>
        <w:spacing w:after="0" w:line="93"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We believe that our EPIC activities have resulted in consistent progress towards meeting our equity, partnership and inclusion initiatives. In addition to the personnel of CEG, we rely on other third-party service providers in the daily operations of our conventional facilities and certain renewable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PROPOSALS TO BE VOTED ON</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Each of the eleven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48" w:lineRule="exact"/>
        <w:rPr>
          <w:sz w:val="20"/>
          <w:szCs w:val="20"/>
          <w:color w:val="auto"/>
        </w:rPr>
      </w:pPr>
    </w:p>
    <w:p>
      <w:pPr>
        <w:ind w:left="1260" w:right="599" w:firstLine="360"/>
        <w:spacing w:after="0" w:line="281" w:lineRule="auto"/>
        <w:rPr>
          <w:sz w:val="20"/>
          <w:szCs w:val="20"/>
          <w:color w:val="auto"/>
        </w:rPr>
      </w:pPr>
      <w:r>
        <w:rPr>
          <w:rFonts w:ascii="Times New Roman" w:cs="Times New Roman" w:eastAsia="Times New Roman" w:hAnsi="Times New Roman"/>
          <w:sz w:val="18"/>
          <w:szCs w:val="18"/>
          <w:color w:val="auto"/>
        </w:rPr>
        <w:t>The following eleven directors are being nominated for a one-year term, and will be elected annually. Each director will hold office until his or her successor has been duly elected and qualified or until the director’s earlier death, resignation or removal.</w:t>
      </w:r>
    </w:p>
    <w:p>
      <w:pPr>
        <w:spacing w:after="0" w:line="11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58</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9" w:lineRule="exact"/>
        <w:rPr>
          <w:sz w:val="20"/>
          <w:szCs w:val="20"/>
          <w:color w:val="auto"/>
        </w:rPr>
      </w:pPr>
    </w:p>
    <w:p>
      <w:pPr>
        <w:ind w:left="3200" w:right="439"/>
        <w:spacing w:after="0" w:line="252" w:lineRule="auto"/>
        <w:rPr>
          <w:sz w:val="20"/>
          <w:szCs w:val="20"/>
          <w:color w:val="auto"/>
        </w:rPr>
      </w:pPr>
      <w:r>
        <w:rPr>
          <w:rFonts w:ascii="Times New Roman" w:cs="Times New Roman" w:eastAsia="Times New Roman" w:hAnsi="Times New Roman"/>
          <w:sz w:val="18"/>
          <w:szCs w:val="18"/>
          <w:color w:val="auto"/>
        </w:rPr>
        <w:t>Mr. Bram has served as a director and Chairman of the board of directors of the Company since August 2018. Mr. Bram is a founding partner of GIP and serves on its Investment and Operating Committees and chairs the Investment Committee of its credit funds.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L.P. (the indirect parent of CEG) (“Zephyr Acquisition Holdings”), SunPower Corporation and Chile Renovables, SpA. He previously served on the boards of Terra-Gen Power, Guacolda Energy and Channelview Cogeneration.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36</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Energy Risk Management Committee</w:t>
      </w:r>
    </w:p>
    <w:p>
      <w:pPr>
        <w:spacing w:after="0" w:line="99" w:lineRule="exact"/>
        <w:rPr>
          <w:sz w:val="20"/>
          <w:szCs w:val="20"/>
          <w:color w:val="auto"/>
        </w:rPr>
      </w:pPr>
    </w:p>
    <w:p>
      <w:pPr>
        <w:ind w:left="3200" w:right="439"/>
        <w:spacing w:after="0" w:line="254" w:lineRule="auto"/>
        <w:rPr>
          <w:sz w:val="20"/>
          <w:szCs w:val="20"/>
          <w:color w:val="auto"/>
        </w:rPr>
      </w:pPr>
      <w:r>
        <w:rPr>
          <w:rFonts w:ascii="Times New Roman" w:cs="Times New Roman" w:eastAsia="Times New Roman" w:hAnsi="Times New Roman"/>
          <w:sz w:val="18"/>
          <w:szCs w:val="18"/>
          <w:color w:val="auto"/>
        </w:rPr>
        <w:t>Mr. Anschuetz has served as a director since August 2018. Mr. Anschuetz is a Principal at GIP. Prior to joining GIP in 2012, Mr. Anschuetz was an Analyst in the Power &amp; Utilities Coverage Group at Citigroup from June 2010 through June 2012. Mr. Anschuetz is also a member of the board of directors of Zephyr Acquisition Holdings, Eolian, L.P. and SunPower Corporation.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2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i w:val="1"/>
          <w:iCs w:val="1"/>
          <w:color w:val="auto"/>
        </w:rPr>
        <w:t>Emmanuel Barrois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-116840</wp:posOffset>
            </wp:positionV>
            <wp:extent cx="1191260" cy="1329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91260" cy="1329055"/>
                    </a:xfrm>
                    <a:prstGeom prst="rect">
                      <a:avLst/>
                    </a:prstGeom>
                    <a:noFill/>
                  </pic:spPr>
                </pic:pic>
              </a:graphicData>
            </a:graphic>
          </wp:anchor>
        </w:drawing>
      </w:r>
    </w:p>
    <w:p>
      <w:pPr>
        <w:spacing w:after="0" w:line="1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Age: 41</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Energy Risk Management Committee</w:t>
      </w:r>
    </w:p>
    <w:p>
      <w:pPr>
        <w:spacing w:after="0" w:line="99" w:lineRule="exact"/>
        <w:rPr>
          <w:sz w:val="20"/>
          <w:szCs w:val="20"/>
          <w:color w:val="auto"/>
        </w:rPr>
      </w:pPr>
    </w:p>
    <w:p>
      <w:pPr>
        <w:ind w:left="3240" w:right="459"/>
        <w:spacing w:after="0" w:line="253" w:lineRule="auto"/>
        <w:rPr>
          <w:sz w:val="20"/>
          <w:szCs w:val="20"/>
          <w:color w:val="auto"/>
        </w:rPr>
      </w:pPr>
      <w:r>
        <w:rPr>
          <w:rFonts w:ascii="Times New Roman" w:cs="Times New Roman" w:eastAsia="Times New Roman" w:hAnsi="Times New Roman"/>
          <w:sz w:val="18"/>
          <w:szCs w:val="18"/>
          <w:color w:val="auto"/>
        </w:rPr>
        <w:t>Mr. Barrois has served as a director since October 2022. Mr. Barrois has 15 years of experience in the energy 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pacing w:after="0" w:line="200" w:lineRule="exact"/>
        <w:rPr>
          <w:sz w:val="20"/>
          <w:szCs w:val="20"/>
          <w:color w:val="auto"/>
        </w:rPr>
      </w:pPr>
    </w:p>
    <w:p>
      <w:pPr>
        <w:spacing w:after="0" w:line="22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Brian R.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75</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Audit Committee (Chair)</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w:t>
      </w:r>
    </w:p>
    <w:p>
      <w:pPr>
        <w:spacing w:after="0" w:line="99" w:lineRule="exact"/>
        <w:rPr>
          <w:sz w:val="20"/>
          <w:szCs w:val="20"/>
          <w:color w:val="auto"/>
        </w:rPr>
      </w:pPr>
    </w:p>
    <w:p>
      <w:pPr>
        <w:ind w:left="3200" w:right="499"/>
        <w:spacing w:after="0" w:line="252" w:lineRule="auto"/>
        <w:rPr>
          <w:sz w:val="20"/>
          <w:szCs w:val="20"/>
          <w:color w:val="auto"/>
        </w:rPr>
      </w:pPr>
      <w:r>
        <w:rPr>
          <w:rFonts w:ascii="Times New Roman" w:cs="Times New Roman" w:eastAsia="Times New Roman" w:hAnsi="Times New Roman"/>
          <w:sz w:val="18"/>
          <w:szCs w:val="18"/>
          <w:color w:val="auto"/>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i w:val="1"/>
          <w:iCs w:val="1"/>
          <w:color w:val="auto"/>
        </w:rPr>
        <w:t>Guillaume Hédiard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-116840</wp:posOffset>
            </wp:positionV>
            <wp:extent cx="1225550" cy="1226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25550" cy="1226185"/>
                    </a:xfrm>
                    <a:prstGeom prst="rect">
                      <a:avLst/>
                    </a:prstGeom>
                    <a:noFill/>
                  </pic:spPr>
                </pic:pic>
              </a:graphicData>
            </a:graphic>
          </wp:anchor>
        </w:drawing>
      </w:r>
    </w:p>
    <w:p>
      <w:pPr>
        <w:spacing w:after="0" w:line="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Age: 42</w:t>
      </w:r>
    </w:p>
    <w:p>
      <w:pPr>
        <w:spacing w:after="0" w:line="99" w:lineRule="exact"/>
        <w:rPr>
          <w:sz w:val="20"/>
          <w:szCs w:val="20"/>
          <w:color w:val="auto"/>
        </w:rPr>
      </w:pPr>
    </w:p>
    <w:p>
      <w:pPr>
        <w:ind w:left="3280" w:right="519"/>
        <w:spacing w:after="0" w:line="255" w:lineRule="auto"/>
        <w:rPr>
          <w:sz w:val="20"/>
          <w:szCs w:val="20"/>
          <w:color w:val="auto"/>
        </w:rPr>
      </w:pPr>
      <w:r>
        <w:rPr>
          <w:rFonts w:ascii="Times New Roman" w:cs="Times New Roman" w:eastAsia="Times New Roman" w:hAnsi="Times New Roman"/>
          <w:sz w:val="18"/>
          <w:szCs w:val="18"/>
          <w:color w:val="auto"/>
        </w:rPr>
        <w:t>Mr. Hédiard has served as a director since October 2022. Mr. Hédiard is Vice President Transactions and is in charge of M&amp;A, Structured Finance, and Legal activities for TotalEnergies Renewables. Mr. Hédiard also serves on the board of Casa dos Ventos. Prior to joining TotalEnergies in 2018, Mr. Hédiard spent</w:t>
      </w:r>
    </w:p>
    <w:p>
      <w:pPr>
        <w:spacing w:after="0" w:line="3" w:lineRule="exact"/>
        <w:rPr>
          <w:sz w:val="20"/>
          <w:szCs w:val="20"/>
          <w:color w:val="auto"/>
        </w:rPr>
      </w:pPr>
    </w:p>
    <w:p>
      <w:pPr>
        <w:ind w:left="3280" w:right="479"/>
        <w:spacing w:after="0" w:line="252" w:lineRule="auto"/>
        <w:rPr>
          <w:sz w:val="20"/>
          <w:szCs w:val="20"/>
          <w:color w:val="auto"/>
        </w:rPr>
      </w:pPr>
      <w:r>
        <w:rPr>
          <w:rFonts w:ascii="Times New Roman" w:cs="Times New Roman" w:eastAsia="Times New Roman" w:hAnsi="Times New Roman"/>
          <w:sz w:val="18"/>
          <w:szCs w:val="18"/>
          <w:color w:val="auto"/>
        </w:rPr>
        <w:t>12 years at Crédit Agricole Corporate and Investment Bank in Paris and London, where he served as Executive Director in CA-CIB’s Power &amp; Utilities EMEA team in charge of debt arranging and structured finance advisory mandates in the power sector for the EMEA region. Mr. Hédiard holds a BA Corporate Finance and Financial Engineering from the Paris Dauphine University. Mr. Hédiard’s extensive financial and power industry experience provides significant value to the Company’s board of directors.</w:t>
      </w:r>
    </w:p>
    <w:p>
      <w:pPr>
        <w:spacing w:after="0" w:line="2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-116840</wp:posOffset>
            </wp:positionV>
            <wp:extent cx="1165860" cy="1491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65860" cy="1491615"/>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55</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Energy Risk Management Committee (Chair)</w:t>
      </w:r>
    </w:p>
    <w:p>
      <w:pPr>
        <w:spacing w:after="0" w:line="99" w:lineRule="exact"/>
        <w:rPr>
          <w:sz w:val="20"/>
          <w:szCs w:val="20"/>
          <w:color w:val="auto"/>
        </w:rPr>
      </w:pPr>
    </w:p>
    <w:p>
      <w:pPr>
        <w:ind w:left="3200" w:right="559"/>
        <w:spacing w:after="0" w:line="251" w:lineRule="auto"/>
        <w:rPr>
          <w:sz w:val="20"/>
          <w:szCs w:val="20"/>
          <w:color w:val="auto"/>
        </w:rPr>
      </w:pPr>
      <w:r>
        <w:rPr>
          <w:rFonts w:ascii="Times New Roman" w:cs="Times New Roman" w:eastAsia="Times New Roman" w:hAnsi="Times New Roman"/>
          <w:sz w:val="18"/>
          <w:szCs w:val="18"/>
          <w:color w:val="auto"/>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board member of Electriq Power Holdings, Inc. since August 2023 and serves on its compensation committee. Ms. Lowry has also been a member of the board of directors of MYR Group, Inc. since 2018, and is currently chair of its Audit Committee.</w:t>
      </w:r>
    </w:p>
    <w:p>
      <w:pPr>
        <w:spacing w:after="0" w:line="12" w:lineRule="exact"/>
        <w:rPr>
          <w:sz w:val="20"/>
          <w:szCs w:val="20"/>
          <w:color w:val="auto"/>
        </w:rPr>
      </w:pPr>
    </w:p>
    <w:p>
      <w:pPr>
        <w:ind w:left="3200" w:right="599"/>
        <w:spacing w:after="0" w:line="260" w:lineRule="auto"/>
        <w:rPr>
          <w:sz w:val="20"/>
          <w:szCs w:val="20"/>
          <w:color w:val="auto"/>
        </w:rPr>
      </w:pPr>
      <w:r>
        <w:rPr>
          <w:rFonts w:ascii="Times New Roman" w:cs="Times New Roman" w:eastAsia="Times New Roman" w:hAnsi="Times New Roman"/>
          <w:sz w:val="18"/>
          <w:szCs w:val="18"/>
          <w:color w:val="auto"/>
        </w:rPr>
        <w:t>Ms. Lowry’s financial and energy industry experience provides significant value to the Company’s board of directors.</w:t>
      </w:r>
    </w:p>
    <w:p>
      <w:pPr>
        <w:spacing w:after="0" w:line="19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57</w:t>
      </w:r>
    </w:p>
    <w:p>
      <w:pPr>
        <w:spacing w:after="0" w:line="99" w:lineRule="exact"/>
        <w:rPr>
          <w:sz w:val="20"/>
          <w:szCs w:val="20"/>
          <w:color w:val="auto"/>
        </w:rPr>
      </w:pPr>
    </w:p>
    <w:p>
      <w:pPr>
        <w:ind w:left="3200" w:right="459"/>
        <w:spacing w:after="0" w:line="253" w:lineRule="auto"/>
        <w:rPr>
          <w:sz w:val="20"/>
          <w:szCs w:val="20"/>
          <w:color w:val="auto"/>
        </w:rPr>
      </w:pPr>
      <w:r>
        <w:rPr>
          <w:rFonts w:ascii="Times New Roman" w:cs="Times New Roman" w:eastAsia="Times New Roman" w:hAnsi="Times New Roman"/>
          <w:sz w:val="18"/>
          <w:szCs w:val="18"/>
          <w:color w:val="auto"/>
        </w:rPr>
        <w:t>Mr. MacLennan has served as a director since August 2018. Mr. MacLennan is a Partner of GIP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CEG. Mr. MacLennan’s significant experience in investment banking for, and investments in, energy and power companies, as well as his leadership role at GIP, provide strong financial and transactional experience to the Company’s board of directors.</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67</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Corporate Governance, Conflicts and Nominating Committee (Chair)</w:t>
      </w:r>
    </w:p>
    <w:p>
      <w:pPr>
        <w:spacing w:after="0" w:line="99" w:lineRule="exact"/>
        <w:rPr>
          <w:sz w:val="20"/>
          <w:szCs w:val="20"/>
          <w:color w:val="auto"/>
        </w:rPr>
      </w:pPr>
    </w:p>
    <w:p>
      <w:pPr>
        <w:ind w:left="3200" w:right="459"/>
        <w:spacing w:after="0" w:line="253" w:lineRule="auto"/>
        <w:rPr>
          <w:sz w:val="20"/>
          <w:szCs w:val="20"/>
          <w:color w:val="auto"/>
        </w:rPr>
      </w:pPr>
      <w:r>
        <w:rPr>
          <w:rFonts w:ascii="Times New Roman" w:cs="Times New Roman" w:eastAsia="Times New Roman" w:hAnsi="Times New Roman"/>
          <w:sz w:val="18"/>
          <w:szCs w:val="18"/>
          <w:color w:val="auto"/>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213"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72</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Compensation Committee (Chair)</w:t>
      </w:r>
    </w:p>
    <w:p>
      <w:pPr>
        <w:spacing w:after="0" w:line="99" w:lineRule="exact"/>
        <w:rPr>
          <w:sz w:val="20"/>
          <w:szCs w:val="20"/>
          <w:color w:val="auto"/>
        </w:rPr>
      </w:pPr>
    </w:p>
    <w:p>
      <w:pPr>
        <w:ind w:left="3200" w:right="459"/>
        <w:spacing w:after="0" w:line="251" w:lineRule="auto"/>
        <w:rPr>
          <w:sz w:val="20"/>
          <w:szCs w:val="20"/>
          <w:color w:val="auto"/>
        </w:rPr>
      </w:pPr>
      <w:r>
        <w:rPr>
          <w:rFonts w:ascii="Times New Roman" w:cs="Times New Roman" w:eastAsia="Times New Roman" w:hAnsi="Times New Roman"/>
          <w:sz w:val="18"/>
          <w:szCs w:val="18"/>
          <w:color w:val="auto"/>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w:t>
      </w:r>
    </w:p>
    <w:p>
      <w:pPr>
        <w:spacing w:after="0" w:line="9" w:lineRule="exact"/>
        <w:rPr>
          <w:sz w:val="20"/>
          <w:szCs w:val="20"/>
          <w:color w:val="auto"/>
        </w:rPr>
      </w:pPr>
    </w:p>
    <w:p>
      <w:pPr>
        <w:ind w:left="3200" w:right="659"/>
        <w:spacing w:after="0" w:line="250" w:lineRule="auto"/>
        <w:rPr>
          <w:sz w:val="20"/>
          <w:szCs w:val="20"/>
          <w:color w:val="auto"/>
        </w:rPr>
      </w:pPr>
      <w:r>
        <w:rPr>
          <w:rFonts w:ascii="Times New Roman" w:cs="Times New Roman" w:eastAsia="Times New Roman" w:hAnsi="Times New Roman"/>
          <w:sz w:val="18"/>
          <w:szCs w:val="18"/>
          <w:color w:val="auto"/>
        </w:rPr>
        <w:t>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w:t>
      </w:r>
    </w:p>
    <w:p>
      <w:pPr>
        <w:spacing w:after="0" w:line="2" w:lineRule="exact"/>
        <w:rPr>
          <w:sz w:val="20"/>
          <w:szCs w:val="20"/>
          <w:color w:val="auto"/>
        </w:rPr>
      </w:pPr>
    </w:p>
    <w:p>
      <w:pPr>
        <w:ind w:left="3200" w:right="519"/>
        <w:spacing w:after="0" w:line="255" w:lineRule="auto"/>
        <w:rPr>
          <w:sz w:val="20"/>
          <w:szCs w:val="20"/>
          <w:color w:val="auto"/>
        </w:rPr>
      </w:pPr>
      <w:r>
        <w:rPr>
          <w:rFonts w:ascii="Times New Roman" w:cs="Times New Roman" w:eastAsia="Times New Roman" w:hAnsi="Times New Roman"/>
          <w:sz w:val="18"/>
          <w:szCs w:val="18"/>
          <w:color w:val="auto"/>
        </w:rPr>
        <w:t>Mr. O’Neal’s extensive executive experience, financial expertise and leadership skills enable him to provide unique guidance to the Company’s board of directors and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-116840</wp:posOffset>
            </wp:positionV>
            <wp:extent cx="1028700" cy="1440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52</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President, CEO and Director</w:t>
      </w:r>
    </w:p>
    <w:p>
      <w:pPr>
        <w:spacing w:after="0" w:line="99" w:lineRule="exact"/>
        <w:rPr>
          <w:sz w:val="20"/>
          <w:szCs w:val="20"/>
          <w:color w:val="auto"/>
        </w:rPr>
      </w:pPr>
    </w:p>
    <w:p>
      <w:pPr>
        <w:ind w:left="3200" w:right="419"/>
        <w:spacing w:after="0" w:line="252" w:lineRule="auto"/>
        <w:rPr>
          <w:sz w:val="20"/>
          <w:szCs w:val="20"/>
          <w:color w:val="auto"/>
        </w:rPr>
      </w:pPr>
      <w:r>
        <w:rPr>
          <w:rFonts w:ascii="Times New Roman" w:cs="Times New Roman" w:eastAsia="Times New Roman" w:hAnsi="Times New Roman"/>
          <w:sz w:val="18"/>
          <w:szCs w:val="18"/>
          <w:color w:val="auto"/>
        </w:rPr>
        <w:t>Mr. Sotos has served as President and Chief Executive Officer of the Company since May 2016, and as a director since May 2013. Mr. Sotos had also served in various positions at NRG Energy, Inc.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200" w:lineRule="exact"/>
        <w:rPr>
          <w:sz w:val="20"/>
          <w:szCs w:val="20"/>
          <w:color w:val="auto"/>
        </w:rPr>
      </w:pPr>
    </w:p>
    <w:p>
      <w:pPr>
        <w:spacing w:after="0" w:line="23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i w:val="1"/>
          <w:iCs w:val="1"/>
          <w:color w:val="auto"/>
        </w:rPr>
        <w:t>Vincent Stoquart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-116840</wp:posOffset>
            </wp:positionV>
            <wp:extent cx="1165860" cy="1551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65860" cy="1551940"/>
                    </a:xfrm>
                    <a:prstGeom prst="rect">
                      <a:avLst/>
                    </a:prstGeom>
                    <a:noFill/>
                  </pic:spPr>
                </pic:pic>
              </a:graphicData>
            </a:graphic>
          </wp:anchor>
        </w:drawing>
      </w:r>
    </w:p>
    <w:p>
      <w:pPr>
        <w:spacing w:after="0" w:line="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Age: 49</w:t>
      </w:r>
    </w:p>
    <w:p>
      <w:pPr>
        <w:spacing w:after="0" w:line="99" w:lineRule="exact"/>
        <w:rPr>
          <w:sz w:val="20"/>
          <w:szCs w:val="20"/>
          <w:color w:val="auto"/>
        </w:rPr>
      </w:pPr>
    </w:p>
    <w:p>
      <w:pPr>
        <w:ind w:left="3200" w:right="519"/>
        <w:spacing w:after="0" w:line="253" w:lineRule="auto"/>
        <w:rPr>
          <w:sz w:val="20"/>
          <w:szCs w:val="20"/>
          <w:color w:val="auto"/>
        </w:rPr>
      </w:pPr>
      <w:r>
        <w:rPr>
          <w:rFonts w:ascii="Times New Roman" w:cs="Times New Roman" w:eastAsia="Times New Roman" w:hAnsi="Times New Roman"/>
          <w:sz w:val="18"/>
          <w:szCs w:val="18"/>
          <w:color w:val="auto"/>
        </w:rPr>
        <w:t>Mr. Stoquart has served as a director since October 2022. Mr. Stoquart has served as senior vice president of the Renewables division of TotalEnergies S.E. since December 6, 2021. Mr. Stoquart is also a member of the board of SunPower Corporation and serves on its compensation committee. From October 2019 to December 2021, he served as Senior Vice President, Refining and Petrochemicals Americas, and President and Chief Executive Officer of Total Petrochemicals &amp; Refining USA, Inc. He was, during this period, also the country chair for TotalEnergies in the United States, based in Houston, Texas. Prior to that,</w:t>
      </w:r>
    </w:p>
    <w:p>
      <w:pPr>
        <w:spacing w:after="0" w:line="1" w:lineRule="exact"/>
        <w:rPr>
          <w:sz w:val="20"/>
          <w:szCs w:val="20"/>
          <w:color w:val="auto"/>
        </w:rPr>
      </w:pPr>
    </w:p>
    <w:p>
      <w:pPr>
        <w:ind w:left="3200" w:right="419"/>
        <w:spacing w:after="0" w:line="251" w:lineRule="auto"/>
        <w:rPr>
          <w:sz w:val="20"/>
          <w:szCs w:val="20"/>
          <w:color w:val="auto"/>
        </w:rPr>
      </w:pPr>
      <w:r>
        <w:rPr>
          <w:rFonts w:ascii="Times New Roman" w:cs="Times New Roman" w:eastAsia="Times New Roman" w:hAnsi="Times New Roman"/>
          <w:sz w:val="18"/>
          <w:szCs w:val="18"/>
          <w:color w:val="auto"/>
        </w:rPr>
        <w:t>Mr. Stoquart served as Senior Vice President, Polymers, of TotalEnergies Refining &amp; Chemicals in Brussels, Belgium. From 2012 to 2017, Mr. Stoquart managed TotalEnergies’s Flanders Refinery in Dunkirk, France, before joining TotalEnergies Global Services where he became President, TotalEnergies Learning Solutions. Mr. Stoquart began his career with TotalEnergies in 1998 as an engineering project manager at the Feluy Polymers Plant in Belgium, working as a production manager in various positions from 2002 to 2009 before being appointed as human resources and communications manager of the Feluy Plant in 2010. Mr. Stoquart graduated as a mechanical engineer from the Catholic University of Louvain, Belgium. He also has a diploma in aeronautics and aerospace from the von Karman Institute for Fluid Dynamics. Mr. Stoquart’s engineering, energy and leadership experience provides significant value to the Company’s board of directors.</w:t>
      </w:r>
    </w:p>
    <w:p>
      <w:pPr>
        <w:spacing w:after="0" w:line="200" w:lineRule="exact"/>
        <w:rPr>
          <w:sz w:val="20"/>
          <w:szCs w:val="20"/>
          <w:color w:val="auto"/>
        </w:rPr>
      </w:pPr>
    </w:p>
    <w:p>
      <w:pPr>
        <w:spacing w:after="0" w:line="20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to the Board of each of the foregoing nominees. Proxies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received by the Board will be voted “FOR” each of the nominees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chart below describes the compensation program established for our directors for their service as Board members, chairs of the Committees and Lead Independent Director, as applicable, in 2023. Only our independent, non-employee directors receive compensation for their services as directors, which is set by our Board based on recommendations by the Compensation Committee. Our President and CEO, Mr. Sotos, does not receive compensation for his service as a director, and none of the directors who are officers or employees of GIP or TotalEnergies receive compensation for their services as directors.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90"/>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440" w:type="dxa"/>
            <w:vAlign w:val="bottom"/>
          </w:tcPr>
          <w:p>
            <w:pPr>
              <w:spacing w:after="0"/>
              <w:rPr>
                <w:sz w:val="16"/>
                <w:szCs w:val="16"/>
                <w:color w:val="auto"/>
              </w:rPr>
            </w:pPr>
          </w:p>
        </w:tc>
        <w:tc>
          <w:tcPr>
            <w:tcW w:w="94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6"/>
                <w:szCs w:val="16"/>
                <w:color w:val="auto"/>
              </w:rPr>
            </w:pPr>
          </w:p>
        </w:tc>
      </w:tr>
      <w:tr>
        <w:trPr>
          <w:trHeight w:val="23"/>
        </w:trPr>
        <w:tc>
          <w:tcPr>
            <w:tcW w:w="6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90,000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Deferred Stock Unit Award</w:t>
            </w:r>
          </w:p>
        </w:tc>
        <w:tc>
          <w:tcPr>
            <w:tcW w:w="1380" w:type="dxa"/>
            <w:vAlign w:val="bottom"/>
            <w:gridSpan w:val="2"/>
          </w:tcPr>
          <w:p>
            <w:pPr>
              <w:jc w:val="right"/>
              <w:ind w:right="253"/>
              <w:spacing w:after="0"/>
              <w:rPr>
                <w:sz w:val="20"/>
                <w:szCs w:val="20"/>
                <w:color w:val="auto"/>
              </w:rPr>
            </w:pPr>
            <w:r>
              <w:rPr>
                <w:rFonts w:ascii="Times New Roman" w:cs="Times New Roman" w:eastAsia="Times New Roman" w:hAnsi="Times New Roman"/>
                <w:sz w:val="18"/>
                <w:szCs w:val="18"/>
                <w:color w:val="auto"/>
              </w:rPr>
              <w:t>​$125,000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Lead Independent Director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Chair Retainer</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Governance, Conflicts and Nominating Committee Chair Retainer</w:t>
            </w:r>
          </w:p>
        </w:tc>
        <w:tc>
          <w:tcPr>
            <w:tcW w:w="4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Risk Management Committee Chair Retainer</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right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or Directors Affiliated with GIP or TotalEnergies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 compensation</w:t>
            </w: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4991735</wp:posOffset>
            </wp:positionH>
            <wp:positionV relativeFrom="paragraph">
              <wp:posOffset>-1344930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579" w:firstLine="360"/>
        <w:spacing w:after="0" w:line="255" w:lineRule="auto"/>
        <w:rPr>
          <w:sz w:val="20"/>
          <w:szCs w:val="20"/>
          <w:color w:val="auto"/>
        </w:rPr>
      </w:pPr>
      <w:r>
        <w:rPr>
          <w:rFonts w:ascii="Times New Roman" w:cs="Times New Roman" w:eastAsia="Times New Roman" w:hAnsi="Times New Roman"/>
          <w:sz w:val="18"/>
          <w:szCs w:val="18"/>
          <w:color w:val="auto"/>
        </w:rPr>
        <w:t>Our independent directors receive an annual retainer of cash and equity for their services as directors. The independent directors received $90,000 in the form of cash and $125,000 in the form of stock awards issued under our Amended and Restated 2013 Equity Incentive Plan (the “Equity Incentive Plan”). Chair retainers were payable 50% in the form of cash and 50% in the form of stock awards issued under the Equity Incentive Plan. Each stock award may, pursuant to an independent director’s deferral election, be awarded as deferred stock units (“DSUs”). In addition, directors may defer the cash component of their annual retainers into additional DSUs.</w:t>
      </w:r>
    </w:p>
    <w:p>
      <w:pPr>
        <w:spacing w:after="0" w:line="121"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Each DSU issued in 2023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w:t>
      </w:r>
    </w:p>
    <w:p>
      <w:pPr>
        <w:spacing w:after="0" w:line="130"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Similar to its competitive assessment of NEO compensation, Pay Governance, the Compensation Committee’s compensation consultant, performed a review of director compensation and stock ownership guidelines in 2023. Results of the review were shared with the Compensation Committee, which made a recommendation to the full Board for final approval.</w:t>
      </w:r>
    </w:p>
    <w:p>
      <w:pPr>
        <w:spacing w:after="0" w:line="9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Compensation Committee previously implemented a stock ownership guideline for directors requiring stock ownership equal to five times the annual cash retainer fee and, as part of its competitive assessment (described above), Pay Governance confirmed this guideline is consistent with the market (i.e., with respect to similarly situated businesses). Although directors are not required to make purchases of our common stock to meet their target ownership multiple, they are restricted from divesting any securities until such ownership multiple is attained, except to make a required tax payment, and must maintain their ownership multiple after any such transactions.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w:t>
      </w:r>
    </w:p>
    <w:p>
      <w:pPr>
        <w:spacing w:after="0" w:line="11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w:t>
      </w:r>
    </w:p>
    <w:p>
      <w:pPr>
        <w:spacing w:after="0" w:line="17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r>
        <w:rPr>
          <w:rFonts w:ascii="Times New Roman" w:cs="Times New Roman" w:eastAsia="Times New Roman" w:hAnsi="Times New Roman"/>
          <w:sz w:val="26"/>
          <w:szCs w:val="26"/>
          <w:b w:val="1"/>
          <w:bCs w:val="1"/>
          <w:color w:val="auto"/>
          <w:vertAlign w:val="superscript"/>
        </w:rPr>
        <w:t>(1)</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or Paid in</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tcPr>
          <w:p>
            <w:pPr>
              <w:spacing w:after="0"/>
              <w:rPr>
                <w:sz w:val="14"/>
                <w:szCs w:val="14"/>
                <w:color w:val="auto"/>
              </w:rPr>
            </w:pPr>
          </w:p>
        </w:tc>
      </w:tr>
      <w:tr>
        <w:trPr>
          <w:trHeight w:val="190"/>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​$ 115,000 ​</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​$150,008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​$265,008</w:t>
            </w:r>
          </w:p>
        </w:tc>
      </w:tr>
      <w:tr>
        <w:trPr>
          <w:trHeight w:val="25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E. Lowry</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​$ 100,000 ​</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​$135,013</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​$235,013</w:t>
            </w:r>
          </w:p>
        </w:tc>
      </w:tr>
      <w:tr>
        <w:trPr>
          <w:trHeight w:val="257"/>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​$ 100,000 ​</w:t>
            </w:r>
          </w:p>
        </w:tc>
        <w:tc>
          <w:tcPr>
            <w:tcW w:w="9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​$135,013</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​$235,013</w:t>
            </w:r>
          </w:p>
        </w:tc>
      </w:tr>
      <w:tr>
        <w:trPr>
          <w:trHeight w:val="32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 Stanley O’Neal</w:t>
            </w:r>
            <w:r>
              <w:rPr>
                <w:rFonts w:ascii="Times New Roman" w:cs="Times New Roman" w:eastAsia="Times New Roman" w:hAnsi="Times New Roman"/>
                <w:sz w:val="23"/>
                <w:szCs w:val="23"/>
                <w:color w:val="auto"/>
                <w:vertAlign w:val="superscript"/>
              </w:rPr>
              <w:t>(2)</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​$235,008</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-702945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-702945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-702945</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right="559" w:hanging="360"/>
        <w:spacing w:after="0" w:line="254"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DSUs awarded in 2023 determined in accordance with Financial Accounting Standards Board Accounting Standards Codification Topic 718, Compensation Stock Compensation, the full amount of which is recorded as a compensation expense in the income statement for the 2023 fiscal year. For all directors, the grant date fair value of the DSUs that are payable in Class C common stock was based on the closing price of our Class C common stock on the date of grant. For all directors, the grant date fair value of the DSUs granted on June 1, 2023 for their period of service beginning on June 1, 2023 through May 31, 2024 was based on the June 1, 2023 Class C common stock closing price of $29.06.</w:t>
      </w:r>
    </w:p>
    <w:p>
      <w:pPr>
        <w:spacing w:after="0" w:line="43" w:lineRule="exact"/>
        <w:rPr>
          <w:rFonts w:ascii="Times New Roman" w:cs="Times New Roman" w:eastAsia="Times New Roman" w:hAnsi="Times New Roman"/>
          <w:sz w:val="18"/>
          <w:szCs w:val="18"/>
          <w:color w:val="auto"/>
        </w:rPr>
      </w:pPr>
    </w:p>
    <w:p>
      <w:pPr>
        <w:ind w:left="1620" w:right="639" w:hanging="360"/>
        <w:spacing w:after="0" w:line="275"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O’Neal elected to receive the cash portion of his director compensation in the 2023 fiscal year in the form of DSUs that are payable in Class C common stock upon termination of service as a Board member.</w:t>
      </w:r>
    </w:p>
    <w:p>
      <w:pPr>
        <w:spacing w:after="0" w:line="32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number of stock awards (DSUs and any DERs thereon) held by each of the independent directors as of December 31, 2023. All DSUs held by the independent directors are payable upon termination of service as a Board member.</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Class A Stock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Class C Stock</w:t>
            </w:r>
          </w:p>
        </w:tc>
        <w:tc>
          <w:tcPr>
            <w:tcW w:w="40" w:type="dxa"/>
            <w:vAlign w:val="bottom"/>
          </w:tcPr>
          <w:p>
            <w:pPr>
              <w:spacing w:after="0"/>
              <w:rPr>
                <w:sz w:val="14"/>
                <w:szCs w:val="14"/>
                <w:color w:val="auto"/>
              </w:rPr>
            </w:pPr>
          </w:p>
        </w:tc>
      </w:tr>
      <w:tr>
        <w:trPr>
          <w:trHeight w:val="214"/>
        </w:trPr>
        <w:tc>
          <w:tcPr>
            <w:tcW w:w="5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​7,626</w:t>
            </w:r>
          </w:p>
        </w:tc>
        <w:tc>
          <w:tcPr>
            <w:tcW w:w="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​67,929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Jennifer E. Lowry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8,790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​48,131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​47,728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-676910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-676910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1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APPROVAL, ON AN ADVISORY BASIS, OF THE COMPANY’S EXECUTIVE COMPENSATION</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w:t>
      </w:r>
    </w:p>
    <w:p>
      <w:pPr>
        <w:spacing w:after="0" w:line="11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As described more fully in the CD&amp;A beginning on page 41,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w:t>
      </w:r>
    </w:p>
    <w:p>
      <w:pPr>
        <w:spacing w:after="0" w:line="99"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w:t>
      </w:r>
    </w:p>
    <w:p>
      <w:pPr>
        <w:spacing w:after="0" w:line="112" w:lineRule="exact"/>
        <w:rPr>
          <w:sz w:val="20"/>
          <w:szCs w:val="20"/>
          <w:color w:val="auto"/>
        </w:rPr>
      </w:pPr>
    </w:p>
    <w:p>
      <w:pPr>
        <w:ind w:left="1620" w:right="1119"/>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NEOs, as disclosed pursuant to Item 402 of Regulation S-K, including the CD&amp;A, compensation tables and narrative discussion, is hereby APPROVED.”</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w:t>
      </w:r>
    </w:p>
    <w:p>
      <w:pPr>
        <w:spacing w:after="0" w:line="179" w:lineRule="exact"/>
        <w:rPr>
          <w:sz w:val="20"/>
          <w:szCs w:val="20"/>
          <w:color w:val="auto"/>
        </w:rPr>
      </w:pPr>
    </w:p>
    <w:p>
      <w:pPr>
        <w:jc w:val="center"/>
        <w:ind w:left="188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approval of the Company’s executive compensation as disclosed in this Proxy Statement. Proxies received by the Board will be voted “FOR” the approval of the Company’s executive compensation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THE 2024 FISCAL YEAR</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w:t>
      </w:r>
    </w:p>
    <w:p>
      <w:pPr>
        <w:spacing w:after="0" w:line="120"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appointed Ernst &amp; Young LLP, an independent registered public accounting firm, to audit the consolidated financial statements of the Company and its subsidiaries for the fiscal year ending December 31, 2024.</w:t>
      </w:r>
    </w:p>
    <w:p>
      <w:pPr>
        <w:spacing w:after="0" w:line="9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Each of Ernst &amp; Young LLP’s audit report on the consolidated financial statements of the Company and its subsidiaries as of and for the fiscal years ended December 31, 2022 and December 31, 2023 did not contain an adverse opinion or disclaimer of opinion, nor were they qualified or modified as to uncertainty, audit scope or accounting principles.</w:t>
      </w:r>
    </w:p>
    <w:p>
      <w:pPr>
        <w:spacing w:after="0" w:line="11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accordance with SEC rules and Ernst &amp; Young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Ernst &amp; Young LLP’s lead audit partner.</w:t>
      </w:r>
    </w:p>
    <w:p>
      <w:pPr>
        <w:spacing w:after="0" w:line="116"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Audit Committee and the Board believe that the appointment of Ernst &amp; Young LLP to serve as the Company’s independent registered public accounting firm for the 2024 fiscal year is in the best interests of the Company and its stockholders. If the stockholders do not ratify the appointment of Ernst &amp; Young LLP, the Audit Committee will reconsider its selection. Representatives of Ernst &amp; Young LLP are expected to attend the Annual Meeting where they will be available to respond to questions and, if they desire, to make a statement.</w:t>
      </w:r>
    </w:p>
    <w:p>
      <w:pPr>
        <w:spacing w:after="0" w:line="400" w:lineRule="exact"/>
        <w:rPr>
          <w:sz w:val="20"/>
          <w:szCs w:val="20"/>
          <w:color w:val="auto"/>
        </w:rPr>
      </w:pPr>
    </w:p>
    <w:p>
      <w:pPr>
        <w:jc w:val="center"/>
        <w:ind w:left="184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&amp; Young LLP as the Company’s lead independent registered public accounting firm for the 2024 fiscal year. Proxies received by the Board will be voted “FOR” ratification unless a contrary vote is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Our executive officers are elected by the Board annually to hold office until their successors are elected and qualified. The biographical information for each of the executive officers is provided below.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Christopher S. Sotos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52</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biographical information for Christopher S. Sotos, see “Proposal No. 1 — Nominees for Director.”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Kevin P. Malcarney</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12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Mr. Malcarney has served as General Counsel and Corporate Secretary since May 11, 2018 and was promoted from Senior Vice President to Executive Vice President in January 2022. He served as Interim General Counsel of the Company from March 16, 2018 to May 11, 2018. Mr. Malcarney was previously Vice President and Deputy General Counsel and served in various other roles at NRG since</w:t>
      </w:r>
    </w:p>
    <w:p>
      <w:pPr>
        <w:spacing w:after="0" w:line="3"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September 2008. Prior to NRG, Mr. Malcarney worked at two major law firms in Princeton, New Jersey and Philadelphia, Pennsylvania, and handled mergers and acquisitions, project financing and general corporate matters.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Sarah Rubenstein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46</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3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Sarah Rubenstein has served as Executive Vice President and Chief Financial Officer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STOCK OWNERSHIP OF DIRECTORS, NAMED EXECUTIVE OFFICERS AND</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BENEFICIAL OWNERS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OF DIRECTORS AND EXECUTIVE OFFICERS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34,613,853 shares of Class A common stock outstanding as of March 4, 2024 and 82,391,441 shares of Class C common stock outstanding as of March 4, 2024, and percentage of combined voting power is based on 78,599,885 votes represented by our outstanding Class A, Class B, Class C and Class D common stock in the aggregate as of March 4, 2024. The percentage of beneficial ownership and the percentage of combined voting power also include any shares that such person has the right to acquire within 60 days of March 4, 2024. Unless otherwise indicated, each person has sole voting and dispositive power with respect to the shares set forth in the following table.</w:t>
      </w:r>
    </w:p>
    <w:p>
      <w:pPr>
        <w:spacing w:after="0" w:line="329" w:lineRule="exact"/>
        <w:rPr>
          <w:sz w:val="20"/>
          <w:szCs w:val="20"/>
          <w:color w:val="auto"/>
        </w:rPr>
      </w:pPr>
    </w:p>
    <w:p>
      <w:pPr>
        <w:ind w:left="1260" w:right="1079" w:firstLine="360"/>
        <w:spacing w:after="0" w:line="266" w:lineRule="auto"/>
        <w:rPr>
          <w:sz w:val="20"/>
          <w:szCs w:val="20"/>
          <w:color w:val="auto"/>
        </w:rPr>
      </w:pPr>
      <w:r>
        <w:rPr>
          <w:rFonts w:ascii="Times New Roman" w:cs="Times New Roman" w:eastAsia="Times New Roman" w:hAnsi="Times New Roman"/>
          <w:sz w:val="18"/>
          <w:szCs w:val="18"/>
          <w:color w:val="auto"/>
        </w:rPr>
        <w:t>The address of the beneficial owners is Clearway Energy, Inc., 300 Carnegie Center, Suite 300, Princeton, New Jersey 08540.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Class C Common Stock</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of Class 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Class C</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 of Combined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200" w:type="dxa"/>
            <w:vAlign w:val="bottom"/>
          </w:tcPr>
          <w:p>
            <w:pPr>
              <w:spacing w:after="0"/>
              <w:rPr>
                <w:sz w:val="16"/>
                <w:szCs w:val="16"/>
                <w:color w:val="auto"/>
              </w:rPr>
            </w:pPr>
          </w:p>
        </w:tc>
        <w:tc>
          <w:tcPr>
            <w:tcW w:w="640" w:type="dxa"/>
            <w:vAlign w:val="bottom"/>
            <w:tcBorders>
              <w:bottom w:val="single" w:sz="8" w:color="auto"/>
            </w:tcBorders>
            <w:gridSpan w:val="3"/>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auto"/>
                <w:w w:val="95"/>
              </w:rPr>
              <w:t>Number</w:t>
            </w:r>
            <w:r>
              <w:rPr>
                <w:rFonts w:ascii="Times New Roman" w:cs="Times New Roman" w:eastAsia="Times New Roman" w:hAnsi="Times New Roman"/>
                <w:sz w:val="17"/>
                <w:szCs w:val="17"/>
                <w:b w:val="1"/>
                <w:bCs w:val="1"/>
                <w:color w:val="auto"/>
                <w:w w:val="95"/>
                <w:vertAlign w:val="superscript"/>
              </w:rPr>
              <w:t>(1)</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6"/>
                <w:szCs w:val="16"/>
                <w:color w:val="auto"/>
              </w:rPr>
            </w:pPr>
          </w:p>
        </w:tc>
        <w:tc>
          <w:tcPr>
            <w:tcW w:w="620" w:type="dxa"/>
            <w:vAlign w:val="bottom"/>
            <w:tcBorders>
              <w:bottom w:val="single" w:sz="8" w:color="auto"/>
            </w:tcBorders>
            <w:gridSpan w:val="2"/>
          </w:tcPr>
          <w:p>
            <w:pPr>
              <w:ind w:left="20"/>
              <w:spacing w:after="0" w:line="187" w:lineRule="exact"/>
              <w:rPr>
                <w:sz w:val="20"/>
                <w:szCs w:val="20"/>
                <w:color w:val="auto"/>
              </w:rPr>
            </w:pPr>
            <w:r>
              <w:rPr>
                <w:rFonts w:ascii="Times New Roman" w:cs="Times New Roman" w:eastAsia="Times New Roman" w:hAnsi="Times New Roman"/>
                <w:sz w:val="14"/>
                <w:szCs w:val="14"/>
                <w:b w:val="1"/>
                <w:bCs w:val="1"/>
                <w:color w:val="auto"/>
                <w:w w:val="92"/>
              </w:rPr>
              <w:t>Number</w:t>
            </w:r>
            <w:r>
              <w:rPr>
                <w:rFonts w:ascii="Times New Roman" w:cs="Times New Roman" w:eastAsia="Times New Roman" w:hAnsi="Times New Roman"/>
                <w:sz w:val="17"/>
                <w:szCs w:val="17"/>
                <w:b w:val="1"/>
                <w:bCs w:val="1"/>
                <w:color w:val="auto"/>
                <w:w w:val="92"/>
                <w:vertAlign w:val="superscript"/>
              </w:rPr>
              <w:t>(1)</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4"/>
              </w:rPr>
              <w:t>Voting Power</w:t>
            </w:r>
            <w:r>
              <w:rPr>
                <w:rFonts w:ascii="Times New Roman" w:cs="Times New Roman" w:eastAsia="Times New Roman" w:hAnsi="Times New Roman"/>
                <w:sz w:val="17"/>
                <w:szCs w:val="17"/>
                <w:b w:val="1"/>
                <w:bCs w:val="1"/>
                <w:color w:val="auto"/>
                <w:w w:val="94"/>
                <w:vertAlign w:val="superscript"/>
              </w:rPr>
              <w:t>(2)</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Jonathan Bram</w:t>
            </w:r>
          </w:p>
        </w:tc>
        <w:tc>
          <w:tcPr>
            <w:tcW w:w="200" w:type="dxa"/>
            <w:vAlign w:val="bottom"/>
          </w:tcPr>
          <w:p>
            <w:pPr>
              <w:spacing w:after="0"/>
              <w:rPr>
                <w:sz w:val="15"/>
                <w:szCs w:val="15"/>
                <w:color w:val="auto"/>
              </w:rPr>
            </w:pPr>
          </w:p>
        </w:tc>
        <w:tc>
          <w:tcPr>
            <w:tcW w:w="160" w:type="dxa"/>
            <w:vAlign w:val="bottom"/>
          </w:tcPr>
          <w:p>
            <w:pPr>
              <w:ind w:left="60"/>
              <w:spacing w:after="0" w:line="175"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
              <w:spacing w:after="0" w:line="175"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90"/>
              <w:spacing w:after="0" w:line="17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00"/>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5"/>
                <w:szCs w:val="15"/>
                <w:color w:val="auto"/>
              </w:rPr>
            </w:pP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6"/>
        </w:trPr>
        <w:tc>
          <w:tcPr>
            <w:tcW w:w="322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Christopher S. Sotos</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(3)</w:t>
            </w:r>
          </w:p>
        </w:tc>
        <w:tc>
          <w:tcPr>
            <w:tcW w:w="94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20" w:type="dxa"/>
            <w:vAlign w:val="bottom"/>
            <w:gridSpan w:val="2"/>
          </w:tcPr>
          <w:p>
            <w:pPr>
              <w:ind w:left="480"/>
              <w:spacing w:after="0" w:line="117" w:lineRule="exact"/>
              <w:rPr>
                <w:sz w:val="20"/>
                <w:szCs w:val="20"/>
                <w:color w:val="auto"/>
              </w:rPr>
            </w:pPr>
            <w:r>
              <w:rPr>
                <w:rFonts w:ascii="Times New Roman" w:cs="Times New Roman" w:eastAsia="Times New Roman" w:hAnsi="Times New Roman"/>
                <w:sz w:val="12"/>
                <w:szCs w:val="12"/>
                <w:color w:val="auto"/>
              </w:rPr>
              <w:t>(3)</w:t>
            </w:r>
          </w:p>
        </w:tc>
        <w:tc>
          <w:tcPr>
            <w:tcW w:w="94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3220" w:type="dxa"/>
            <w:vAlign w:val="bottom"/>
            <w:gridSpan w:val="2"/>
            <w:vMerge w:val="continue"/>
          </w:tcPr>
          <w:p>
            <w:pPr>
              <w:spacing w:after="0"/>
              <w:rPr>
                <w:sz w:val="7"/>
                <w:szCs w:val="7"/>
                <w:color w:val="auto"/>
              </w:rPr>
            </w:pPr>
          </w:p>
        </w:tc>
        <w:tc>
          <w:tcPr>
            <w:tcW w:w="860" w:type="dxa"/>
            <w:vAlign w:val="bottom"/>
            <w:gridSpan w:val="4"/>
          </w:tcPr>
          <w:p>
            <w:pPr>
              <w:jc w:val="right"/>
              <w:ind w:right="90"/>
              <w:spacing w:after="0" w:line="87" w:lineRule="exact"/>
              <w:rPr>
                <w:sz w:val="20"/>
                <w:szCs w:val="20"/>
                <w:color w:val="auto"/>
              </w:rPr>
            </w:pPr>
            <w:r>
              <w:rPr>
                <w:rFonts w:ascii="Times New Roman" w:cs="Times New Roman" w:eastAsia="Times New Roman" w:hAnsi="Times New Roman"/>
                <w:sz w:val="10"/>
                <w:szCs w:val="10"/>
                <w:color w:val="auto"/>
              </w:rPr>
              <w:t>​31,100 ​</w:t>
            </w:r>
          </w:p>
        </w:tc>
        <w:tc>
          <w:tcPr>
            <w:tcW w:w="9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40" w:type="dxa"/>
            <w:vAlign w:val="bottom"/>
            <w:gridSpan w:val="3"/>
          </w:tcPr>
          <w:p>
            <w:pPr>
              <w:ind w:left="20"/>
              <w:spacing w:after="0" w:line="87" w:lineRule="exact"/>
              <w:rPr>
                <w:sz w:val="20"/>
                <w:szCs w:val="20"/>
                <w:color w:val="auto"/>
              </w:rPr>
            </w:pPr>
            <w:r>
              <w:rPr>
                <w:rFonts w:ascii="Times New Roman" w:cs="Times New Roman" w:eastAsia="Times New Roman" w:hAnsi="Times New Roman"/>
                <w:sz w:val="10"/>
                <w:szCs w:val="10"/>
                <w:color w:val="auto"/>
              </w:rPr>
              <w:t>​333,548​</w:t>
            </w:r>
          </w:p>
        </w:tc>
        <w:tc>
          <w:tcPr>
            <w:tcW w:w="9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8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color w:val="auto"/>
              </w:rPr>
              <w:t>(4)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20" w:type="dxa"/>
            <w:vAlign w:val="bottom"/>
            <w:gridSpan w:val="2"/>
          </w:tcPr>
          <w:p>
            <w:pPr>
              <w:ind w:left="480"/>
              <w:spacing w:after="0" w:line="117" w:lineRule="exact"/>
              <w:rPr>
                <w:sz w:val="20"/>
                <w:szCs w:val="20"/>
                <w:color w:val="auto"/>
              </w:rPr>
            </w:pPr>
            <w:r>
              <w:rPr>
                <w:rFonts w:ascii="Times New Roman" w:cs="Times New Roman" w:eastAsia="Times New Roman" w:hAnsi="Times New Roman"/>
                <w:sz w:val="12"/>
                <w:szCs w:val="12"/>
                <w:color w:val="auto"/>
              </w:rPr>
              <w:t>(4)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gridSpan w:val="2"/>
          </w:tcPr>
          <w:p>
            <w:pPr>
              <w:jc w:val="right"/>
              <w:ind w:right="90"/>
              <w:spacing w:after="0" w:line="10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68,291​</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20" w:type="dxa"/>
            <w:vAlign w:val="bottom"/>
            <w:gridSpan w:val="2"/>
          </w:tcPr>
          <w:p>
            <w:pPr>
              <w:ind w:left="480"/>
              <w:spacing w:after="0" w:line="108" w:lineRule="exact"/>
              <w:rPr>
                <w:sz w:val="20"/>
                <w:szCs w:val="20"/>
                <w:color w:val="auto"/>
              </w:rPr>
            </w:pPr>
            <w:r>
              <w:rPr>
                <w:rFonts w:ascii="Times New Roman" w:cs="Times New Roman" w:eastAsia="Times New Roman" w:hAnsi="Times New Roman"/>
                <w:sz w:val="12"/>
                <w:szCs w:val="12"/>
                <w:color w:val="auto"/>
              </w:rPr>
              <w:t>(5)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80" w:type="dxa"/>
            <w:vAlign w:val="bottom"/>
            <w:gridSpan w:val="2"/>
          </w:tcPr>
          <w:p>
            <w:pPr>
              <w:jc w:val="right"/>
              <w:ind w:right="90"/>
              <w:spacing w:after="0" w:line="108"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23,104​</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Anschuetz</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Emmanuel Barrois</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Brian R. Ford</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gridSpan w:val="2"/>
          </w:tcPr>
          <w:p>
            <w:pPr>
              <w:spacing w:after="0" w:line="108" w:lineRule="exact"/>
              <w:rPr>
                <w:sz w:val="20"/>
                <w:szCs w:val="20"/>
                <w:color w:val="auto"/>
              </w:rPr>
            </w:pPr>
            <w:r>
              <w:rPr>
                <w:rFonts w:ascii="Times New Roman" w:cs="Times New Roman" w:eastAsia="Times New Roman" w:hAnsi="Times New Roman"/>
                <w:sz w:val="12"/>
                <w:szCs w:val="12"/>
                <w:color w:val="auto"/>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20" w:type="dxa"/>
            <w:vAlign w:val="bottom"/>
            <w:gridSpan w:val="2"/>
          </w:tcPr>
          <w:p>
            <w:pPr>
              <w:ind w:left="480"/>
              <w:spacing w:after="0" w:line="108" w:lineRule="exact"/>
              <w:rPr>
                <w:sz w:val="20"/>
                <w:szCs w:val="20"/>
                <w:color w:val="auto"/>
              </w:rPr>
            </w:pPr>
            <w:r>
              <w:rPr>
                <w:rFonts w:ascii="Times New Roman" w:cs="Times New Roman" w:eastAsia="Times New Roman" w:hAnsi="Times New Roman"/>
                <w:sz w:val="12"/>
                <w:szCs w:val="12"/>
                <w:color w:val="auto"/>
              </w:rPr>
              <w:t>(6)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860" w:type="dxa"/>
            <w:vAlign w:val="bottom"/>
            <w:gridSpan w:val="4"/>
          </w:tcPr>
          <w:p>
            <w:pPr>
              <w:jc w:val="right"/>
              <w:ind w:right="90"/>
              <w:spacing w:after="0" w:line="108" w:lineRule="exact"/>
              <w:rPr>
                <w:sz w:val="20"/>
                <w:szCs w:val="20"/>
                <w:color w:val="auto"/>
              </w:rPr>
            </w:pPr>
            <w:r>
              <w:rPr>
                <w:rFonts w:ascii="Times New Roman" w:cs="Times New Roman" w:eastAsia="Times New Roman" w:hAnsi="Times New Roman"/>
                <w:sz w:val="12"/>
                <w:szCs w:val="12"/>
                <w:color w:val="auto"/>
              </w:rPr>
              <w:t>​ 8,776 ​</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69,173​</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Guillaume Hédiard</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Jennifer Lowry</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80"/>
              <w:spacing w:after="0" w:line="108" w:lineRule="exact"/>
              <w:rPr>
                <w:sz w:val="20"/>
                <w:szCs w:val="20"/>
                <w:color w:val="auto"/>
              </w:rPr>
            </w:pPr>
            <w:r>
              <w:rPr>
                <w:rFonts w:ascii="Times New Roman" w:cs="Times New Roman" w:eastAsia="Times New Roman" w:hAnsi="Times New Roman"/>
                <w:sz w:val="12"/>
                <w:szCs w:val="12"/>
                <w:color w:val="auto"/>
              </w:rPr>
              <w:t>(7)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7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2"/>
                <w:szCs w:val="12"/>
                <w:color w:val="auto"/>
              </w:rPr>
              <w:t>9,755​</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MacLennan</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Daniel B. More</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20" w:type="dxa"/>
            <w:vAlign w:val="bottom"/>
            <w:gridSpan w:val="2"/>
          </w:tcPr>
          <w:p>
            <w:pPr>
              <w:ind w:left="480"/>
              <w:spacing w:after="0" w:line="108" w:lineRule="exact"/>
              <w:rPr>
                <w:sz w:val="20"/>
                <w:szCs w:val="20"/>
                <w:color w:val="auto"/>
              </w:rPr>
            </w:pPr>
            <w:r>
              <w:rPr>
                <w:rFonts w:ascii="Times New Roman" w:cs="Times New Roman" w:eastAsia="Times New Roman" w:hAnsi="Times New Roman"/>
                <w:sz w:val="12"/>
                <w:szCs w:val="12"/>
                <w:color w:val="auto"/>
              </w:rPr>
              <w:t>(8)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49,012​</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 Stanley O’Neal</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20" w:type="dxa"/>
            <w:vAlign w:val="bottom"/>
            <w:gridSpan w:val="2"/>
          </w:tcPr>
          <w:p>
            <w:pPr>
              <w:ind w:left="480"/>
              <w:spacing w:after="0" w:line="108" w:lineRule="exact"/>
              <w:rPr>
                <w:sz w:val="20"/>
                <w:szCs w:val="20"/>
                <w:color w:val="auto"/>
              </w:rPr>
            </w:pPr>
            <w:r>
              <w:rPr>
                <w:rFonts w:ascii="Times New Roman" w:cs="Times New Roman" w:eastAsia="Times New Roman" w:hAnsi="Times New Roman"/>
                <w:sz w:val="12"/>
                <w:szCs w:val="12"/>
                <w:color w:val="auto"/>
              </w:rPr>
              <w:t>(9)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322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55,602​</w:t>
            </w:r>
          </w:p>
        </w:tc>
        <w:tc>
          <w:tcPr>
            <w:tcW w:w="94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Stoquart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as a</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(10)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2"/>
                <w:szCs w:val="12"/>
                <w:color w:val="auto"/>
              </w:rPr>
              <w:t>(10)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group (13 people)</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vMerge w:val="continue"/>
          </w:tcPr>
          <w:p>
            <w:pPr>
              <w:spacing w:after="0"/>
              <w:rPr>
                <w:sz w:val="20"/>
                <w:szCs w:val="20"/>
                <w:color w:val="auto"/>
              </w:rPr>
            </w:pPr>
          </w:p>
        </w:tc>
        <w:tc>
          <w:tcPr>
            <w:tcW w:w="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​40,856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​608,484​</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-1854200</wp:posOffset>
            </wp:positionV>
            <wp:extent cx="521208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289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-1588135</wp:posOffset>
            </wp:positionV>
            <wp:extent cx="52120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-1313815</wp:posOffset>
            </wp:positionV>
            <wp:extent cx="52120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-1039495</wp:posOffset>
            </wp:positionV>
            <wp:extent cx="52120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-765175</wp:posOffset>
            </wp:positionV>
            <wp:extent cx="521208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-490855</wp:posOffset>
            </wp:positionV>
            <wp:extent cx="521208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-2119630</wp:posOffset>
            </wp:positionV>
            <wp:extent cx="521208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1371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7" w:lineRule="exact"/>
        <w:rPr>
          <w:sz w:val="20"/>
          <w:szCs w:val="20"/>
          <w:color w:val="auto"/>
        </w:rPr>
      </w:pPr>
    </w:p>
    <w:p>
      <w:pPr>
        <w:ind w:left="1620" w:right="899" w:hanging="360"/>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outstanding Class A common stock, Class C common stock or combined voting power, as applicable.</w:t>
      </w:r>
    </w:p>
    <w:p>
      <w:pPr>
        <w:spacing w:after="0" w:line="13" w:lineRule="exact"/>
        <w:rPr>
          <w:sz w:val="20"/>
          <w:szCs w:val="20"/>
          <w:color w:val="auto"/>
        </w:rPr>
      </w:pPr>
    </w:p>
    <w:p>
      <w:pPr>
        <w:ind w:left="1620" w:right="559" w:hanging="360"/>
        <w:spacing w:after="0" w:line="258"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4" w:lineRule="exact"/>
        <w:rPr>
          <w:rFonts w:ascii="Times New Roman" w:cs="Times New Roman" w:eastAsia="Times New Roman" w:hAnsi="Times New Roman"/>
          <w:sz w:val="18"/>
          <w:szCs w:val="18"/>
          <w:color w:val="auto"/>
        </w:rPr>
      </w:pPr>
    </w:p>
    <w:p>
      <w:pPr>
        <w:ind w:left="1620" w:right="439" w:hanging="360"/>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250" w:lineRule="exact"/>
        <w:rPr>
          <w:rFonts w:ascii="Times New Roman" w:cs="Times New Roman" w:eastAsia="Times New Roman" w:hAnsi="Times New Roman"/>
          <w:sz w:val="18"/>
          <w:szCs w:val="18"/>
          <w:color w:val="auto"/>
        </w:rPr>
      </w:pPr>
    </w:p>
    <w:p>
      <w:pPr>
        <w:ind w:left="1620" w:right="619" w:hanging="360"/>
        <w:spacing w:after="0" w:line="259"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6,160 dividend equivalent rights (DERs) to be paid in Class C common stock. Excludes 22,998 restricted stock units (RSUs), 9,371 DERs and 89,187 relative performance stock units (RPSUs). Each RSU represents the right to receive one share of Class C common stock upon vesting. Each RPSU represents the potential to receive Class C common stock based upon the Company achieving 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61" w:lineRule="auto"/>
        <w:rPr>
          <w:sz w:val="20"/>
          <w:szCs w:val="20"/>
          <w:color w:val="auto"/>
        </w:rPr>
      </w:pPr>
      <w:r>
        <w:rPr>
          <w:rFonts w:ascii="Times New Roman" w:cs="Times New Roman" w:eastAsia="Times New Roman" w:hAnsi="Times New Roman"/>
          <w:sz w:val="18"/>
          <w:szCs w:val="18"/>
          <w:color w:val="auto"/>
        </w:rPr>
        <w:t>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5" w:lineRule="exact"/>
        <w:rPr>
          <w:sz w:val="20"/>
          <w:szCs w:val="20"/>
          <w:color w:val="auto"/>
        </w:rPr>
      </w:pPr>
    </w:p>
    <w:p>
      <w:pPr>
        <w:ind w:left="1620" w:right="419" w:hanging="360"/>
        <w:spacing w:after="0" w:line="255"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1,246 DERs to be paid in Class C common stock. Excludes 5,063 RSUs, 2,307 DERs and 20,421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5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644 DERs to be paid in Class C common stock. Excludes 4,668 RSUs, 1,873 DERs and</w:t>
      </w:r>
    </w:p>
    <w:p>
      <w:pPr>
        <w:spacing w:after="0" w:line="27" w:lineRule="exact"/>
        <w:rPr>
          <w:rFonts w:ascii="Times New Roman" w:cs="Times New Roman" w:eastAsia="Times New Roman" w:hAnsi="Times New Roman"/>
          <w:sz w:val="18"/>
          <w:szCs w:val="18"/>
          <w:color w:val="auto"/>
        </w:rPr>
      </w:pPr>
    </w:p>
    <w:p>
      <w:pPr>
        <w:ind w:left="162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17,931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w:t>
      </w:r>
    </w:p>
    <w:p>
      <w:pPr>
        <w:spacing w:after="0" w:line="41" w:lineRule="exact"/>
        <w:rPr>
          <w:rFonts w:ascii="Times New Roman" w:cs="Times New Roman" w:eastAsia="Times New Roman" w:hAnsi="Times New Roman"/>
          <w:sz w:val="18"/>
          <w:szCs w:val="18"/>
          <w:color w:val="auto"/>
        </w:rPr>
      </w:pPr>
    </w:p>
    <w:p>
      <w:pPr>
        <w:ind w:left="1620" w:right="419" w:hanging="360"/>
        <w:spacing w:after="0" w:line="254"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4,547 DSUs and 3,229 outstanding DERs to be paid in Class A common stock and 52,152 DSUs and 17,021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53"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8,253 DSUs and 698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56"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41,172 DSUs and 7,840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43" w:lineRule="exact"/>
        <w:rPr>
          <w:rFonts w:ascii="Times New Roman" w:cs="Times New Roman" w:eastAsia="Times New Roman" w:hAnsi="Times New Roman"/>
          <w:sz w:val="18"/>
          <w:szCs w:val="18"/>
          <w:color w:val="auto"/>
        </w:rPr>
      </w:pPr>
    </w:p>
    <w:p>
      <w:pPr>
        <w:ind w:left="1620" w:right="499" w:hanging="360"/>
        <w:spacing w:after="0" w:line="254"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41,393 DSUs and 7,209 DERs to be paid in Class C common stock, payable in the event the director ceases to be a member of the Board. Each DSU represents the right of a participant to be paid one share of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w:t>
      </w:r>
    </w:p>
    <w:p>
      <w:pPr>
        <w:spacing w:after="0" w:line="5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total holdings of directors and all executive officers as a group.</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OF PRINCIPAL STOCKHOLDERS</w:t>
      </w:r>
    </w:p>
    <w:p>
      <w:pPr>
        <w:spacing w:after="0" w:line="162"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and the TotalEnergies Entities (as defined below), percentage of beneficial ownership is based on 34,613,853 shares of Class A common stock outstanding as of March 4, 2024 and 82,391,441 shares of Class C common stock outstanding as of March 4, 2024, and percentage of combined voting power is based on 78,599,885 votes represented by our outstanding Class A, Class B, Class C and Class D common stock in the aggregate as of March 4, 2024. For the GIP Entities and the TotalEnergies Entities, who are the shared beneficial owners of our Class B and Class D common stock, percentage of beneficial ownership is based on 34,613,853 shares of Class A common stock outstanding as of March 4, 2024 and 82,391,441 shares of Class C common stock outstanding as of March 4, 2024, plus any shares exchangeable into Class A or Class C common stock within 60 days of March 4, 2024, and percentage of combined voting power is based on 78,599,885 votes represented by our outstanding Class A, Class B, Class C and Class D common stock in the aggregate as of March 4, 2024.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GIP Entities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30th Floor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TotalEnergies Entities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2, place Jean Millier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La Défense 6, 92400</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Courbevoie, France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BlackRock,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50 Hudson Yards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Vanguard Group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100 Vanguard Boulevard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Malvern, Pennsylvania, 19355</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EIP Parties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10 Wright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Westport, Connecticut 06880</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Morgan Stanley</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168910</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9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Class C Common Stock</w:t>
            </w:r>
          </w:p>
        </w:tc>
        <w:tc>
          <w:tcPr>
            <w:tcW w:w="22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Class C</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Combined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r>
              <w:rPr>
                <w:rFonts w:ascii="Times New Roman" w:cs="Times New Roman" w:eastAsia="Times New Roman" w:hAnsi="Times New Roman"/>
                <w:sz w:val="17"/>
                <w:szCs w:val="17"/>
                <w:b w:val="1"/>
                <w:bCs w:val="1"/>
                <w:color w:val="auto"/>
                <w:vertAlign w:val="superscript"/>
              </w:rPr>
              <w:t>(1)</w:t>
            </w:r>
          </w:p>
        </w:tc>
        <w:tc>
          <w:tcPr>
            <w:tcW w:w="114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5"/>
              </w:rPr>
              <w:t>Number</w:t>
            </w:r>
            <w:r>
              <w:rPr>
                <w:rFonts w:ascii="Times New Roman" w:cs="Times New Roman" w:eastAsia="Times New Roman" w:hAnsi="Times New Roman"/>
                <w:sz w:val="17"/>
                <w:szCs w:val="17"/>
                <w:b w:val="1"/>
                <w:bCs w:val="1"/>
                <w:color w:val="auto"/>
                <w:w w:val="95"/>
                <w:vertAlign w:val="superscript"/>
              </w:rPr>
              <w:t>(1)</w:t>
            </w:r>
          </w:p>
        </w:tc>
        <w:tc>
          <w:tcPr>
            <w:tcW w:w="2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2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Voting Power</w:t>
            </w:r>
            <w:r>
              <w:rPr>
                <w:rFonts w:ascii="Times New Roman" w:cs="Times New Roman" w:eastAsia="Times New Roman" w:hAnsi="Times New Roman"/>
                <w:sz w:val="17"/>
                <w:szCs w:val="17"/>
                <w:b w:val="1"/>
                <w:bCs w:val="1"/>
                <w:color w:val="auto"/>
                <w:w w:val="94"/>
                <w:vertAlign w:val="superscript"/>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​​42,760,591</w:t>
            </w:r>
          </w:p>
        </w:tc>
        <w:tc>
          <w:tcPr>
            <w:tcW w:w="20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(3)</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​42,402,537</w:t>
            </w:r>
          </w:p>
        </w:tc>
        <w:tc>
          <w:tcPr>
            <w:tcW w:w="220" w:type="dxa"/>
            <w:vAlign w:val="bottom"/>
          </w:tcPr>
          <w:p>
            <w:pPr>
              <w:jc w:val="right"/>
              <w:ind w:right="22"/>
              <w:spacing w:after="0" w:line="115" w:lineRule="exact"/>
              <w:rPr>
                <w:sz w:val="20"/>
                <w:szCs w:val="20"/>
                <w:color w:val="auto"/>
              </w:rPr>
            </w:pPr>
            <w:r>
              <w:rPr>
                <w:rFonts w:ascii="Times New Roman" w:cs="Times New Roman" w:eastAsia="Times New Roman" w:hAnsi="Times New Roman"/>
                <w:sz w:val="12"/>
                <w:szCs w:val="12"/>
                <w:color w:val="auto"/>
                <w:w w:val="85"/>
              </w:rPr>
              <w:t>(3)</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​33.98%</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840"/>
              <w:spacing w:after="0" w:line="115" w:lineRule="exact"/>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​54.91%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0"/>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​​42,760,591</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​42,402,537</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85"/>
              </w:rPr>
              <w:t>(5)</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​33.98%</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840"/>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​54.91%</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0"/>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6,220,245</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​17.97%</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​14,678,573</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85"/>
              </w:rPr>
              <w:t>(7)</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​17.82%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8.10%</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4,061,716</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​11.73%</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9,568,569</w:t>
            </w: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w w:val="85"/>
              </w:rPr>
              <w:t>(8)</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​11.61%</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5.29%</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1,988,913</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5.75%</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2.53%</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 1,828,361</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5.28%</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2.33%</w:t>
            </w: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960" w:type="dxa"/>
            <w:vAlign w:val="bottom"/>
            <w:gridSpan w:val="2"/>
            <w:vMerge w:val="continue"/>
          </w:tcPr>
          <w:p>
            <w:pPr>
              <w:spacing w:after="0"/>
              <w:rPr>
                <w:sz w:val="20"/>
                <w:szCs w:val="20"/>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5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-1545590</wp:posOffset>
            </wp:positionV>
            <wp:extent cx="5212080" cy="43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437515"/>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-671195</wp:posOffset>
            </wp:positionV>
            <wp:extent cx="5212080" cy="4457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2080" cy="445770"/>
                    </a:xfrm>
                    <a:prstGeom prst="rect">
                      <a:avLst/>
                    </a:prstGeom>
                    <a:noFill/>
                  </pic:spPr>
                </pic:pic>
              </a:graphicData>
            </a:graphic>
          </wp:anchor>
        </w:drawing>
        <w:drawing>
          <wp:anchor simplePos="0" relativeHeight="251657728" behindDoc="1" locked="0" layoutInCell="0" allowOverlap="1">
            <wp:simplePos x="0" y="0"/>
            <wp:positionH relativeFrom="column">
              <wp:posOffset>-1726565</wp:posOffset>
            </wp:positionH>
            <wp:positionV relativeFrom="paragraph">
              <wp:posOffset>-2702560</wp:posOffset>
            </wp:positionV>
            <wp:extent cx="5212080" cy="5829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2080" cy="582930"/>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2">
            <w:col w:w="3740" w:space="240"/>
            <w:col w:w="5899"/>
          </w:cols>
          <w:pgMar w:left="580" w:top="97" w:right="1440" w:bottom="1440" w:gutter="0" w:footer="0" w:header="0"/>
          <w:type w:val="continuous"/>
        </w:sectPr>
      </w:pPr>
    </w:p>
    <w:p>
      <w:pPr>
        <w:spacing w:after="0" w:line="209" w:lineRule="exact"/>
        <w:rPr>
          <w:sz w:val="20"/>
          <w:szCs w:val="20"/>
          <w:color w:val="auto"/>
        </w:rPr>
      </w:pPr>
    </w:p>
    <w:p>
      <w:pPr>
        <w:ind w:left="1620" w:right="89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 of outstanding Class A common stock, Class C common stock or combined voting power, as applicable.</w:t>
      </w:r>
    </w:p>
    <w:p>
      <w:pPr>
        <w:spacing w:after="0" w:line="13" w:lineRule="exact"/>
        <w:rPr>
          <w:sz w:val="20"/>
          <w:szCs w:val="20"/>
          <w:color w:val="auto"/>
        </w:rPr>
      </w:pPr>
    </w:p>
    <w:p>
      <w:pPr>
        <w:ind w:left="1620" w:right="559" w:hanging="360"/>
        <w:spacing w:after="0" w:line="258"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hanging="360"/>
        <w:spacing w:after="0" w:line="257"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voting power of all of the classes of our common stock voting together as a single class. Each holder of Class A or Class B common stock is entitled to one vote for each share held. Each holder of Class C or Class D common stock is entitled to 1/100th of one vote for each share held. Holders of shares of our Class A, Class B, Class C and Class D common stock vote together as a single class on all matters presented to our stockholders for their vote or approval, except as otherwise provided by applicable law.</w:t>
      </w:r>
    </w:p>
    <w:p>
      <w:pPr>
        <w:spacing w:after="0" w:line="268" w:lineRule="exact"/>
        <w:rPr>
          <w:rFonts w:ascii="Times New Roman" w:cs="Times New Roman" w:eastAsia="Times New Roman" w:hAnsi="Times New Roman"/>
          <w:sz w:val="18"/>
          <w:szCs w:val="18"/>
          <w:color w:val="auto"/>
        </w:rPr>
      </w:pPr>
    </w:p>
    <w:p>
      <w:pPr>
        <w:ind w:left="1620" w:right="419" w:hanging="360"/>
        <w:spacing w:after="0" w:line="25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13D/A filed on September 15, 2022 by Global Infrastructure Investors III, LLC, Global Infrastructure GP III, L.P., GIP III Zephyr Midco Holdings, L.P., Zephyr Holdings GP, LLC, GIP III Zephyr Acquisition Partners, L.P., and Clearway Energy Group LLC (collectively, the “GIP Entities”). The GIP Entities have shared voting power and shared dispositive power over 42,760,591 Class A shares and 42,402,537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GIP Entities may be deemed to be acting as a group with the TotalEnergies Entities for purposes of Rule 13d-3 under the Exchange Act.</w:t>
      </w: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1620" w:right="679" w:hanging="360"/>
        <w:spacing w:after="0" w:line="233"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Entities hold 42,738,750 shares of our Class B common stock and 42,336,750 shares of our Class D common stock. Each holder of Class B common stock is entitled to one vote per share of Class B common stock. Each holder of our Class D common stock is entitled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per share of Class D common stock.</w:t>
      </w:r>
    </w:p>
    <w:p>
      <w:pPr>
        <w:spacing w:after="0" w:line="65" w:lineRule="exact"/>
        <w:rPr>
          <w:rFonts w:ascii="Times New Roman" w:cs="Times New Roman" w:eastAsia="Times New Roman" w:hAnsi="Times New Roman"/>
          <w:sz w:val="18"/>
          <w:szCs w:val="18"/>
          <w:color w:val="auto"/>
        </w:rPr>
      </w:pPr>
    </w:p>
    <w:p>
      <w:pPr>
        <w:ind w:left="1620" w:right="459" w:hanging="360"/>
        <w:spacing w:after="0" w:line="25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13D filed on September 15, 2022 by TotalEnergies SE, TotalEnergies Gestion USA SARL, TotalEnergies Holdings USA, Inc., TotalEnergies Delaware, Inc., and TotalEnergies Renewables USA, LLC (collectively, the “TotalEnergies Entities”). The TotalEnergies Entities have shared voting power and shared dispositive power over 42,760,591 Class A shares and 42,402,537 Class C shares. Consists entirely of Class B units and Class D units of Clearway Energy LLC. The Class B units of Clearway Energy LLC are exchangeable for shares of our Class A common stock at any time and the Class D units are exchangeable for shares of our Class C common stock at any time. As a result, the TotalEnergies Entities may be deemed to beneficially own the shares of Class A common stock or Class C common stock for which such Class B units or Class D units of Clearway Energy LLC, as applicable, are exchangeable. TotalEnergies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Amended and Restated Exchange Agreement, dated May 14, 2015, between us and NRG, for which the rights and obligations thereunder were assigned to GIP on August 31, 2018 in connection with the closing of the GIP Transaction;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Transactions — Exchange Agreement.” The TotalEnergies Entities may be deemed to be acting as a group with the GIP Entities for purposes of Rule 13d-3 under the Exchange Act.</w:t>
      </w:r>
    </w:p>
    <w:p>
      <w:pPr>
        <w:spacing w:after="0" w:line="27" w:lineRule="exact"/>
        <w:rPr>
          <w:sz w:val="20"/>
          <w:szCs w:val="20"/>
          <w:color w:val="auto"/>
        </w:rPr>
      </w:pPr>
    </w:p>
    <w:p>
      <w:pPr>
        <w:jc w:val="both"/>
        <w:ind w:left="1620" w:right="579" w:hanging="360"/>
        <w:spacing w:after="0" w:line="233"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Entities hold 42,738,750 shares of our Class B common stock and 42,336,750 shares of our Class D common stock. Each holder of Class B common stock is entitled to one vote per share of Class B common stock. Each holder of our Class D common stock is entitled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per share of Class D common stock.</w:t>
      </w:r>
    </w:p>
    <w:p>
      <w:pPr>
        <w:spacing w:after="0" w:line="51"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Schedules 13G/A filed on January 19, 2024 by BlackRock, Inc. (“BlackRock”). With respect to the Class A shares, BlackRock has sole voting power over 5,837,169 Class A shares and sole dispositive power over 6,220,245 Class A shares. With respect to the Class C shares, BlackRock has sole voting power over 13,487,139 Class C shares and sole dispositive power over 14,678,573 Class C shares.</w:t>
      </w:r>
    </w:p>
    <w:p>
      <w:pPr>
        <w:spacing w:after="0" w:line="34"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Schedules 13G/A filed on February 13, 2024 by The Vanguard Group (“Vanguard”). With respect to the Class A shares, Vanguard has shared voting power over</w:t>
      </w:r>
    </w:p>
    <w:p>
      <w:pPr>
        <w:ind w:left="1620" w:right="6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11,793 Class A Shares, sole dispositive power over 4,026,206 Class A shares, and shared dispositive power over 35,510 Class A shares. With respect to the Class C shares, Vanguard has shared voting power over 29,549 Class C shares, sole dispositive power over 9,452,059 Class C shares and shared dispositive power over 116,510 Class C shares.</w:t>
      </w:r>
    </w:p>
    <w:p>
      <w:pPr>
        <w:spacing w:after="0" w:line="53" w:lineRule="exact"/>
        <w:rPr>
          <w:rFonts w:ascii="Times New Roman" w:cs="Times New Roman" w:eastAsia="Times New Roman" w:hAnsi="Times New Roman"/>
          <w:sz w:val="18"/>
          <w:szCs w:val="18"/>
          <w:color w:val="auto"/>
        </w:rPr>
      </w:pPr>
    </w:p>
    <w:p>
      <w:pPr>
        <w:ind w:left="1620" w:right="699" w:hanging="360"/>
        <w:spacing w:after="0" w:line="261"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February 14, 2024 by Energy Income Partners, LLC, James J. Murchie, Eva Pao, Saul Ballesteros and John K. Tysseland (collectively, the “EIP Parties”). Each of the EIP Parties has shared voting power over 1,988,913 Class A shares and shared dispositive power over 1,988,913 Class A shares.</w:t>
      </w:r>
    </w:p>
    <w:p>
      <w:pPr>
        <w:spacing w:after="0" w:line="31"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 WITH CEG</w:t>
      </w:r>
    </w:p>
    <w:p>
      <w:pPr>
        <w:spacing w:after="0" w:line="162" w:lineRule="exact"/>
        <w:rPr>
          <w:sz w:val="20"/>
          <w:szCs w:val="20"/>
          <w:color w:val="auto"/>
        </w:rPr>
      </w:pPr>
    </w:p>
    <w:p>
      <w:pPr>
        <w:jc w:val="both"/>
        <w:ind w:left="1260" w:right="999" w:firstLine="360"/>
        <w:spacing w:after="0" w:line="247" w:lineRule="auto"/>
        <w:rPr>
          <w:sz w:val="20"/>
          <w:szCs w:val="20"/>
          <w:color w:val="auto"/>
        </w:rPr>
      </w:pPr>
      <w:r>
        <w:rPr>
          <w:rFonts w:ascii="Times New Roman" w:cs="Times New Roman" w:eastAsia="Times New Roman" w:hAnsi="Times New Roman"/>
          <w:sz w:val="18"/>
          <w:szCs w:val="18"/>
          <w:color w:val="auto"/>
        </w:rPr>
        <w:t>CEG owns all of our outstanding Class B common stock and our Class D common stock, which represents, in the aggregate, 54.91% of the voting interest in our stock and receive distributions from Clearway Energy LLC through its ownership of Class B and Class D units of Clearway Energy LLC.</w:t>
      </w:r>
    </w:p>
    <w:p>
      <w:pPr>
        <w:ind w:left="1260"/>
        <w:spacing w:after="0" w:line="237" w:lineRule="auto"/>
        <w:rPr>
          <w:sz w:val="20"/>
          <w:szCs w:val="20"/>
          <w:color w:val="auto"/>
        </w:rPr>
      </w:pPr>
      <w:r>
        <w:rPr>
          <w:rFonts w:ascii="Times New Roman" w:cs="Times New Roman" w:eastAsia="Times New Roman" w:hAnsi="Times New Roman"/>
          <w:sz w:val="18"/>
          <w:szCs w:val="18"/>
          <w:color w:val="auto"/>
        </w:rPr>
        <w:t>Holders of our Class A common stock and Class C common stock hold, in the aggregate, the remaining</w:t>
      </w:r>
    </w:p>
    <w:p>
      <w:pPr>
        <w:ind w:left="1260" w:right="539"/>
        <w:spacing w:after="0" w:line="242" w:lineRule="auto"/>
        <w:rPr>
          <w:sz w:val="20"/>
          <w:szCs w:val="20"/>
          <w:color w:val="auto"/>
        </w:rPr>
      </w:pPr>
      <w:r>
        <w:rPr>
          <w:rFonts w:ascii="Times New Roman" w:cs="Times New Roman" w:eastAsia="Times New Roman" w:hAnsi="Times New Roman"/>
          <w:sz w:val="18"/>
          <w:szCs w:val="18"/>
          <w:color w:val="auto"/>
        </w:rPr>
        <w:t>45.09% of the voting interest in our stock. Each holder of Class A or Class B common stock is entitled to one vote for each share held. Each holder of Class C or Class D common stock is entitled to 1/100th of one vote for each share held. The holders of our outstanding shares of Class A and Class C common stock are entitled to dividends as declared.</w:t>
      </w:r>
    </w:p>
    <w:p>
      <w:pPr>
        <w:spacing w:after="0" w:line="117"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diagram below depicts our organizational structure as of March 4, 2024. Clearway Energy LLC indirectly holds the equity interests in our project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80010</wp:posOffset>
            </wp:positionV>
            <wp:extent cx="5109210" cy="3625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09210"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GIP and TotalEnergies each own 50% of CEG through intermediate holding companies.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STRATEGIC SPONSORSHIP WITH CEG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The Company, along with Clearway Energy LLC and Clearway Energy Operating LLC, is party to Master Services Agreements with CEG (the “CEG Master Services Agreements”), pursuant to which CEG and certain of its affiliates or third-party service providers provide certain services to the Company, including operational and administrative services, which include human resources, information systems, cybersecurity, external affairs, accounting, procurement, and risk management services, and the Company provides certain services to CEG, including accounting, internal audit, tax and treasury services, in exchange for the payment of fees in respect of such services. For the year ended December 31, 2023, the Company paid approximately $4,840,000 under the CEG Master Services Agreements.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CEG Committed Investments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assets listed below represent our currently committed investments in projects with CEG:</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Gross Capacity</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r>
      <w:tr>
        <w:trPr>
          <w:trHeight w:val="190"/>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Technology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(MW)</w:t>
            </w: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COD</w:t>
            </w:r>
          </w:p>
        </w:tc>
      </w:tr>
      <w:tr>
        <w:trPr>
          <w:trHeight w:val="23"/>
        </w:trPr>
        <w:tc>
          <w:tcPr>
            <w:tcW w:w="4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0"/>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Cedar Creek</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Wind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1"/>
                <w:szCs w:val="21"/>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1H24</w:t>
            </w:r>
          </w:p>
        </w:tc>
      </w:tr>
      <w:tr>
        <w:trPr>
          <w:trHeight w:val="25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Cedro Hill Repowering</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Wind</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2"/>
                <w:szCs w:val="22"/>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TX</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2H24</w:t>
            </w:r>
          </w:p>
        </w:tc>
      </w:tr>
      <w:tr>
        <w:trPr>
          <w:trHeight w:val="325"/>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Solar Nova 2</w:t>
            </w:r>
            <w:r>
              <w:rPr>
                <w:rFonts w:ascii="Times New Roman" w:cs="Times New Roman" w:eastAsia="Times New Roman" w:hAnsi="Times New Roman"/>
                <w:sz w:val="23"/>
                <w:szCs w:val="23"/>
                <w:color w:val="auto"/>
                <w:vertAlign w:val="superscript"/>
              </w:rPr>
              <w:t>(a)</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Solar</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4"/>
                <w:szCs w:val="24"/>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TX</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1H24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Included in a co-investment partnership.</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Drop Drown Transactions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Texas Solar Nova 1 Drop Down</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On December 28, 2023, the Company, through its indirect subsidiary, Lighthouse Renewable Holdco 2 LLC, acquired TSN1 BL Borrower Holdco LLC, the indirect owner of Texas Solar Nova 1, a 252 MW solar project that is located in Kent County, Texas, from Clearway Renew LLC, a subsidiary of CEG (“Clearway Renew”) for cash consideration of $23 million. Lighthouse Renewable Holdco 2 LLC is a partnership between the Company and a cash equity investor. TSN1 BL Borrower Holdco LLC consolidates as primary beneficiary, TSN1 TE Holdco LLC, a tax equity fund that owns the Texas Solar Nova 1 solar project.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Texas Solar Nova 1 Drop Down, the Company assumed non-recourse project-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level debt, which included a construction loan, sponsor equity bridge loan and tax equity bridge loan. 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acquisition date, when the project reached substantial completion, the tax equity investor contributed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$148 million, which was utilized, along with the Company’s entire purchase price that was contributed back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Company by CEG and the proceeds from the cash equity investor, to repay the $109 million sponsor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bridge loan, to repay the $151 million tax equity bridge loan, to fund $18 million in construction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completion reserves, and to pay $5 million in associated fees with the remaining $9 million distributed back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CEG.</w:t>
      </w: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Victory Pass and Arica Drop Down</w:t>
      </w:r>
    </w:p>
    <w:p>
      <w:pPr>
        <w:spacing w:after="0" w:line="16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On October 31, 2023, the Company, through its indirect subsidiary, VP-Arica Parent Holdco LLC, acquired the Class A membership interests in VP-Arica TargetCo LLC, a partnership and the indirect owner of Victory Pass, a 200 MW solar project that is paired with 50 MW of energy storage, and Arica, a 263 MW solar project that is paired with 136 MW of energy storage, which are both currently under construction in Riverside, California, from Clearway Renew for initial cash consideration of $46 million. VP-Arica TargetCo LLC consolidates as primary beneficiary, VP-Arica TE Holdco LLC, a tax equity fund that owns the Victory Pass and Arica solar projects.</w:t>
      </w:r>
    </w:p>
    <w:p>
      <w:pPr>
        <w:spacing w:after="0" w:line="10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Victory Pass and Arica Drop Down, the Company assumed non-recourse project-level debt, which included a sponsor equity bridge loan and tax equity bridge loan. A partial payment of $133 million was made on the sponsor equity bridge loan at acquisition date utilizing all of the proceeds from the Company, which were contributed back to the Company by CEG, and the contribution from the cash equity investor.</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Daggett 2 Drop Down</w:t>
      </w:r>
    </w:p>
    <w:p>
      <w:pPr>
        <w:spacing w:after="0" w:line="160"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On August 30, 2023, the Company, through its indirect subsidiary, Daggett Solar Investment LLC, acquired the Class A membership interests in Daggett 2 TargetCo LLC, a partnership and the indirect owner of Daggett 2, a 182 MW solar project that is paired with 131 MW of energy storage and is located in San Bernardino, California, from CEG for cash consideration of $13 million. Daggett 2 TargetCo LLC consolidates as primary beneficiary, Daggett 2 TE Holdco LLC, a tax equity fund that owns the Daggett 2 solar project.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Daggett 2 Drop Down, the Company assumed non-recourse project-level debt, which included a construction loan and tax equity bridge loan. On December 22, 2023, when the project reached substantial completion, the tax equity investor contributed an additional $202 million, which was utilized, along with the $120 million in escrow and $10 million in construction loan proceeds, to repay the $204 million tax equity bridge loan, to fund $36 million in construction completion reserves and to pay $1 million in associated fees with the remaining $91 million distributed to CEG.</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Rosamond Central BESS Drop Down and Financing Activities</w:t>
      </w:r>
    </w:p>
    <w:p>
      <w:pPr>
        <w:spacing w:after="0" w:line="16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On June 30, 2023, the Company through its indirect subsidiary, Rosie Class B LLC, the indirect owner of the Rosamond Central solar project, became the owner of the Class B membership interests of Rosie Central BESS in order to facilitate and fund the construction of a 147 MW battery energy storage system (“BESS”) project that is co-located at the Rosamond Central solar facility. Clearway Renew indirectly owns the Class A membership interests and controls Rosie Central BESS. As of December 31, 2023, the Company’s investment consisted of $28 million contributed into Rosie Central BESS, funded through contributions from the Company and its cash equity investor in Rosie TargetCo LLC, which consolidates Rosie Class B LLC. On December 1, 2023, the Rosamond Central solar project acquired the BESS project from Clearway Renew for initial cash consideration of $70 million, $16 million of which was funded by the Company with the remaining $54 million funded through contributions from the cash equity investor in Rosie TargetCo LLC and the tax equity investor in Rosie TE HoldCo LLC.</w:t>
      </w:r>
    </w:p>
    <w:p>
      <w:pPr>
        <w:spacing w:after="0" w:line="12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Also, on July 3, 2023, Rosie Class B LLC, utilizing a portion of the proceeds from borrowings received under its refinanced debt facility, issued a loan to Clearway Renew in order to finance the construction of the BESS project. On December 1, 2023, Clearway Renew partially repaid the loan utilizing the $70 million in proceeds that was paid by the Company to acquire the BESS project. As of December 31, 2023, the loan issued to Clearway Renew had an aggregate principal amount of $174 million. The loan matures when the project reaches substantial completion, which is expected in the first half of 2024.</w:t>
      </w:r>
    </w:p>
    <w:p>
      <w:pPr>
        <w:spacing w:after="0" w:line="1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Daggett 3 Drop Down</w:t>
      </w:r>
    </w:p>
    <w:p>
      <w:pPr>
        <w:spacing w:after="0" w:line="14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On February 17, 2023, the Company, through its indirect subsidiary, Daggett Solar Investment LLC, acquired the Class A membership interests in Daggett TargetCo LLC, the indirect owner of Daggett 3, a 300 MW solar project that is paired with 149 MW of energy storage and located in San Bernardino, California, from Clearway Renew for cash consideration of $21 million. The Company then contributed its Class A membership interests into Daggett Renewable Holdco LLC, a partnership that consolidates Daggett TargetCo LLC. Daggett TargetCo LLC consolidates as primary beneficiary, Daggett TE Holdco LLC, a tax equity fund that owns the Daggett 3 solar project.</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Daggett 3 Drop Down, the Company assumed non-recourse project-level debt, which included a construction loan, sponsor equity bridge loan and tax equity bridge loan. The $75 million sponsor equity bridge loan was repaid at acquisition date, along with $8 million in associated fees, utilizing all of the proceeds from the Company, which were contributed back by CEG, and the contribution from the cash equity investor. On December 1, 2023, when the project reached substantial completion, the tax equity investor contributed an additional $252 million, which was utilized along with the $69 million in escrow, to repay the $229 million tax equity bridge loan, to fund $40 million in construction completion reserves and to pay $7 million in associated fees with the remaining $45 million distributed to CEG.</w:t>
      </w:r>
    </w:p>
    <w:p>
      <w:pPr>
        <w:spacing w:after="0" w:line="12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also received $54 million from CEG to fund project costs, $22 million of which were incurred after the acquisition date. In October 2023, the</w:t>
      </w: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$54 million funded by CEG was repaid, along with a distribution of $8 million, which was an estimate of the remaining project costs to be incurred prior to substantial completion.</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Waiawa Drop Down</w:t>
      </w:r>
    </w:p>
    <w:p>
      <w:pPr>
        <w:spacing w:after="0" w:line="146"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October 3, 2022, the Company, through its indirect subsidiary, Lighthouse Renewable Holdco LLC, acquired Waiawa BL Borrower Holdco LLC, the indirect owner of the Waiawa solar project, a 36 MW solar project that is paired with 36 MW of energy storage and located in Honolulu, Hawaii, from</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82" w:lineRule="auto"/>
        <w:rPr>
          <w:sz w:val="20"/>
          <w:szCs w:val="20"/>
          <w:color w:val="auto"/>
        </w:rPr>
      </w:pPr>
      <w:r>
        <w:rPr>
          <w:rFonts w:ascii="Times New Roman" w:cs="Times New Roman" w:eastAsia="Times New Roman" w:hAnsi="Times New Roman"/>
          <w:sz w:val="18"/>
          <w:szCs w:val="18"/>
          <w:color w:val="auto"/>
        </w:rPr>
        <w:t>Clearway Renew. In connection with the Waiawa Drop Down, the Company assumed the project’s financing agreement, which included a construction loan, tax equity bridge loan and sponsor equity bridge loan.</w:t>
      </w:r>
    </w:p>
    <w:p>
      <w:pPr>
        <w:spacing w:after="0" w:line="94" w:lineRule="exact"/>
        <w:rPr>
          <w:sz w:val="20"/>
          <w:szCs w:val="20"/>
          <w:color w:val="auto"/>
        </w:rPr>
      </w:pPr>
    </w:p>
    <w:p>
      <w:pPr>
        <w:ind w:left="1260" w:right="1320" w:firstLine="360"/>
        <w:spacing w:after="0" w:line="261" w:lineRule="auto"/>
        <w:rPr>
          <w:sz w:val="20"/>
          <w:szCs w:val="20"/>
          <w:color w:val="auto"/>
        </w:rPr>
      </w:pPr>
      <w:r>
        <w:rPr>
          <w:rFonts w:ascii="Times New Roman" w:cs="Times New Roman" w:eastAsia="Times New Roman" w:hAnsi="Times New Roman"/>
          <w:sz w:val="18"/>
          <w:szCs w:val="18"/>
          <w:color w:val="auto"/>
        </w:rPr>
        <w:t>On March 30, 2023, when the project reached substantial completion, the tax equity investor contributed an additional $41 million and CEG contributed an additional $8 million, which was utilized, along with the $17 million in escrow, to repay the $55 million tax equity bridge loan, to fund $10 million in construction completion reserves and to pay $1 million in associated fees.</w:t>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Cedro Hill Repowering</w:t>
      </w:r>
    </w:p>
    <w:p>
      <w:pPr>
        <w:spacing w:after="0" w:line="160" w:lineRule="exact"/>
        <w:rPr>
          <w:sz w:val="20"/>
          <w:szCs w:val="20"/>
          <w:color w:val="auto"/>
        </w:rPr>
      </w:pPr>
    </w:p>
    <w:p>
      <w:pPr>
        <w:ind w:left="1260" w:right="1360" w:firstLine="360"/>
        <w:spacing w:after="0" w:line="255" w:lineRule="auto"/>
        <w:rPr>
          <w:sz w:val="20"/>
          <w:szCs w:val="20"/>
          <w:color w:val="auto"/>
        </w:rPr>
      </w:pPr>
      <w:r>
        <w:rPr>
          <w:rFonts w:ascii="Times New Roman" w:cs="Times New Roman" w:eastAsia="Times New Roman" w:hAnsi="Times New Roman"/>
          <w:sz w:val="18"/>
          <w:szCs w:val="18"/>
          <w:color w:val="auto"/>
        </w:rPr>
        <w:t>On December 12, 2023, the Company entered into a financing agreement for non-recourse debt for a total commitment of $254 million, which consists of construction loans, a tax equity bridge loan and a sponsor equity bridge loan, related to the repowering of the Cedro Hill wind project. The Company’s initial borrowing of $165 million was utilized to repay the $72 million of outstanding principal under the original financing agreement, to pay $55 million to Clearway Renew for the future delivery of equipment, to pay $27 million to a third party for the future delivery of equipment, to pay a $4 million development services fee to Clearway Renew, to pay for $4 million in debt issuance costs that were deferred and to pay for $3 million in capital expenditures.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OPERATIONS AND MAINTENANCE AGREEMENTS</w:t>
      </w:r>
    </w:p>
    <w:p>
      <w:pPr>
        <w:spacing w:after="0" w:line="148" w:lineRule="exact"/>
        <w:rPr>
          <w:sz w:val="20"/>
          <w:szCs w:val="20"/>
          <w:color w:val="auto"/>
        </w:rPr>
      </w:pPr>
    </w:p>
    <w:p>
      <w:pPr>
        <w:ind w:left="1260" w:right="1360" w:firstLine="360"/>
        <w:spacing w:after="0" w:line="256" w:lineRule="auto"/>
        <w:rPr>
          <w:sz w:val="20"/>
          <w:szCs w:val="20"/>
          <w:color w:val="auto"/>
        </w:rPr>
      </w:pPr>
      <w:r>
        <w:rPr>
          <w:rFonts w:ascii="Times New Roman" w:cs="Times New Roman" w:eastAsia="Times New Roman" w:hAnsi="Times New Roman"/>
          <w:sz w:val="18"/>
          <w:szCs w:val="18"/>
          <w:color w:val="auto"/>
        </w:rPr>
        <w:t>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the year ended December 31, 2023 are described in the table below. Under these O&amp;M agreements, we generally pay an annual or monthly fee, which may be subject to annual adjustment, plus any reimbursable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6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39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CEG</w:t>
            </w:r>
          </w:p>
        </w:tc>
        <w:tc>
          <w:tcPr>
            <w:tcW w:w="126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260" w:type="dxa"/>
            <w:vAlign w:val="bottom"/>
          </w:tcPr>
          <w:p>
            <w:pPr>
              <w:spacing w:after="0"/>
              <w:rPr>
                <w:sz w:val="19"/>
                <w:szCs w:val="19"/>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3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19"/>
                <w:szCs w:val="19"/>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Agua Caliente</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22,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$4,412,000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Borrego</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August 1, 2012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$ 544,000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Buckthorn Solar</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22,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$2,119,000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Chestnut Fund LLC</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9, 2018</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$1,425,000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Clearway &amp; EFS Distributed Solar LLC</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28,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$ 222,000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CS4 Fund LLC</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November 29, 2018</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$ 659,000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CVSR</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30, 2011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$4,288,000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28, 2021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$1,168,000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 CS Holdco LLC</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November 2,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$ 318,000</w:t>
            </w:r>
          </w:p>
        </w:tc>
        <w:tc>
          <w:tcPr>
            <w:tcW w:w="126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DGPV Fund 1 LLC</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12, 2015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$ 247,000</w:t>
            </w: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DGPV Fund 2 LLC</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4, 2015</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$ 951,000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DGPV Fund 4 LLC</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16,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$1,313,000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Golden Puma Fund LLC</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March 30,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$ 745,000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Kansas South</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13,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$ 907,000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Lanikuhana Solar LLC</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28,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$ 755,000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May 28, 2021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$ 856,000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June 30, 2023</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$1,941,000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 Blythe</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November 1,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$ 809,000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SPP Projects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31,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$ 913,000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 High Desert</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9,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$ 685,000</w:t>
            </w:r>
          </w:p>
        </w:tc>
        <w:tc>
          <w:tcPr>
            <w:tcW w:w="1260" w:type="dxa"/>
            <w:vAlign w:val="bottom"/>
          </w:tcPr>
          <w:p>
            <w:pPr>
              <w:spacing w:after="0"/>
              <w:rPr>
                <w:sz w:val="22"/>
                <w:szCs w:val="22"/>
                <w:color w:val="auto"/>
              </w:rPr>
            </w:pPr>
          </w:p>
        </w:tc>
      </w:tr>
      <w:tr>
        <w:trPr>
          <w:trHeight w:val="608"/>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-3977005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-3977005</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90"/>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390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CEG</w:t>
            </w:r>
          </w:p>
        </w:tc>
      </w:tr>
      <w:tr>
        <w:trPr>
          <w:trHeight w:val="23"/>
        </w:trPr>
        <w:tc>
          <w:tcPr>
            <w:tcW w:w="3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Utah Solar Portfolio</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June 13, 2022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$3,029,000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Waiawa</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28,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$ 773,000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Waipio PV LLC</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28,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$1,098,000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w:t>
            </w: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I</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$1,871,000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II</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$ 530,000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III</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$ 654,000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IV</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$ 484,000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V</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$ 702,000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Alta Wind X</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$2,252,000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Alta Wind XI</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12,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$1,544,000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Black Rock</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30,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$ 828,000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Broken Bow</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 6,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$1,675,000</w:t>
            </w:r>
          </w:p>
        </w:tc>
      </w:tr>
      <w:tr>
        <w:trPr>
          <w:trHeight w:val="24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Buffalo Bear</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1,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$ 320,000</w:t>
            </w:r>
          </w:p>
        </w:tc>
      </w:tr>
      <w:tr>
        <w:trPr>
          <w:trHeight w:val="243"/>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Cedro Hill</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Nov 11, 2015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$3,468,000</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Crofton Bluffs</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13, 2012</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$ 360,000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Elbow Creek</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31, 2018</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$1,499,000</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Forward</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October 20,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$ 878,000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Goat Wind</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18, 2008</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$3,207,000</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Langford</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July 30, 2018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$2,818,000</w:t>
            </w:r>
          </w:p>
        </w:tc>
      </w:tr>
      <w:tr>
        <w:trPr>
          <w:trHeight w:val="25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Laredo Ridge</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24, 2015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$1,613,000</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Lookout</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11, 2008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$1,269,000</w:t>
            </w:r>
          </w:p>
        </w:tc>
      </w:tr>
      <w:tr>
        <w:trPr>
          <w:trHeight w:val="25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Mesquite Sky</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December 30, 2020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$1,133,000</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Mesquite Star</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7, 2019</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$1,286,000</w:t>
            </w:r>
          </w:p>
        </w:tc>
      </w:tr>
      <w:tr>
        <w:trPr>
          <w:trHeight w:val="25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Mt. Storm</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April 23, 2021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$1,038,000</w:t>
            </w:r>
          </w:p>
        </w:tc>
      </w:tr>
      <w:tr>
        <w:trPr>
          <w:trHeight w:val="257"/>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Mountain Wind 1</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17,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$1,343,000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Mountain Wind 2</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September 17,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$1,922,000</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Ocotillo</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November 3,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$2,293,000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Odin</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September 16,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$ 688,000</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Pinnacle</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December 1,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$1,278,000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Rattlesnake</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February 5, 2020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$1,608,000</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Sleeping Bear</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May 1,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$2,454,000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South Trent</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October 1, 2015</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$2,023,000</w:t>
            </w:r>
          </w:p>
        </w:tc>
      </w:tr>
      <w:tr>
        <w:trPr>
          <w:trHeight w:val="25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Spanish Fork</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September 16, 2016</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$ 560,000</w:t>
            </w:r>
          </w:p>
        </w:tc>
      </w:tr>
      <w:tr>
        <w:trPr>
          <w:trHeight w:val="257"/>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Taloga</w:t>
            </w: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O&amp;M Agreement, dated July 1,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$2,682,000</w:t>
            </w:r>
          </w:p>
        </w:tc>
      </w:tr>
      <w:tr>
        <w:trPr>
          <w:trHeight w:val="270"/>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Wildorado</w:t>
            </w: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O&amp;M Agreement, dated February 11, 2008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$2,298,000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-5742940</wp:posOffset>
            </wp:positionV>
            <wp:extent cx="137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-5742940</wp:posOffset>
            </wp:positionV>
            <wp:extent cx="137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ASSET MANAGEMENT AND ADMINISTRATIVE SERVICES AGREEMENTS</w:t>
      </w:r>
    </w:p>
    <w:p>
      <w:pPr>
        <w:spacing w:after="0" w:line="148" w:lineRule="exact"/>
        <w:rPr>
          <w:sz w:val="20"/>
          <w:szCs w:val="20"/>
          <w:color w:val="auto"/>
        </w:rPr>
      </w:pPr>
    </w:p>
    <w:p>
      <w:pPr>
        <w:ind w:left="1260" w:right="479" w:firstLine="360"/>
        <w:spacing w:after="0" w:line="270" w:lineRule="auto"/>
        <w:rPr>
          <w:sz w:val="20"/>
          <w:szCs w:val="20"/>
          <w:color w:val="auto"/>
        </w:rPr>
      </w:pPr>
      <w:r>
        <w:rPr>
          <w:rFonts w:ascii="Times New Roman" w:cs="Times New Roman" w:eastAsia="Times New Roman" w:hAnsi="Times New Roman"/>
          <w:sz w:val="18"/>
          <w:szCs w:val="18"/>
          <w:color w:val="auto"/>
        </w:rPr>
        <w:t>CEG provides day-to-day administrative support to certain of our project-level entities in accordance with asset management and administrative services agreements (the “ASAs”). The ASAs for which the amount involved exceeded $120,000 during the year ended December 31, 2023 are described in the table below. Under these agreements, we generally pay an annual or monthly fee, which may be subject to annual adjustment, plus any reimbursable expenses.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60" w:type="dxa"/>
            <w:vAlign w:val="bottom"/>
          </w:tcPr>
          <w:p>
            <w:pPr>
              <w:spacing w:after="0"/>
              <w:rPr>
                <w:sz w:val="14"/>
                <w:szCs w:val="14"/>
                <w:color w:val="auto"/>
              </w:rPr>
            </w:pPr>
          </w:p>
        </w:tc>
      </w:tr>
      <w:tr>
        <w:trPr>
          <w:trHeight w:val="190"/>
        </w:trPr>
        <w:tc>
          <w:tcPr>
            <w:tcW w:w="1260" w:type="dxa"/>
            <w:vAlign w:val="bottom"/>
          </w:tcPr>
          <w:p>
            <w:pPr>
              <w:spacing w:after="0"/>
              <w:rPr>
                <w:sz w:val="16"/>
                <w:szCs w:val="16"/>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520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CEG</w:t>
            </w:r>
          </w:p>
        </w:tc>
        <w:tc>
          <w:tcPr>
            <w:tcW w:w="1260" w:type="dxa"/>
            <w:vAlign w:val="bottom"/>
          </w:tcPr>
          <w:p>
            <w:pPr>
              <w:spacing w:after="0"/>
              <w:rPr>
                <w:sz w:val="16"/>
                <w:szCs w:val="16"/>
                <w:color w:val="auto"/>
              </w:rPr>
            </w:pPr>
          </w:p>
        </w:tc>
      </w:tr>
      <w:tr>
        <w:trPr>
          <w:trHeight w:val="23"/>
        </w:trPr>
        <w:tc>
          <w:tcPr>
            <w:tcW w:w="126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4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Agua Caliente</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January 18, 2012</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$ 521,000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Alpine</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March 15, 2012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$ 157,000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Buckthorn Solar</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May 22, 2017</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$ 175,000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Chestnut Fund LLC</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July 31,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$ 217,000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CS4 Fund LLC</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November 29, 2018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$ 173,000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CVSR</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April 26, 2016</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$ 232,000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DG CS Holdco LLC</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November 2,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8"/>
              </w:rPr>
              <w:t>$1,821,000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October 28, 2021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$ 294,000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May 28,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$ 156,000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Oahu Solar</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28,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$ 217,000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June 30, 2023</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$ 256,000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SPP Projects</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Management Agreement, dated October 31, 2017</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$ 442,000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Utah Solar Portfolio</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Agreement, dated December 1,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$ 909,000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Waiawa</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May 28, 2021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$ 132,000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Wind</w:t>
            </w:r>
          </w:p>
        </w:tc>
        <w:tc>
          <w:tcPr>
            <w:tcW w:w="4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Black Rock</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30, 2020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$ 260,000</w:t>
            </w:r>
          </w:p>
        </w:tc>
        <w:tc>
          <w:tcPr>
            <w:tcW w:w="1260" w:type="dxa"/>
            <w:vAlign w:val="bottom"/>
          </w:tcPr>
          <w:p>
            <w:pPr>
              <w:spacing w:after="0"/>
              <w:rPr>
                <w:sz w:val="22"/>
                <w:szCs w:val="22"/>
                <w:color w:val="auto"/>
              </w:rPr>
            </w:pPr>
          </w:p>
        </w:tc>
      </w:tr>
      <w:tr>
        <w:trPr>
          <w:trHeight w:val="225"/>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Broken Bow</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1"/>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$ 251,000</w:t>
            </w:r>
          </w:p>
        </w:tc>
        <w:tc>
          <w:tcPr>
            <w:tcW w:w="1260" w:type="dxa"/>
            <w:vAlign w:val="bottom"/>
          </w:tcPr>
          <w:p>
            <w:pPr>
              <w:spacing w:after="0"/>
              <w:rPr>
                <w:sz w:val="20"/>
                <w:szCs w:val="20"/>
                <w:color w:val="auto"/>
              </w:rPr>
            </w:pPr>
          </w:p>
        </w:tc>
      </w:tr>
      <w:tr>
        <w:trPr>
          <w:trHeight w:val="231"/>
        </w:trPr>
        <w:tc>
          <w:tcPr>
            <w:tcW w:w="1260" w:type="dxa"/>
            <w:vAlign w:val="bottom"/>
          </w:tcPr>
          <w:p>
            <w:pPr>
              <w:spacing w:after="0"/>
              <w:rPr>
                <w:sz w:val="20"/>
                <w:szCs w:val="20"/>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Buffalo Bear</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w:t>
            </w:r>
          </w:p>
        </w:tc>
        <w:tc>
          <w:tcPr>
            <w:tcW w:w="8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126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15, 2011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$ 175,000</w:t>
            </w:r>
          </w:p>
        </w:tc>
        <w:tc>
          <w:tcPr>
            <w:tcW w:w="1260" w:type="dxa"/>
            <w:vAlign w:val="bottom"/>
          </w:tcPr>
          <w:p>
            <w:pPr>
              <w:spacing w:after="0"/>
              <w:rPr>
                <w:sz w:val="21"/>
                <w:szCs w:val="21"/>
                <w:color w:val="auto"/>
              </w:rPr>
            </w:pPr>
          </w:p>
        </w:tc>
      </w:tr>
      <w:tr>
        <w:trPr>
          <w:trHeight w:val="225"/>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Cedro Hill</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and Administration Agreement, dated March 10,</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1"/>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$ 188,000</w:t>
            </w:r>
          </w:p>
        </w:tc>
        <w:tc>
          <w:tcPr>
            <w:tcW w:w="1260" w:type="dxa"/>
            <w:vAlign w:val="bottom"/>
          </w:tcPr>
          <w:p>
            <w:pPr>
              <w:spacing w:after="0"/>
              <w:rPr>
                <w:sz w:val="20"/>
                <w:szCs w:val="20"/>
                <w:color w:val="auto"/>
              </w:rPr>
            </w:pPr>
          </w:p>
        </w:tc>
      </w:tr>
      <w:tr>
        <w:trPr>
          <w:trHeight w:val="231"/>
        </w:trPr>
        <w:tc>
          <w:tcPr>
            <w:tcW w:w="1260" w:type="dxa"/>
            <w:vAlign w:val="bottom"/>
          </w:tcPr>
          <w:p>
            <w:pPr>
              <w:spacing w:after="0"/>
              <w:rPr>
                <w:sz w:val="20"/>
                <w:szCs w:val="20"/>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Crofton Bluffs</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w:t>
            </w:r>
          </w:p>
        </w:tc>
        <w:tc>
          <w:tcPr>
            <w:tcW w:w="8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126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$ 251,000</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Elbow Creek</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January 1, 2018</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$ 264,000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Forward</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$ 223,000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Langford</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24,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$ 160,000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Laredo Ridge</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 Services Agreement, dated May 27, 2010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$ 180,000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Lighthouse Renewable</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Services Agreement, dated December 17,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$ 217,000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Lookout</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$ 223,000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Mesquite Sky</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December 30,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$ 331,000</w:t>
            </w:r>
          </w:p>
        </w:tc>
        <w:tc>
          <w:tcPr>
            <w:tcW w:w="1260" w:type="dxa"/>
            <w:vAlign w:val="bottom"/>
          </w:tcPr>
          <w:p>
            <w:pPr>
              <w:spacing w:after="0"/>
              <w:rPr>
                <w:sz w:val="22"/>
                <w:szCs w:val="22"/>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Mesquite Star</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May 7, 2019</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$ 296,000</w:t>
            </w:r>
          </w:p>
        </w:tc>
        <w:tc>
          <w:tcPr>
            <w:tcW w:w="1260" w:type="dxa"/>
            <w:vAlign w:val="bottom"/>
          </w:tcPr>
          <w:p>
            <w:pPr>
              <w:spacing w:after="0"/>
              <w:rPr>
                <w:sz w:val="22"/>
                <w:szCs w:val="22"/>
                <w:color w:val="auto"/>
              </w:rPr>
            </w:pPr>
          </w:p>
        </w:tc>
      </w:tr>
      <w:tr>
        <w:trPr>
          <w:trHeight w:val="225"/>
        </w:trPr>
        <w:tc>
          <w:tcPr>
            <w:tcW w:w="126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Mountain Wind 1</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w:t>
            </w:r>
          </w:p>
        </w:tc>
        <w:tc>
          <w:tcPr>
            <w:tcW w:w="8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1"/>
        </w:trPr>
        <w:tc>
          <w:tcPr>
            <w:tcW w:w="1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$ 231,000</w:t>
            </w:r>
          </w:p>
        </w:tc>
        <w:tc>
          <w:tcPr>
            <w:tcW w:w="1260" w:type="dxa"/>
            <w:vAlign w:val="bottom"/>
          </w:tcPr>
          <w:p>
            <w:pPr>
              <w:spacing w:after="0"/>
              <w:rPr>
                <w:sz w:val="20"/>
                <w:szCs w:val="20"/>
                <w:color w:val="auto"/>
              </w:rPr>
            </w:pPr>
          </w:p>
        </w:tc>
      </w:tr>
      <w:tr>
        <w:trPr>
          <w:trHeight w:val="231"/>
        </w:trPr>
        <w:tc>
          <w:tcPr>
            <w:tcW w:w="1260" w:type="dxa"/>
            <w:vAlign w:val="bottom"/>
          </w:tcPr>
          <w:p>
            <w:pPr>
              <w:spacing w:after="0"/>
              <w:rPr>
                <w:sz w:val="20"/>
                <w:szCs w:val="20"/>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Mountain Wind 2</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 February 13,</w:t>
            </w:r>
          </w:p>
        </w:tc>
        <w:tc>
          <w:tcPr>
            <w:tcW w:w="82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126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2012</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$ 251,000</w:t>
            </w:r>
          </w:p>
        </w:tc>
        <w:tc>
          <w:tcPr>
            <w:tcW w:w="1260" w:type="dxa"/>
            <w:vAlign w:val="bottom"/>
          </w:tcPr>
          <w:p>
            <w:pPr>
              <w:spacing w:after="0"/>
              <w:rPr>
                <w:sz w:val="21"/>
                <w:szCs w:val="21"/>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Mt. Storm</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April 23,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$ 217,000</w:t>
            </w:r>
          </w:p>
        </w:tc>
        <w:tc>
          <w:tcPr>
            <w:tcW w:w="1260" w:type="dxa"/>
            <w:vAlign w:val="bottom"/>
          </w:tcPr>
          <w:p>
            <w:pPr>
              <w:spacing w:after="0"/>
              <w:rPr>
                <w:sz w:val="22"/>
                <w:szCs w:val="22"/>
                <w:color w:val="auto"/>
              </w:rPr>
            </w:pPr>
          </w:p>
        </w:tc>
      </w:tr>
      <w:tr>
        <w:trPr>
          <w:trHeight w:val="225"/>
        </w:trPr>
        <w:tc>
          <w:tcPr>
            <w:tcW w:w="126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Pinnacle</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Amended and Restated Services Agreement, dated</w:t>
            </w:r>
          </w:p>
        </w:tc>
        <w:tc>
          <w:tcPr>
            <w:tcW w:w="820" w:type="dxa"/>
            <w:vAlign w:val="bottom"/>
            <w:shd w:val="clear" w:color="auto" w:fill="CCEEFF"/>
          </w:tcPr>
          <w:p>
            <w:pPr>
              <w:spacing w:after="0"/>
              <w:rPr>
                <w:sz w:val="19"/>
                <w:szCs w:val="19"/>
                <w:color w:val="auto"/>
              </w:rPr>
            </w:pPr>
          </w:p>
        </w:tc>
        <w:tc>
          <w:tcPr>
            <w:tcW w:w="1260" w:type="dxa"/>
            <w:vAlign w:val="bottom"/>
          </w:tcPr>
          <w:p>
            <w:pPr>
              <w:spacing w:after="0"/>
              <w:rPr>
                <w:sz w:val="19"/>
                <w:szCs w:val="19"/>
                <w:color w:val="auto"/>
              </w:rPr>
            </w:pPr>
          </w:p>
        </w:tc>
      </w:tr>
      <w:tr>
        <w:trPr>
          <w:trHeight w:val="248"/>
        </w:trPr>
        <w:tc>
          <w:tcPr>
            <w:tcW w:w="126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15, 2011</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$ 231,000</w:t>
            </w:r>
          </w:p>
        </w:tc>
        <w:tc>
          <w:tcPr>
            <w:tcW w:w="1260" w:type="dxa"/>
            <w:vAlign w:val="bottom"/>
          </w:tcPr>
          <w:p>
            <w:pPr>
              <w:spacing w:after="0"/>
              <w:rPr>
                <w:sz w:val="21"/>
                <w:szCs w:val="21"/>
                <w:color w:val="auto"/>
              </w:rPr>
            </w:pPr>
          </w:p>
        </w:tc>
      </w:tr>
      <w:tr>
        <w:trPr>
          <w:trHeight w:val="256"/>
        </w:trPr>
        <w:tc>
          <w:tcPr>
            <w:tcW w:w="1260" w:type="dxa"/>
            <w:vAlign w:val="bottom"/>
          </w:tcPr>
          <w:p>
            <w:pPr>
              <w:spacing w:after="0"/>
              <w:rPr>
                <w:sz w:val="22"/>
                <w:szCs w:val="22"/>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Rattlesnake</w:t>
            </w: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 Administration Agreement, dated February 5,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$ 128,000</w:t>
            </w:r>
          </w:p>
        </w:tc>
        <w:tc>
          <w:tcPr>
            <w:tcW w:w="1260" w:type="dxa"/>
            <w:vAlign w:val="bottom"/>
          </w:tcPr>
          <w:p>
            <w:pPr>
              <w:spacing w:after="0"/>
              <w:rPr>
                <w:sz w:val="22"/>
                <w:szCs w:val="22"/>
                <w:color w:val="auto"/>
              </w:rPr>
            </w:pPr>
          </w:p>
        </w:tc>
      </w:tr>
      <w:tr>
        <w:trPr>
          <w:trHeight w:val="257"/>
        </w:trPr>
        <w:tc>
          <w:tcPr>
            <w:tcW w:w="1260" w:type="dxa"/>
            <w:vAlign w:val="bottom"/>
          </w:tcPr>
          <w:p>
            <w:pPr>
              <w:spacing w:after="0"/>
              <w:rPr>
                <w:sz w:val="22"/>
                <w:szCs w:val="22"/>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Sleeping Bear</w:t>
            </w: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$ 223,000</w:t>
            </w:r>
          </w:p>
        </w:tc>
        <w:tc>
          <w:tcPr>
            <w:tcW w:w="1260" w:type="dxa"/>
            <w:vAlign w:val="bottom"/>
          </w:tcPr>
          <w:p>
            <w:pPr>
              <w:spacing w:after="0"/>
              <w:rPr>
                <w:sz w:val="22"/>
                <w:szCs w:val="22"/>
                <w:color w:val="auto"/>
              </w:rPr>
            </w:pPr>
          </w:p>
        </w:tc>
      </w:tr>
      <w:tr>
        <w:trPr>
          <w:trHeight w:val="621"/>
        </w:trPr>
        <w:tc>
          <w:tcPr>
            <w:tcW w:w="1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-7328535</wp:posOffset>
            </wp:positionV>
            <wp:extent cx="137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-7328535</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62"/>
        </w:trPr>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162"/>
        </w:trPr>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90"/>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220" w:type="dxa"/>
            <w:vAlign w:val="bottom"/>
          </w:tcPr>
          <w:p>
            <w:pPr>
              <w:spacing w:after="0"/>
              <w:rPr>
                <w:sz w:val="16"/>
                <w:szCs w:val="16"/>
                <w:color w:val="auto"/>
              </w:rPr>
            </w:pPr>
          </w:p>
        </w:tc>
        <w:tc>
          <w:tcPr>
            <w:tcW w:w="518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CEG</w:t>
            </w:r>
          </w:p>
        </w:tc>
      </w:tr>
      <w:tr>
        <w:trPr>
          <w:trHeight w:val="23"/>
        </w:trPr>
        <w:tc>
          <w:tcPr>
            <w:tcW w:w="1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South Trent</w:t>
            </w:r>
          </w:p>
        </w:tc>
        <w:tc>
          <w:tcPr>
            <w:tcW w:w="54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Administration Agreement, dated October 1, 2015</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$ 174,000</w:t>
            </w: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Spanish Fork</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Services Agreement, dated January 1, 2012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$ 223,000</w:t>
            </w:r>
          </w:p>
        </w:tc>
      </w:tr>
      <w:tr>
        <w:trPr>
          <w:trHeight w:val="256"/>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Taloga</w:t>
            </w:r>
          </w:p>
        </w:tc>
        <w:tc>
          <w:tcPr>
            <w:tcW w:w="54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 Agreement, dated November 20, 2012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$ 190,000</w:t>
            </w:r>
          </w:p>
        </w:tc>
      </w:tr>
      <w:tr>
        <w:trPr>
          <w:trHeight w:val="257"/>
        </w:trPr>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Viento Funding II, LLC</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Management and Administration Agreement, dated July 1, 2013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$ 269,000</w:t>
            </w:r>
          </w:p>
        </w:tc>
      </w:tr>
      <w:tr>
        <w:trPr>
          <w:trHeight w:val="257"/>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Wildorado</w:t>
            </w:r>
          </w:p>
        </w:tc>
        <w:tc>
          <w:tcPr>
            <w:tcW w:w="54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Project Administration Agreement, dated September 25, 2017</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$ 270,000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-822325</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2059940</wp:posOffset>
            </wp:positionH>
            <wp:positionV relativeFrom="paragraph">
              <wp:posOffset>-822325</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LAND LEASE AGREEMENTS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land lease agreements with CEG. The land lease agreements for which the amount involved exceeded $120,000 during the year ended December 31, 2023 are described in the table below. Under these agreements, the Company generally pays a quarterly or monthly fee, which may be subject to annual adjustment.</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2"/>
        </w:trPr>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90"/>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Project</w:t>
            </w:r>
          </w:p>
        </w:tc>
        <w:tc>
          <w:tcPr>
            <w:tcW w:w="220" w:type="dxa"/>
            <w:vAlign w:val="bottom"/>
          </w:tcPr>
          <w:p>
            <w:pPr>
              <w:spacing w:after="0"/>
              <w:rPr>
                <w:sz w:val="16"/>
                <w:szCs w:val="16"/>
                <w:color w:val="auto"/>
              </w:rPr>
            </w:pPr>
          </w:p>
        </w:tc>
        <w:tc>
          <w:tcPr>
            <w:tcW w:w="440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Agreement Description</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CEG</w:t>
            </w:r>
          </w:p>
        </w:tc>
      </w:tr>
      <w:tr>
        <w:trPr>
          <w:trHeight w:val="23"/>
        </w:trPr>
        <w:tc>
          <w:tcPr>
            <w:tcW w:w="2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Solar</w:t>
            </w:r>
          </w:p>
        </w:tc>
        <w:tc>
          <w:tcPr>
            <w:tcW w:w="220" w:type="dxa"/>
            <w:vAlign w:val="bottom"/>
            <w:shd w:val="clear" w:color="auto" w:fill="CCEEFF"/>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Daggett 2</w:t>
            </w: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October 27, 2021</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$ 493,000</w:t>
            </w:r>
          </w:p>
        </w:tc>
      </w:tr>
      <w:tr>
        <w:trPr>
          <w:trHeight w:val="25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Daggett 3</w:t>
            </w:r>
          </w:p>
        </w:tc>
        <w:tc>
          <w:tcPr>
            <w:tcW w:w="4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Lease Agreement, dated December 18, 2020</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$1,609,000</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Mililani I</w:t>
            </w: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November 18,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$ 796,000</w:t>
            </w:r>
          </w:p>
        </w:tc>
      </w:tr>
      <w:tr>
        <w:trPr>
          <w:trHeight w:val="27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Oahu Solar</w:t>
            </w:r>
          </w:p>
        </w:tc>
        <w:tc>
          <w:tcPr>
            <w:tcW w:w="4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 Lease Agreement, dated September 19, 2019</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$ 908,000</w:t>
            </w:r>
          </w:p>
        </w:tc>
      </w:t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Rosamond Central</w:t>
            </w:r>
          </w:p>
        </w:tc>
        <w:tc>
          <w:tcPr>
            <w:tcW w:w="46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Land Lease Agreement, dated November 18, 2020</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$ 566,000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-1002665</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2557145</wp:posOffset>
            </wp:positionH>
            <wp:positionV relativeFrom="paragraph">
              <wp:posOffset>-1002665</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DEVELOPMENT COLLABORATION AGREEMENT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On February 9, 2024, the Company entered into a Development Collaboration Agreement with Clearway Renew (the “Collaboration Agreement”), pursuant to which, among other things, the Company procures substitute resource adequacy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projects (the “BESS Project Companies”), in each case pursuant to separate, five-year purchase agreements (the “RA Agreements”). In addition, pursuant to the Collaboration Agreement, Clearway Renew has offered the Company a right of first offer to acquire an ownership interest in the BESS Project Companies or certain of Clearway Renew’s BESS facilities. Under the Collaboration Agreement and the RA Agreements, the BESS Project Companies will post approximately $287,000 of security to the Company in 2024 to guarantee the financial obligations of the BESS Project Companies. The value of such security may increase in the future if certain milestones are met.</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INSURANCE REIMBURSEMENTS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2023, we paid approximately $3,683,000 to CEG, consisting primarily of reimbursements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insurance premiums and employee-related benefits that CEG paid on our behalf. We also received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$3,466,000 from CEG, consisting primarily of employee-related expenses that we paid on behalf of CEG.</w:t>
      </w:r>
    </w:p>
    <w:p>
      <w:pPr>
        <w:spacing w:after="0" w:line="13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During 2023, we also paid approximately $6,470,000 in annual property insurance premiums to TotalEnergies’ captive insurance affiliate. We also paid approximately $449,000 to Global Infrastructure Management, LLC (“GIM”), the manager of GIP, as reimbursement for professional fees that GIM incurred on our behalf.</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359"/>
        <w:spacing w:after="0" w:line="286" w:lineRule="auto"/>
        <w:rPr>
          <w:sz w:val="20"/>
          <w:szCs w:val="20"/>
          <w:color w:val="auto"/>
        </w:rPr>
      </w:pPr>
      <w:r>
        <w:rPr>
          <w:rFonts w:ascii="Times New Roman" w:cs="Times New Roman" w:eastAsia="Times New Roman" w:hAnsi="Times New Roman"/>
          <w:sz w:val="18"/>
          <w:szCs w:val="18"/>
          <w:b w:val="1"/>
          <w:bCs w:val="1"/>
          <w:color w:val="auto"/>
        </w:rPr>
        <w:t>FOURTH AMENDED AND RESTATED LIMITED LIABILITY COMPANY AGREEMENT OF CLEARWAY ENERGY LLC</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Clearway Energy LLC’s Fourth Amended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Restated Limited Liability Company Agreement (the “LLC Agreement”). For the year ended December 31,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2023, Clearway Energy LLC made approximately $180,354,000 in distributions to us (the holder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Class A and Class C units) and $131,169,000 to CEG (the holder of Class B and Class D units). In addition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quarterly distributions, Clearway Energy LLC distributed an additional $29,403,000 to us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$21,413,000 to CEG during the year ended December 31, 2023 in order for us to make certain additional tax</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payments associated with the sale of the Thermal Business.</w:t>
      </w:r>
    </w:p>
    <w:p>
      <w:pPr>
        <w:spacing w:after="0" w:line="2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serve as the sole managing member of Clearway Energy LLC. As such, we and effectively our Board, control the business and affairs of Clearway Energy LLC and are responsible for the management of its business.</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Clearway Energy LLC has four classes of Units: Class A units, Class B units, Class C units and Class D units. Class A units and Class C units may be issued only to us as the sole managing member, and 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w:t>
      </w:r>
    </w:p>
    <w:p>
      <w:pPr>
        <w:spacing w:after="0" w:line="121" w:lineRule="exact"/>
        <w:rPr>
          <w:sz w:val="20"/>
          <w:szCs w:val="20"/>
          <w:color w:val="auto"/>
        </w:rPr>
      </w:pPr>
    </w:p>
    <w:p>
      <w:pPr>
        <w:ind w:left="1260" w:right="459" w:firstLine="360"/>
        <w:spacing w:after="0" w:line="259" w:lineRule="auto"/>
        <w:rPr>
          <w:sz w:val="20"/>
          <w:szCs w:val="20"/>
          <w:color w:val="auto"/>
        </w:rPr>
      </w:pPr>
      <w:r>
        <w:rPr>
          <w:rFonts w:ascii="Times New Roman" w:cs="Times New Roman" w:eastAsia="Times New Roman" w:hAnsi="Times New Roman"/>
          <w:sz w:val="18"/>
          <w:szCs w:val="18"/>
          <w:color w:val="auto"/>
        </w:rPr>
        <w:t>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w:t>
      </w:r>
    </w:p>
    <w:p>
      <w:pPr>
        <w:spacing w:after="0" w:line="3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Coordination with Clearway Energy LLC</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Any time we issue a share of Class A common stock or a share of our Class C common stock for cash, the net proceeds therefrom will promptly be transferred to Clearway Energy LLC, and Clearway Energy LLC will either:</w:t>
      </w:r>
    </w:p>
    <w:p>
      <w:pPr>
        <w:spacing w:after="0" w:line="68" w:lineRule="exact"/>
        <w:rPr>
          <w:sz w:val="20"/>
          <w:szCs w:val="20"/>
          <w:color w:val="auto"/>
        </w:rPr>
      </w:pPr>
    </w:p>
    <w:p>
      <w:pPr>
        <w:ind w:left="1800" w:right="47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 newly issued Class A unit of Clearway Energy LLC to us in the case of the issuance of a share of Class A common stock, or a newly issued Class C unit of Clearway Energy LLC to us in the case of the issuance of a share of Class C common stock;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w:t>
      </w:r>
    </w:p>
    <w:p>
      <w:pPr>
        <w:spacing w:after="0" w:line="10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a party to an Amended and Restated Exchange Agreement with CEG (the “Exchange Agreement”). Under the Exchange Agreement, CEG (and certain permitted assignees and permitted transferees who acquire Class B units or Class D units of Clearway Energy LLC)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w:t>
      </w:r>
    </w:p>
    <w:p>
      <w:pPr>
        <w:spacing w:after="0" w:line="12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When CEG or its permitted transferee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CEG or its permitted transferee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holder exchanges its Class B units for shares of our Class A common stock, or its Class D units for shares of our Class C common stock, our interest in Clearway Energy LLC will be correspondingly increased.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OFFICERS</w:t>
      </w:r>
    </w:p>
    <w:p>
      <w:pPr>
        <w:spacing w:after="0" w:line="148"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The indemnification agreements provide the executive officers with contractual rights to indemnification, expense advancement and reimbursement to the fullest extent permitted under Delaware law.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62" w:lineRule="exact"/>
        <w:rPr>
          <w:sz w:val="20"/>
          <w:szCs w:val="20"/>
          <w:color w:val="auto"/>
        </w:rPr>
      </w:pPr>
    </w:p>
    <w:p>
      <w:pPr>
        <w:ind w:left="1260" w:right="699" w:firstLine="360"/>
        <w:spacing w:after="0" w:line="256" w:lineRule="auto"/>
        <w:rPr>
          <w:sz w:val="20"/>
          <w:szCs w:val="20"/>
          <w:color w:val="auto"/>
        </w:rPr>
      </w:pPr>
      <w:r>
        <w:rPr>
          <w:rFonts w:ascii="Times New Roman" w:cs="Times New Roman" w:eastAsia="Times New Roman" w:hAnsi="Times New Roman"/>
          <w:sz w:val="18"/>
          <w:szCs w:val="18"/>
          <w:color w:val="auto"/>
        </w:rPr>
        <w:t>We are a party to an Amended and Restated Registration Rights Agreement with CEG (the “Registration Rights Agreement”).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w:t>
      </w:r>
    </w:p>
    <w:p>
      <w:pPr>
        <w:spacing w:after="0" w:line="183" w:lineRule="exact"/>
        <w:rPr>
          <w:sz w:val="20"/>
          <w:szCs w:val="20"/>
          <w:color w:val="auto"/>
        </w:rPr>
      </w:pPr>
    </w:p>
    <w:p>
      <w:pPr>
        <w:ind w:left="1260" w:right="1579"/>
        <w:spacing w:after="0" w:line="286" w:lineRule="auto"/>
        <w:rPr>
          <w:sz w:val="20"/>
          <w:szCs w:val="20"/>
          <w:color w:val="auto"/>
        </w:rPr>
      </w:pPr>
      <w:r>
        <w:rPr>
          <w:rFonts w:ascii="Times New Roman" w:cs="Times New Roman" w:eastAsia="Times New Roman" w:hAnsi="Times New Roman"/>
          <w:sz w:val="18"/>
          <w:szCs w:val="18"/>
          <w:b w:val="1"/>
          <w:bCs w:val="1"/>
          <w:color w:val="auto"/>
        </w:rPr>
        <w:t>PROCEDURES FOR REVIEW, APPROVAL AND RATIFICATION OF RELATED PERSON TRANSACTIONS; CONFLICTS OF INTEREST</w:t>
      </w:r>
    </w:p>
    <w:p>
      <w:pPr>
        <w:spacing w:after="0" w:line="9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w:t>
      </w:r>
    </w:p>
    <w:p>
      <w:pPr>
        <w:spacing w:after="0" w:line="10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Related Person Policy operates in conjunction with our Code of Conduct and is applicable to all “Related Person Transactions”, which are all transactions, arrangements or relationships in which:</w:t>
      </w:r>
    </w:p>
    <w:p>
      <w:pPr>
        <w:spacing w:after="0" w:line="54"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involved will or may be expected to exceed $50,000 in any calendar year;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participant;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Person (as that term is defined below) has or will have a direct or indirect interest.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“Related Person” is:</w:t>
      </w:r>
    </w:p>
    <w:p>
      <w:pPr>
        <w:spacing w:after="0" w:line="117" w:lineRule="exact"/>
        <w:rPr>
          <w:sz w:val="20"/>
          <w:szCs w:val="20"/>
          <w:color w:val="auto"/>
        </w:rPr>
      </w:pPr>
    </w:p>
    <w:p>
      <w:pPr>
        <w:ind w:left="1800" w:right="6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a director of the Company or a nominee for director or an executive officer;</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the Company to be the beneficial owner of more than 5% of any class of the Company’s voting stock;</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w:t>
      </w:r>
    </w:p>
    <w:p>
      <w:pPr>
        <w:spacing w:after="0" w:line="79"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w:t>
      </w:r>
    </w:p>
    <w:p>
      <w:pPr>
        <w:spacing w:after="0" w:line="343"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If the aggregate amount involved is expected to be less than $500,000, the transaction may be approved or ratified by the Chair of the Corporate Governance, Conflicts and Nominating Committee.</w:t>
      </w:r>
    </w:p>
    <w:p>
      <w:pPr>
        <w:spacing w:after="0" w:line="8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w:t>
      </w:r>
    </w:p>
    <w:p>
      <w:pPr>
        <w:spacing w:after="0" w:line="121"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w:t>
      </w:r>
    </w:p>
    <w:p>
      <w:pPr>
        <w:spacing w:after="0" w:line="10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0" w:type="dxa"/>
            <w:vAlign w:val="bottom"/>
            <w:gridSpan w:val="1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6"/>
              </w:rPr>
              <w:t>EXECUTIVE COMPENSATION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0"/>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6"/>
              </w:rPr>
              <w:t>COMPENSATION DISCUSSION &amp; ANALYSIS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40" w:type="dxa"/>
            <w:vAlign w:val="bottom"/>
            <w:gridSpan w:val="13"/>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5"/>
              </w:rPr>
              <w:t>TABLE OF CONTENTS</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2040" w:type="dxa"/>
            <w:vAlign w:val="bottom"/>
            <w:tcBorders>
              <w:bottom w:val="single" w:sz="8" w:color="0000EE"/>
            </w:tcBorders>
            <w:gridSpan w:val="6"/>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EXECUTIVE SUMMARY</w:t>
            </w:r>
          </w:p>
        </w:tc>
        <w:tc>
          <w:tcPr>
            <w:tcW w:w="4900" w:type="dxa"/>
            <w:vAlign w:val="bottom"/>
            <w:tcBorders>
              <w:bottom w:val="single" w:sz="8" w:color="CCEEFF"/>
            </w:tcBorders>
            <w:gridSpan w:val="21"/>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0000EE"/>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w w:val="88"/>
              </w:rPr>
              <w:t>42</w:t>
            </w:r>
          </w:p>
        </w:tc>
      </w:tr>
      <w:tr>
        <w:trPr>
          <w:trHeight w:val="216"/>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EXECUTIVE COMPENSATION PROGRAM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42</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KEY GOVERNANCE FEATURES OF OUR EXECUTIVE COMPENSATION PROGRAM</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r>
        <w:trPr>
          <w:trHeight w:val="229"/>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BUSINESS STRATEGY AND COMPANY PERFORMANCE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43</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 PROGRAM</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r>
      <w:tr>
        <w:trPr>
          <w:trHeight w:val="229"/>
        </w:trPr>
        <w:tc>
          <w:tcPr>
            <w:tcW w:w="34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2023 NAMED EXECUTIVE OFFICERS</w:t>
            </w:r>
          </w:p>
        </w:tc>
        <w:tc>
          <w:tcPr>
            <w:tcW w:w="3460" w:type="dxa"/>
            <w:vAlign w:val="bottom"/>
            <w:tcBorders>
              <w:top w:val="single" w:sz="8" w:color="CCEEFF"/>
            </w:tcBorders>
            <w:gridSpan w:val="11"/>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GOALS AND OBJECTIVES OF THE PROGRAM</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r>
      <w:tr>
        <w:trPr>
          <w:trHeight w:val="229"/>
        </w:trPr>
        <w:tc>
          <w:tcPr>
            <w:tcW w:w="38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THE COMPENSATION PROCESS</w:t>
            </w:r>
          </w:p>
        </w:tc>
        <w:tc>
          <w:tcPr>
            <w:tcW w:w="3080" w:type="dxa"/>
            <w:vAlign w:val="bottom"/>
            <w:tcBorders>
              <w:top w:val="single" w:sz="8" w:color="CCEEFF"/>
            </w:tcBorders>
            <w:gridSpan w:val="7"/>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44</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29"/>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CONSULTANT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r>
      <w:tr>
        <w:trPr>
          <w:trHeight w:val="21"/>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COMPENSATION PEER GROUP ANALYSIS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45</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27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ELEMENTS OF COMPENSATION</w:t>
            </w:r>
          </w:p>
        </w:tc>
        <w:tc>
          <w:tcPr>
            <w:tcW w:w="4200" w:type="dxa"/>
            <w:vAlign w:val="bottom"/>
            <w:tcBorders>
              <w:bottom w:val="single" w:sz="8" w:color="CCEEFF"/>
            </w:tcBorders>
            <w:gridSpan w:val="15"/>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45</w:t>
            </w:r>
          </w:p>
        </w:tc>
      </w:tr>
      <w:tr>
        <w:trPr>
          <w:trHeight w:val="229"/>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BASE SALARY</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45</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30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ANNUAL INCENTIVE COMPENSATION</w:t>
            </w:r>
          </w:p>
        </w:tc>
        <w:tc>
          <w:tcPr>
            <w:tcW w:w="3640" w:type="dxa"/>
            <w:vAlign w:val="bottom"/>
            <w:tcBorders>
              <w:bottom w:val="single" w:sz="8" w:color="CCEEFF"/>
            </w:tcBorders>
            <w:gridSpan w:val="12"/>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r>
      <w:tr>
        <w:trPr>
          <w:trHeight w:val="229"/>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LONG-TERM INCENTIVE COMPENSATION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48</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CLAWBACKS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50</w:t>
            </w:r>
          </w:p>
        </w:tc>
      </w:tr>
      <w:tr>
        <w:trPr>
          <w:trHeight w:val="229"/>
        </w:trPr>
        <w:tc>
          <w:tcPr>
            <w:tcW w:w="1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BENEFITS</w:t>
            </w:r>
          </w:p>
        </w:tc>
        <w:tc>
          <w:tcPr>
            <w:tcW w:w="5800" w:type="dxa"/>
            <w:vAlign w:val="bottom"/>
            <w:tcBorders>
              <w:top w:val="single" w:sz="8" w:color="CCEEFF"/>
            </w:tcBorders>
            <w:gridSpan w:val="25"/>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50</w:t>
            </w:r>
          </w:p>
        </w:tc>
      </w:tr>
      <w:tr>
        <w:trPr>
          <w:trHeight w:val="21"/>
        </w:trPr>
        <w:tc>
          <w:tcPr>
            <w:tcW w:w="8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SEVERANCE AND CHANGE-IN-CONTROL BENEFITS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50</w:t>
            </w:r>
          </w:p>
        </w:tc>
      </w:tr>
      <w:tr>
        <w:trPr>
          <w:trHeight w:val="230"/>
        </w:trPr>
        <w:tc>
          <w:tcPr>
            <w:tcW w:w="554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1400" w:type="dxa"/>
            <w:vAlign w:val="bottom"/>
            <w:tcBorders>
              <w:top w:val="single" w:sz="8" w:color="CCEEFF"/>
            </w:tcBorders>
            <w:gridSpan w:val="5"/>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OWNERSHIP GUIDELINES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51</w:t>
            </w:r>
          </w:p>
        </w:tc>
      </w:tr>
      <w:tr>
        <w:trPr>
          <w:trHeight w:val="20"/>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TAX AND ACCOUNTING CONSIDERATIONS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51</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30"/>
        </w:trPr>
        <w:tc>
          <w:tcPr>
            <w:tcW w:w="694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TABLES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52</w:t>
            </w:r>
          </w:p>
        </w:tc>
      </w:tr>
      <w:tr>
        <w:trPr>
          <w:trHeight w:val="20"/>
        </w:trPr>
        <w:tc>
          <w:tcPr>
            <w:tcW w:w="8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EMPLOYMENT AGREEMENTS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55</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3560" w:type="dxa"/>
            <w:vAlign w:val="bottom"/>
            <w:tcBorders>
              <w:bottom w:val="single" w:sz="8" w:color="0000EE"/>
            </w:tcBorders>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SEVERANCE AND CHANGE-IN-CONTROL</w:t>
            </w:r>
          </w:p>
        </w:tc>
        <w:tc>
          <w:tcPr>
            <w:tcW w:w="3380" w:type="dxa"/>
            <w:vAlign w:val="bottom"/>
            <w:tcBorders>
              <w:bottom w:val="single" w:sz="8" w:color="CCEEFF"/>
            </w:tcBorders>
            <w:gridSpan w:val="10"/>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56</w:t>
            </w:r>
          </w:p>
        </w:tc>
      </w:tr>
      <w:tr>
        <w:trPr>
          <w:trHeight w:val="230"/>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DEFINITION OF CHANGE-IN-CONTROL, ETC.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58</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24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CHANGE-IN-CONTROL</w:t>
            </w:r>
          </w:p>
        </w:tc>
        <w:tc>
          <w:tcPr>
            <w:tcW w:w="700" w:type="dxa"/>
            <w:vAlign w:val="bottom"/>
            <w:tcBorders>
              <w:bottom w:val="single" w:sz="8" w:color="CCEEFF"/>
            </w:tcBorders>
            <w:gridSpan w:val="3"/>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59</w:t>
            </w:r>
          </w:p>
        </w:tc>
      </w:tr>
      <w:tr>
        <w:trPr>
          <w:trHeight w:val="230"/>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CEO PAY RATIO</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60</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622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COMPENSATION COMMITTEE REPORT ON EXECUTIVE COMPENSATION</w:t>
            </w:r>
          </w:p>
        </w:tc>
        <w:tc>
          <w:tcPr>
            <w:tcW w:w="720" w:type="dxa"/>
            <w:vAlign w:val="bottom"/>
            <w:tcBorders>
              <w:bottom w:val="single" w:sz="8" w:color="CCEEFF"/>
            </w:tcBorders>
            <w:gridSpan w:val="4"/>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60</w:t>
            </w:r>
          </w:p>
        </w:tc>
      </w:tr>
      <w:tr>
        <w:trPr>
          <w:trHeight w:val="230"/>
        </w:trPr>
        <w:tc>
          <w:tcPr>
            <w:tcW w:w="694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60</w:t>
            </w:r>
          </w:p>
        </w:tc>
      </w:tr>
      <w:tr>
        <w:trPr>
          <w:trHeight w:val="20"/>
        </w:trPr>
        <w:tc>
          <w:tcPr>
            <w:tcW w:w="8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r>
      <w:tr>
        <w:trPr>
          <w:trHeight w:val="250"/>
        </w:trPr>
        <w:tc>
          <w:tcPr>
            <w:tcW w:w="2520" w:type="dxa"/>
            <w:vAlign w:val="bottom"/>
            <w:tcBorders>
              <w:bottom w:val="single" w:sz="8" w:color="0000EE"/>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4420" w:type="dxa"/>
            <w:vAlign w:val="bottom"/>
            <w:tcBorders>
              <w:bottom w:val="single" w:sz="8" w:color="CCEEFF"/>
            </w:tcBorders>
            <w:gridSpan w:val="19"/>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61</w:t>
            </w:r>
          </w:p>
        </w:tc>
      </w:tr>
      <w:tr>
        <w:trPr>
          <w:trHeight w:val="230"/>
        </w:trPr>
        <w:tc>
          <w:tcPr>
            <w:tcW w:w="674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TABULER LIST OF MOST IMPORTANT FINANCIAL PERFORMANCE MEASURES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16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Clearway is a publicly-traded energy infrastructure investor and owner of modern, sustainable and long-term contracted assets across North America. The Company is sponsored by GIP and TotalEnergies through the portfolio company, CEG, and, together, GIP and TotalEnergies hold all of the Company’s Class B common stock and Class D common stock and thus collectively have the majority voting interest in the Company. This Compensation Discussion and Analysis (this “CD&amp;A”) describes the philosophy, elements, implementation, and results of our 2023 executive compensation program as it applies to the executive team.</w:t>
      </w:r>
    </w:p>
    <w:p>
      <w:pPr>
        <w:spacing w:after="0" w:line="325"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Committee’s objectives are to design a simple, yet competitive, executive compensation program, which is aligned with the interests of our stockholders. This program is designed to align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 -term incentives are comprised of 67% Relative Performance Stock Units (“RPSUs”), which vest based on relative TSR measured over three years and 33% Restricted Stock Units (“RSUs”), which vest based on continued service over three years. The program is intended to incorporate many best practices in compensation design, while being tailored to our business needs and compensation objectives.</w:t>
      </w:r>
    </w:p>
    <w:p>
      <w:pPr>
        <w:spacing w:after="0" w:line="32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2023, the Compensation Committee reviewed and did not modify its philosophy related to the compensation program. Thus, NEO compensation continued to be delivered through a mix of (i) base salary,</w:t>
      </w:r>
    </w:p>
    <w:p>
      <w:pPr>
        <w:ind w:left="1260" w:right="599"/>
        <w:spacing w:after="0" w:line="245" w:lineRule="auto"/>
        <w:tabs>
          <w:tab w:leader="none" w:pos="15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incentive bonus opportunity under the AIP and (iii) long-term incentive compensation under our LTIP in the form of RPSUs and RSUs.</w:t>
      </w:r>
    </w:p>
    <w:p>
      <w:pPr>
        <w:spacing w:after="0" w:line="113" w:lineRule="exact"/>
        <w:rPr>
          <w:sz w:val="20"/>
          <w:szCs w:val="20"/>
          <w:color w:val="auto"/>
        </w:rPr>
      </w:pPr>
    </w:p>
    <w:p>
      <w:pPr>
        <w:jc w:val="both"/>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At our 2023 Annual Meeting of Stockholders, we received approximately 98% support for our say on pay proposal. We believe these results demonstrate our stockholders support our pay practices and that our compensation program is aligned with their interests.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GOVERNANCE FEATURES OF OUR EXECUTIVE COMPENSATION PROGRAM</w:t>
      </w:r>
    </w:p>
    <w:p>
      <w:pPr>
        <w:spacing w:after="0" w:line="14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Our compensation program and practices incorporate several key governance features as highlighted in the table below.</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410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120" w:type="dxa"/>
            <w:vAlign w:val="bottom"/>
          </w:tcPr>
          <w:p>
            <w:pPr>
              <w:spacing w:after="0"/>
              <w:rPr>
                <w:sz w:val="16"/>
                <w:szCs w:val="16"/>
                <w:color w:val="auto"/>
              </w:rPr>
            </w:pPr>
          </w:p>
        </w:tc>
        <w:tc>
          <w:tcPr>
            <w:tcW w:w="386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Pay for performance by delivering a substantial</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excise tax gross-ups on change-in-control</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majority of our President and CEO’s</w:t>
            </w:r>
          </w:p>
        </w:tc>
        <w:tc>
          <w:tcPr>
            <w:tcW w:w="12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payments and no tax gross-ups on perquisites or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compensation through equity</w:t>
            </w:r>
          </w:p>
        </w:tc>
        <w:tc>
          <w:tcPr>
            <w:tcW w:w="12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benefits</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large majority of our equity compensation for</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pledging or hedging of the Company’s stock</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Senior Vice Presidents and above is performance-</w:t>
            </w:r>
          </w:p>
        </w:tc>
        <w:tc>
          <w:tcPr>
            <w:tcW w:w="12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 NEOs or directors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based</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 employment agreements for executive officers</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3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our peer group median for total direct</w:t>
            </w:r>
          </w:p>
        </w:tc>
        <w:tc>
          <w:tcPr>
            <w:tcW w:w="12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with the exception of our President and CEO</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 guaranteed bonus payments for our NEOs</w:t>
            </w:r>
          </w:p>
        </w:tc>
        <w:tc>
          <w:tcPr>
            <w:tcW w:w="0" w:type="dxa"/>
            <w:vAlign w:val="bottom"/>
          </w:tcPr>
          <w:p>
            <w:pPr>
              <w:spacing w:after="0"/>
              <w:rPr>
                <w:sz w:val="1"/>
                <w:szCs w:val="1"/>
                <w:color w:val="auto"/>
              </w:rPr>
            </w:pPr>
          </w:p>
        </w:tc>
      </w:tr>
      <w:tr>
        <w:trPr>
          <w:trHeight w:val="135"/>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  Require a double trigger for the acceleration of</w:t>
            </w:r>
          </w:p>
        </w:tc>
        <w:tc>
          <w:tcPr>
            <w:tcW w:w="120" w:type="dxa"/>
            <w:vAlign w:val="bottom"/>
            <w:vMerge w:val="continue"/>
          </w:tcPr>
          <w:p>
            <w:pPr>
              <w:spacing w:after="0"/>
              <w:rPr>
                <w:sz w:val="11"/>
                <w:szCs w:val="11"/>
                <w:color w:val="auto"/>
              </w:rPr>
            </w:pPr>
          </w:p>
        </w:tc>
        <w:tc>
          <w:tcPr>
            <w:tcW w:w="3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220" w:type="dxa"/>
            <w:vAlign w:val="bottom"/>
            <w:gridSpan w:val="3"/>
            <w:vMerge w:val="continue"/>
          </w:tcPr>
          <w:p>
            <w:pPr>
              <w:spacing w:after="0"/>
              <w:rPr>
                <w:sz w:val="18"/>
                <w:szCs w:val="1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No supplemental executive retirement plans</w:t>
            </w: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4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equity vesting in connection with a change-in-</w:t>
            </w:r>
          </w:p>
        </w:tc>
        <w:tc>
          <w:tcPr>
            <w:tcW w:w="120" w:type="dxa"/>
            <w:vAlign w:val="bottom"/>
            <w:vMerge w:val="continue"/>
          </w:tcPr>
          <w:p>
            <w:pPr>
              <w:spacing w:after="0"/>
              <w:rPr>
                <w:sz w:val="9"/>
                <w:szCs w:val="9"/>
                <w:color w:val="auto"/>
              </w:rPr>
            </w:pPr>
          </w:p>
        </w:tc>
        <w:tc>
          <w:tcPr>
            <w:tcW w:w="3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4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control</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re-pricing of underwater stock options and no</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Prevent undue risk taking in our compensation</w:t>
            </w:r>
          </w:p>
        </w:tc>
        <w:tc>
          <w:tcPr>
            <w:tcW w:w="120" w:type="dxa"/>
            <w:vAlign w:val="bottom"/>
          </w:tcPr>
          <w:p>
            <w:pPr>
              <w:spacing w:after="0"/>
              <w:rPr>
                <w:sz w:val="18"/>
                <w:szCs w:val="18"/>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 option grants with an exercise price below</w:t>
            </w:r>
          </w:p>
        </w:tc>
        <w:tc>
          <w:tcPr>
            <w:tcW w:w="0" w:type="dxa"/>
            <w:vAlign w:val="bottom"/>
          </w:tcPr>
          <w:p>
            <w:pPr>
              <w:spacing w:after="0"/>
              <w:rPr>
                <w:sz w:val="1"/>
                <w:szCs w:val="1"/>
                <w:color w:val="auto"/>
              </w:rPr>
            </w:pPr>
          </w:p>
        </w:tc>
      </w:tr>
      <w:tr>
        <w:trPr>
          <w:trHeight w:val="135"/>
        </w:trPr>
        <w:tc>
          <w:tcPr>
            <w:tcW w:w="120" w:type="dxa"/>
            <w:vAlign w:val="bottom"/>
            <w:vMerge w:val="continue"/>
          </w:tcPr>
          <w:p>
            <w:pPr>
              <w:spacing w:after="0"/>
              <w:rPr>
                <w:sz w:val="11"/>
                <w:szCs w:val="11"/>
                <w:color w:val="auto"/>
              </w:rPr>
            </w:pPr>
          </w:p>
        </w:tc>
        <w:tc>
          <w:tcPr>
            <w:tcW w:w="4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100% of fair market value</w:t>
            </w: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4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practices and engage in robust risk monitoring</w:t>
            </w:r>
          </w:p>
        </w:tc>
        <w:tc>
          <w:tcPr>
            <w:tcW w:w="120" w:type="dxa"/>
            <w:vAlign w:val="bottom"/>
          </w:tcPr>
          <w:p>
            <w:pPr>
              <w:spacing w:after="0"/>
              <w:rPr>
                <w:sz w:val="8"/>
                <w:szCs w:val="8"/>
                <w:color w:val="auto"/>
              </w:rPr>
            </w:pPr>
          </w:p>
        </w:tc>
        <w:tc>
          <w:tcPr>
            <w:tcW w:w="3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Include legally-required and Company-specific</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clawback policies in our compensation plans</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Maintain robust stock ownership guidelines for</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our NEOs</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60"/>
        <w:spacing w:after="0"/>
        <w:tabs>
          <w:tab w:leader="none" w:pos="686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68" w:lineRule="exact"/>
        <w:rPr>
          <w:sz w:val="20"/>
          <w:szCs w:val="20"/>
          <w:color w:val="auto"/>
        </w:rPr>
      </w:pPr>
    </w:p>
    <w:p>
      <w:pPr>
        <w:ind w:left="1400" w:right="5099" w:hanging="140"/>
        <w:spacing w:after="0" w:line="282" w:lineRule="auto"/>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market-level retirement benefits and limited perquisites</w:t>
      </w:r>
    </w:p>
    <w:p>
      <w:pPr>
        <w:spacing w:after="0" w:line="94" w:lineRule="exact"/>
        <w:rPr>
          <w:rFonts w:ascii="Times New Roman" w:cs="Times New Roman" w:eastAsia="Times New Roman" w:hAnsi="Times New Roman"/>
          <w:sz w:val="18"/>
          <w:szCs w:val="18"/>
          <w:color w:val="auto"/>
        </w:rPr>
      </w:pPr>
    </w:p>
    <w:p>
      <w:pPr>
        <w:ind w:left="1400" w:right="4679" w:hanging="140"/>
        <w:spacing w:after="0" w:line="266" w:lineRule="auto"/>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 independent compensation consultant to provide advice to the Compensation Committee with respect to our compensation program</w:t>
      </w:r>
    </w:p>
    <w:p>
      <w:pPr>
        <w:spacing w:after="0" w:line="94" w:lineRule="exact"/>
        <w:rPr>
          <w:rFonts w:ascii="Times New Roman" w:cs="Times New Roman" w:eastAsia="Times New Roman" w:hAnsi="Times New Roman"/>
          <w:sz w:val="18"/>
          <w:szCs w:val="18"/>
          <w:color w:val="auto"/>
        </w:rPr>
      </w:pPr>
    </w:p>
    <w:p>
      <w:pPr>
        <w:ind w:left="1400" w:hanging="140"/>
        <w:spacing w:after="0"/>
        <w:tabs>
          <w:tab w:leader="none" w:pos="14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say on pay vote</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STRATEGY AND COMPANY PERFORMANCE</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conventional generation; growing our business through acquisitions of contracted operating assets primarily in North America; and maintaining sound financial practices to grow our dividend.</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execution of the Company’s business strategy produced the following results in 2023:</w:t>
      </w:r>
    </w:p>
    <w:p>
      <w:pPr>
        <w:spacing w:after="0" w:line="117" w:lineRule="exact"/>
        <w:rPr>
          <w:sz w:val="20"/>
          <w:szCs w:val="20"/>
          <w:color w:val="auto"/>
        </w:rPr>
      </w:pPr>
    </w:p>
    <w:p>
      <w:pPr>
        <w:ind w:left="1800" w:right="57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Closed on the Drop Downs for the Victory Pass and Arica solar projects that are paired with energy storage, the Daggett 2 and Daggett 3 solar projects that are paired with energy storage, the Texas Solar Nova 1 solar project and the Rosamond Central BESS project</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or committed approximately $160 million in new growth investments with CEG, including the commitments to acquire the Cedar Creek wind project, Texas Solar Nova 1 and 2 solar projects and the Daggett 2 solar project</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a membership interest in Rosie Central BESS and amended the financing agreement for the Rosamond Central solar project to facilitate and fund the construction of a BESS project that is co-located at the Rosamond Central solar facility</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an agreement with Clearway Renew to repower the Cedro Hill wind project for an expected investment of $36 million in net corporate capital and entered into a $254 million non-recourse debt facility related to the repowering</w:t>
      </w:r>
    </w:p>
    <w:p>
      <w:pPr>
        <w:spacing w:after="0" w:line="67"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100% of the Class A membership interests in DGPV Fund 4 LLC and Alta X-XI TE HoldCo, LLC for an aggregate $13 million</w:t>
      </w:r>
    </w:p>
    <w:p>
      <w:pPr>
        <w:spacing w:after="0" w:line="53"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 400 MW resource adequacy contract for sixteen months at Marsh Landing and a 274 MW resource adequacy contract for seventeen months at El Segundo, resulting in both assets having at least 50% of capacity contracted in 2027</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Such results were taken into account by the Compensation Committee in making determinations with respect to the compensation for our NEOs under the 2023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EXECUTIVE COMPENSATION PROGRAM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2023 NAMED EXECUTIVE OFFICERS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CD&amp;A describes the material components of our compensation program for our NEOs in 2023.</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ending December 31, 2023, our NEOs included the following individuals: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514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2023 Title</w:t>
            </w:r>
          </w:p>
        </w:tc>
      </w:tr>
      <w:tr>
        <w:trPr>
          <w:trHeight w:val="37"/>
        </w:trPr>
        <w:tc>
          <w:tcPr>
            <w:tcW w:w="28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50"/>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0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r>
              <w:rPr>
                <w:rFonts w:ascii="Times New Roman" w:cs="Times New Roman" w:eastAsia="Times New Roman" w:hAnsi="Times New Roman"/>
                <w:sz w:val="23"/>
                <w:szCs w:val="23"/>
                <w:color w:val="auto"/>
                <w:vertAlign w:val="superscript"/>
              </w:rPr>
              <w:t>(1)</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619" w:hanging="360"/>
        <w:spacing w:after="0" w:line="282" w:lineRule="auto"/>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was appointed as Executive Vice President and Chief Financial Officer in April 2023 and previously served as Senior Vice President and Chief Accounting Officer of the Company.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GOALS AND OBJECTIVES OF THE PROGRAM</w:t>
      </w:r>
    </w:p>
    <w:p>
      <w:pPr>
        <w:spacing w:after="0" w:line="162" w:lineRule="exact"/>
        <w:rPr>
          <w:sz w:val="20"/>
          <w:szCs w:val="20"/>
          <w:color w:val="auto"/>
        </w:rPr>
      </w:pPr>
    </w:p>
    <w:p>
      <w:pPr>
        <w:ind w:left="1260" w:right="63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is responsible for the development and implementation of the Company’s executive compensation program, subject to Board approval for equity awards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executives’ compensation with performance. Our Compensation Committee has designed an executive compensation program that is intended to:</w:t>
      </w:r>
    </w:p>
    <w:p>
      <w:pPr>
        <w:spacing w:after="0" w:line="78" w:lineRule="exact"/>
        <w:rPr>
          <w:sz w:val="20"/>
          <w:szCs w:val="20"/>
          <w:color w:val="auto"/>
        </w:rPr>
      </w:pPr>
    </w:p>
    <w:p>
      <w:pPr>
        <w:ind w:left="1800" w:right="9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align our executive compensation with stockholder value creation, avoiding plans that encourage executives to take excessive risk, while driving long-term value to stockholders;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long-term business strategy, while rewarding our executive team for their individual accomplishments with tailored individual executive compensation metrics and incentives; and</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opportunity while aligning with market standards for compensation.</w:t>
      </w:r>
    </w:p>
    <w:p>
      <w:pPr>
        <w:spacing w:after="0" w:line="81"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Committee’s objectives are achieved through the use of both short-term and long-term incentives. The Company currently targets total direct compensation at the median of our Compensation Peer Group (defined below), as described below under “Elements of Compensation.”</w:t>
      </w:r>
    </w:p>
    <w:p>
      <w:pPr>
        <w:spacing w:after="0" w:line="16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THE COMPENSATION PROCESS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CONSULTANT</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2023.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Neither Pay Governance, nor any of their affiliates provided any other services for us or any of our affiliates in</w:t>
      </w:r>
    </w:p>
    <w:p>
      <w:pPr>
        <w:spacing w:after="0" w:line="8" w:lineRule="exact"/>
        <w:rPr>
          <w:sz w:val="20"/>
          <w:szCs w:val="20"/>
          <w:color w:val="auto"/>
        </w:rPr>
      </w:pPr>
    </w:p>
    <w:p>
      <w:pPr>
        <w:ind w:left="1260" w:right="659"/>
        <w:spacing w:after="0"/>
        <w:rPr>
          <w:sz w:val="20"/>
          <w:szCs w:val="20"/>
          <w:color w:val="auto"/>
        </w:rPr>
      </w:pPr>
      <w:r>
        <w:rPr>
          <w:rFonts w:ascii="Times New Roman" w:cs="Times New Roman" w:eastAsia="Times New Roman" w:hAnsi="Times New Roman"/>
          <w:sz w:val="18"/>
          <w:szCs w:val="18"/>
          <w:color w:val="auto"/>
        </w:rPr>
        <w:t>2023. In accordance with SEC rules and requirements, the Company has affirmatively determined that no conflicts of interest exist between the Company and Pay Governance (or any individuals working on the Company’s account on behalf of Pay Governance).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PEER GROUP ANALYSIS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year-to-year but given the dynamic nature of our industry and the companies that constitute it, the Compensation Committee annually examines the peer group for appropriateness in terms of size, complexity, and industry. In connection with this annual review, the Compensation Committee reviewed the peer group identified for 2022 and adjusted it to remove Covanta Holding Corporation due to its acquisition and delisting, but otherwise maintained the same peer group for compensation benchmarking purposes in 2023 (the “Compensation Peer Group”).</w:t>
      </w:r>
    </w:p>
    <w:p>
      <w:pPr>
        <w:spacing w:after="0" w:line="34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For these purposes, the Compensation Peer Group, comprised of similarly sized publicly owned energy and utility companies, is identified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6"/>
                <w:szCs w:val="16"/>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Ticker</w:t>
            </w:r>
          </w:p>
        </w:tc>
      </w:tr>
      <w:tr>
        <w:trPr>
          <w:trHeight w:val="37"/>
        </w:trPr>
        <w:tc>
          <w:tcPr>
            <w:tcW w:w="2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Algonquin Power &amp; Utilities Corp.</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AQN</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MGE Energy, Inc.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MGEE</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Alliant Energy Corporation</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NASDAQ: LNT</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Northland Power Inc.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TSX: NPI</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Atmos Energy Corporation</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ATO</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NorthWestern Corporation</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NWE</w:t>
            </w:r>
          </w:p>
        </w:tc>
      </w:tr>
      <w:tr>
        <w:trPr>
          <w:trHeight w:val="25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Avista Corporation</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AVA</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Ormat Technologies, Inc.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ORA</w:t>
            </w:r>
          </w:p>
        </w:tc>
      </w:tr>
      <w:tr>
        <w:trPr>
          <w:trHeight w:val="22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Black Hills Corporation</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BKH</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Portland General Electric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POR</w:t>
            </w:r>
          </w:p>
        </w:tc>
      </w:tr>
      <w:tr>
        <w:trPr>
          <w:trHeight w:val="234"/>
        </w:trPr>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1460" w:type="dxa"/>
            <w:vAlign w:val="bottom"/>
          </w:tcPr>
          <w:p>
            <w:pPr>
              <w:spacing w:after="0"/>
              <w:rPr>
                <w:sz w:val="20"/>
                <w:szCs w:val="20"/>
                <w:color w:val="auto"/>
              </w:rPr>
            </w:pPr>
          </w:p>
        </w:tc>
      </w:tr>
      <w:tr>
        <w:trPr>
          <w:trHeight w:val="319"/>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Equitrans Midstream Corporation</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ETRN</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South Jersey Industries, Inc.</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SJI</w:t>
            </w:r>
            <w:r>
              <w:rPr>
                <w:rFonts w:ascii="Times New Roman" w:cs="Times New Roman" w:eastAsia="Times New Roman" w:hAnsi="Times New Roman"/>
                <w:sz w:val="23"/>
                <w:szCs w:val="23"/>
                <w:color w:val="auto"/>
                <w:vertAlign w:val="superscript"/>
              </w:rPr>
              <w:t>(1)</w:t>
            </w: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Genesis Energy, L.P.</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NYSE: GEL</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TransAltaCorporation</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NYSE: TAC</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Innergex Renewable Energy Inc.</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TSX: INE</w:t>
            </w:r>
          </w:p>
        </w:tc>
        <w:tc>
          <w:tcPr>
            <w:tcW w:w="2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439" w:hanging="360"/>
        <w:spacing w:after="0" w:line="261"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Jersey Industries, Inc. was acquired by the Infrastructure Investments Fund in February 2023 and was delisted, but was included by Pay Governance as part of its 2023 compensation benchmarking analysis, and for that reason, South Jersey Industries, Inc. is included in the Compensation Peer Group for 2023 but will not be part of the Compensation Peer Group for 2024 or going forward.</w:t>
      </w:r>
    </w:p>
    <w:p>
      <w:pPr>
        <w:spacing w:after="0" w:line="99"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For the purposes of determining appropriate NEO pay levels for 2023, the Compensation Committee reviewed NEO compensation from peers, where available and appropriate (e.g., based on an NEO’s position and duties). To supplement this analysis, the Compensation Committee reviewed relevant third-party survey data and considered the recommendations of the CEO on NEO and employee compensation matters not involving the CEO. The Compensation Committee may accept or adjust such CEO recommendations at its discretion. The NEOs did not participate in Compensation Committee discussions regarding their own compensation.</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Our compensation program for our NEOs consists of fixed compensation (base salary), performance-based compensation (AIP bonus and RPSUs) and time-based compensation (RSUs). We use the</w:t>
      </w: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median percentile of our Compensation Peer Group as a guidepost in establishing the targeted levels of total direct compensation (cash and equity) for our NEOs. We expect that, over time, targeted total direct compensation for our NEOs will continue to approximate the median of our Compensation Peer Group. Realized pay in a given year depends on the achievement of defined performance-based compensation metrics. While a portion of our NEOs’ compensation is fixed, a significant percentage is at-risk and payable and/or realizable only if certain performance objectives are met.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Base salary compensates NEOs for their level of experience and position responsibilities and for the continued expectation of superior performance. Recommendations on increases to base salary take into account, among other factors, the NEO’s individual performance, the general contributions of the NEO to</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47" w:lineRule="auto"/>
        <w:rPr>
          <w:sz w:val="20"/>
          <w:szCs w:val="20"/>
          <w:color w:val="auto"/>
        </w:rPr>
      </w:pPr>
      <w:r>
        <w:rPr>
          <w:rFonts w:ascii="Times New Roman" w:cs="Times New Roman" w:eastAsia="Times New Roman" w:hAnsi="Times New Roman"/>
          <w:sz w:val="18"/>
          <w:szCs w:val="18"/>
          <w:color w:val="auto"/>
        </w:rPr>
        <w:t>overall corporate performance, the level of responsibility of the NEO with respect to his or her specific position, and the NEO’s current base salary level compared to the market median. In lieu of an increase to Mr. Sotos’ base salary, the Board increased Mr. Sotos’ target LTIP award to recognize his performance, better align his total direct compensation with the market median, and cause a higher percentage of</w:t>
      </w:r>
    </w:p>
    <w:p>
      <w:pPr>
        <w:spacing w:after="0" w:line="3" w:lineRule="exact"/>
        <w:rPr>
          <w:sz w:val="20"/>
          <w:szCs w:val="20"/>
          <w:color w:val="auto"/>
        </w:rPr>
      </w:pPr>
    </w:p>
    <w:p>
      <w:pPr>
        <w:ind w:left="1260" w:right="619"/>
        <w:spacing w:after="0" w:line="235" w:lineRule="auto"/>
        <w:rPr>
          <w:sz w:val="20"/>
          <w:szCs w:val="20"/>
          <w:color w:val="auto"/>
        </w:rPr>
      </w:pPr>
      <w:r>
        <w:rPr>
          <w:rFonts w:ascii="Times New Roman" w:cs="Times New Roman" w:eastAsia="Times New Roman" w:hAnsi="Times New Roman"/>
          <w:sz w:val="18"/>
          <w:szCs w:val="18"/>
          <w:color w:val="auto"/>
        </w:rPr>
        <w:t>Mr. Sotos’ compensation to be performance-based. Each of Ms. Rubenstein and Mr. Malcarney received a base salary increase in 2023 based on such executive’s performance and peer group benchmarking.</w:t>
      </w:r>
    </w:p>
    <w:p>
      <w:pPr>
        <w:spacing w:after="0" w:line="1"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color w:val="auto"/>
        </w:rPr>
        <w:t>Ms. Rubenstein received a subsequent base salary increase in 2023 in connection with her appointment as Executive Vice President and Chief Financial Officer. The base salary for each NEO for fiscal year 2023 as of December 31, 2023 is set forth below:</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 Annualized</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Increase</w:t>
            </w:r>
          </w:p>
        </w:tc>
        <w:tc>
          <w:tcPr>
            <w:tcW w:w="40" w:type="dxa"/>
            <w:vAlign w:val="bottom"/>
          </w:tcPr>
          <w:p>
            <w:pPr>
              <w:spacing w:after="0"/>
              <w:rPr>
                <w:sz w:val="13"/>
                <w:szCs w:val="13"/>
                <w:color w:val="auto"/>
              </w:rPr>
            </w:pPr>
          </w:p>
        </w:tc>
      </w:tr>
      <w:tr>
        <w:trPr>
          <w:trHeight w:val="227"/>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Base Salary ($)</w:t>
            </w:r>
            <w:r>
              <w:rPr>
                <w:rFonts w:ascii="Times New Roman" w:cs="Times New Roman" w:eastAsia="Times New Roman" w:hAnsi="Times New Roman"/>
                <w:sz w:val="17"/>
                <w:szCs w:val="17"/>
                <w:b w:val="1"/>
                <w:bCs w:val="1"/>
                <w:color w:val="auto"/>
                <w:w w:val="96"/>
                <w:vertAlign w:val="superscript"/>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Over 2022 (%)</w:t>
            </w:r>
            <w:r>
              <w:rPr>
                <w:rFonts w:ascii="Times New Roman" w:cs="Times New Roman" w:eastAsia="Times New Roman" w:hAnsi="Times New Roman"/>
                <w:sz w:val="17"/>
                <w:szCs w:val="17"/>
                <w:b w:val="1"/>
                <w:bCs w:val="1"/>
                <w:color w:val="auto"/>
                <w:w w:val="94"/>
                <w:vertAlign w:val="superscript"/>
              </w:rPr>
              <w:t>(2)</w:t>
            </w:r>
          </w:p>
        </w:tc>
        <w:tc>
          <w:tcPr>
            <w:tcW w:w="40" w:type="dxa"/>
            <w:vAlign w:val="bottom"/>
          </w:tcPr>
          <w:p>
            <w:pPr>
              <w:spacing w:after="0"/>
              <w:rPr>
                <w:sz w:val="19"/>
                <w:szCs w:val="19"/>
                <w:color w:val="auto"/>
              </w:rPr>
            </w:pPr>
          </w:p>
        </w:tc>
      </w:tr>
      <w:tr>
        <w:trPr>
          <w:trHeight w:val="250"/>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​665,201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r>
              <w:rPr>
                <w:rFonts w:ascii="Times New Roman" w:cs="Times New Roman" w:eastAsia="Times New Roman" w:hAnsi="Times New Roman"/>
                <w:sz w:val="23"/>
                <w:szCs w:val="23"/>
                <w:color w:val="auto"/>
                <w:vertAlign w:val="superscript"/>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​385,000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-513715</wp:posOffset>
            </wp:positionV>
            <wp:extent cx="13716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4280535</wp:posOffset>
            </wp:positionH>
            <wp:positionV relativeFrom="paragraph">
              <wp:posOffset>-513715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2023 base salary earnings are presented in the Summary Compensation Table.</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the December 31, 2022 annualized base salary.</w:t>
      </w:r>
    </w:p>
    <w:p>
      <w:pPr>
        <w:spacing w:after="0" w:line="76"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Rubenstein’s base salary was increased from $325,000 to $340,000 in February 2023 to recognize her performance and to better align her total direct compensation with the market median.</w:t>
      </w:r>
    </w:p>
    <w:p>
      <w:pPr>
        <w:ind w:left="1620" w:right="5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Rubenstein’s base salary was subsequently increased from $340,000 to $385,000 in April 2023 in connection with her appointment as Executive Vice President and Chief Financial Officer.</w:t>
      </w:r>
    </w:p>
    <w:p>
      <w:pPr>
        <w:ind w:left="1620" w:right="10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previously served as Senior Vice President and Chief Accounting Officer of the Company.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INCENTIVE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Annual incentive compensation awards (AIP bonuses) are made under our AIP. AIP bonuses represent short-term compensation designed to compensate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2023 relate to: (a) CAFD and (b) key performance milestones. In addition, the overall bonus payout is negatively adjusted for any OSHA recordable injuries that occur during the year, and each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AIP bonus opportunities are expressed in terms of threshold, target and maximum bonus opportunities. Different percentages of each NEO’s annual base salary relate to these threshold, target and maximum AIP bonus opportunities. However, in the event threshold performance for 2023 was not achieved with respect to one of the AIP performance metrics, no AIP bonuses would have been payable for that component for 2023.</w:t>
      </w:r>
    </w:p>
    <w:p>
      <w:pPr>
        <w:spacing w:after="0" w:line="11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AIP provides NEOs (other than Mr. Sotos whose severance is governed by his amended and restated employment agreement) eligibility for a pro-rated target bonus payment for the year of a qualifying severance termination, based on the portion of the performance period that the NEO was employed.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AIP Bonus Performance Criteria</w:t>
      </w:r>
    </w:p>
    <w:p>
      <w:pPr>
        <w:spacing w:after="0" w:line="16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2023 AIP bonus performance criteria applicable to all NEOs are based upon the two Company goals described above and adjusted, as discussed, based on OSHA recordable injuries and individual performance, as applicable. The table below sets forth the 2023 AIP performance criteria and weightings applicable to all NEOs, assuming the achievement of each goal at target.</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Goal</w:t>
            </w:r>
          </w:p>
        </w:tc>
        <w:tc>
          <w:tcPr>
            <w:tcW w:w="19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0" w:type="dxa"/>
            <w:vAlign w:val="bottom"/>
          </w:tcPr>
          <w:p>
            <w:pPr>
              <w:spacing w:after="0"/>
              <w:rPr>
                <w:sz w:val="1"/>
                <w:szCs w:val="1"/>
                <w:color w:val="auto"/>
              </w:rPr>
            </w:pPr>
          </w:p>
        </w:tc>
      </w:tr>
      <w:tr>
        <w:trPr>
          <w:trHeight w:val="37"/>
        </w:trPr>
        <w:tc>
          <w:tcPr>
            <w:tcW w:w="6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CAFD</w:t>
            </w:r>
            <w:r>
              <w:rPr>
                <w:rFonts w:ascii="Times New Roman" w:cs="Times New Roman" w:eastAsia="Times New Roman" w:hAnsi="Times New Roman"/>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57"/>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Performance Milestones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Funding</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OSHA Recordables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w:t>
            </w:r>
          </w:p>
        </w:tc>
        <w:tc>
          <w:tcPr>
            <w:tcW w:w="0" w:type="dxa"/>
            <w:vAlign w:val="bottom"/>
          </w:tcPr>
          <w:p>
            <w:pPr>
              <w:spacing w:after="0"/>
              <w:rPr>
                <w:sz w:val="1"/>
                <w:szCs w:val="1"/>
                <w:color w:val="auto"/>
              </w:rPr>
            </w:pPr>
          </w:p>
        </w:tc>
      </w:tr>
      <w:tr>
        <w:trPr>
          <w:trHeight w:val="113"/>
        </w:trPr>
        <w:tc>
          <w:tcPr>
            <w:tcW w:w="6300" w:type="dxa"/>
            <w:vAlign w:val="bottom"/>
            <w:gridSpan w:val="2"/>
            <w:vMerge w:val="continue"/>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(per recordable injury)</w:t>
            </w: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 Performance</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4665980</wp:posOffset>
            </wp:positionH>
            <wp:positionV relativeFrom="paragraph">
              <wp:posOffset>-976630</wp:posOffset>
            </wp:positionV>
            <wp:extent cx="1371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19" w:hanging="360"/>
        <w:spacing w:after="0" w:line="255"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measure, CAFD is defined as adjusted earnings before interest, taxes, depreciation and amortization (Adjusted EBITDA) plus cash distributions/return of investment from unconsolidated affiliates, and subsequent release post-bankruptcy, cash receipts from notes receivable, cash 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CAFD</w:t>
      </w:r>
      <w:r>
        <w:rPr>
          <w:rFonts w:ascii="Times New Roman" w:cs="Times New Roman" w:eastAsia="Times New Roman" w:hAnsi="Times New Roman"/>
          <w:sz w:val="18"/>
          <w:szCs w:val="18"/>
          <w:color w:val="auto"/>
        </w:rPr>
        <w:t>. The Compensation Committee set the 2023 threshold, target and maximum CAFD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metric at $360 million, $410 million and $460 million, respectively. For 2023, the CAFD goals and the achieved level are set forth in the chart below. Due to lower-than-expected merchant energy margin caused by milder than normal temperatures during the first half of 2023, the Company did not achieve threshold CAFD performance.</w:t>
      </w:r>
    </w:p>
    <w:p>
      <w:pPr>
        <w:spacing w:after="0" w:line="125" w:lineRule="exact"/>
        <w:rPr>
          <w:sz w:val="20"/>
          <w:szCs w:val="20"/>
          <w:color w:val="auto"/>
        </w:rPr>
      </w:pPr>
    </w:p>
    <w:tbl>
      <w:tblPr>
        <w:tblLayout w:type="fixed"/>
        <w:tblInd w:w="2340" w:type="dxa"/>
        <w:tblCellMar>
          <w:top w:w="0" w:type="dxa"/>
          <w:left w:w="0" w:type="dxa"/>
          <w:bottom w:w="0" w:type="dxa"/>
          <w:right w:w="0" w:type="dxa"/>
        </w:tblCellMar>
      </w:tblPr>
      <w:tr>
        <w:trPr>
          <w:trHeight w:val="227"/>
        </w:trPr>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CAFD Threshold</w:t>
            </w:r>
          </w:p>
        </w:tc>
        <w:tc>
          <w:tcPr>
            <w:tcW w:w="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CAFD Target</w:t>
            </w:r>
          </w:p>
        </w:tc>
        <w:tc>
          <w:tcPr>
            <w:tcW w:w="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CAFD Maximum</w:t>
            </w:r>
          </w:p>
        </w:tc>
        <w:tc>
          <w:tcPr>
            <w:tcW w:w="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CAFD Actual</w:t>
            </w:r>
          </w:p>
        </w:tc>
        <w:tc>
          <w:tcPr>
            <w:tcW w:w="20" w:type="dxa"/>
            <w:vAlign w:val="bottom"/>
            <w:tcBorders>
              <w:bottom w:val="single" w:sz="8" w:color="CCEEFF"/>
            </w:tcBorders>
          </w:tcPr>
          <w:p>
            <w:pPr>
              <w:spacing w:after="0"/>
              <w:rPr>
                <w:sz w:val="19"/>
                <w:szCs w:val="19"/>
                <w:color w:val="auto"/>
              </w:rPr>
            </w:pPr>
          </w:p>
        </w:tc>
      </w:tr>
      <w:tr>
        <w:trPr>
          <w:trHeight w:val="263"/>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million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$410 million</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 million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$342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-179070</wp:posOffset>
            </wp:positionV>
            <wp:extent cx="17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-179070</wp:posOffset>
            </wp:positionV>
            <wp:extent cx="3600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-179070</wp:posOffset>
            </wp:positionV>
            <wp:extent cx="3600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-179070</wp:posOffset>
            </wp:positionV>
            <wp:extent cx="3600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1" w:lineRule="exact"/>
        <w:rPr>
          <w:sz w:val="20"/>
          <w:szCs w:val="20"/>
          <w:color w:val="auto"/>
        </w:rPr>
      </w:pPr>
    </w:p>
    <w:p>
      <w:pPr>
        <w:ind w:left="1800" w:right="599" w:hanging="180"/>
        <w:spacing w:after="0" w:line="254"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Key Performance Milestones</w:t>
      </w:r>
      <w:r>
        <w:rPr>
          <w:rFonts w:ascii="Times New Roman" w:cs="Times New Roman" w:eastAsia="Times New Roman" w:hAnsi="Times New Roman"/>
          <w:sz w:val="18"/>
          <w:szCs w:val="18"/>
          <w:color w:val="auto"/>
        </w:rPr>
        <w:t>. “Key performance milestones” performance metrics are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defined annual incentive category. The Compensation Committee establishes threshold, target and maximum levels of performance for this category based on the number of milestones achieved. For 2023, a total of five milestones were established relating to adherence to budget, CAFD per share goals, restructuring of Lighthouse Renewable Holdco LLC and Lighthouse Renewable Holdco 2 LLC, ratio of administrative costs to CAFD, and natural gas strategic plan and execution. For 2023, threshold performance required the achievement of two out of the five milestones, target performance required the achievement of three out of the five milestones, and maximum performance required the achievement of all five milestones. Ultimately, target performance was attained with the achievement of three out of the five milestones in 2023.</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Individual Performance</w:t>
      </w:r>
      <w:r>
        <w:rPr>
          <w:rFonts w:ascii="Times New Roman" w:cs="Times New Roman" w:eastAsia="Times New Roman" w:hAnsi="Times New Roman"/>
          <w:sz w:val="18"/>
          <w:szCs w:val="18"/>
          <w:color w:val="auto"/>
        </w:rPr>
        <w:t>. As indicated above, an NEO’s individual performance may (negatively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positively) affect his or her AIP bonus by up to 20% of such NEO’s target award, although no AIP bonus payments can exceed 200% of the target award. Such individual performance is determined on a subjective basis based on the Compensation Committee’s assessment of the NEO’s contributions in supporting adherence to budget, support towards the achievement of key milestones, and other contributions towards the successful execution of the Company’s business strategy. The Compensation Committee recommended, and the full Board approved, that an individual performance modifier of +20% be applied to the AIP bonus target award for each NEO’s individual performance, including the completion of several key initiatives that position the Company for future long-term success, as described more fully above under “Business Strategy and Company Performance”, despite a challenging environment attributable to a year of low renewable energy resource.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Annual Incentive Bonus Opportunity</w:t>
      </w:r>
    </w:p>
    <w:p>
      <w:pPr>
        <w:spacing w:after="0" w:line="162" w:lineRule="exact"/>
        <w:rPr>
          <w:sz w:val="20"/>
          <w:szCs w:val="20"/>
          <w:color w:val="auto"/>
        </w:rPr>
      </w:pPr>
    </w:p>
    <w:p>
      <w:pPr>
        <w:ind w:left="1260" w:right="1179" w:firstLine="360"/>
        <w:spacing w:after="0" w:line="266" w:lineRule="auto"/>
        <w:rPr>
          <w:sz w:val="20"/>
          <w:szCs w:val="20"/>
          <w:color w:val="auto"/>
        </w:rPr>
      </w:pPr>
      <w:r>
        <w:rPr>
          <w:rFonts w:ascii="Times New Roman" w:cs="Times New Roman" w:eastAsia="Times New Roman" w:hAnsi="Times New Roman"/>
          <w:sz w:val="18"/>
          <w:szCs w:val="18"/>
          <w:color w:val="auto"/>
        </w:rPr>
        <w:t>The threshold, target and maximum AIP bonus opportunities for NEOs for 2023, expressed as a percentage of base salary, were:</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r>
      <w:tr>
        <w:trPr>
          <w:trHeight w:val="162"/>
        </w:trPr>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43"/>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8"/>
                <w:szCs w:val="8"/>
                <w:b w:val="1"/>
                <w:bCs w:val="1"/>
                <w:color w:val="auto"/>
              </w:rPr>
              <w:t>(1)</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88"/>
                <w:vertAlign w:val="subscript"/>
              </w:rPr>
              <w:t>(%)</w:t>
            </w:r>
            <w:r>
              <w:rPr>
                <w:rFonts w:ascii="Times New Roman" w:cs="Times New Roman" w:eastAsia="Times New Roman" w:hAnsi="Times New Roman"/>
                <w:sz w:val="8"/>
                <w:szCs w:val="8"/>
                <w:b w:val="1"/>
                <w:bCs w:val="1"/>
                <w:color w:val="auto"/>
                <w:w w:val="88"/>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4"/>
                <w:vertAlign w:val="subscript"/>
              </w:rPr>
              <w:t>(%)</w:t>
            </w:r>
            <w:r>
              <w:rPr>
                <w:rFonts w:ascii="Times New Roman" w:cs="Times New Roman" w:eastAsia="Times New Roman" w:hAnsi="Times New Roman"/>
                <w:sz w:val="8"/>
                <w:szCs w:val="8"/>
                <w:b w:val="1"/>
                <w:bCs w:val="1"/>
                <w:color w:val="auto"/>
                <w:w w:val="94"/>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5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  50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​665,201</w:t>
            </w:r>
          </w:p>
        </w:tc>
      </w:tr>
      <w:tr>
        <w:trPr>
          <w:trHeight w:val="283"/>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r>
              <w:rPr>
                <w:rFonts w:ascii="Times New Roman" w:cs="Times New Roman" w:eastAsia="Times New Roman" w:hAnsi="Times New Roman"/>
                <w:sz w:val="23"/>
                <w:szCs w:val="23"/>
                <w:color w:val="auto"/>
                <w:vertAlign w:val="superscript"/>
              </w:rPr>
              <w:t>(2)</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​250,250</w:t>
            </w:r>
          </w:p>
        </w:tc>
      </w:tr>
      <w:tr>
        <w:trPr>
          <w:trHeight w:val="257"/>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​267,800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-513715</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4932045</wp:posOffset>
            </wp:positionH>
            <wp:positionV relativeFrom="paragraph">
              <wp:posOffset>-513715</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4528820</wp:posOffset>
            </wp:positionH>
            <wp:positionV relativeFrom="paragraph">
              <wp:posOffset>-513715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-513715</wp:posOffset>
            </wp:positionV>
            <wp:extent cx="137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85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assumes that the CAFD performance metric and all other quantitative and qualitative goals, including the key milestones, are achieved at threshold, target and maximum levels, as applicable.</w:t>
      </w:r>
    </w:p>
    <w:p>
      <w:pPr>
        <w:spacing w:after="0" w:line="13" w:lineRule="exact"/>
        <w:rPr>
          <w:rFonts w:ascii="Times New Roman" w:cs="Times New Roman" w:eastAsia="Times New Roman" w:hAnsi="Times New Roman"/>
          <w:sz w:val="18"/>
          <w:szCs w:val="18"/>
          <w:color w:val="auto"/>
        </w:rPr>
      </w:pPr>
    </w:p>
    <w:p>
      <w:pPr>
        <w:ind w:left="1620" w:right="579" w:hanging="360"/>
        <w:spacing w:after="0" w:line="25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Rubenstein’s threshold, target and maximum AIP award opportunities were increased in February 2023 to recognize her performance and to better align her total direct compensation with the market median. Ms. Rubenstein’s threshold, target and maximum AIP award opportunities were subsequently increased in April 2023 in connection with her appointment as Executive Vice President and Chief Financial Officer. Ms. Rubenstein previously served as Senior Vice President and Chief Accounting Officer of the Company.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2023 Annual Incentive Bonuses</w:t>
      </w:r>
    </w:p>
    <w:p>
      <w:pPr>
        <w:spacing w:after="0" w:line="14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noted above, with respect to AIP bonuses for 2023, the CAFD target was $410 million and the key performance milestone target was achievement of three out of five key performance milestones.</w:t>
      </w:r>
    </w:p>
    <w:p>
      <w:pPr>
        <w:spacing w:after="0" w:line="8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For 2023, CAFD achievement was below threshold at approximately $342 million, three out of five key performance milestones were achieved, and there were no OSHA recordable injuries. Due to the achievement specified above, after taking into account the application of the individual performance modifier, 2023 AIP bonuses were paid at levels between threshold and target. If performance falls between threshold and target or target and maximum, the bonus opportunity will be determined on an interpolated basis. As a result, the CAFD metric and the key performance milestone metrics were respectively weighted at 0% and 100% of target.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annual incentive bonuses paid to NEOs for 2023 were:</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Individual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Target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r>
      <w:tr>
        <w:trPr>
          <w:trHeight w:val="162"/>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Salary Achieved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Modifier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Achieved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r>
      <w:tr>
        <w:trPr>
          <w:trHeight w:val="190"/>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(+/- 20%)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3"/>
        </w:trPr>
        <w:tc>
          <w:tcPr>
            <w:tcW w:w="4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​532,161</w:t>
            </w:r>
          </w:p>
        </w:tc>
      </w:tr>
      <w:tr>
        <w:trPr>
          <w:trHeight w:val="283"/>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r>
              <w:rPr>
                <w:rFonts w:ascii="Times New Roman" w:cs="Times New Roman" w:eastAsia="Times New Roman" w:hAnsi="Times New Roman"/>
                <w:sz w:val="23"/>
                <w:szCs w:val="23"/>
                <w:color w:val="auto"/>
                <w:vertAlign w:val="superscript"/>
              </w:rPr>
              <w:t>(1)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​200,200</w:t>
            </w:r>
          </w:p>
        </w:tc>
      </w:tr>
      <w:tr>
        <w:trPr>
          <w:trHeight w:val="257"/>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-513715</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-513715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-513715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-513715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59" w:hanging="360"/>
        <w:spacing w:after="0" w:line="275"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was appointed as Executive Vice President and Chief Financial Officer in April 2023. Ms. Rubenstein previously served as Senior Vice President and Chief Accounting Officer of the Company.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believe that equity awards directly align our NEOs’ interests with those of our stockholders. In 2023, the Compensation Committee granted our NEOs a combination of performance -based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incentive awards (67%) were performance-based (i.e., granted as RPSUs). The remainder of our long-term incentive awards (33%) were time- based (i.e., granted as RSUs which vest over three years). We believe that our AIP appropriately focuses our NEOs on shorter-term (one-year) financial metrics while our LTIP</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emphasizes long-term stockholder value creation (i.e., three-year TSR outperformance). For 2023,</w:t>
      </w:r>
    </w:p>
    <w:p>
      <w:pPr>
        <w:spacing w:after="0" w:line="27"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Mr. Sotos’ target LTIP award was 350% of his base salary and Ms. Rubenstein and Mr. Malcarney’s target LTIP awards were 125% of their respective base salaries. Mr. Sotos’ target LTIP award increased from 315% in 2022 to 350% in 2023 to recognize his performance and better align his total direct compensation with the market median. Ms. Rubenstein and Mr. Malcarney’s target LTIP awards remained unchanged from 2022. The above mix of long-term incentive compensation applied to all NEOs for 2023.</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Relative Performance Stock Units</w:t>
      </w:r>
    </w:p>
    <w:p>
      <w:pPr>
        <w:spacing w:after="0" w:line="94" w:lineRule="exact"/>
        <w:rPr>
          <w:sz w:val="20"/>
          <w:szCs w:val="20"/>
          <w:color w:val="auto"/>
        </w:rPr>
      </w:pPr>
    </w:p>
    <w:p>
      <w:pPr>
        <w:jc w:val="both"/>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Each RPSU represents the potential to receive one share of Class C common stock, as adjusted, based on the Company’s TSR performance ranked against the TSR performance of a comparator group of similar companies (the “Performance Peer Group”) after the completion of a three-year performance period.</w:t>
      </w:r>
    </w:p>
    <w:p>
      <w:pPr>
        <w:ind w:left="1260" w:right="639"/>
        <w:spacing w:after="0"/>
        <w:rPr>
          <w:sz w:val="20"/>
          <w:szCs w:val="20"/>
          <w:color w:val="auto"/>
        </w:rPr>
      </w:pPr>
      <w:r>
        <w:rPr>
          <w:rFonts w:ascii="Times New Roman" w:cs="Times New Roman" w:eastAsia="Times New Roman" w:hAnsi="Times New Roman"/>
          <w:sz w:val="18"/>
          <w:szCs w:val="18"/>
          <w:color w:val="auto"/>
        </w:rPr>
        <w:t>Relative measures are designed to normalize for externalities, ensuring the program appropriately reflects management’s impact on the Company’s TSR by including peer companies that the Compensation Committee believes are similarly impacted by market conditions.</w:t>
      </w:r>
    </w:p>
    <w:p>
      <w:pPr>
        <w:spacing w:after="0" w:line="4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payout of shares of Class C common stock at the end of the three-year performance period is based on the Company’s TSR performance percentile rank compared with the TSR performance of the Performance Peer Group. To ensure a rigorous program design, the target 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w:t>
      </w:r>
    </w:p>
    <w:p>
      <w:pPr>
        <w:spacing w:after="0" w:line="2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event relative performance is below the 25th percentile, the award is forfeited. In the event</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relative performance is between the 25th percentile and the 50th percentile (or the 60th percentile if our</w:t>
      </w:r>
    </w:p>
    <w:p>
      <w:pPr>
        <w:ind w:left="1260"/>
        <w:spacing w:after="0"/>
        <w:rPr>
          <w:sz w:val="20"/>
          <w:szCs w:val="20"/>
          <w:color w:val="auto"/>
        </w:rPr>
      </w:pPr>
      <w:r>
        <w:rPr>
          <w:rFonts w:ascii="Times New Roman" w:cs="Times New Roman" w:eastAsia="Times New Roman" w:hAnsi="Times New Roman"/>
          <w:sz w:val="18"/>
          <w:szCs w:val="18"/>
          <w:color w:val="auto"/>
        </w:rPr>
        <w:t>TSR performance declines by more than 20% over the performance period), payouts will be based on an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interpolated calculation. In the event relative performance reaches the 50th percentile (or the 60th percentile</w:t>
      </w:r>
    </w:p>
    <w:p>
      <w:pPr>
        <w:ind w:left="1260"/>
        <w:spacing w:after="0" w:line="234" w:lineRule="auto"/>
        <w:rPr>
          <w:sz w:val="20"/>
          <w:szCs w:val="20"/>
          <w:color w:val="auto"/>
        </w:rPr>
      </w:pPr>
      <w:r>
        <w:rPr>
          <w:rFonts w:ascii="Times New Roman" w:cs="Times New Roman" w:eastAsia="Times New Roman" w:hAnsi="Times New Roman"/>
          <w:sz w:val="18"/>
          <w:szCs w:val="18"/>
          <w:color w:val="auto"/>
        </w:rPr>
        <w:t>as described above), 100% of the award will be paid. In the event relative performance is between the</w:t>
      </w:r>
    </w:p>
    <w:p>
      <w:pPr>
        <w:ind w:left="1260"/>
        <w:spacing w:after="0" w:line="235" w:lineRule="auto"/>
        <w:rPr>
          <w:sz w:val="20"/>
          <w:szCs w:val="20"/>
          <w:color w:val="auto"/>
        </w:rPr>
      </w:pPr>
      <w:r>
        <w:rPr>
          <w:rFonts w:ascii="Times New Roman" w:cs="Times New Roman" w:eastAsia="Times New Roman" w:hAnsi="Times New Roman"/>
          <w:sz w:val="18"/>
          <w:szCs w:val="18"/>
          <w:color w:val="auto"/>
        </w:rPr>
        <w:t>50th percentile (or the 60th percentile as described above) and the 75th percentile, payouts will be based 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 interpolated calculation. In the event that relative performance is at or above the 75th percentile, 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maximum payout of 150% of the target will be paid with respect to RPSU awards granted in 2023. Based 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 Company’s TSR performance ranked against the TSR performance of the Performance Peer Group over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three-year performance period ending on December 31, 2023, the RPSUs granted in 2021 will vest 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15, 2024 at 58% of target.</w:t>
      </w:r>
    </w:p>
    <w:p>
      <w:pPr>
        <w:spacing w:after="0" w:line="4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table below illustrates the design of our RPSUs in 2023.</w:t>
      </w:r>
    </w:p>
    <w:p>
      <w:pPr>
        <w:spacing w:after="0" w:line="97"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Targets</w:t>
            </w:r>
          </w:p>
        </w:tc>
        <w:tc>
          <w:tcPr>
            <w:tcW w:w="37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Performance Requirement</w:t>
            </w:r>
          </w:p>
        </w:tc>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Payout Opportunity</w:t>
            </w:r>
          </w:p>
        </w:tc>
        <w:tc>
          <w:tcPr>
            <w:tcW w:w="40" w:type="dxa"/>
            <w:vAlign w:val="bottom"/>
          </w:tcPr>
          <w:p>
            <w:pPr>
              <w:spacing w:after="0"/>
              <w:rPr>
                <w:sz w:val="16"/>
                <w:szCs w:val="16"/>
                <w:color w:val="auto"/>
              </w:rPr>
            </w:pPr>
          </w:p>
        </w:tc>
      </w:tr>
      <w:tr>
        <w:trPr>
          <w:trHeight w:val="23"/>
        </w:trPr>
        <w:tc>
          <w:tcPr>
            <w:tcW w:w="3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Maximum</w:t>
            </w:r>
          </w:p>
        </w:tc>
        <w:tc>
          <w:tcPr>
            <w:tcW w:w="37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75th percentile or above</w:t>
            </w:r>
          </w:p>
        </w:tc>
        <w:tc>
          <w:tcPr>
            <w:tcW w:w="1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Target</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Standard Target</w:t>
            </w:r>
            <w:r>
              <w:rPr>
                <w:rFonts w:ascii="Times New Roman" w:cs="Times New Roman" w:eastAsia="Times New Roman" w:hAnsi="Times New Roman"/>
                <w:sz w:val="18"/>
                <w:szCs w:val="18"/>
                <w:color w:val="auto"/>
              </w:rPr>
              <w:t>:</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Modified Target</w:t>
            </w:r>
            <w:r>
              <w:rPr>
                <w:rFonts w:ascii="Times New Roman" w:cs="Times New Roman" w:eastAsia="Times New Roman" w:hAnsi="Times New Roman"/>
                <w:sz w:val="18"/>
                <w:szCs w:val="18"/>
                <w:color w:val="auto"/>
                <w:w w:val="94"/>
              </w:rPr>
              <w:t>:</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50th percentile</w:t>
            </w:r>
          </w:p>
        </w:tc>
        <w:tc>
          <w:tcPr>
            <w:tcW w:w="2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60th percentile (less than</w:t>
            </w: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 absolute TSR)</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Threshold</w:t>
            </w:r>
          </w:p>
        </w:tc>
        <w:tc>
          <w:tcPr>
            <w:tcW w:w="37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25th percentile</w:t>
            </w:r>
          </w:p>
        </w:tc>
        <w:tc>
          <w:tcPr>
            <w:tcW w:w="1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25%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Below Threshold</w:t>
            </w:r>
          </w:p>
        </w:tc>
        <w:tc>
          <w:tcPr>
            <w:tcW w:w="37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Below 25th percentile</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-856615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-856615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8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Each RSU represents the right to receive one share of our Class C common stock after the completion of the vesting period. The RSUs granted to the NEOs in 2023 vest ratably, meaning that one-third of the award vests each year on the anniversary of the grant date, over a three-year period.</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Equivalent Rights (DERs)</w:t>
      </w:r>
    </w:p>
    <w:p>
      <w:pPr>
        <w:spacing w:after="0" w:line="81"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awards of both RPSUs and RSUs, each NEO also receives DERs, which accrue with respect to the award to which they relate. Accrued DERs are credited as additional shares that will be subject to the vesting and payment terms of the corresponding award of RPSUs or RSUs, as applicable. Accordingly, accrued DERs are paid at the same time the shares of Class C common stock underlying each award are delivered to the NEO, and accrued DERs are forfeited if, or to the extent that, the underlying award is forfeited.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9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In 2023, the Compensation Committee adopted a “clawback” policy that is intended to comply with the requirements under the federal securities laws, including the Dodd-Frank Wall Street Reform and Consumer Protection Act of 2010. The policy requires the Company to seek recoupment of any cash or equity-based incentive compensation payment or award made or granted to any current or former executive officer of the Company during the three completed fiscal years immediately preceding the date on which the Company is required to prepare a restatement of its financial statements due to material noncompliance of the Company with any financial reporting requirement under the federal securities laws or similar revision of performance indicators on which cash or equity-based incentive compensation was based, if: (i) the payment or award was made or granted based wholly or in part upon the attainment of a Company financial reporting measure (including, without limitation, (a) any measure that is determined and presented in accordance with the accounting principles used in preparing the Company’s financial statements, (b) any measure that is derived wholly or in part from such measure and/or (c) any measure of stock price or total stockholder return); and</w:t>
      </w:r>
    </w:p>
    <w:p>
      <w:pPr>
        <w:spacing w:after="0" w:line="2" w:lineRule="exact"/>
        <w:rPr>
          <w:sz w:val="20"/>
          <w:szCs w:val="20"/>
          <w:color w:val="auto"/>
        </w:rPr>
      </w:pPr>
    </w:p>
    <w:p>
      <w:pPr>
        <w:ind w:left="1260" w:right="519"/>
        <w:spacing w:after="0" w:line="251" w:lineRule="auto"/>
        <w:tabs>
          <w:tab w:leader="none" w:pos="154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payment or award would have been made or granted to the executive officer based upon the restated financial results had there not been a restatement. In each such instance, the amount required to be returned, repaid, or forfeited will be the amount by which the executive officer’s payment or award for the relevant period exceeded the lower payment or award that would have been made or granted based on the restated results.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Sarbanes-Oxley Act of 2002 (“SOX”), the CEO and the CFO would also be subject to a “clawback,” as required by SOX.</w:t>
      </w:r>
    </w:p>
    <w:p>
      <w:pPr>
        <w:spacing w:after="0" w:line="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81"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All of our NEOs are eligible to participate in the same retirement, life insurance, health and welfare plans as other employees. To generally support more complicated financial planning and estate planning matters, NEOs are eligible for reimbursement of annual tax return preparation, tax advice, financial planning and estate planning expenses. Mr. Sotos is eligible for a maximum reimbursement of $12,000 per year and the remaining NEOs are eligible for a maximum reimbursement of $3,000 per year.</w:t>
      </w:r>
    </w:p>
    <w:p>
      <w:pPr>
        <w:spacing w:after="0" w:line="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SEVERANCE AND CHANGE-IN-CONTROL BENEFITS</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Each NEO’s RPSU and RSU award agreements under the LTIP provide for certain treatment in the event of such NEO’s termination of employment under certain circumstances, including in connection with</w:t>
      </w:r>
    </w:p>
    <w:p>
      <w:pPr>
        <w:ind w:left="1260" w:right="579"/>
        <w:spacing w:after="0" w:line="253" w:lineRule="auto"/>
        <w:tabs>
          <w:tab w:leader="none" w:pos="13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change-in-control. Additionally, Mr. Sotos, pursuant to his amended and restated employment agreement (as described below), and the remaining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w:t>
      </w:r>
    </w:p>
    <w:p>
      <w:pPr>
        <w:spacing w:after="0" w:line="3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believe 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w:t>
      </w:r>
    </w:p>
    <w:p>
      <w:pPr>
        <w:spacing w:after="0" w:line="57"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For a more detailed discussion, including the quantification of potential payments, please see the section entitled “Severance and Change-in-Control” following the executive compensation tables below.</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4, 2024 is shown below. Mr. Sotos and Mr. Malcarney each met or exceeded his stock ownership guidelines as of March 4, 2024. Ms. Rubenstein’s stock ownership guideline was increased from a 2.0 to 3.0 multiple in connection with her appointment as Executive Vice President and Chief Financial Officer in April 2023. Therefore, Ms. Rubenstein did not meet this increased stock ownership guideline as of March 4, 2024, and the above divestiture restrictions and related exceptions will apply to Ms. Rubenstein during periods in which, and to the extent that, the above guidelines are not met.</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Actual</w:t>
            </w:r>
          </w:p>
        </w:tc>
      </w:tr>
      <w:tr>
        <w:trPr>
          <w:trHeight w:val="162"/>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Ownership</w:t>
            </w:r>
          </w:p>
        </w:tc>
      </w:tr>
      <w:tr>
        <w:trPr>
          <w:trHeight w:val="190"/>
        </w:trPr>
        <w:tc>
          <w:tcPr>
            <w:tcW w:w="6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Multiple</w:t>
            </w:r>
          </w:p>
        </w:tc>
      </w:tr>
      <w:tr>
        <w:trPr>
          <w:trHeight w:val="23"/>
        </w:trPr>
        <w:tc>
          <w:tcPr>
            <w:tcW w:w="6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5.0x</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18.7x</w:t>
            </w:r>
          </w:p>
        </w:tc>
      </w:tr>
      <w:tr>
        <w:trPr>
          <w:trHeight w:val="283"/>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r>
              <w:rPr>
                <w:rFonts w:ascii="Times New Roman" w:cs="Times New Roman" w:eastAsia="Times New Roman" w:hAnsi="Times New Roman"/>
                <w:sz w:val="23"/>
                <w:szCs w:val="23"/>
                <w:color w:val="auto"/>
                <w:vertAlign w:val="superscript"/>
              </w:rPr>
              <w:t>(1)</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3.0x</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2.0x</w:t>
            </w:r>
          </w:p>
        </w:tc>
      </w:tr>
      <w:tr>
        <w:trPr>
          <w:trHeight w:val="257"/>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3.0x</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-513715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-513715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559" w:hanging="360"/>
        <w:spacing w:after="0" w:line="275"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was appointed as Executive Vice President and Chief Financial Officer in April 2023. Ms. Rubenstein previously served as Senior Vice President and Chief Accounting Officer of the Company.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162"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(the “Code”) precludes us, as a public company, from taking a tax deduction for individual compensation to certain of our executive officers in excess of</w:t>
      </w: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$1 million, 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w:t>
      </w:r>
    </w:p>
    <w:p>
      <w:pPr>
        <w:spacing w:after="0" w:line="329"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Nonqualified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7"/>
              </w:rPr>
              <w:t>Non-Equity</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Deferred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jc w:val="right"/>
              <w:ind w:right="47"/>
              <w:spacing w:after="0" w:line="149" w:lineRule="exact"/>
              <w:rPr>
                <w:sz w:val="20"/>
                <w:szCs w:val="20"/>
                <w:color w:val="auto"/>
              </w:rPr>
            </w:pPr>
            <w:r>
              <w:rPr>
                <w:rFonts w:ascii="Times New Roman" w:cs="Times New Roman" w:eastAsia="Times New Roman" w:hAnsi="Times New Roman"/>
                <w:sz w:val="14"/>
                <w:szCs w:val="14"/>
                <w:b w:val="1"/>
                <w:bCs w:val="1"/>
                <w:color w:val="auto"/>
                <w:w w:val="97"/>
              </w:rPr>
              <w:t>Salary</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Bonus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6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8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2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Pr>
          <w:p>
            <w:pPr>
              <w:spacing w:after="0"/>
              <w:rPr>
                <w:sz w:val="19"/>
                <w:szCs w:val="19"/>
                <w:color w:val="auto"/>
              </w:rPr>
            </w:pPr>
          </w:p>
        </w:tc>
        <w:tc>
          <w:tcPr>
            <w:tcW w:w="52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p>
        </w:tc>
        <w:tc>
          <w:tcPr>
            <w:tcW w:w="4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4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62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62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CCEEFF"/>
            </w:tcBorders>
            <w:gridSpan w:val="2"/>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Christopher S. Sotos</w:t>
            </w:r>
          </w:p>
        </w:tc>
        <w:tc>
          <w:tcPr>
            <w:tcW w:w="380" w:type="dxa"/>
            <w:vAlign w:val="bottom"/>
            <w:tcBorders>
              <w:right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2023</w:t>
            </w:r>
          </w:p>
        </w:tc>
        <w:tc>
          <w:tcPr>
            <w:tcW w:w="560" w:type="dxa"/>
            <w:vAlign w:val="bottom"/>
            <w:tcBorders>
              <w:right w:val="single" w:sz="8" w:color="CCEEFF"/>
            </w:tcBorders>
            <w:gridSpan w:val="2"/>
            <w:shd w:val="clear" w:color="auto" w:fill="CCEEFF"/>
          </w:tcPr>
          <w:p>
            <w:pPr>
              <w:jc w:val="center"/>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665,201</w:t>
            </w:r>
          </w:p>
        </w:tc>
        <w:tc>
          <w:tcPr>
            <w:tcW w:w="400" w:type="dxa"/>
            <w:vAlign w:val="bottom"/>
            <w:tcBorders>
              <w:right w:val="single" w:sz="8" w:color="CCEEFF"/>
            </w:tcBorders>
            <w:shd w:val="clear" w:color="auto" w:fill="CCEEFF"/>
          </w:tcPr>
          <w:p>
            <w:pPr>
              <w:jc w:val="right"/>
              <w:ind w:right="51"/>
              <w:spacing w:after="0" w:line="169"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bscript"/>
              </w:rPr>
              <w:t>—</w:t>
            </w:r>
          </w:p>
        </w:tc>
        <w:tc>
          <w:tcPr>
            <w:tcW w:w="6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2,224,752</w:t>
            </w:r>
          </w:p>
        </w:tc>
        <w:tc>
          <w:tcPr>
            <w:tcW w:w="480" w:type="dxa"/>
            <w:vAlign w:val="bottom"/>
            <w:tcBorders>
              <w:right w:val="single" w:sz="8" w:color="CCEEFF"/>
            </w:tcBorders>
            <w:shd w:val="clear" w:color="auto" w:fill="CCEEFF"/>
          </w:tcPr>
          <w:p>
            <w:pPr>
              <w:jc w:val="right"/>
              <w:ind w:right="91"/>
              <w:spacing w:after="0" w:line="169"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bscript"/>
              </w:rPr>
              <w:t>—</w:t>
            </w:r>
          </w:p>
        </w:tc>
        <w:tc>
          <w:tcPr>
            <w:tcW w:w="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shd w:val="clear" w:color="auto" w:fill="CCEEFF"/>
          </w:tcPr>
          <w:p>
            <w:pPr>
              <w:jc w:val="right"/>
              <w:ind w:right="126"/>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532,161</w:t>
            </w:r>
          </w:p>
        </w:tc>
        <w:tc>
          <w:tcPr>
            <w:tcW w:w="80" w:type="dxa"/>
            <w:vAlign w:val="bottom"/>
            <w:vMerge w:val="continue"/>
            <w:shd w:val="clear" w:color="auto" w:fill="CCEEFF"/>
          </w:tcPr>
          <w:p>
            <w:pPr>
              <w:spacing w:after="0"/>
              <w:rPr>
                <w:sz w:val="14"/>
                <w:szCs w:val="14"/>
                <w:color w:val="auto"/>
              </w:rPr>
            </w:pPr>
          </w:p>
        </w:tc>
        <w:tc>
          <w:tcPr>
            <w:tcW w:w="900" w:type="dxa"/>
            <w:vAlign w:val="bottom"/>
            <w:tcBorders>
              <w:left w:val="single" w:sz="8" w:color="CCEEFF"/>
              <w:right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9"/>
                <w:szCs w:val="19"/>
                <w:color w:val="auto"/>
                <w:vertAlign w:val="subscript"/>
              </w:rPr>
              <w:t>—</w:t>
            </w:r>
          </w:p>
        </w:tc>
        <w:tc>
          <w:tcPr>
            <w:tcW w:w="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tcBorders>
              <w:right w:val="single" w:sz="8" w:color="CCEEFF"/>
            </w:tcBorders>
            <w:gridSpan w:val="2"/>
            <w:shd w:val="clear" w:color="auto" w:fill="CCEEFF"/>
          </w:tcPr>
          <w:p>
            <w:pPr>
              <w:jc w:val="right"/>
              <w:ind w:right="166"/>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16,885</w:t>
            </w:r>
          </w:p>
        </w:tc>
        <w:tc>
          <w:tcPr>
            <w:tcW w:w="700" w:type="dxa"/>
            <w:vAlign w:val="bottom"/>
            <w:gridSpan w:val="3"/>
            <w:shd w:val="clear" w:color="auto" w:fill="CCEEFF"/>
          </w:tcPr>
          <w:p>
            <w:pPr>
              <w:jc w:val="right"/>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1"/>
                <w:szCs w:val="11"/>
                <w:color w:val="auto"/>
              </w:rPr>
              <w:t>3,458.999</w:t>
            </w:r>
          </w:p>
        </w:tc>
        <w:tc>
          <w:tcPr>
            <w:tcW w:w="0" w:type="dxa"/>
            <w:vAlign w:val="bottom"/>
          </w:tcPr>
          <w:p>
            <w:pPr>
              <w:spacing w:after="0"/>
              <w:rPr>
                <w:sz w:val="1"/>
                <w:szCs w:val="1"/>
                <w:color w:val="auto"/>
              </w:rPr>
            </w:pPr>
          </w:p>
        </w:tc>
      </w:tr>
      <w:tr>
        <w:trPr>
          <w:trHeight w:val="230"/>
        </w:trPr>
        <w:tc>
          <w:tcPr>
            <w:tcW w:w="20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President and Chief</w:t>
            </w:r>
          </w:p>
        </w:tc>
        <w:tc>
          <w:tcPr>
            <w:tcW w:w="940" w:type="dxa"/>
            <w:vAlign w:val="bottom"/>
            <w:tcBorders>
              <w:right w:val="single" w:sz="8" w:color="CCEEFF"/>
            </w:tcBorders>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2022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659,682</w:t>
            </w:r>
          </w:p>
        </w:tc>
        <w:tc>
          <w:tcPr>
            <w:tcW w:w="400" w:type="dxa"/>
            <w:vAlign w:val="bottom"/>
            <w:tcBorders>
              <w:right w:val="single" w:sz="8" w:color="CCEEFF"/>
            </w:tcBorders>
            <w:shd w:val="clear" w:color="auto" w:fill="CCEEFF"/>
          </w:tcPr>
          <w:p>
            <w:pPr>
              <w:jc w:val="right"/>
              <w:ind w:right="51"/>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60" w:type="dxa"/>
            <w:vAlign w:val="bottom"/>
            <w:tcBorders>
              <w:right w:val="single" w:sz="8" w:color="CCEEFF"/>
            </w:tcBorders>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1,951,273</w:t>
            </w:r>
          </w:p>
        </w:tc>
        <w:tc>
          <w:tcPr>
            <w:tcW w:w="480" w:type="dxa"/>
            <w:vAlign w:val="bottom"/>
            <w:tcBorders>
              <w:right w:val="single" w:sz="8" w:color="CCEEFF"/>
            </w:tcBorders>
            <w:shd w:val="clear" w:color="auto" w:fill="CCEEFF"/>
          </w:tcPr>
          <w:p>
            <w:pPr>
              <w:jc w:val="right"/>
              <w:ind w:right="91"/>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CEEFF"/>
            </w:tcBorders>
            <w:gridSpan w:val="2"/>
            <w:shd w:val="clear" w:color="auto" w:fill="CCEEFF"/>
          </w:tcPr>
          <w:p>
            <w:pPr>
              <w:jc w:val="right"/>
              <w:ind w:right="126"/>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725,069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CCEEFF"/>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4"/>
                <w:szCs w:val="14"/>
                <w:color w:val="auto"/>
                <w:w w:val="92"/>
              </w:rPr>
              <w:t>​</w:t>
            </w:r>
            <w:r>
              <w:rPr>
                <w:rFonts w:ascii="Times New Roman" w:cs="Times New Roman" w:eastAsia="Times New Roman" w:hAnsi="Times New Roman"/>
                <w:sz w:val="26"/>
                <w:szCs w:val="26"/>
                <w:color w:val="auto"/>
                <w:w w:val="92"/>
                <w:vertAlign w:val="sub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166"/>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12,200</w:t>
            </w:r>
          </w:p>
        </w:tc>
        <w:tc>
          <w:tcPr>
            <w:tcW w:w="70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3,348,224</w:t>
            </w:r>
          </w:p>
        </w:tc>
        <w:tc>
          <w:tcPr>
            <w:tcW w:w="0" w:type="dxa"/>
            <w:vAlign w:val="bottom"/>
          </w:tcPr>
          <w:p>
            <w:pPr>
              <w:spacing w:after="0"/>
              <w:rPr>
                <w:sz w:val="1"/>
                <w:szCs w:val="1"/>
                <w:color w:val="auto"/>
              </w:rPr>
            </w:pPr>
          </w:p>
        </w:tc>
      </w:tr>
      <w:tr>
        <w:trPr>
          <w:trHeight w:val="81"/>
        </w:trPr>
        <w:tc>
          <w:tcPr>
            <w:tcW w:w="2000" w:type="dxa"/>
            <w:vAlign w:val="bottom"/>
            <w:tcBorders>
              <w:right w:val="single" w:sz="8" w:color="CCEEFF"/>
            </w:tcBorders>
            <w:shd w:val="clear" w:color="auto" w:fill="CCEEFF"/>
          </w:tcPr>
          <w:p>
            <w:pPr>
              <w:ind w:left="160"/>
              <w:spacing w:after="0" w:line="81" w:lineRule="exact"/>
              <w:rPr>
                <w:sz w:val="20"/>
                <w:szCs w:val="20"/>
                <w:color w:val="auto"/>
              </w:rPr>
            </w:pPr>
            <w:r>
              <w:rPr>
                <w:rFonts w:ascii="Times New Roman" w:cs="Times New Roman" w:eastAsia="Times New Roman" w:hAnsi="Times New Roman"/>
                <w:sz w:val="9"/>
                <w:szCs w:val="9"/>
                <w:color w:val="auto"/>
              </w:rPr>
              <w:t>Executive Officer</w:t>
            </w:r>
          </w:p>
        </w:tc>
        <w:tc>
          <w:tcPr>
            <w:tcW w:w="940" w:type="dxa"/>
            <w:vAlign w:val="bottom"/>
            <w:tcBorders>
              <w:right w:val="single" w:sz="8" w:color="CCEEFF"/>
            </w:tcBorders>
            <w:gridSpan w:val="3"/>
            <w:vMerge w:val="restart"/>
            <w:shd w:val="clear" w:color="auto" w:fill="CCEEFF"/>
          </w:tcPr>
          <w:p>
            <w:pPr>
              <w:jc w:val="right"/>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2021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638,260</w:t>
            </w:r>
          </w:p>
        </w:tc>
        <w:tc>
          <w:tcPr>
            <w:tcW w:w="400" w:type="dxa"/>
            <w:vAlign w:val="bottom"/>
            <w:tcBorders>
              <w:right w:val="single" w:sz="8" w:color="CCEEFF"/>
            </w:tcBorders>
            <w:vMerge w:val="restart"/>
            <w:shd w:val="clear" w:color="auto" w:fill="CCEEFF"/>
          </w:tcPr>
          <w:p>
            <w:pPr>
              <w:jc w:val="right"/>
              <w:ind w:right="51"/>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760" w:type="dxa"/>
            <w:vAlign w:val="bottom"/>
            <w:tcBorders>
              <w:right w:val="single" w:sz="8" w:color="CCEEFF"/>
            </w:tcBorders>
            <w:gridSpan w:val="3"/>
            <w:vMerge w:val="restart"/>
            <w:shd w:val="clear" w:color="auto" w:fill="CCEEFF"/>
          </w:tcPr>
          <w:p>
            <w:pPr>
              <w:jc w:val="right"/>
              <w:spacing w:after="0" w:line="337" w:lineRule="exact"/>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1,535,147</w:t>
            </w:r>
          </w:p>
        </w:tc>
        <w:tc>
          <w:tcPr>
            <w:tcW w:w="480" w:type="dxa"/>
            <w:vAlign w:val="bottom"/>
            <w:tcBorders>
              <w:right w:val="single" w:sz="8" w:color="CCEEFF"/>
            </w:tcBorders>
            <w:vMerge w:val="restart"/>
            <w:shd w:val="clear" w:color="auto" w:fill="CCEEFF"/>
          </w:tcPr>
          <w:p>
            <w:pPr>
              <w:jc w:val="right"/>
              <w:ind w:right="91"/>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CEEFF"/>
            </w:tcBorders>
            <w:gridSpan w:val="2"/>
            <w:vMerge w:val="restart"/>
            <w:shd w:val="clear" w:color="auto" w:fill="CCEEFF"/>
          </w:tcPr>
          <w:p>
            <w:pPr>
              <w:jc w:val="right"/>
              <w:ind w:right="126"/>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899,312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CCEEFF"/>
              <w:right w:val="single" w:sz="8" w:color="CCEEFF"/>
            </w:tcBorders>
            <w:vMerge w:val="restart"/>
            <w:shd w:val="clear" w:color="auto" w:fill="CCEEFF"/>
          </w:tcPr>
          <w:p>
            <w:pPr>
              <w:jc w:val="center"/>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vMerge w:val="restart"/>
            <w:shd w:val="clear" w:color="auto" w:fill="CCEEFF"/>
          </w:tcPr>
          <w:p>
            <w:pPr>
              <w:jc w:val="right"/>
              <w:ind w:right="166"/>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19,790</w:t>
            </w:r>
          </w:p>
        </w:tc>
        <w:tc>
          <w:tcPr>
            <w:tcW w:w="700" w:type="dxa"/>
            <w:vAlign w:val="bottom"/>
            <w:gridSpan w:val="3"/>
            <w:vMerge w:val="restart"/>
            <w:shd w:val="clear" w:color="auto" w:fill="CCEEFF"/>
          </w:tcPr>
          <w:p>
            <w:pPr>
              <w:jc w:val="right"/>
              <w:spacing w:after="0" w:line="33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3,092,509</w:t>
            </w:r>
          </w:p>
        </w:tc>
        <w:tc>
          <w:tcPr>
            <w:tcW w:w="0" w:type="dxa"/>
            <w:vAlign w:val="bottom"/>
          </w:tcPr>
          <w:p>
            <w:pPr>
              <w:spacing w:after="0"/>
              <w:rPr>
                <w:sz w:val="1"/>
                <w:szCs w:val="1"/>
                <w:color w:val="auto"/>
              </w:rPr>
            </w:pPr>
          </w:p>
        </w:tc>
      </w:tr>
      <w:tr>
        <w:trPr>
          <w:trHeight w:val="257"/>
        </w:trPr>
        <w:tc>
          <w:tcPr>
            <w:tcW w:w="2000" w:type="dxa"/>
            <w:vAlign w:val="bottom"/>
            <w:tcBorders>
              <w:right w:val="single" w:sz="8" w:color="CCEEFF"/>
            </w:tcBorders>
            <w:shd w:val="clear" w:color="auto" w:fill="CCEEFF"/>
          </w:tcPr>
          <w:p>
            <w:pPr>
              <w:spacing w:after="0"/>
              <w:rPr>
                <w:sz w:val="22"/>
                <w:szCs w:val="22"/>
                <w:color w:val="auto"/>
              </w:rPr>
            </w:pPr>
          </w:p>
        </w:tc>
        <w:tc>
          <w:tcPr>
            <w:tcW w:w="940" w:type="dxa"/>
            <w:vAlign w:val="bottom"/>
            <w:tcBorders>
              <w:right w:val="single" w:sz="8" w:color="CCEEFF"/>
            </w:tcBorders>
            <w:gridSpan w:val="3"/>
            <w:vMerge w:val="continue"/>
            <w:shd w:val="clear" w:color="auto" w:fill="CCEEFF"/>
          </w:tcPr>
          <w:p>
            <w:pPr>
              <w:spacing w:after="0"/>
              <w:rPr>
                <w:sz w:val="22"/>
                <w:szCs w:val="22"/>
                <w:color w:val="auto"/>
              </w:rPr>
            </w:pPr>
          </w:p>
        </w:tc>
        <w:tc>
          <w:tcPr>
            <w:tcW w:w="400" w:type="dxa"/>
            <w:vAlign w:val="bottom"/>
            <w:tcBorders>
              <w:right w:val="single" w:sz="8" w:color="CCEEFF"/>
            </w:tcBorders>
            <w:vMerge w:val="continue"/>
            <w:shd w:val="clear" w:color="auto" w:fill="CCEEFF"/>
          </w:tcPr>
          <w:p>
            <w:pPr>
              <w:spacing w:after="0"/>
              <w:rPr>
                <w:sz w:val="22"/>
                <w:szCs w:val="22"/>
                <w:color w:val="auto"/>
              </w:rPr>
            </w:pPr>
          </w:p>
        </w:tc>
        <w:tc>
          <w:tcPr>
            <w:tcW w:w="760" w:type="dxa"/>
            <w:vAlign w:val="bottom"/>
            <w:tcBorders>
              <w:right w:val="single" w:sz="8" w:color="CCEEFF"/>
            </w:tcBorders>
            <w:gridSpan w:val="3"/>
            <w:vMerge w:val="continue"/>
            <w:shd w:val="clear" w:color="auto" w:fill="CCEEFF"/>
          </w:tcPr>
          <w:p>
            <w:pPr>
              <w:spacing w:after="0"/>
              <w:rPr>
                <w:sz w:val="22"/>
                <w:szCs w:val="22"/>
                <w:color w:val="auto"/>
              </w:rPr>
            </w:pPr>
          </w:p>
        </w:tc>
        <w:tc>
          <w:tcPr>
            <w:tcW w:w="480" w:type="dxa"/>
            <w:vAlign w:val="bottom"/>
            <w:tcBorders>
              <w:right w:val="single" w:sz="8" w:color="CCEEFF"/>
            </w:tcBorders>
            <w:vMerge w:val="continue"/>
            <w:shd w:val="clear" w:color="auto" w:fill="CCEEFF"/>
          </w:tcPr>
          <w:p>
            <w:pPr>
              <w:spacing w:after="0"/>
              <w:rPr>
                <w:sz w:val="22"/>
                <w:szCs w:val="22"/>
                <w:color w:val="auto"/>
              </w:rPr>
            </w:pPr>
          </w:p>
        </w:tc>
        <w:tc>
          <w:tcPr>
            <w:tcW w:w="120" w:type="dxa"/>
            <w:vAlign w:val="bottom"/>
            <w:gridSpan w:val="2"/>
            <w:vMerge w:val="continue"/>
            <w:shd w:val="clear" w:color="auto" w:fill="CCEEFF"/>
          </w:tcPr>
          <w:p>
            <w:pPr>
              <w:spacing w:after="0"/>
              <w:rPr>
                <w:sz w:val="22"/>
                <w:szCs w:val="22"/>
                <w:color w:val="auto"/>
              </w:rPr>
            </w:pPr>
          </w:p>
        </w:tc>
        <w:tc>
          <w:tcPr>
            <w:tcW w:w="840" w:type="dxa"/>
            <w:vAlign w:val="bottom"/>
            <w:tcBorders>
              <w:right w:val="single" w:sz="8" w:color="CCEEFF"/>
            </w:tcBorders>
            <w:gridSpan w:val="2"/>
            <w:vMerge w:val="continue"/>
            <w:shd w:val="clear" w:color="auto" w:fill="CCEEFF"/>
          </w:tcPr>
          <w:p>
            <w:pPr>
              <w:spacing w:after="0"/>
              <w:rPr>
                <w:sz w:val="22"/>
                <w:szCs w:val="22"/>
                <w:color w:val="auto"/>
              </w:rPr>
            </w:pPr>
          </w:p>
        </w:tc>
        <w:tc>
          <w:tcPr>
            <w:tcW w:w="80" w:type="dxa"/>
            <w:vAlign w:val="bottom"/>
            <w:vMerge w:val="continue"/>
            <w:shd w:val="clear" w:color="auto" w:fill="CCEEFF"/>
          </w:tcPr>
          <w:p>
            <w:pPr>
              <w:spacing w:after="0"/>
              <w:rPr>
                <w:sz w:val="22"/>
                <w:szCs w:val="22"/>
                <w:color w:val="auto"/>
              </w:rPr>
            </w:pPr>
          </w:p>
        </w:tc>
        <w:tc>
          <w:tcPr>
            <w:tcW w:w="900" w:type="dxa"/>
            <w:vAlign w:val="bottom"/>
            <w:tcBorders>
              <w:left w:val="single" w:sz="8" w:color="CCEEFF"/>
              <w:right w:val="single" w:sz="8" w:color="CCEEFF"/>
            </w:tcBorders>
            <w:vMerge w:val="continue"/>
            <w:shd w:val="clear" w:color="auto" w:fill="CCEEFF"/>
          </w:tcPr>
          <w:p>
            <w:pPr>
              <w:spacing w:after="0"/>
              <w:rPr>
                <w:sz w:val="22"/>
                <w:szCs w:val="22"/>
                <w:color w:val="auto"/>
              </w:rPr>
            </w:pPr>
          </w:p>
        </w:tc>
        <w:tc>
          <w:tcPr>
            <w:tcW w:w="160" w:type="dxa"/>
            <w:vAlign w:val="bottom"/>
            <w:gridSpan w:val="2"/>
            <w:vMerge w:val="continue"/>
            <w:shd w:val="clear" w:color="auto" w:fill="CCEEFF"/>
          </w:tcPr>
          <w:p>
            <w:pPr>
              <w:spacing w:after="0"/>
              <w:rPr>
                <w:sz w:val="22"/>
                <w:szCs w:val="22"/>
                <w:color w:val="auto"/>
              </w:rPr>
            </w:pPr>
          </w:p>
        </w:tc>
        <w:tc>
          <w:tcPr>
            <w:tcW w:w="820" w:type="dxa"/>
            <w:vAlign w:val="bottom"/>
            <w:tcBorders>
              <w:right w:val="single" w:sz="8" w:color="CCEEFF"/>
            </w:tcBorders>
            <w:gridSpan w:val="2"/>
            <w:vMerge w:val="continue"/>
            <w:shd w:val="clear" w:color="auto" w:fill="CCEEFF"/>
          </w:tcPr>
          <w:p>
            <w:pPr>
              <w:spacing w:after="0"/>
              <w:rPr>
                <w:sz w:val="22"/>
                <w:szCs w:val="22"/>
                <w:color w:val="auto"/>
              </w:rPr>
            </w:pPr>
          </w:p>
        </w:tc>
        <w:tc>
          <w:tcPr>
            <w:tcW w:w="700" w:type="dxa"/>
            <w:vAlign w:val="bottom"/>
            <w:gridSpan w:val="3"/>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Sarah Rubenstein</w:t>
            </w:r>
          </w:p>
        </w:tc>
        <w:tc>
          <w:tcPr>
            <w:tcW w:w="94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2023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369,365</w:t>
            </w:r>
          </w:p>
        </w:tc>
        <w:tc>
          <w:tcPr>
            <w:tcW w:w="400" w:type="dxa"/>
            <w:vAlign w:val="bottom"/>
          </w:tcPr>
          <w:p>
            <w:pPr>
              <w:jc w:val="right"/>
              <w:ind w:right="51"/>
              <w:spacing w:after="0" w:line="17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464,062</w:t>
            </w:r>
          </w:p>
        </w:tc>
        <w:tc>
          <w:tcPr>
            <w:tcW w:w="480" w:type="dxa"/>
            <w:vAlign w:val="bottom"/>
          </w:tcPr>
          <w:p>
            <w:pPr>
              <w:jc w:val="right"/>
              <w:ind w:right="91"/>
              <w:spacing w:after="0" w:line="17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126"/>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200,200</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166"/>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13,200</w:t>
            </w:r>
          </w:p>
        </w:tc>
        <w:tc>
          <w:tcPr>
            <w:tcW w:w="700" w:type="dxa"/>
            <w:vAlign w:val="bottom"/>
            <w:gridSpan w:val="3"/>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1,046,827</w:t>
            </w:r>
          </w:p>
        </w:tc>
        <w:tc>
          <w:tcPr>
            <w:tcW w:w="0" w:type="dxa"/>
            <w:vAlign w:val="bottom"/>
          </w:tcPr>
          <w:p>
            <w:pPr>
              <w:spacing w:after="0"/>
              <w:rPr>
                <w:sz w:val="1"/>
                <w:szCs w:val="1"/>
                <w:color w:val="auto"/>
              </w:rPr>
            </w:pPr>
          </w:p>
        </w:tc>
      </w:tr>
      <w:tr>
        <w:trPr>
          <w:trHeight w:val="149"/>
        </w:trPr>
        <w:tc>
          <w:tcPr>
            <w:tcW w:w="2000" w:type="dxa"/>
            <w:vAlign w:val="bottom"/>
          </w:tcPr>
          <w:p>
            <w:pPr>
              <w:ind w:left="160"/>
              <w:spacing w:after="0" w:line="149" w:lineRule="exact"/>
              <w:rPr>
                <w:sz w:val="20"/>
                <w:szCs w:val="20"/>
                <w:color w:val="auto"/>
              </w:rPr>
            </w:pPr>
            <w:r>
              <w:rPr>
                <w:rFonts w:ascii="Times New Roman" w:cs="Times New Roman" w:eastAsia="Times New Roman" w:hAnsi="Times New Roman"/>
                <w:sz w:val="15"/>
                <w:szCs w:val="15"/>
                <w:color w:val="auto"/>
              </w:rPr>
              <w:t>Executive Vice President</w:t>
            </w:r>
          </w:p>
        </w:tc>
        <w:tc>
          <w:tcPr>
            <w:tcW w:w="940" w:type="dxa"/>
            <w:vAlign w:val="bottom"/>
            <w:gridSpan w:val="3"/>
            <w:vMerge w:val="restart"/>
          </w:tcPr>
          <w:p>
            <w:pPr>
              <w:jc w:val="right"/>
              <w:spacing w:after="0" w:line="29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2022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324,197</w:t>
            </w:r>
          </w:p>
        </w:tc>
        <w:tc>
          <w:tcPr>
            <w:tcW w:w="400" w:type="dxa"/>
            <w:vAlign w:val="bottom"/>
            <w:vMerge w:val="restart"/>
          </w:tcPr>
          <w:p>
            <w:pPr>
              <w:jc w:val="right"/>
              <w:ind w:right="51"/>
              <w:spacing w:after="0" w:line="29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378,417</w:t>
            </w:r>
          </w:p>
        </w:tc>
        <w:tc>
          <w:tcPr>
            <w:tcW w:w="480" w:type="dxa"/>
            <w:vAlign w:val="bottom"/>
            <w:vMerge w:val="restart"/>
          </w:tcPr>
          <w:p>
            <w:pPr>
              <w:jc w:val="right"/>
              <w:ind w:right="91"/>
              <w:spacing w:after="0" w:line="29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vMerge w:val="restart"/>
          </w:tcPr>
          <w:p>
            <w:pPr>
              <w:jc w:val="right"/>
              <w:ind w:right="126"/>
              <w:spacing w:after="0" w:line="29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177,125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vMerge w:val="restart"/>
          </w:tcPr>
          <w:p>
            <w:pPr>
              <w:jc w:val="center"/>
              <w:spacing w:after="0" w:line="297" w:lineRule="exact"/>
              <w:rPr>
                <w:sz w:val="20"/>
                <w:szCs w:val="20"/>
                <w:color w:val="auto"/>
              </w:rPr>
            </w:pPr>
            <w:r>
              <w:rPr>
                <w:rFonts w:ascii="Times New Roman" w:cs="Times New Roman" w:eastAsia="Times New Roman" w:hAnsi="Times New Roman"/>
                <w:sz w:val="15"/>
                <w:szCs w:val="15"/>
                <w:color w:val="auto"/>
                <w:w w:val="79"/>
              </w:rPr>
              <w:t>​</w:t>
            </w:r>
            <w:r>
              <w:rPr>
                <w:rFonts w:ascii="Times New Roman" w:cs="Times New Roman" w:eastAsia="Times New Roman" w:hAnsi="Times New Roman"/>
                <w:sz w:val="30"/>
                <w:szCs w:val="30"/>
                <w:color w:val="auto"/>
                <w:w w:val="79"/>
                <w:vertAlign w:val="subscript"/>
              </w:rPr>
              <w:t>—</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vMerge w:val="restart"/>
          </w:tcPr>
          <w:p>
            <w:pPr>
              <w:jc w:val="right"/>
              <w:ind w:right="166"/>
              <w:spacing w:after="0" w:line="297"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12,200</w:t>
            </w:r>
          </w:p>
        </w:tc>
        <w:tc>
          <w:tcPr>
            <w:tcW w:w="1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891,939</w:t>
            </w:r>
          </w:p>
        </w:tc>
        <w:tc>
          <w:tcPr>
            <w:tcW w:w="0" w:type="dxa"/>
            <w:vAlign w:val="bottom"/>
          </w:tcPr>
          <w:p>
            <w:pPr>
              <w:spacing w:after="0"/>
              <w:rPr>
                <w:sz w:val="1"/>
                <w:szCs w:val="1"/>
                <w:color w:val="auto"/>
              </w:rPr>
            </w:pPr>
          </w:p>
        </w:tc>
      </w:tr>
      <w:tr>
        <w:trPr>
          <w:trHeight w:val="148"/>
        </w:trPr>
        <w:tc>
          <w:tcPr>
            <w:tcW w:w="2000" w:type="dxa"/>
            <w:vAlign w:val="bottom"/>
          </w:tcPr>
          <w:p>
            <w:pPr>
              <w:ind w:left="160"/>
              <w:spacing w:after="0" w:line="149" w:lineRule="exact"/>
              <w:rPr>
                <w:sz w:val="20"/>
                <w:szCs w:val="20"/>
                <w:color w:val="auto"/>
              </w:rPr>
            </w:pPr>
            <w:r>
              <w:rPr>
                <w:rFonts w:ascii="Times New Roman" w:cs="Times New Roman" w:eastAsia="Times New Roman" w:hAnsi="Times New Roman"/>
                <w:sz w:val="15"/>
                <w:szCs w:val="15"/>
                <w:color w:val="auto"/>
              </w:rPr>
              <w:t>and Chief Financial Officer</w:t>
            </w:r>
          </w:p>
        </w:tc>
        <w:tc>
          <w:tcPr>
            <w:tcW w:w="940" w:type="dxa"/>
            <w:vAlign w:val="bottom"/>
            <w:gridSpan w:val="3"/>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000" w:type="dxa"/>
            <w:vAlign w:val="bottom"/>
          </w:tcPr>
          <w:p>
            <w:pPr>
              <w:spacing w:after="0"/>
              <w:rPr>
                <w:sz w:val="23"/>
                <w:szCs w:val="23"/>
                <w:color w:val="auto"/>
              </w:rPr>
            </w:pPr>
          </w:p>
        </w:tc>
        <w:tc>
          <w:tcPr>
            <w:tcW w:w="420" w:type="dxa"/>
            <w:vAlign w:val="bottom"/>
            <w:gridSpan w:val="2"/>
          </w:tcPr>
          <w:p>
            <w:pPr>
              <w:spacing w:after="0" w:line="269"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2021 </w:t>
            </w:r>
            <w:r>
              <w:rPr>
                <w:rFonts w:ascii="Times New Roman" w:cs="Times New Roman" w:eastAsia="Times New Roman" w:hAnsi="Times New Roman"/>
                <w:sz w:val="30"/>
                <w:szCs w:val="30"/>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ind w:right="51"/>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ind w:right="91"/>
              <w:spacing w:after="0" w:line="269"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center"/>
              <w:spacing w:after="0" w:line="269" w:lineRule="exact"/>
              <w:rPr>
                <w:sz w:val="20"/>
                <w:szCs w:val="20"/>
                <w:color w:val="auto"/>
              </w:rPr>
            </w:pPr>
            <w:r>
              <w:rPr>
                <w:rFonts w:ascii="Times New Roman" w:cs="Times New Roman" w:eastAsia="Times New Roman" w:hAnsi="Times New Roman"/>
                <w:sz w:val="15"/>
                <w:szCs w:val="15"/>
                <w:color w:val="auto"/>
                <w:w w:val="79"/>
              </w:rPr>
              <w:t>​</w:t>
            </w:r>
            <w:r>
              <w:rPr>
                <w:rFonts w:ascii="Times New Roman" w:cs="Times New Roman" w:eastAsia="Times New Roman" w:hAnsi="Times New Roman"/>
                <w:sz w:val="30"/>
                <w:szCs w:val="30"/>
                <w:color w:val="auto"/>
                <w:w w:val="79"/>
                <w:vertAlign w:val="subscript"/>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5"/>
        </w:trPr>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Kevin P. Malcarney</w:t>
            </w:r>
          </w:p>
        </w:tc>
        <w:tc>
          <w:tcPr>
            <w:tcW w:w="940" w:type="dxa"/>
            <w:vAlign w:val="bottom"/>
            <w:tcBorders>
              <w:right w:val="single" w:sz="8" w:color="CCEEFF"/>
            </w:tcBorders>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 xml:space="preserve">2023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410,154</w:t>
            </w:r>
          </w:p>
        </w:tc>
        <w:tc>
          <w:tcPr>
            <w:tcW w:w="400" w:type="dxa"/>
            <w:vAlign w:val="bottom"/>
            <w:tcBorders>
              <w:right w:val="single" w:sz="8" w:color="CCEEFF"/>
            </w:tcBorders>
            <w:shd w:val="clear" w:color="auto" w:fill="CCEEFF"/>
          </w:tcPr>
          <w:p>
            <w:pPr>
              <w:jc w:val="right"/>
              <w:ind w:right="51"/>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496,605</w:t>
            </w:r>
          </w:p>
        </w:tc>
        <w:tc>
          <w:tcPr>
            <w:tcW w:w="480" w:type="dxa"/>
            <w:vAlign w:val="bottom"/>
            <w:tcBorders>
              <w:right w:val="single" w:sz="8" w:color="CCEEFF"/>
            </w:tcBorders>
            <w:shd w:val="clear" w:color="auto" w:fill="CCEEFF"/>
          </w:tcPr>
          <w:p>
            <w:pPr>
              <w:jc w:val="right"/>
              <w:ind w:right="91"/>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CEEFF"/>
            </w:tcBorders>
            <w:gridSpan w:val="2"/>
            <w:shd w:val="clear" w:color="auto" w:fill="CCEEFF"/>
          </w:tcPr>
          <w:p>
            <w:pPr>
              <w:jc w:val="right"/>
              <w:ind w:right="126"/>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214,240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CCEEFF"/>
              <w:right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166"/>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16,200</w:t>
            </w:r>
          </w:p>
        </w:tc>
        <w:tc>
          <w:tcPr>
            <w:tcW w:w="70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1,137,199</w:t>
            </w:r>
          </w:p>
        </w:tc>
        <w:tc>
          <w:tcPr>
            <w:tcW w:w="0" w:type="dxa"/>
            <w:vAlign w:val="bottom"/>
          </w:tcPr>
          <w:p>
            <w:pPr>
              <w:spacing w:after="0"/>
              <w:rPr>
                <w:sz w:val="1"/>
                <w:szCs w:val="1"/>
                <w:color w:val="auto"/>
              </w:rPr>
            </w:pPr>
          </w:p>
        </w:tc>
      </w:tr>
      <w:tr>
        <w:trPr>
          <w:trHeight w:val="230"/>
        </w:trPr>
        <w:tc>
          <w:tcPr>
            <w:tcW w:w="20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Executive Vice President,</w:t>
            </w:r>
          </w:p>
        </w:tc>
        <w:tc>
          <w:tcPr>
            <w:tcW w:w="940" w:type="dxa"/>
            <w:vAlign w:val="bottom"/>
            <w:tcBorders>
              <w:right w:val="single" w:sz="8" w:color="CCEEFF"/>
            </w:tcBorders>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2022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398,461</w:t>
            </w:r>
          </w:p>
        </w:tc>
        <w:tc>
          <w:tcPr>
            <w:tcW w:w="400" w:type="dxa"/>
            <w:vAlign w:val="bottom"/>
            <w:tcBorders>
              <w:right w:val="single" w:sz="8" w:color="CCEEFF"/>
            </w:tcBorders>
            <w:shd w:val="clear" w:color="auto" w:fill="CCEEFF"/>
          </w:tcPr>
          <w:p>
            <w:pPr>
              <w:jc w:val="right"/>
              <w:ind w:right="51"/>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465,703</w:t>
            </w:r>
          </w:p>
        </w:tc>
        <w:tc>
          <w:tcPr>
            <w:tcW w:w="480" w:type="dxa"/>
            <w:vAlign w:val="bottom"/>
            <w:tcBorders>
              <w:right w:val="single" w:sz="8" w:color="CCEEFF"/>
            </w:tcBorders>
            <w:shd w:val="clear" w:color="auto" w:fill="CCEEFF"/>
          </w:tcPr>
          <w:p>
            <w:pPr>
              <w:jc w:val="right"/>
              <w:ind w:right="91"/>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CEEFF"/>
            </w:tcBorders>
            <w:gridSpan w:val="2"/>
            <w:shd w:val="clear" w:color="auto" w:fill="CCEEFF"/>
          </w:tcPr>
          <w:p>
            <w:pPr>
              <w:jc w:val="right"/>
              <w:ind w:right="126"/>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283,400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CCEEFF"/>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4"/>
                <w:szCs w:val="14"/>
                <w:color w:val="auto"/>
                <w:w w:val="92"/>
              </w:rPr>
              <w:t>​</w:t>
            </w:r>
            <w:r>
              <w:rPr>
                <w:rFonts w:ascii="Times New Roman" w:cs="Times New Roman" w:eastAsia="Times New Roman" w:hAnsi="Times New Roman"/>
                <w:sz w:val="26"/>
                <w:szCs w:val="26"/>
                <w:color w:val="auto"/>
                <w:w w:val="92"/>
                <w:vertAlign w:val="subscript"/>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shd w:val="clear" w:color="auto" w:fill="CCEEFF"/>
          </w:tcPr>
          <w:p>
            <w:pPr>
              <w:jc w:val="right"/>
              <w:ind w:right="166"/>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12,850</w:t>
            </w:r>
          </w:p>
        </w:tc>
        <w:tc>
          <w:tcPr>
            <w:tcW w:w="700" w:type="dxa"/>
            <w:vAlign w:val="bottom"/>
            <w:gridSpan w:val="3"/>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1,160,414</w:t>
            </w:r>
          </w:p>
        </w:tc>
        <w:tc>
          <w:tcPr>
            <w:tcW w:w="0" w:type="dxa"/>
            <w:vAlign w:val="bottom"/>
          </w:tcPr>
          <w:p>
            <w:pPr>
              <w:spacing w:after="0"/>
              <w:rPr>
                <w:sz w:val="1"/>
                <w:szCs w:val="1"/>
                <w:color w:val="auto"/>
              </w:rPr>
            </w:pPr>
          </w:p>
        </w:tc>
      </w:tr>
      <w:tr>
        <w:trPr>
          <w:trHeight w:val="81"/>
        </w:trPr>
        <w:tc>
          <w:tcPr>
            <w:tcW w:w="2000" w:type="dxa"/>
            <w:vAlign w:val="bottom"/>
            <w:tcBorders>
              <w:right w:val="single" w:sz="8" w:color="CCEEFF"/>
            </w:tcBorders>
            <w:shd w:val="clear" w:color="auto" w:fill="CCEEFF"/>
          </w:tcPr>
          <w:p>
            <w:pPr>
              <w:ind w:left="160"/>
              <w:spacing w:after="0" w:line="81" w:lineRule="exact"/>
              <w:rPr>
                <w:sz w:val="20"/>
                <w:szCs w:val="20"/>
                <w:color w:val="auto"/>
              </w:rPr>
            </w:pPr>
            <w:r>
              <w:rPr>
                <w:rFonts w:ascii="Times New Roman" w:cs="Times New Roman" w:eastAsia="Times New Roman" w:hAnsi="Times New Roman"/>
                <w:sz w:val="9"/>
                <w:szCs w:val="9"/>
                <w:color w:val="auto"/>
              </w:rPr>
              <w:t>General Counsel and</w:t>
            </w:r>
          </w:p>
        </w:tc>
        <w:tc>
          <w:tcPr>
            <w:tcW w:w="9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2021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323,991</w:t>
            </w:r>
          </w:p>
        </w:tc>
        <w:tc>
          <w:tcPr>
            <w:tcW w:w="400" w:type="dxa"/>
            <w:vAlign w:val="bottom"/>
            <w:tcBorders>
              <w:right w:val="single" w:sz="8" w:color="CCEEFF"/>
            </w:tcBorders>
            <w:vMerge w:val="restart"/>
            <w:shd w:val="clear" w:color="auto" w:fill="CCEEFF"/>
          </w:tcPr>
          <w:p>
            <w:pPr>
              <w:jc w:val="right"/>
              <w:ind w:right="5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640" w:type="dxa"/>
            <w:vAlign w:val="bottom"/>
            <w:tcBorders>
              <w:right w:val="single" w:sz="8" w:color="CCEEFF"/>
            </w:tcBorders>
            <w:shd w:val="clear" w:color="auto" w:fill="CCEEFF"/>
          </w:tcPr>
          <w:p>
            <w:pPr>
              <w:spacing w:after="0"/>
              <w:rPr>
                <w:sz w:val="7"/>
                <w:szCs w:val="7"/>
                <w:color w:val="auto"/>
              </w:rPr>
            </w:pPr>
          </w:p>
        </w:tc>
        <w:tc>
          <w:tcPr>
            <w:tcW w:w="480" w:type="dxa"/>
            <w:vAlign w:val="bottom"/>
            <w:tcBorders>
              <w:right w:val="single" w:sz="8" w:color="CCEEFF"/>
            </w:tcBorders>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CCEEFF"/>
            </w:tcBorders>
            <w:gridSpan w:val="2"/>
            <w:vMerge w:val="restart"/>
            <w:shd w:val="clear" w:color="auto" w:fill="CCEEFF"/>
          </w:tcPr>
          <w:p>
            <w:pPr>
              <w:jc w:val="right"/>
              <w:ind w:right="126"/>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274,368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left w:val="single" w:sz="8" w:color="CCEEFF"/>
              <w:righ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79"/>
              </w:rPr>
              <w:t>​</w:t>
            </w:r>
            <w:r>
              <w:rPr>
                <w:rFonts w:ascii="Times New Roman" w:cs="Times New Roman" w:eastAsia="Times New Roman" w:hAnsi="Times New Roman"/>
                <w:sz w:val="30"/>
                <w:szCs w:val="30"/>
                <w:color w:val="auto"/>
                <w:w w:val="79"/>
                <w:vertAlign w:val="subscript"/>
              </w:rPr>
              <w:t>—</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right w:val="single" w:sz="8" w:color="CCEEFF"/>
            </w:tcBorders>
            <w:gridSpan w:val="2"/>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12,550</w:t>
            </w:r>
          </w:p>
        </w:tc>
        <w:tc>
          <w:tcPr>
            <w:tcW w:w="1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0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Corporate Secretary</w:t>
            </w:r>
          </w:p>
        </w:tc>
        <w:tc>
          <w:tcPr>
            <w:tcW w:w="940" w:type="dxa"/>
            <w:vAlign w:val="bottom"/>
            <w:tcBorders>
              <w:right w:val="single" w:sz="8" w:color="CCEEFF"/>
            </w:tcBorders>
            <w:gridSpan w:val="3"/>
            <w:vMerge w:val="continue"/>
            <w:shd w:val="clear" w:color="auto" w:fill="CCEEFF"/>
          </w:tcPr>
          <w:p>
            <w:pPr>
              <w:spacing w:after="0"/>
              <w:rPr>
                <w:sz w:val="24"/>
                <w:szCs w:val="24"/>
                <w:color w:val="auto"/>
              </w:rPr>
            </w:pPr>
          </w:p>
        </w:tc>
        <w:tc>
          <w:tcPr>
            <w:tcW w:w="400" w:type="dxa"/>
            <w:vAlign w:val="bottom"/>
            <w:tcBorders>
              <w:right w:val="single" w:sz="8" w:color="CCEEFF"/>
            </w:tcBorders>
            <w:vMerge w:val="continue"/>
            <w:shd w:val="clear" w:color="auto" w:fill="CCEEFF"/>
          </w:tcPr>
          <w:p>
            <w:pPr>
              <w:spacing w:after="0"/>
              <w:rPr>
                <w:sz w:val="24"/>
                <w:szCs w:val="24"/>
                <w:color w:val="auto"/>
              </w:rPr>
            </w:pPr>
          </w:p>
        </w:tc>
        <w:tc>
          <w:tcPr>
            <w:tcW w:w="120" w:type="dxa"/>
            <w:vAlign w:val="bottom"/>
            <w:gridSpan w:val="2"/>
            <w:vMerge w:val="continue"/>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348,772</w:t>
            </w:r>
          </w:p>
        </w:tc>
        <w:tc>
          <w:tcPr>
            <w:tcW w:w="480" w:type="dxa"/>
            <w:vAlign w:val="bottom"/>
            <w:tcBorders>
              <w:right w:val="single" w:sz="8" w:color="CCEEFF"/>
            </w:tcBorders>
            <w:vMerge w:val="continue"/>
            <w:shd w:val="clear" w:color="auto" w:fill="CCEEFF"/>
          </w:tcPr>
          <w:p>
            <w:pPr>
              <w:spacing w:after="0"/>
              <w:rPr>
                <w:sz w:val="24"/>
                <w:szCs w:val="24"/>
                <w:color w:val="auto"/>
              </w:rPr>
            </w:pPr>
          </w:p>
        </w:tc>
        <w:tc>
          <w:tcPr>
            <w:tcW w:w="120" w:type="dxa"/>
            <w:vAlign w:val="bottom"/>
            <w:gridSpan w:val="2"/>
            <w:vMerge w:val="continue"/>
            <w:shd w:val="clear" w:color="auto" w:fill="CCEEFF"/>
          </w:tcPr>
          <w:p>
            <w:pPr>
              <w:spacing w:after="0"/>
              <w:rPr>
                <w:sz w:val="24"/>
                <w:szCs w:val="24"/>
                <w:color w:val="auto"/>
              </w:rPr>
            </w:pPr>
          </w:p>
        </w:tc>
        <w:tc>
          <w:tcPr>
            <w:tcW w:w="840" w:type="dxa"/>
            <w:vAlign w:val="bottom"/>
            <w:tcBorders>
              <w:right w:val="single" w:sz="8" w:color="CCEEFF"/>
            </w:tcBorders>
            <w:gridSpan w:val="2"/>
            <w:vMerge w:val="continue"/>
            <w:shd w:val="clear" w:color="auto" w:fill="CCEEFF"/>
          </w:tcPr>
          <w:p>
            <w:pPr>
              <w:spacing w:after="0"/>
              <w:rPr>
                <w:sz w:val="24"/>
                <w:szCs w:val="24"/>
                <w:color w:val="auto"/>
              </w:rPr>
            </w:pPr>
          </w:p>
        </w:tc>
        <w:tc>
          <w:tcPr>
            <w:tcW w:w="80" w:type="dxa"/>
            <w:vAlign w:val="bottom"/>
            <w:vMerge w:val="continue"/>
            <w:shd w:val="clear" w:color="auto" w:fill="CCEEFF"/>
          </w:tcPr>
          <w:p>
            <w:pPr>
              <w:spacing w:after="0"/>
              <w:rPr>
                <w:sz w:val="24"/>
                <w:szCs w:val="24"/>
                <w:color w:val="auto"/>
              </w:rPr>
            </w:pPr>
          </w:p>
        </w:tc>
        <w:tc>
          <w:tcPr>
            <w:tcW w:w="900" w:type="dxa"/>
            <w:vAlign w:val="bottom"/>
            <w:tcBorders>
              <w:left w:val="single" w:sz="8" w:color="CCEEFF"/>
              <w:right w:val="single" w:sz="8" w:color="CCEEFF"/>
            </w:tcBorders>
            <w:vMerge w:val="continue"/>
            <w:shd w:val="clear" w:color="auto" w:fill="CCEEFF"/>
          </w:tcPr>
          <w:p>
            <w:pPr>
              <w:spacing w:after="0"/>
              <w:rPr>
                <w:sz w:val="24"/>
                <w:szCs w:val="24"/>
                <w:color w:val="auto"/>
              </w:rPr>
            </w:pPr>
          </w:p>
        </w:tc>
        <w:tc>
          <w:tcPr>
            <w:tcW w:w="160" w:type="dxa"/>
            <w:vAlign w:val="bottom"/>
            <w:gridSpan w:val="2"/>
            <w:vMerge w:val="continue"/>
            <w:shd w:val="clear" w:color="auto" w:fill="CCEEFF"/>
          </w:tcPr>
          <w:p>
            <w:pPr>
              <w:spacing w:after="0"/>
              <w:rPr>
                <w:sz w:val="24"/>
                <w:szCs w:val="24"/>
                <w:color w:val="auto"/>
              </w:rPr>
            </w:pPr>
          </w:p>
        </w:tc>
        <w:tc>
          <w:tcPr>
            <w:tcW w:w="820" w:type="dxa"/>
            <w:vAlign w:val="bottom"/>
            <w:tcBorders>
              <w:right w:val="single" w:sz="8" w:color="CCEEFF"/>
            </w:tcBorders>
            <w:gridSpan w:val="2"/>
            <w:vMerge w:val="continue"/>
            <w:shd w:val="clear" w:color="auto" w:fill="CCEEFF"/>
          </w:tcPr>
          <w:p>
            <w:pPr>
              <w:spacing w:after="0"/>
              <w:rPr>
                <w:sz w:val="24"/>
                <w:szCs w:val="24"/>
                <w:color w:val="auto"/>
              </w:rPr>
            </w:pPr>
          </w:p>
        </w:tc>
        <w:tc>
          <w:tcPr>
            <w:tcW w:w="160" w:type="dxa"/>
            <w:vAlign w:val="bottom"/>
            <w:gridSpan w:val="2"/>
            <w:vMerge w:val="continue"/>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959,681</w:t>
            </w:r>
          </w:p>
        </w:tc>
        <w:tc>
          <w:tcPr>
            <w:tcW w:w="0" w:type="dxa"/>
            <w:vAlign w:val="bottom"/>
          </w:tcPr>
          <w:p>
            <w:pPr>
              <w:spacing w:after="0"/>
              <w:rPr>
                <w:sz w:val="1"/>
                <w:szCs w:val="1"/>
                <w:color w:val="auto"/>
              </w:rPr>
            </w:pPr>
          </w:p>
        </w:tc>
      </w:tr>
      <w:tr>
        <w:trPr>
          <w:trHeight w:val="256"/>
        </w:trPr>
        <w:tc>
          <w:tcPr>
            <w:tcW w:w="2000" w:type="dxa"/>
            <w:vAlign w:val="bottom"/>
            <w:tcBorders>
              <w:bottom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5557520</wp:posOffset>
            </wp:positionH>
            <wp:positionV relativeFrom="paragraph">
              <wp:posOffset>-1636395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-1636395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4323080</wp:posOffset>
            </wp:positionH>
            <wp:positionV relativeFrom="paragraph">
              <wp:posOffset>-1636395</wp:posOffset>
            </wp:positionV>
            <wp:extent cx="514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-1636395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-1636395</wp:posOffset>
            </wp:positionV>
            <wp:extent cx="34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2926080</wp:posOffset>
            </wp:positionH>
            <wp:positionV relativeFrom="paragraph">
              <wp:posOffset>-1636395</wp:posOffset>
            </wp:positionV>
            <wp:extent cx="34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-1636395</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-1636395</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-1636395</wp:posOffset>
            </wp:positionV>
            <wp:extent cx="34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24" w:lineRule="exact"/>
        <w:rPr>
          <w:sz w:val="20"/>
          <w:szCs w:val="20"/>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base salary earnings.</w:t>
      </w:r>
    </w:p>
    <w:p>
      <w:pPr>
        <w:spacing w:after="0" w:line="103" w:lineRule="exact"/>
        <w:rPr>
          <w:rFonts w:ascii="Times New Roman" w:cs="Times New Roman" w:eastAsia="Times New Roman" w:hAnsi="Times New Roman"/>
          <w:sz w:val="18"/>
          <w:szCs w:val="18"/>
          <w:color w:val="auto"/>
        </w:rPr>
      </w:pPr>
    </w:p>
    <w:p>
      <w:pPr>
        <w:ind w:left="1620" w:right="559" w:hanging="360"/>
        <w:spacing w:after="0" w:line="254"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Financial Accounting Standards Board Accounting Standards Codification Topic 718, Comparison — Stock Compensation. Clearway Energy, Inc. uses the Company’s Class C common stock price on the date of grant as the fair value of the Company’s RSUs. The fair value of RPSUs is estimated on the date of grant using a Monte Carlo simulation model. The number of RPSUs granted is based on the 10-day average closing price of the Company’s Class C common stock ending on the date of grant, which is intended to more closely reflect the compensation practices of the Compensation Peer Group companies. For RPSUs granted in 2023, if the maximum level of performance is achieved, the fair value will be approximately $2,214,738 for Mr. Sotos, $457,868 for Ms. Rubenstein and $489,941 for Mr. Malcarney.</w:t>
      </w:r>
    </w:p>
    <w:p>
      <w:pPr>
        <w:spacing w:after="0" w:line="66"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the annual incentive bonuses paid to the NEOs. Further information regarding the annual incentive bonuses is included in the “2023 Annual Incentive Bonuses” section of this CD&amp;A.</w:t>
      </w:r>
    </w:p>
    <w:p>
      <w:pPr>
        <w:spacing w:after="0" w:line="54"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not including the financial advisor’s travel or out-of-pocket expenses; legal fees incurred by Mr. Sotos in 2021 in connection with reviewing and finalizing his amended and restated employment agreement; and when applicable, the Company’s discretionary contribution to the 401(k) plan. The following table identifies the additional compensation for each NEO.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Financial</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Employer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6"/>
              </w:rPr>
              <w:t>Advisor</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Contribution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Legal</w:t>
            </w:r>
          </w:p>
        </w:tc>
        <w:tc>
          <w:tcPr>
            <w:tcW w:w="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0"/>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6"/>
                <w:szCs w:val="16"/>
                <w:color w:val="auto"/>
              </w:rPr>
            </w:pPr>
          </w:p>
        </w:tc>
        <w:tc>
          <w:tcPr>
            <w:tcW w:w="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0" w:type="dxa"/>
            <w:vAlign w:val="bottom"/>
          </w:tcPr>
          <w:p>
            <w:pPr>
              <w:spacing w:after="0"/>
              <w:rPr>
                <w:sz w:val="16"/>
                <w:szCs w:val="16"/>
                <w:color w:val="auto"/>
              </w:rPr>
            </w:pP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59"/>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Christopher S. Sotos</w:t>
            </w:r>
          </w:p>
        </w:tc>
        <w:tc>
          <w:tcPr>
            <w:tcW w:w="360" w:type="dxa"/>
            <w:vAlign w:val="bottom"/>
            <w:shd w:val="clear" w:color="auto" w:fill="CCEEFF"/>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2023</w:t>
            </w:r>
          </w:p>
        </w:tc>
        <w:tc>
          <w:tcPr>
            <w:tcW w:w="2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ind w:left="8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3,685</w:t>
            </w: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13,200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16,885</w:t>
            </w:r>
          </w:p>
        </w:tc>
        <w:tc>
          <w:tcPr>
            <w:tcW w:w="20" w:type="dxa"/>
            <w:vAlign w:val="bottom"/>
          </w:tcPr>
          <w:p>
            <w:pPr>
              <w:spacing w:after="0"/>
              <w:rPr>
                <w:sz w:val="22"/>
                <w:szCs w:val="22"/>
                <w:color w:val="auto"/>
              </w:rPr>
            </w:pPr>
          </w:p>
        </w:tc>
      </w:tr>
      <w:tr>
        <w:trPr>
          <w:trHeight w:val="270"/>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2022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gridSpan w:val="3"/>
            <w:shd w:val="clear" w:color="auto" w:fill="CCEEFF"/>
          </w:tcPr>
          <w:p>
            <w:pPr>
              <w:jc w:val="right"/>
              <w:ind w:right="90"/>
              <w:spacing w:after="0" w:line="269" w:lineRule="exact"/>
              <w:rPr>
                <w:sz w:val="20"/>
                <w:szCs w:val="20"/>
                <w:color w:val="auto"/>
              </w:rPr>
            </w:pPr>
            <w:r>
              <w:rPr>
                <w:rFonts w:ascii="Times New Roman" w:cs="Times New Roman" w:eastAsia="Times New Roman" w:hAnsi="Times New Roman"/>
                <w:sz w:val="31"/>
                <w:szCs w:val="31"/>
                <w:color w:val="auto"/>
                <w:vertAlign w:val="subscript"/>
                <w:shd w:val="clear" w:color="auto" w:fill="CCEEFF"/>
              </w:rPr>
              <w:t>—</w:t>
            </w:r>
            <w:r>
              <w:rPr>
                <w:rFonts w:ascii="Times New Roman" w:cs="Times New Roman" w:eastAsia="Times New Roman" w:hAnsi="Times New Roman"/>
                <w:sz w:val="17"/>
                <w:szCs w:val="17"/>
                <w:color w:val="auto"/>
                <w:shd w:val="clear" w:color="auto" w:fill="CCEEFF"/>
              </w:rPr>
              <w:t xml:space="preserve"> ​</w:t>
            </w:r>
          </w:p>
        </w:tc>
        <w:tc>
          <w:tcPr>
            <w:tcW w:w="780"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12,200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12,200</w:t>
            </w:r>
          </w:p>
        </w:tc>
        <w:tc>
          <w:tcPr>
            <w:tcW w:w="20" w:type="dxa"/>
            <w:vAlign w:val="bottom"/>
          </w:tcPr>
          <w:p>
            <w:pPr>
              <w:spacing w:after="0"/>
              <w:rPr>
                <w:sz w:val="23"/>
                <w:szCs w:val="23"/>
                <w:color w:val="auto"/>
              </w:rPr>
            </w:pPr>
          </w:p>
        </w:tc>
      </w:tr>
      <w:tr>
        <w:trPr>
          <w:trHeight w:val="302"/>
        </w:trPr>
        <w:tc>
          <w:tcPr>
            <w:tcW w:w="4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shd w:val="clear" w:color="auto" w:fill="CCEEFF"/>
              </w:rPr>
              <w:t>2021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gridSpan w:val="3"/>
            <w:shd w:val="clear" w:color="auto" w:fill="CCEEFF"/>
          </w:tcPr>
          <w:p>
            <w:pPr>
              <w:jc w:val="right"/>
              <w:ind w:right="90"/>
              <w:spacing w:after="0" w:line="302" w:lineRule="exact"/>
              <w:rPr>
                <w:sz w:val="20"/>
                <w:szCs w:val="20"/>
                <w:color w:val="auto"/>
              </w:rPr>
            </w:pPr>
            <w:r>
              <w:rPr>
                <w:rFonts w:ascii="Times New Roman" w:cs="Times New Roman" w:eastAsia="Times New Roman" w:hAnsi="Times New Roman"/>
                <w:sz w:val="34"/>
                <w:szCs w:val="34"/>
                <w:color w:val="auto"/>
                <w:vertAlign w:val="subscript"/>
                <w:shd w:val="clear" w:color="auto" w:fill="CCEEFF"/>
              </w:rPr>
              <w:t>—</w:t>
            </w:r>
            <w:r>
              <w:rPr>
                <w:rFonts w:ascii="Times New Roman" w:cs="Times New Roman" w:eastAsia="Times New Roman" w:hAnsi="Times New Roman"/>
                <w:sz w:val="18"/>
                <w:szCs w:val="18"/>
                <w:color w:val="auto"/>
                <w:shd w:val="clear" w:color="auto" w:fill="CCEEFF"/>
              </w:rPr>
              <w:t xml:space="preserve"> ​</w:t>
            </w:r>
          </w:p>
        </w:tc>
        <w:tc>
          <w:tcPr>
            <w:tcW w:w="780" w:type="dxa"/>
            <w:vAlign w:val="bottom"/>
            <w:gridSpan w:val="2"/>
            <w:shd w:val="clear" w:color="auto" w:fill="CCEEFF"/>
          </w:tcPr>
          <w:p>
            <w:pPr>
              <w:jc w:val="right"/>
              <w:ind w:right="42"/>
              <w:spacing w:after="0" w:line="302" w:lineRule="exact"/>
              <w:rPr>
                <w:sz w:val="20"/>
                <w:szCs w:val="20"/>
                <w:color w:val="auto"/>
              </w:rPr>
            </w:pPr>
            <w:r>
              <w:rPr>
                <w:rFonts w:ascii="Times New Roman" w:cs="Times New Roman" w:eastAsia="Times New Roman" w:hAnsi="Times New Roman"/>
                <w:sz w:val="34"/>
                <w:szCs w:val="34"/>
                <w:color w:val="auto"/>
                <w:vertAlign w:val="superscript"/>
                <w:shd w:val="clear" w:color="auto" w:fill="CCEEFF"/>
              </w:rPr>
              <w:t>​</w:t>
            </w:r>
            <w:r>
              <w:rPr>
                <w:rFonts w:ascii="Times New Roman" w:cs="Times New Roman" w:eastAsia="Times New Roman" w:hAnsi="Times New Roman"/>
                <w:sz w:val="18"/>
                <w:szCs w:val="18"/>
                <w:color w:val="auto"/>
                <w:shd w:val="clear" w:color="auto" w:fill="CCEEFF"/>
              </w:rPr>
              <w:t>11,600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40" w:type="dxa"/>
            <w:vAlign w:val="bottom"/>
            <w:gridSpan w:val="3"/>
            <w:shd w:val="clear" w:color="auto" w:fill="CCEEFF"/>
          </w:tcPr>
          <w:p>
            <w:pPr>
              <w:jc w:val="right"/>
              <w:ind w:right="220"/>
              <w:spacing w:after="0" w:line="302" w:lineRule="exact"/>
              <w:rPr>
                <w:sz w:val="20"/>
                <w:szCs w:val="20"/>
                <w:color w:val="auto"/>
              </w:rPr>
            </w:pPr>
            <w:r>
              <w:rPr>
                <w:rFonts w:ascii="Times New Roman" w:cs="Times New Roman" w:eastAsia="Times New Roman" w:hAnsi="Times New Roman"/>
                <w:sz w:val="34"/>
                <w:szCs w:val="34"/>
                <w:color w:val="auto"/>
                <w:w w:val="98"/>
                <w:vertAlign w:val="superscript"/>
                <w:shd w:val="clear" w:color="auto" w:fill="CCEEFF"/>
              </w:rPr>
              <w:t>​</w:t>
            </w:r>
            <w:r>
              <w:rPr>
                <w:rFonts w:ascii="Times New Roman" w:cs="Times New Roman" w:eastAsia="Times New Roman" w:hAnsi="Times New Roman"/>
                <w:sz w:val="18"/>
                <w:szCs w:val="18"/>
                <w:color w:val="auto"/>
                <w:w w:val="98"/>
                <w:shd w:val="clear" w:color="auto" w:fill="CCEEFF"/>
              </w:rPr>
              <w:t>8,190</w:t>
            </w:r>
          </w:p>
        </w:tc>
        <w:tc>
          <w:tcPr>
            <w:tcW w:w="500" w:type="dxa"/>
            <w:vAlign w:val="bottom"/>
            <w:gridSpan w:val="2"/>
            <w:shd w:val="clear" w:color="auto" w:fill="CCEEFF"/>
          </w:tcPr>
          <w:p>
            <w:pPr>
              <w:jc w:val="right"/>
              <w:spacing w:after="0" w:line="302" w:lineRule="exact"/>
              <w:rPr>
                <w:sz w:val="20"/>
                <w:szCs w:val="20"/>
                <w:color w:val="auto"/>
              </w:rPr>
            </w:pPr>
            <w:r>
              <w:rPr>
                <w:rFonts w:ascii="Times New Roman" w:cs="Times New Roman" w:eastAsia="Times New Roman" w:hAnsi="Times New Roman"/>
                <w:sz w:val="34"/>
                <w:szCs w:val="34"/>
                <w:color w:val="auto"/>
                <w:w w:val="96"/>
                <w:vertAlign w:val="superscript"/>
                <w:shd w:val="clear" w:color="auto" w:fill="CCEEFF"/>
              </w:rPr>
              <w:t>​</w:t>
            </w:r>
            <w:r>
              <w:rPr>
                <w:rFonts w:ascii="Times New Roman" w:cs="Times New Roman" w:eastAsia="Times New Roman" w:hAnsi="Times New Roman"/>
                <w:sz w:val="18"/>
                <w:szCs w:val="18"/>
                <w:color w:val="auto"/>
                <w:w w:val="96"/>
                <w:shd w:val="clear" w:color="auto" w:fill="CCEEFF"/>
              </w:rPr>
              <w:t>19,790</w:t>
            </w:r>
          </w:p>
        </w:tc>
        <w:tc>
          <w:tcPr>
            <w:tcW w:w="20" w:type="dxa"/>
            <w:vAlign w:val="bottom"/>
          </w:tcPr>
          <w:p>
            <w:pPr>
              <w:spacing w:after="0"/>
              <w:rPr>
                <w:sz w:val="24"/>
                <w:szCs w:val="24"/>
                <w:color w:val="auto"/>
              </w:rPr>
            </w:pPr>
          </w:p>
        </w:tc>
      </w:tr>
      <w:tr>
        <w:trPr>
          <w:trHeight w:val="265"/>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580" w:type="dxa"/>
            <w:vAlign w:val="bottom"/>
            <w:gridSpan w:val="2"/>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2023</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90"/>
              <w:spacing w:after="0" w:line="265"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80" w:type="dxa"/>
            <w:vAlign w:val="bottom"/>
            <w:gridSpan w:val="2"/>
          </w:tcPr>
          <w:p>
            <w:pPr>
              <w:jc w:val="right"/>
              <w:ind w:right="42"/>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13,200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13,200</w:t>
            </w:r>
          </w:p>
        </w:tc>
        <w:tc>
          <w:tcPr>
            <w:tcW w:w="20" w:type="dxa"/>
            <w:vAlign w:val="bottom"/>
          </w:tcPr>
          <w:p>
            <w:pPr>
              <w:spacing w:after="0"/>
              <w:rPr>
                <w:sz w:val="23"/>
                <w:szCs w:val="23"/>
                <w:color w:val="auto"/>
              </w:rPr>
            </w:pPr>
          </w:p>
        </w:tc>
      </w:tr>
      <w:tr>
        <w:trPr>
          <w:trHeight w:val="270"/>
        </w:trPr>
        <w:tc>
          <w:tcPr>
            <w:tcW w:w="4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2022</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ind w:right="42"/>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12,200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jc w:val="right"/>
              <w:ind w:right="2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12,200</w:t>
            </w:r>
          </w:p>
        </w:tc>
      </w:tr>
      <w:tr>
        <w:trPr>
          <w:trHeight w:val="302"/>
        </w:trPr>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spacing w:after="0" w:line="302"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2021</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90"/>
              <w:spacing w:after="0" w:line="30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p>
        </w:tc>
        <w:tc>
          <w:tcPr>
            <w:tcW w:w="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580" w:type="dxa"/>
            <w:vAlign w:val="bottom"/>
            <w:gridSpan w:val="2"/>
            <w:shd w:val="clear" w:color="auto" w:fill="CCEEFF"/>
          </w:tcPr>
          <w:p>
            <w:pPr>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2023</w:t>
            </w:r>
          </w:p>
        </w:tc>
        <w:tc>
          <w:tcPr>
            <w:tcW w:w="540" w:type="dxa"/>
            <w:vAlign w:val="bottom"/>
            <w:gridSpan w:val="2"/>
            <w:shd w:val="clear" w:color="auto" w:fill="CCEEFF"/>
          </w:tcPr>
          <w:p>
            <w:pPr>
              <w:ind w:left="80"/>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3,000</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13,200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265"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16,200</w:t>
            </w:r>
          </w:p>
        </w:tc>
        <w:tc>
          <w:tcPr>
            <w:tcW w:w="20" w:type="dxa"/>
            <w:vAlign w:val="bottom"/>
          </w:tcPr>
          <w:p>
            <w:pPr>
              <w:spacing w:after="0"/>
              <w:rPr>
                <w:sz w:val="23"/>
                <w:szCs w:val="23"/>
                <w:color w:val="auto"/>
              </w:rPr>
            </w:pPr>
          </w:p>
        </w:tc>
      </w:tr>
      <w:tr>
        <w:trPr>
          <w:trHeight w:val="270"/>
        </w:trPr>
        <w:tc>
          <w:tcPr>
            <w:tcW w:w="4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2022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650</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80" w:type="dxa"/>
            <w:vAlign w:val="bottom"/>
            <w:gridSpan w:val="2"/>
            <w:shd w:val="clear" w:color="auto" w:fill="CCEEFF"/>
          </w:tcPr>
          <w:p>
            <w:pPr>
              <w:jc w:val="right"/>
              <w:ind w:right="42"/>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12,200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50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shd w:val="clear" w:color="auto" w:fill="CCEEFF"/>
              </w:rPr>
              <w:t>​</w:t>
            </w:r>
            <w:r>
              <w:rPr>
                <w:rFonts w:ascii="Times New Roman" w:cs="Times New Roman" w:eastAsia="Times New Roman" w:hAnsi="Times New Roman"/>
                <w:sz w:val="17"/>
                <w:szCs w:val="17"/>
                <w:color w:val="auto"/>
                <w:shd w:val="clear" w:color="auto" w:fill="CCEEFF"/>
              </w:rPr>
              <w:t>12,850</w:t>
            </w:r>
          </w:p>
        </w:tc>
        <w:tc>
          <w:tcPr>
            <w:tcW w:w="20" w:type="dxa"/>
            <w:vAlign w:val="bottom"/>
          </w:tcPr>
          <w:p>
            <w:pPr>
              <w:spacing w:after="0"/>
              <w:rPr>
                <w:sz w:val="23"/>
                <w:szCs w:val="23"/>
                <w:color w:val="auto"/>
              </w:rPr>
            </w:pPr>
          </w:p>
        </w:tc>
      </w:tr>
      <w:tr>
        <w:trPr>
          <w:trHeight w:val="369"/>
        </w:trPr>
        <w:tc>
          <w:tcPr>
            <w:tcW w:w="4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
              <w:spacing w:after="0" w:line="36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11,600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line="369" w:lineRule="exact"/>
              <w:rPr>
                <w:sz w:val="20"/>
                <w:szCs w:val="20"/>
                <w:color w:val="auto"/>
              </w:rPr>
            </w:pPr>
            <w:r>
              <w:rPr>
                <w:rFonts w:ascii="Times New Roman" w:cs="Times New Roman" w:eastAsia="Times New Roman" w:hAnsi="Times New Roman"/>
                <w:sz w:val="35"/>
                <w:szCs w:val="35"/>
                <w:color w:val="auto"/>
                <w:w w:val="96"/>
                <w:vertAlign w:val="superscript"/>
              </w:rPr>
              <w:t>​</w:t>
            </w:r>
            <w:r>
              <w:rPr>
                <w:rFonts w:ascii="Times New Roman" w:cs="Times New Roman" w:eastAsia="Times New Roman" w:hAnsi="Times New Roman"/>
                <w:sz w:val="18"/>
                <w:szCs w:val="18"/>
                <w:color w:val="auto"/>
                <w:w w:val="96"/>
              </w:rPr>
              <w:t>12,550</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-1645285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-1645285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-1645285</wp:posOffset>
            </wp:positionV>
            <wp:extent cx="137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-1645285</wp:posOffset>
            </wp:positionV>
            <wp:extent cx="137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-1645285</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3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ectPr>
          <w:pgSz w:w="11900" w:h="16838" w:orient="portrait"/>
          <w:cols w:equalWidth="0" w:num="1">
            <w:col w:w="10260"/>
          </w:cols>
          <w:pgMar w:left="580" w:top="97" w:right="1059" w:bottom="1440" w:gutter="0" w:footer="0" w:header="0"/>
        </w:sectPr>
      </w:pPr>
    </w:p>
    <w:p>
      <w:pPr>
        <w:spacing w:after="0" w:line="268"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1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0" w:type="dxa"/>
            <w:vAlign w:val="bottom"/>
          </w:tcPr>
          <w:p>
            <w:pPr>
              <w:spacing w:after="0"/>
              <w:rPr>
                <w:sz w:val="1"/>
                <w:szCs w:val="1"/>
                <w:color w:val="auto"/>
              </w:rPr>
            </w:pPr>
          </w:p>
        </w:tc>
      </w:tr>
      <w:tr>
        <w:trPr>
          <w:trHeight w:val="214"/>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18"/>
                <w:szCs w:val="18"/>
                <w:color w:val="auto"/>
              </w:rPr>
            </w:pPr>
          </w:p>
        </w:tc>
        <w:tc>
          <w:tcPr>
            <w:tcW w:w="58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2300" w:type="dxa"/>
            <w:vAlign w:val="bottom"/>
            <w:gridSpan w:val="11"/>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Non-Equity Incentive Plan Awards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920" w:type="dxa"/>
            <w:vAlign w:val="bottom"/>
            <w:gridSpan w:val="9"/>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6"/>
              </w:rPr>
              <w:t>Equity Incentive Plan Awards</w:t>
            </w:r>
          </w:p>
        </w:tc>
        <w:tc>
          <w:tcPr>
            <w:tcW w:w="0" w:type="dxa"/>
            <w:vAlign w:val="bottom"/>
          </w:tcPr>
          <w:p>
            <w:pPr>
              <w:spacing w:after="0"/>
              <w:rPr>
                <w:sz w:val="1"/>
                <w:szCs w:val="1"/>
                <w:color w:val="auto"/>
              </w:rPr>
            </w:pPr>
          </w:p>
        </w:tc>
      </w:tr>
      <w:tr>
        <w:trPr>
          <w:trHeight w:val="185"/>
        </w:trPr>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20" w:type="dxa"/>
            <w:vAlign w:val="bottom"/>
          </w:tcPr>
          <w:p>
            <w:pPr>
              <w:spacing w:after="0"/>
              <w:rPr>
                <w:sz w:val="16"/>
                <w:szCs w:val="16"/>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Approval</w:t>
            </w:r>
          </w:p>
        </w:tc>
        <w:tc>
          <w:tcPr>
            <w:tcW w:w="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Threshold</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Type</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Date</w:t>
            </w:r>
          </w:p>
        </w:tc>
        <w:tc>
          <w:tcPr>
            <w:tcW w:w="1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6"/>
                <w:szCs w:val="16"/>
                <w:color w:val="auto"/>
              </w:rPr>
            </w:pPr>
          </w:p>
        </w:tc>
        <w:tc>
          <w:tcPr>
            <w:tcW w:w="500" w:type="dxa"/>
            <w:vAlign w:val="bottom"/>
          </w:tcPr>
          <w:p>
            <w:pPr>
              <w:jc w:val="right"/>
              <w:ind w:right="128"/>
              <w:spacing w:after="0" w:line="191" w:lineRule="exact"/>
              <w:rPr>
                <w:sz w:val="20"/>
                <w:szCs w:val="20"/>
                <w:color w:val="auto"/>
              </w:rPr>
            </w:pPr>
            <w:r>
              <w:rPr>
                <w:rFonts w:ascii="Times New Roman" w:cs="Times New Roman" w:eastAsia="Times New Roman" w:hAnsi="Times New Roman"/>
                <w:sz w:val="14"/>
                <w:szCs w:val="14"/>
                <w:b w:val="1"/>
                <w:bCs w:val="1"/>
                <w:color w:val="auto"/>
                <w:w w:val="94"/>
              </w:rPr>
              <w:t>($)</w:t>
            </w:r>
            <w:r>
              <w:rPr>
                <w:rFonts w:ascii="Times New Roman" w:cs="Times New Roman" w:eastAsia="Times New Roman" w:hAnsi="Times New Roman"/>
                <w:sz w:val="17"/>
                <w:szCs w:val="17"/>
                <w:b w:val="1"/>
                <w:bCs w:val="1"/>
                <w:color w:val="auto"/>
                <w:w w:val="94"/>
                <w:vertAlign w:val="superscript"/>
              </w:rPr>
              <w:t>(1)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6"/>
                <w:szCs w:val="16"/>
                <w:color w:val="auto"/>
              </w:rPr>
            </w:pPr>
          </w:p>
        </w:tc>
        <w:tc>
          <w:tcPr>
            <w:tcW w:w="5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 ​</w:t>
            </w:r>
          </w:p>
        </w:tc>
        <w:tc>
          <w:tcPr>
            <w:tcW w:w="120" w:type="dxa"/>
            <w:vAlign w:val="bottom"/>
          </w:tcPr>
          <w:p>
            <w:pPr>
              <w:spacing w:after="0"/>
              <w:rPr>
                <w:sz w:val="16"/>
                <w:szCs w:val="16"/>
                <w:color w:val="auto"/>
              </w:rPr>
            </w:pPr>
          </w:p>
        </w:tc>
        <w:tc>
          <w:tcPr>
            <w:tcW w:w="5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6"/>
                <w:szCs w:val="16"/>
                <w:color w:val="auto"/>
              </w:rPr>
            </w:pPr>
          </w:p>
        </w:tc>
        <w:tc>
          <w:tcPr>
            <w:tcW w:w="4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6"/>
                <w:szCs w:val="16"/>
                <w:color w:val="auto"/>
              </w:rPr>
            </w:pPr>
          </w:p>
        </w:tc>
        <w:tc>
          <w:tcPr>
            <w:tcW w:w="48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 ​</w:t>
            </w:r>
          </w:p>
        </w:tc>
        <w:tc>
          <w:tcPr>
            <w:tcW w:w="240" w:type="dxa"/>
            <w:vAlign w:val="bottom"/>
          </w:tcPr>
          <w:p>
            <w:pPr>
              <w:spacing w:after="0"/>
              <w:rPr>
                <w:sz w:val="16"/>
                <w:szCs w:val="16"/>
                <w:color w:val="auto"/>
              </w:rPr>
            </w:pP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Christopher S. Sotos</w:t>
            </w:r>
          </w:p>
        </w:tc>
        <w:tc>
          <w:tcPr>
            <w:tcW w:w="140" w:type="dxa"/>
            <w:vAlign w:val="bottom"/>
            <w:vMerge w:val="continue"/>
          </w:tcPr>
          <w:p>
            <w:pPr>
              <w:spacing w:after="0"/>
              <w:rPr>
                <w:sz w:val="15"/>
                <w:szCs w:val="15"/>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AIP</w:t>
            </w:r>
          </w:p>
        </w:tc>
        <w:tc>
          <w:tcPr>
            <w:tcW w:w="220" w:type="dxa"/>
            <w:vAlign w:val="bottom"/>
            <w:gridSpan w:val="2"/>
          </w:tcPr>
          <w:p>
            <w:pPr>
              <w:ind w:left="40"/>
              <w:spacing w:after="0" w:line="173"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bscript"/>
              </w:rPr>
              <w:t>​</w:t>
            </w:r>
          </w:p>
        </w:tc>
        <w:tc>
          <w:tcPr>
            <w:tcW w:w="1120" w:type="dxa"/>
            <w:vAlign w:val="bottom"/>
            <w:gridSpan w:val="3"/>
          </w:tcPr>
          <w:p>
            <w:pPr>
              <w:jc w:val="right"/>
              <w:ind w:right="328"/>
              <w:spacing w:after="0" w:line="173"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vertAlign w:val="subscript"/>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right"/>
              <w:ind w:right="28"/>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​332,601</w:t>
            </w: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​665,201</w:t>
            </w:r>
          </w:p>
        </w:tc>
        <w:tc>
          <w:tcPr>
            <w:tcW w:w="140" w:type="dxa"/>
            <w:vAlign w:val="bottom"/>
            <w:vMerge w:val="continue"/>
          </w:tcPr>
          <w:p>
            <w:pPr>
              <w:spacing w:after="0"/>
              <w:rPr>
                <w:sz w:val="15"/>
                <w:szCs w:val="15"/>
                <w:color w:val="auto"/>
              </w:rPr>
            </w:pPr>
          </w:p>
        </w:tc>
        <w:tc>
          <w:tcPr>
            <w:tcW w:w="6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2"/>
                <w:szCs w:val="12"/>
                <w:color w:val="auto"/>
              </w:rPr>
              <w:t>​1,330,402</w:t>
            </w: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ind w:left="120"/>
              <w:spacing w:after="0" w:line="17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ind w:left="20"/>
              <w:spacing w:after="0" w:line="173"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vertAlign w:val="subscript"/>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vMerge w:val="continue"/>
          </w:tcPr>
          <w:p>
            <w:pPr>
              <w:spacing w:after="0"/>
              <w:rPr>
                <w:sz w:val="15"/>
                <w:szCs w:val="15"/>
                <w:color w:val="auto"/>
              </w:rPr>
            </w:pP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RPSU</w:t>
            </w:r>
          </w:p>
        </w:tc>
        <w:tc>
          <w:tcPr>
            <w:tcW w:w="1640" w:type="dxa"/>
            <w:vAlign w:val="bottom"/>
            <w:gridSpan w:val="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​2/17/2023</w:t>
            </w:r>
            <w:r>
              <w:rPr>
                <w:rFonts w:ascii="Times New Roman" w:cs="Times New Roman" w:eastAsia="Times New Roman" w:hAnsi="Times New Roman"/>
                <w:sz w:val="26"/>
                <w:szCs w:val="26"/>
                <w:color w:val="auto"/>
                <w:vertAlign w:val="superscript"/>
              </w:rPr>
              <w:t>​​ ​</w:t>
            </w:r>
          </w:p>
        </w:tc>
        <w:tc>
          <w:tcPr>
            <w:tcW w:w="160" w:type="dxa"/>
            <w:vAlign w:val="bottom"/>
          </w:tcPr>
          <w:p>
            <w:pPr>
              <w:ind w:left="8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62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​12,395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​49,580 </w:t>
            </w:r>
            <w:r>
              <w:rPr>
                <w:rFonts w:ascii="Times New Roman" w:cs="Times New Roman" w:eastAsia="Times New Roman" w:hAnsi="Times New Roman"/>
                <w:sz w:val="26"/>
                <w:szCs w:val="26"/>
                <w:color w:val="auto"/>
                <w:vertAlign w:val="superscript"/>
              </w:rPr>
              <w:t>​​ ​</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​74,370</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RSU</w:t>
            </w:r>
          </w:p>
        </w:tc>
        <w:tc>
          <w:tcPr>
            <w:tcW w:w="1640" w:type="dxa"/>
            <w:vAlign w:val="bottom"/>
            <w:gridSpan w:val="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​2/17/2023</w:t>
            </w:r>
            <w:r>
              <w:rPr>
                <w:rFonts w:ascii="Times New Roman" w:cs="Times New Roman" w:eastAsia="Times New Roman" w:hAnsi="Times New Roman"/>
                <w:sz w:val="26"/>
                <w:szCs w:val="26"/>
                <w:color w:val="auto"/>
                <w:vertAlign w:val="superscript"/>
              </w:rPr>
              <w:t>​​ ​</w:t>
            </w:r>
          </w:p>
        </w:tc>
        <w:tc>
          <w:tcPr>
            <w:tcW w:w="160" w:type="dxa"/>
            <w:vAlign w:val="bottom"/>
          </w:tcPr>
          <w:p>
            <w:pPr>
              <w:ind w:left="8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Sarah Rubenstein</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AIP</w:t>
            </w:r>
          </w:p>
        </w:tc>
        <w:tc>
          <w:tcPr>
            <w:tcW w:w="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1120" w:type="dxa"/>
            <w:vAlign w:val="bottom"/>
            <w:gridSpan w:val="3"/>
          </w:tcPr>
          <w:p>
            <w:pPr>
              <w:jc w:val="right"/>
              <w:ind w:right="32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3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w:t>
            </w:r>
          </w:p>
        </w:tc>
        <w:tc>
          <w:tcPr>
            <w:tcW w:w="66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​125,125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​250,250 </w:t>
            </w:r>
            <w:r>
              <w:rPr>
                <w:rFonts w:ascii="Times New Roman" w:cs="Times New Roman" w:eastAsia="Times New Roman" w:hAnsi="Times New Roman"/>
                <w:sz w:val="26"/>
                <w:szCs w:val="26"/>
                <w:color w:val="auto"/>
                <w:vertAlign w:val="superscript"/>
              </w:rPr>
              <w:t>​​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RPSU</w:t>
            </w:r>
          </w:p>
        </w:tc>
        <w:tc>
          <w:tcPr>
            <w:tcW w:w="1640" w:type="dxa"/>
            <w:vAlign w:val="bottom"/>
            <w:gridSpan w:val="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​4/12/2023</w:t>
            </w:r>
            <w:r>
              <w:rPr>
                <w:rFonts w:ascii="Times New Roman" w:cs="Times New Roman" w:eastAsia="Times New Roman" w:hAnsi="Times New Roman"/>
                <w:sz w:val="26"/>
                <w:szCs w:val="26"/>
                <w:color w:val="auto"/>
                <w:vertAlign w:val="superscript"/>
              </w:rPr>
              <w:t>​​ ​</w:t>
            </w:r>
          </w:p>
        </w:tc>
        <w:tc>
          <w:tcPr>
            <w:tcW w:w="160" w:type="dxa"/>
            <w:vAlign w:val="bottom"/>
          </w:tcPr>
          <w:p>
            <w:pPr>
              <w:ind w:left="8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62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2,563</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​10,250 </w:t>
            </w:r>
            <w:r>
              <w:rPr>
                <w:rFonts w:ascii="Times New Roman" w:cs="Times New Roman" w:eastAsia="Times New Roman" w:hAnsi="Times New Roman"/>
                <w:sz w:val="26"/>
                <w:szCs w:val="26"/>
                <w:color w:val="auto"/>
                <w:vertAlign w:val="superscript"/>
              </w:rPr>
              <w:t>​​ ​</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​15,375</w:t>
            </w:r>
          </w:p>
        </w:tc>
        <w:tc>
          <w:tcPr>
            <w:tcW w:w="0" w:type="dxa"/>
            <w:vAlign w:val="bottom"/>
          </w:tcPr>
          <w:p>
            <w:pPr>
              <w:spacing w:after="0"/>
              <w:rPr>
                <w:sz w:val="1"/>
                <w:szCs w:val="1"/>
                <w:color w:val="auto"/>
              </w:rPr>
            </w:pPr>
          </w:p>
        </w:tc>
      </w:tr>
      <w:tr>
        <w:trPr>
          <w:trHeight w:val="229"/>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RSU</w:t>
            </w:r>
          </w:p>
        </w:tc>
        <w:tc>
          <w:tcPr>
            <w:tcW w:w="1640" w:type="dxa"/>
            <w:vAlign w:val="bottom"/>
            <w:gridSpan w:val="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​4/12/2023</w:t>
            </w:r>
            <w:r>
              <w:rPr>
                <w:rFonts w:ascii="Times New Roman" w:cs="Times New Roman" w:eastAsia="Times New Roman" w:hAnsi="Times New Roman"/>
                <w:sz w:val="26"/>
                <w:szCs w:val="26"/>
                <w:color w:val="auto"/>
                <w:vertAlign w:val="superscript"/>
              </w:rPr>
              <w:t>​​ ​</w:t>
            </w:r>
          </w:p>
        </w:tc>
        <w:tc>
          <w:tcPr>
            <w:tcW w:w="160" w:type="dxa"/>
            <w:vAlign w:val="bottom"/>
          </w:tcPr>
          <w:p>
            <w:pPr>
              <w:ind w:left="8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4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Kevin P. Malcarney</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AIP</w:t>
            </w:r>
          </w:p>
        </w:tc>
        <w:tc>
          <w:tcPr>
            <w:tcW w:w="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1120" w:type="dxa"/>
            <w:vAlign w:val="bottom"/>
            <w:gridSpan w:val="3"/>
          </w:tcPr>
          <w:p>
            <w:pPr>
              <w:jc w:val="right"/>
              <w:ind w:right="328"/>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6"/>
                <w:szCs w:val="26"/>
                <w:color w:val="auto"/>
                <w:vertAlign w:val="subscript"/>
              </w:rPr>
              <w:t>​</w:t>
            </w:r>
          </w:p>
        </w:tc>
        <w:tc>
          <w:tcPr>
            <w:tcW w:w="30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w:t>
            </w:r>
          </w:p>
        </w:tc>
        <w:tc>
          <w:tcPr>
            <w:tcW w:w="66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​133,900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​267,800 </w:t>
            </w:r>
            <w:r>
              <w:rPr>
                <w:rFonts w:ascii="Times New Roman" w:cs="Times New Roman" w:eastAsia="Times New Roman" w:hAnsi="Times New Roman"/>
                <w:sz w:val="26"/>
                <w:szCs w:val="26"/>
                <w:color w:val="auto"/>
                <w:vertAlign w:val="superscript"/>
              </w:rPr>
              <w:t>​​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14"/>
                <w:szCs w:val="14"/>
                <w:color w:val="auto"/>
              </w:rPr>
              <w:t xml:space="preserve">535,600 </w:t>
            </w:r>
            <w:r>
              <w:rPr>
                <w:rFonts w:ascii="Times New Roman" w:cs="Times New Roman" w:eastAsia="Times New Roman" w:hAnsi="Times New Roman"/>
                <w:sz w:val="26"/>
                <w:szCs w:val="26"/>
                <w:color w:val="auto"/>
                <w:vertAlign w:val="superscript"/>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RPSU</w:t>
            </w:r>
          </w:p>
        </w:tc>
        <w:tc>
          <w:tcPr>
            <w:tcW w:w="1640" w:type="dxa"/>
            <w:vAlign w:val="bottom"/>
            <w:gridSpan w:val="8"/>
          </w:tcPr>
          <w:p>
            <w:pPr>
              <w:ind w:left="40"/>
              <w:spacing w:after="0" w:line="230"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​2/17/2023</w:t>
            </w:r>
            <w:r>
              <w:rPr>
                <w:rFonts w:ascii="Times New Roman" w:cs="Times New Roman" w:eastAsia="Times New Roman" w:hAnsi="Times New Roman"/>
                <w:sz w:val="26"/>
                <w:szCs w:val="26"/>
                <w:color w:val="auto"/>
                <w:vertAlign w:val="superscript"/>
              </w:rPr>
              <w:t>​​ ​</w:t>
            </w:r>
          </w:p>
        </w:tc>
        <w:tc>
          <w:tcPr>
            <w:tcW w:w="160" w:type="dxa"/>
            <w:vAlign w:val="bottom"/>
          </w:tcPr>
          <w:p>
            <w:pPr>
              <w:ind w:left="8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58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720" w:type="dxa"/>
            <w:vAlign w:val="bottom"/>
            <w:gridSpan w:val="3"/>
          </w:tcPr>
          <w:p>
            <w:pPr>
              <w:jc w:val="right"/>
              <w:ind w:right="20"/>
              <w:spacing w:after="0" w:line="230"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 ​</w:t>
            </w:r>
          </w:p>
        </w:tc>
        <w:tc>
          <w:tcPr>
            <w:tcW w:w="62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2,742</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​10,968 </w:t>
            </w:r>
            <w:r>
              <w:rPr>
                <w:rFonts w:ascii="Times New Roman" w:cs="Times New Roman" w:eastAsia="Times New Roman" w:hAnsi="Times New Roman"/>
                <w:sz w:val="26"/>
                <w:szCs w:val="26"/>
                <w:color w:val="auto"/>
                <w:vertAlign w:val="superscript"/>
              </w:rPr>
              <w:t>​​ ​</w:t>
            </w:r>
          </w:p>
        </w:tc>
        <w:tc>
          <w:tcPr>
            <w:tcW w:w="7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​16,452</w:t>
            </w:r>
          </w:p>
        </w:tc>
        <w:tc>
          <w:tcPr>
            <w:tcW w:w="0" w:type="dxa"/>
            <w:vAlign w:val="bottom"/>
          </w:tcPr>
          <w:p>
            <w:pPr>
              <w:spacing w:after="0"/>
              <w:rPr>
                <w:sz w:val="1"/>
                <w:szCs w:val="1"/>
                <w:color w:val="auto"/>
              </w:rPr>
            </w:pPr>
          </w:p>
        </w:tc>
      </w:tr>
      <w:tr>
        <w:trPr>
          <w:trHeight w:val="381"/>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RSU</w:t>
            </w:r>
          </w:p>
        </w:tc>
        <w:tc>
          <w:tcPr>
            <w:tcW w:w="1640" w:type="dxa"/>
            <w:vAlign w:val="bottom"/>
            <w:gridSpan w:val="8"/>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​4/15/2023</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​2/17/2023</w:t>
            </w:r>
            <w:r>
              <w:rPr>
                <w:rFonts w:ascii="Times New Roman" w:cs="Times New Roman" w:eastAsia="Times New Roman" w:hAnsi="Times New Roman"/>
                <w:sz w:val="28"/>
                <w:szCs w:val="28"/>
                <w:color w:val="auto"/>
                <w:vertAlign w:val="superscript"/>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20" w:type="dxa"/>
            <w:vAlign w:val="bottom"/>
          </w:tcPr>
          <w:p>
            <w:pPr>
              <w:ind w:left="6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160" w:type="dxa"/>
            <w:vAlign w:val="bottom"/>
          </w:tcPr>
          <w:p>
            <w:pPr>
              <w:ind w:left="1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ind w:left="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p>
        </w:tc>
        <w:tc>
          <w:tcPr>
            <w:tcW w:w="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-1092200</wp:posOffset>
            </wp:positionV>
            <wp:extent cx="6180455"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-800735</wp:posOffset>
            </wp:positionV>
            <wp:extent cx="618045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-509270</wp:posOffset>
            </wp:positionV>
            <wp:extent cx="618045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80455"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-217805</wp:posOffset>
            </wp:positionV>
            <wp:extent cx="618045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-1383665</wp:posOffset>
            </wp:positionV>
            <wp:extent cx="618045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80455"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73025</wp:posOffset>
            </wp:positionV>
            <wp:extent cx="12344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0" w:type="dxa"/>
            <w:vAlign w:val="bottom"/>
          </w:tcPr>
          <w:p>
            <w:pPr>
              <w:spacing w:after="0"/>
              <w:rPr>
                <w:sz w:val="1"/>
                <w:szCs w:val="1"/>
                <w:color w:val="auto"/>
              </w:rPr>
            </w:pPr>
          </w:p>
        </w:tc>
      </w:tr>
      <w:tr>
        <w:trPr>
          <w:trHeight w:val="162"/>
        </w:trPr>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62"/>
        </w:trPr>
        <w:tc>
          <w:tcPr>
            <w:tcW w:w="100" w:type="dxa"/>
            <w:vAlign w:val="bottom"/>
            <w:vMerge w:val="continue"/>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1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5"/>
                <w:szCs w:val="25"/>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640" w:type="dxa"/>
            <w:vAlign w:val="bottom"/>
            <w:gridSpan w:val="2"/>
          </w:tcPr>
          <w:p>
            <w:pPr>
              <w:jc w:val="right"/>
              <w:ind w:right="28"/>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​24,366</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5,037</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1"/>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line="1" w:lineRule="exact"/>
        <w:rPr>
          <w:sz w:val="1"/>
          <w:szCs w:val="1"/>
          <w:color w:val="auto"/>
        </w:rPr>
      </w:pPr>
    </w:p>
    <w:tbl>
      <w:tblPr>
        <w:tblLayout w:type="fixed"/>
        <w:tblInd w:w="9"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40" w:type="dxa"/>
            <w:vAlign w:val="bottom"/>
            <w:gridSpan w:val="3"/>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191"/>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center"/>
              <w:ind w:left="151"/>
              <w:spacing w:after="0" w:line="191"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7"/>
                <w:szCs w:val="17"/>
                <w:b w:val="1"/>
                <w:bCs w:val="1"/>
                <w:color w:val="auto"/>
                <w:w w:val="85"/>
                <w:vertAlign w:val="superscript"/>
              </w:rPr>
              <w:t>4)</w:t>
            </w:r>
          </w:p>
        </w:tc>
        <w:tc>
          <w:tcPr>
            <w:tcW w:w="22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140" w:type="dxa"/>
            <w:vAlign w:val="bottom"/>
            <w:vMerge w:val="continue"/>
          </w:tcPr>
          <w:p>
            <w:pPr>
              <w:spacing w:after="0"/>
              <w:rPr>
                <w:sz w:val="16"/>
                <w:szCs w:val="16"/>
                <w:color w:val="auto"/>
              </w:rPr>
            </w:pPr>
          </w:p>
        </w:tc>
        <w:tc>
          <w:tcPr>
            <w:tcW w:w="480" w:type="dxa"/>
            <w:vAlign w:val="bottom"/>
          </w:tcPr>
          <w:p>
            <w:pPr>
              <w:ind w:left="40"/>
              <w:spacing w:after="0" w:line="190"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09" w:hanging="109"/>
        <w:spacing w:after="0" w:line="184" w:lineRule="auto"/>
        <w:tabs>
          <w:tab w:leader="none" w:pos="109"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​1,476,492 </w:t>
      </w:r>
      <w:r>
        <w:rPr>
          <w:rFonts w:ascii="Times New Roman" w:cs="Times New Roman" w:eastAsia="Times New Roman" w:hAnsi="Times New Roman"/>
          <w:sz w:val="25"/>
          <w:szCs w:val="25"/>
          <w:b w:val="1"/>
          <w:bCs w:val="1"/>
          <w:color w:val="auto"/>
          <w:vertAlign w:val="superscript"/>
        </w:rPr>
        <w:t>​</w:t>
      </w:r>
    </w:p>
    <w:p>
      <w:pPr>
        <w:ind w:left="109" w:hanging="109"/>
        <w:spacing w:after="0" w:line="184" w:lineRule="auto"/>
        <w:tabs>
          <w:tab w:leader="none" w:pos="109" w:val="left"/>
        </w:tabs>
        <w:numPr>
          <w:ilvl w:val="0"/>
          <w:numId w:val="5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768,260 </w:t>
      </w:r>
      <w:r>
        <w:rPr>
          <w:rFonts w:ascii="Times New Roman" w:cs="Times New Roman" w:eastAsia="Times New Roman" w:hAnsi="Times New Roman"/>
          <w:sz w:val="25"/>
          <w:szCs w:val="25"/>
          <w:b w:val="1"/>
          <w:bCs w:val="1"/>
          <w:color w:val="auto"/>
          <w:vertAlign w:val="superscript"/>
        </w:rPr>
        <w:t>​</w:t>
      </w:r>
    </w:p>
    <w:p>
      <w:pPr>
        <w:ind w:left="9"/>
        <w:spacing w:after="0" w:line="181" w:lineRule="auto"/>
        <w:tabs>
          <w:tab w:leader="none" w:pos="629" w:val="left"/>
        </w:tabs>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6"/>
          <w:szCs w:val="26"/>
          <w:color w:val="auto"/>
          <w:vertAlign w:val="subscript"/>
        </w:rPr>
        <w:t>​</w:t>
      </w:r>
      <w:r>
        <w:rPr>
          <w:sz w:val="20"/>
          <w:szCs w:val="20"/>
          <w:color w:val="auto"/>
        </w:rPr>
        <w:tab/>
      </w:r>
      <w:r>
        <w:rPr>
          <w:rFonts w:ascii="Times New Roman" w:cs="Times New Roman" w:eastAsia="Times New Roman" w:hAnsi="Times New Roman"/>
          <w:sz w:val="26"/>
          <w:szCs w:val="26"/>
          <w:color w:val="auto"/>
          <w:vertAlign w:val="subscript"/>
        </w:rPr>
        <w:t xml:space="preserve">— </w:t>
      </w:r>
      <w:r>
        <w:rPr>
          <w:rFonts w:ascii="Times New Roman" w:cs="Times New Roman" w:eastAsia="Times New Roman" w:hAnsi="Times New Roman"/>
          <w:sz w:val="26"/>
          <w:szCs w:val="26"/>
          <w:b w:val="1"/>
          <w:bCs w:val="1"/>
          <w:color w:val="auto"/>
        </w:rPr>
        <w:t>​</w:t>
      </w:r>
    </w:p>
    <w:p>
      <w:pPr>
        <w:ind w:left="109" w:hanging="109"/>
        <w:spacing w:after="0" w:line="180" w:lineRule="auto"/>
        <w:tabs>
          <w:tab w:leader="none" w:pos="109" w:val="left"/>
        </w:tabs>
        <w:numPr>
          <w:ilvl w:val="0"/>
          <w:numId w:val="5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305,245 </w:t>
      </w:r>
      <w:r>
        <w:rPr>
          <w:rFonts w:ascii="Times New Roman" w:cs="Times New Roman" w:eastAsia="Times New Roman" w:hAnsi="Times New Roman"/>
          <w:sz w:val="26"/>
          <w:szCs w:val="26"/>
          <w:b w:val="1"/>
          <w:bCs w:val="1"/>
          <w:color w:val="auto"/>
          <w:vertAlign w:val="superscript"/>
        </w:rPr>
        <w:t>​</w:t>
      </w:r>
    </w:p>
    <w:p>
      <w:pPr>
        <w:ind w:left="109" w:hanging="109"/>
        <w:spacing w:after="0" w:line="184" w:lineRule="auto"/>
        <w:tabs>
          <w:tab w:leader="none" w:pos="109" w:val="left"/>
        </w:tabs>
        <w:numPr>
          <w:ilvl w:val="0"/>
          <w:numId w:val="5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158,817 </w:t>
      </w:r>
      <w:r>
        <w:rPr>
          <w:rFonts w:ascii="Times New Roman" w:cs="Times New Roman" w:eastAsia="Times New Roman" w:hAnsi="Times New Roman"/>
          <w:sz w:val="25"/>
          <w:szCs w:val="25"/>
          <w:b w:val="1"/>
          <w:bCs w:val="1"/>
          <w:color w:val="auto"/>
          <w:vertAlign w:val="superscript"/>
        </w:rPr>
        <w:t>​</w:t>
      </w:r>
    </w:p>
    <w:p>
      <w:pPr>
        <w:ind w:left="9"/>
        <w:spacing w:after="0" w:line="181" w:lineRule="auto"/>
        <w:tabs>
          <w:tab w:leader="none" w:pos="629" w:val="left"/>
        </w:tabs>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6"/>
          <w:szCs w:val="26"/>
          <w:color w:val="auto"/>
          <w:vertAlign w:val="subscript"/>
        </w:rPr>
        <w:t>​</w:t>
      </w:r>
      <w:r>
        <w:rPr>
          <w:sz w:val="20"/>
          <w:szCs w:val="20"/>
          <w:color w:val="auto"/>
        </w:rPr>
        <w:tab/>
      </w:r>
      <w:r>
        <w:rPr>
          <w:rFonts w:ascii="Times New Roman" w:cs="Times New Roman" w:eastAsia="Times New Roman" w:hAnsi="Times New Roman"/>
          <w:sz w:val="26"/>
          <w:szCs w:val="26"/>
          <w:color w:val="auto"/>
          <w:vertAlign w:val="subscript"/>
        </w:rPr>
        <w:t xml:space="preserve">— </w:t>
      </w:r>
      <w:r>
        <w:rPr>
          <w:rFonts w:ascii="Times New Roman" w:cs="Times New Roman" w:eastAsia="Times New Roman" w:hAnsi="Times New Roman"/>
          <w:sz w:val="26"/>
          <w:szCs w:val="26"/>
          <w:b w:val="1"/>
          <w:bCs w:val="1"/>
          <w:color w:val="auto"/>
        </w:rPr>
        <w:t>​</w:t>
      </w:r>
    </w:p>
    <w:p>
      <w:pPr>
        <w:ind w:left="109" w:hanging="109"/>
        <w:spacing w:after="0" w:line="180" w:lineRule="auto"/>
        <w:tabs>
          <w:tab w:leader="none" w:pos="109" w:val="left"/>
        </w:tabs>
        <w:numPr>
          <w:ilvl w:val="0"/>
          <w:numId w:val="5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4"/>
          <w:szCs w:val="14"/>
          <w:color w:val="auto"/>
        </w:rPr>
        <w:t xml:space="preserve">​ 326,627 </w:t>
      </w:r>
      <w:r>
        <w:rPr>
          <w:rFonts w:ascii="Times New Roman" w:cs="Times New Roman" w:eastAsia="Times New Roman" w:hAnsi="Times New Roman"/>
          <w:sz w:val="26"/>
          <w:szCs w:val="26"/>
          <w:b w:val="1"/>
          <w:bCs w:val="1"/>
          <w:color w:val="auto"/>
          <w:vertAlign w:val="superscript"/>
        </w:rPr>
        <w:t>​</w:t>
      </w:r>
    </w:p>
    <w:p>
      <w:pPr>
        <w:ind w:left="109" w:hanging="109"/>
        <w:spacing w:after="0"/>
        <w:tabs>
          <w:tab w:leader="none" w:pos="109"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 xml:space="preserve">​ 169,978 </w:t>
      </w:r>
      <w:r>
        <w:rPr>
          <w:rFonts w:ascii="Times New Roman" w:cs="Times New Roman" w:eastAsia="Times New Roman" w:hAnsi="Times New Roman"/>
          <w:sz w:val="28"/>
          <w:szCs w:val="28"/>
          <w:b w:val="1"/>
          <w:bCs w:val="1"/>
          <w:color w:val="auto"/>
          <w:vertAlign w:val="superscript"/>
        </w:rPr>
        <w:t>​</w:t>
      </w:r>
    </w:p>
    <w:p>
      <w:pPr>
        <w:spacing w:after="0" w:line="231" w:lineRule="exact"/>
        <w:rPr>
          <w:sz w:val="20"/>
          <w:szCs w:val="20"/>
          <w:color w:val="auto"/>
        </w:rPr>
      </w:pPr>
    </w:p>
    <w:p>
      <w:pPr>
        <w:sectPr>
          <w:pgSz w:w="11900" w:h="16838" w:orient="portrait"/>
          <w:cols w:equalWidth="0" w:num="3">
            <w:col w:w="8560" w:space="40"/>
            <w:col w:w="740" w:space="31"/>
            <w:col w:w="889"/>
          </w:cols>
          <w:pgMar w:left="580" w:top="97" w:right="1059" w:bottom="1440" w:gutter="0" w:footer="0" w:header="0"/>
          <w:type w:val="continuous"/>
        </w:sectPr>
      </w:pPr>
    </w:p>
    <w:p>
      <w:pPr>
        <w:spacing w:after="0" w:line="72" w:lineRule="exact"/>
        <w:rPr>
          <w:sz w:val="20"/>
          <w:szCs w:val="20"/>
          <w:color w:val="auto"/>
        </w:rPr>
      </w:pPr>
    </w:p>
    <w:p>
      <w:pPr>
        <w:ind w:left="1620" w:right="1280"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Threshold non-equity incentive plan awards include annual incentive plan threshold payments, as presented in the CD&amp;A.</w:t>
      </w:r>
    </w:p>
    <w:p>
      <w:pPr>
        <w:spacing w:after="0" w:line="40" w:lineRule="exact"/>
        <w:rPr>
          <w:rFonts w:ascii="Times New Roman" w:cs="Times New Roman" w:eastAsia="Times New Roman" w:hAnsi="Times New Roman"/>
          <w:sz w:val="18"/>
          <w:szCs w:val="18"/>
          <w:color w:val="auto"/>
        </w:rPr>
      </w:pPr>
    </w:p>
    <w:p>
      <w:pPr>
        <w:ind w:left="1620" w:right="880"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non-equity incentive plan awards include annual incentive plan target payments, as presented in the CD&amp;A.</w:t>
      </w:r>
    </w:p>
    <w:p>
      <w:pPr>
        <w:spacing w:after="0" w:line="40" w:lineRule="exact"/>
        <w:rPr>
          <w:rFonts w:ascii="Times New Roman" w:cs="Times New Roman" w:eastAsia="Times New Roman" w:hAnsi="Times New Roman"/>
          <w:sz w:val="18"/>
          <w:szCs w:val="18"/>
          <w:color w:val="auto"/>
        </w:rPr>
      </w:pPr>
    </w:p>
    <w:p>
      <w:pPr>
        <w:ind w:left="1620" w:right="1220"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non-equity incentive plan awards include annual incentive plan maximum payments, as presented in the CD&amp;A.</w:t>
      </w:r>
    </w:p>
    <w:p>
      <w:pPr>
        <w:spacing w:after="0" w:line="40" w:lineRule="exact"/>
        <w:rPr>
          <w:rFonts w:ascii="Times New Roman" w:cs="Times New Roman" w:eastAsia="Times New Roman" w:hAnsi="Times New Roman"/>
          <w:sz w:val="18"/>
          <w:szCs w:val="18"/>
          <w:color w:val="auto"/>
        </w:rPr>
      </w:pPr>
    </w:p>
    <w:p>
      <w:pPr>
        <w:ind w:left="1620" w:right="900"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determined in accordance with the Financial Accounting Standards Board Accounting Standards Codification Topic 718, Comparison — Stock Compensation. The Company uses the Class C common stock price on the date of grant as the fair value of the Company’s RSUs. The fair value of RPSUs is estimated on the date of grant using a Monte Carlo simulation model. The number of RPSUs granted is based on the 10-day average closing price of the Company’s Class C common stock ending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920" w:type="dxa"/>
            <w:vAlign w:val="bottom"/>
            <w:gridSpan w:val="5"/>
            <w:shd w:val="clear" w:color="auto" w:fill="000000"/>
          </w:tcPr>
          <w:p>
            <w:pPr>
              <w:spacing w:after="0" w:line="20" w:lineRule="exact"/>
              <w:rPr>
                <w:sz w:val="1"/>
                <w:szCs w:val="1"/>
                <w:color w:val="auto"/>
              </w:rPr>
            </w:pPr>
          </w:p>
        </w:tc>
      </w:tr>
      <w:tr>
        <w:trPr>
          <w:trHeight w:val="209"/>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 ​​</w:t>
            </w:r>
          </w:p>
        </w:tc>
        <w:tc>
          <w:tcPr>
            <w:tcW w:w="1920" w:type="dxa"/>
            <w:vAlign w:val="bottom"/>
            <w:gridSpan w:val="5"/>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Equity Incentive Plan Awards</w:t>
            </w:r>
          </w:p>
        </w:tc>
      </w:tr>
      <w:tr>
        <w:trPr>
          <w:trHeight w:val="158"/>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Market</w:t>
            </w:r>
          </w:p>
        </w:tc>
        <w:tc>
          <w:tcPr>
            <w:tcW w:w="1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62"/>
        </w:trPr>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62"/>
        </w:trPr>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5"/>
              </w:rPr>
              <w:t>Value of</w:t>
            </w:r>
          </w:p>
        </w:tc>
      </w:tr>
      <w:tr>
        <w:trPr>
          <w:trHeight w:val="162"/>
        </w:trPr>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r>
      <w:tr>
        <w:trPr>
          <w:trHeight w:val="162"/>
        </w:trPr>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that</w:t>
            </w:r>
          </w:p>
        </w:tc>
        <w:tc>
          <w:tcPr>
            <w:tcW w:w="2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that</w:t>
            </w:r>
          </w:p>
        </w:tc>
      </w:tr>
      <w:tr>
        <w:trPr>
          <w:trHeight w:val="162"/>
        </w:trPr>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6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4"/>
                <w:szCs w:val="14"/>
                <w:color w:val="auto"/>
              </w:rPr>
            </w:pPr>
          </w:p>
        </w:tc>
        <w:tc>
          <w:tcPr>
            <w:tcW w:w="6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Have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Have Not</w:t>
            </w:r>
          </w:p>
        </w:tc>
      </w:tr>
      <w:tr>
        <w:trPr>
          <w:trHeight w:val="162"/>
        </w:trPr>
        <w:tc>
          <w:tcPr>
            <w:tcW w:w="8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r>
      <w:tr>
        <w:trPr>
          <w:trHeight w:val="214"/>
        </w:trPr>
        <w:tc>
          <w:tcPr>
            <w:tcW w:w="1860" w:type="dxa"/>
            <w:vAlign w:val="bottom"/>
            <w:gridSpan w:val="5"/>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Unexercisable </w:t>
            </w:r>
            <w:r>
              <w:rPr>
                <w:rFonts w:ascii="Times New Roman" w:cs="Times New Roman" w:eastAsia="Times New Roman" w:hAnsi="Times New Roman"/>
                <w:sz w:val="24"/>
                <w:szCs w:val="24"/>
                <w:b w:val="1"/>
                <w:bCs w:val="1"/>
                <w:color w:val="auto"/>
                <w:vertAlign w:val="subscript"/>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2974340</wp:posOffset>
            </wp:positionH>
            <wp:positionV relativeFrom="paragraph">
              <wp:posOffset>0</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2459990</wp:posOffset>
            </wp:positionH>
            <wp:positionV relativeFrom="paragraph">
              <wp:posOffset>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1979930</wp:posOffset>
            </wp:positionH>
            <wp:positionV relativeFrom="paragraph">
              <wp:posOffset>0</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1499870</wp:posOffset>
            </wp:positionH>
            <wp:positionV relativeFrom="paragraph">
              <wp:posOffset>0</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1105535</wp:posOffset>
            </wp:positionH>
            <wp:positionV relativeFrom="paragraph">
              <wp:posOffset>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522605</wp:posOffset>
            </wp:positionH>
            <wp:positionV relativeFrom="paragraph">
              <wp:posOffset>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160" w:space="720"/>
            <w:col w:w="699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20"/>
        </w:trPr>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Christopher S. Sotos</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4"/>
            <w:shd w:val="clear" w:color="auto" w:fill="CCEEFF"/>
          </w:tcPr>
          <w:p>
            <w:pPr>
              <w:jc w:val="right"/>
              <w:spacing w:after="0" w:line="190" w:lineRule="exact"/>
              <w:rPr>
                <w:sz w:val="20"/>
                <w:szCs w:val="20"/>
                <w:color w:val="auto"/>
              </w:rPr>
            </w:pPr>
            <w:r>
              <w:rPr>
                <w:rFonts w:ascii="Times New Roman" w:cs="Times New Roman" w:eastAsia="Times New Roman" w:hAnsi="Times New Roman"/>
                <w:sz w:val="16"/>
                <w:szCs w:val="16"/>
                <w:color w:val="auto"/>
              </w:rPr>
              <w:t>​47,847</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6"/>
                <w:szCs w:val="16"/>
                <w:color w:val="auto"/>
              </w:rPr>
              <w:t>​​ ​​1,312,443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right w:val="single" w:sz="8" w:color="CCEEFF"/>
            </w:tcBorders>
            <w:shd w:val="clear" w:color="auto" w:fill="CCEEFF"/>
          </w:tcPr>
          <w:p>
            <w:pPr>
              <w:ind w:left="60"/>
              <w:spacing w:after="0" w:line="190" w:lineRule="exact"/>
              <w:rPr>
                <w:sz w:val="20"/>
                <w:szCs w:val="20"/>
                <w:color w:val="auto"/>
              </w:rPr>
            </w:pPr>
            <w:r>
              <w:rPr>
                <w:rFonts w:ascii="Times New Roman" w:cs="Times New Roman" w:eastAsia="Times New Roman" w:hAnsi="Times New Roman"/>
                <w:sz w:val="16"/>
                <w:szCs w:val="16"/>
                <w:color w:val="auto"/>
                <w:w w:val="95"/>
              </w:rPr>
              <w:t>​142,034</w:t>
            </w:r>
            <w:r>
              <w:rPr>
                <w:rFonts w:ascii="Times New Roman" w:cs="Times New Roman" w:eastAsia="Times New Roman" w:hAnsi="Times New Roman"/>
                <w:sz w:val="19"/>
                <w:szCs w:val="19"/>
                <w:color w:val="auto"/>
                <w:w w:val="95"/>
                <w:vertAlign w:val="superscript"/>
              </w:rPr>
              <w:t>(3)</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​3,895,993</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1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Sarah Rubenstein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​10,924</w:t>
            </w:r>
            <w:r>
              <w:rPr>
                <w:rFonts w:ascii="Times New Roman" w:cs="Times New Roman" w:eastAsia="Times New Roman" w:hAnsi="Times New Roman"/>
                <w:sz w:val="19"/>
                <w:szCs w:val="19"/>
                <w:color w:val="auto"/>
                <w:vertAlign w:val="superscript"/>
              </w:rPr>
              <w:t>(4)</w:t>
            </w:r>
            <w:r>
              <w:rPr>
                <w:rFonts w:ascii="Times New Roman" w:cs="Times New Roman" w:eastAsia="Times New Roman" w:hAnsi="Times New Roman"/>
                <w:sz w:val="16"/>
                <w:szCs w:val="16"/>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299,645</w:t>
            </w: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19,090</w:t>
            </w:r>
            <w:r>
              <w:rPr>
                <w:rFonts w:ascii="Times New Roman" w:cs="Times New Roman" w:eastAsia="Times New Roman" w:hAnsi="Times New Roman"/>
                <w:sz w:val="19"/>
                <w:szCs w:val="19"/>
                <w:color w:val="auto"/>
                <w:vertAlign w:val="superscript"/>
              </w:rPr>
              <w:t>(5)</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523,639</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Kevin P. Malcarney</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​10,730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6"/>
                <w:szCs w:val="16"/>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294,324</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32,454</w:t>
            </w:r>
            <w:r>
              <w:rPr>
                <w:rFonts w:ascii="Times New Roman" w:cs="Times New Roman" w:eastAsia="Times New Roman" w:hAnsi="Times New Roman"/>
                <w:sz w:val="19"/>
                <w:szCs w:val="19"/>
                <w:color w:val="auto"/>
                <w:vertAlign w:val="superscript"/>
              </w:rPr>
              <w:t>(7)</w:t>
            </w:r>
          </w:p>
        </w:tc>
        <w:tc>
          <w:tcPr>
            <w:tcW w:w="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890,213</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559" w:hanging="360"/>
        <w:spacing w:after="0" w:line="281"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achievement at target award level for 2021, 2022 and 2023 RPSU awards as discussed in the CD&amp;A.</w:t>
      </w:r>
    </w:p>
    <w:p>
      <w:pPr>
        <w:spacing w:after="0" w:line="1" w:lineRule="exact"/>
        <w:rPr>
          <w:rFonts w:ascii="Times New Roman" w:cs="Times New Roman" w:eastAsia="Times New Roman" w:hAnsi="Times New Roman"/>
          <w:sz w:val="18"/>
          <w:szCs w:val="18"/>
          <w:color w:val="auto"/>
        </w:rPr>
      </w:pPr>
    </w:p>
    <w:p>
      <w:pPr>
        <w:ind w:left="1620" w:right="65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21,595 RSUs and 1,907 DERs that will vest on April 15, 2024, 14,859 RSUs and 978 DERs that will vest on April 15, 2025, and 8,139 RSUs and 369 DERs that will vest on April 15, 2026.</w:t>
      </w:r>
    </w:p>
    <w:p>
      <w:pPr>
        <w:spacing w:after="0" w:line="13"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41,319 RPSUs and 5,694 DERs that will vest on April 15, 2024, 39,607 RPSUs and 3,586 DERs that will vest on April 15, 2025, and 49,580 RPSUs and 2,248 DERs that will vest on April 15, 2026.</w:t>
      </w:r>
    </w:p>
    <w:p>
      <w:pPr>
        <w:spacing w:after="0" w:line="13" w:lineRule="exact"/>
        <w:rPr>
          <w:rFonts w:ascii="Times New Roman" w:cs="Times New Roman" w:eastAsia="Times New Roman" w:hAnsi="Times New Roman"/>
          <w:sz w:val="18"/>
          <w:szCs w:val="18"/>
          <w:color w:val="auto"/>
        </w:rPr>
      </w:pPr>
    </w:p>
    <w:p>
      <w:pPr>
        <w:jc w:val="both"/>
        <w:ind w:left="1620" w:right="659" w:hanging="360"/>
        <w:spacing w:after="0" w:line="27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5,452 RSUs and 534 DERs that will vest on April 15, 2024, 2,985 RSUs and 194 DERs that will vest on April 15, 2025, and 1,683 RSUs and 76 DERs that will vest on April 15, 2026.</w:t>
      </w:r>
    </w:p>
    <w:p>
      <w:pPr>
        <w:spacing w:after="0" w:line="227" w:lineRule="exact"/>
        <w:rPr>
          <w:rFonts w:ascii="Times New Roman" w:cs="Times New Roman" w:eastAsia="Times New Roman" w:hAnsi="Times New Roman"/>
          <w:sz w:val="18"/>
          <w:szCs w:val="18"/>
          <w:color w:val="auto"/>
        </w:rPr>
      </w:pPr>
    </w:p>
    <w:p>
      <w:pPr>
        <w:ind w:left="1620" w:right="679" w:hanging="360"/>
        <w:spacing w:after="0" w:line="281"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7,681 RPSUs and 695 DERs that will vest on April 15, 2025, 10,250 RPSUs and 464 DERs that will vest on April 15, 2026.</w:t>
      </w:r>
    </w:p>
    <w:p>
      <w:pPr>
        <w:spacing w:after="0" w:line="1"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4,793 RSUs and 424 DERs that will vest on April 15, 2024, 3,405 RSUs and 226 DERs that will vest on April 15, 2025, and 1,801 RSUs and 81 DERs that will vest on April 15, 2026. Amounts do not include shares withheld for payment of taxes due to retirement eligibility.</w:t>
      </w:r>
    </w:p>
    <w:p>
      <w:pPr>
        <w:spacing w:after="0" w:line="13"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9,387 RPSUs and 1,293 DERs that will vest on April 15, 2024, 9,453 RPSUs and 856 DERs that will vest on April 15, 2025, and 10,968 RPSUs and 497 DERs that will vest on April 15, 2026.</w:t>
      </w:r>
    </w:p>
    <w:p>
      <w:pPr>
        <w:spacing w:after="0" w:line="1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Fiscal Year Ended December 31, 2023</w:t>
      </w:r>
    </w:p>
    <w:p>
      <w:pPr>
        <w:spacing w:after="0" w:line="15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Value 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on Exercise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Acquired on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40" w:type="dxa"/>
            <w:vAlign w:val="bottom"/>
          </w:tcPr>
          <w:p>
            <w:pPr>
              <w:spacing w:after="0"/>
              <w:rPr>
                <w:sz w:val="14"/>
                <w:szCs w:val="14"/>
                <w:color w:val="auto"/>
              </w:rPr>
            </w:pPr>
          </w:p>
        </w:tc>
      </w:tr>
      <w:tr>
        <w:trPr>
          <w:trHeight w:val="21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7"/>
                <w:szCs w:val="17"/>
                <w:b w:val="1"/>
                <w:bCs w:val="1"/>
                <w:color w:val="auto"/>
                <w:vertAlign w:val="superscript"/>
              </w:rPr>
              <w:t>(2)</w:t>
            </w:r>
          </w:p>
        </w:tc>
        <w:tc>
          <w:tcPr>
            <w:tcW w:w="40" w:type="dxa"/>
            <w:vAlign w:val="bottom"/>
          </w:tcPr>
          <w:p>
            <w:pPr>
              <w:spacing w:after="0"/>
              <w:rPr>
                <w:sz w:val="18"/>
                <w:szCs w:val="18"/>
                <w:color w:val="auto"/>
              </w:rPr>
            </w:pPr>
          </w:p>
        </w:tc>
      </w:tr>
      <w:tr>
        <w:trPr>
          <w:trHeight w:val="25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Christopher S. Sotos</w:t>
            </w: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121,861</w:t>
            </w:r>
            <w:r>
              <w:rPr>
                <w:rFonts w:ascii="Times New Roman" w:cs="Times New Roman" w:eastAsia="Times New Roman" w:hAnsi="Times New Roman"/>
                <w:sz w:val="19"/>
                <w:szCs w:val="19"/>
                <w:color w:val="auto"/>
                <w:vertAlign w:val="superscript"/>
              </w:rPr>
              <w:t>(3)</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​3,842,342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Sarah Rubenstein</w:t>
            </w:r>
          </w:p>
        </w:tc>
        <w:tc>
          <w:tcPr>
            <w:tcW w:w="700" w:type="dxa"/>
            <w:vAlign w:val="bottom"/>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7,531</w:t>
            </w:r>
            <w:r>
              <w:rPr>
                <w:rFonts w:ascii="Times New Roman" w:cs="Times New Roman" w:eastAsia="Times New Roman" w:hAnsi="Times New Roman"/>
                <w:sz w:val="21"/>
                <w:szCs w:val="21"/>
                <w:color w:val="auto"/>
                <w:vertAlign w:val="superscript"/>
              </w:rPr>
              <w:t>(4)</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220,360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Kevin P. Malcarney</w:t>
            </w:r>
          </w:p>
        </w:tc>
        <w:tc>
          <w:tcPr>
            <w:tcW w:w="7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23,830</w:t>
            </w:r>
            <w:r>
              <w:rPr>
                <w:rFonts w:ascii="Times New Roman" w:cs="Times New Roman" w:eastAsia="Times New Roman" w:hAnsi="Times New Roman"/>
                <w:sz w:val="21"/>
                <w:szCs w:val="21"/>
                <w:color w:val="auto"/>
                <w:vertAlign w:val="superscript"/>
              </w:rPr>
              <w:t>(5)</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751,455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-513715</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4263390</wp:posOffset>
            </wp:positionH>
            <wp:positionV relativeFrom="paragraph">
              <wp:posOffset>-513715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-513715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-513715</wp:posOffset>
            </wp:positionV>
            <wp:extent cx="137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59" w:hanging="360"/>
        <w:spacing w:after="0" w:line="281"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and DERs that vested pursuant to underlying awards and converted to Class C common stock in 2023.</w:t>
      </w:r>
    </w:p>
    <w:p>
      <w:pPr>
        <w:spacing w:after="0" w:line="1" w:lineRule="exact"/>
        <w:rPr>
          <w:rFonts w:ascii="Times New Roman" w:cs="Times New Roman" w:eastAsia="Times New Roman" w:hAnsi="Times New Roman"/>
          <w:sz w:val="18"/>
          <w:szCs w:val="18"/>
          <w:color w:val="auto"/>
        </w:rPr>
      </w:pPr>
    </w:p>
    <w:p>
      <w:pPr>
        <w:ind w:left="1620" w:right="439" w:hanging="360"/>
        <w:spacing w:after="0" w:line="257"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are based on the April 14, 2023 Class C common stock closing share price of $31.53 for awards and DERs that vested on April 15, 2023, the November 2, 2023 Class C common stock closing share price of $22.77 for awards and DERs that vested on November 2, 2023. The values for retirement eligible NEOs are based on the Class C common stock closing share price on the dates the awards became eligible for continued vesting and shares and DERs were withheld to cover certain tax withholding obligations.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line="258"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9,358 RSUs, 85,188 RPSUs and 12,968 DERs that vested on April 15, 2023 pursuant to the stock compensation awards granted on April 15, 2020. Represents 6,738 RSUs and 596 DERs that vested on April 15, 2023 pursuant to the stock compensation award granted on April 15, 2021. Represents 6,723 RSUs and 290 DERs that vested on April 15, 2023 pursuant to the stock compensation award granted on April 15, 2022.</w:t>
      </w:r>
    </w:p>
    <w:p>
      <w:pPr>
        <w:spacing w:after="0" w:line="34"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1,348 RSUs and 184 DERs that vested on April 15, 2023 pursuant to the stock compensation award granted on April 15, 2020. Represents 1,711 RSUs and 248 DERs that vested on November 2, 2023 pursuant to the stock compensation award granted on November 2, 2020. Represents 2,463 RSUs and 217 DERs that vested on April 15, 2023 pursuant to the stock compensation award granted on April 15, 2021. Represents 1,304 RSUs and 56 DERs that vested on April 15, 2023 pursuant to the stock compensation award granted on April 15, 2022.</w:t>
      </w:r>
    </w:p>
    <w:p>
      <w:pPr>
        <w:spacing w:after="0" w:line="38" w:lineRule="exact"/>
        <w:rPr>
          <w:rFonts w:ascii="Times New Roman" w:cs="Times New Roman" w:eastAsia="Times New Roman" w:hAnsi="Times New Roman"/>
          <w:sz w:val="18"/>
          <w:szCs w:val="18"/>
          <w:color w:val="auto"/>
        </w:rPr>
      </w:pPr>
    </w:p>
    <w:p>
      <w:pPr>
        <w:ind w:left="1620" w:right="479" w:hanging="360"/>
        <w:spacing w:after="0" w:line="25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1,784 RSUs, 16,241 RPSUs and 2,471 DERs that vested on April 15, 2023 pursuant to the stock compensation awards granted on April 15, 2020. Represents 1,390 RSUs and 122 DERs that vested on April 15, 2023 pursuant to the stock compensation award granted on April 15, 2021. Represents 1,604 RSUs and 69 DERs that vested on April 15, 2023 pursuant to the stock compensation award granted on April 15, 2022. Represents 143 shares and 6 DERs that were withheld to cover certain tax obligations in 2023 due to awards becoming eligible for continued vesting in the event of the NEO’s retirement.</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 has not entered into employment agreements with any executive officers other than Mr. Sotos.</w:t>
      </w:r>
    </w:p>
    <w:p>
      <w:pPr>
        <w:spacing w:after="0" w:line="9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September 23, 2021, the Company and Mr. Sotos entered into an agreement amending and restating Mr. Sotos’ employment agreement, dated as of May 6, 2016, as previously amended, pursuant to which Mr. Sotos continues to serve as the Company’s President and CEO for a new term that began on September 23, 2021 (the “Effective Date”). Under this amended and restated employment agreement, the term of Mr. Sotos’ employment will continue until the earlier of the date that his employment is terminated by either party or December 31, 2024; provided that such employment period will automatically renew on the same terms and conditions for additional one-year terms unless either party provides the other party with written notice of its election not to renew the then-current employment period at least 90 days before such period’s expiration date. The amended and restated employment agreement originally entitled Mr. Sotos to an annual base salary of $629,330 for the period beginning on the Effective Date and ending on December 31, 2021. For each annual period thereafter, our Board will determine whether to increase</w:t>
      </w:r>
    </w:p>
    <w:p>
      <w:pPr>
        <w:spacing w:after="0" w:line="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Mr. Sotos’ annual base salary. For the 2022 fiscal year, the Board increased Mr. Sotos’ annual base salary to $665,201 and it remained unchanged for the 2023 fiscal year. The amended and restated employment agreement further provides that Mr. Sotos is eligible to receive an annual bonus at a target amount equal to 100% of base salary (i.e., AIP bonus), with it being understood that such percentage may be increased by the Company from time to time, in each case based on achievement of criteria determined by the Board with input from Mr. Sotos. The maximum award opportunity each year is 200% of the target amount. The amended and restated employment agreement further provides that Mr. Sotos is eligible to participate in the LTIP, on such terms as are set forth in the plan. Mr. Sotos’ target LTIP award for the 2023 fiscal year was approximately 350% of base salary.</w:t>
      </w:r>
    </w:p>
    <w:p>
      <w:pPr>
        <w:spacing w:after="0" w:line="12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In addition to the compensation and benefits described above, as well as paid vacation and director and officer liability insurance, the amended and restated employment agreement provides that Mr. Sotos will receive the following:</w:t>
      </w:r>
    </w:p>
    <w:p>
      <w:pPr>
        <w:spacing w:after="0" w:line="69" w:lineRule="exact"/>
        <w:rPr>
          <w:sz w:val="20"/>
          <w:szCs w:val="20"/>
          <w:color w:val="auto"/>
        </w:rPr>
      </w:pPr>
    </w:p>
    <w:p>
      <w:pPr>
        <w:ind w:left="1800" w:right="4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annual tax return preparation expenses and tax advice and financial planning, up to a maximum of $12,000 per year;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retirement plans, health and welfare plans, and disability insurance plans under the same terms, and to the same extent, as other senior management of the Company;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the costs of litigation or other disputes incurred in asserting any claims under the amended and restated employment agreement, unless the court finds in favor of the Company.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amended and restated employment agreement also provided Mr. Sotos with a reimbursement for legal fees incurred in connection with reviewing and finalizing his amended and restated employment agreement, up to a maximum of $12,000.</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amended and restated employment agreement further entitles Mr. Sotos to certain severance payments and benefits in the event his employment terminates under certain circumstances. These severance payments and benefits are described and quantified under the section “Severance and Change-in-Control” below. In addition, under the amended and restated employment agreement, the Company has agreed to indemnify Mr. Sotos against any claims arising as a result of his position with the Company to the fullest extent permitted by the Company’s certificate of incorporation, bylaws or Board resolutions or, if greater, Delaware law.</w:t>
      </w:r>
    </w:p>
    <w:p>
      <w:pPr>
        <w:spacing w:after="0" w:line="33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The amended and restated employment agreement includes non-competition and non-solicitation restrictions on Mr. Sotos during the term of his employment and for one year after his termination of employment. The amended and restated employment agreement also includes confidentiality, indemnification obligations and intellectual property restrictions and an obligation for Mr. Sotos to cooperate with the Company in the event of any internal, administrative, regulatory, or judicial proceeding. The provisions of the amended and restated employment agreement may only be waived with the written consent of the Company and Mr. Sotos.</w:t>
      </w:r>
    </w:p>
    <w:p>
      <w:pPr>
        <w:spacing w:after="0" w:line="18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SEVERANCE AND CHANGE-IN-CONTROL</w:t>
      </w:r>
    </w:p>
    <w:p>
      <w:pPr>
        <w:spacing w:after="0" w:line="14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Mr. Sotos’ amended and restated employment agreement with respect to Mr. Sotos,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In general, no RPSU or RSU that is granted to an NEO provides for accelerated vesting upon any other involuntary termination. RSUs granted to</w:t>
      </w:r>
    </w:p>
    <w:p>
      <w:pPr>
        <w:spacing w:after="0" w:line="12" w:lineRule="exact"/>
        <w:rPr>
          <w:sz w:val="20"/>
          <w:szCs w:val="20"/>
          <w:color w:val="auto"/>
        </w:rPr>
      </w:pPr>
    </w:p>
    <w:p>
      <w:pPr>
        <w:jc w:val="both"/>
        <w:ind w:left="1260" w:right="919"/>
        <w:spacing w:after="0" w:line="255" w:lineRule="auto"/>
        <w:rPr>
          <w:sz w:val="20"/>
          <w:szCs w:val="20"/>
          <w:color w:val="auto"/>
        </w:rPr>
      </w:pPr>
      <w:r>
        <w:rPr>
          <w:rFonts w:ascii="Times New Roman" w:cs="Times New Roman" w:eastAsia="Times New Roman" w:hAnsi="Times New Roman"/>
          <w:sz w:val="18"/>
          <w:szCs w:val="18"/>
          <w:color w:val="auto"/>
        </w:rPr>
        <w:t>Ms. Rubenstein prior to her promotion to Senior Vice President and Chief Accounting Officer in 2022 provide pro-rated vesting for certain involuntary terminations of service that occur in connection with certain significant business events.</w:t>
      </w:r>
    </w:p>
    <w:p>
      <w:pPr>
        <w:spacing w:after="0" w:line="11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“Change in Control Period” is the period commencing six months immediately prior to, and ending 24 months immediately following, a “change in control” of the Company (as “change in control” is defined in Mr. Sotos’ amended and restated employment agreement with respect to Mr. Sotos, and in the LTIP with respect to the other NEOs).</w:t>
      </w:r>
    </w:p>
    <w:p>
      <w:pPr>
        <w:spacing w:after="0" w:line="112"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above described treatment of the equity awards, Mr. Sotos, pursuant to his amended and restated employment agreement, and the other NEOs, pursuant to the CIC Plan and in some cases, the AIP, are entitled to certain additional severance payments and benefits in the event of termination of employment under certain circumstances, including following a change-in-control.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MR. SOTOS’ BENEFITS</w:t>
      </w:r>
    </w:p>
    <w:p>
      <w:pPr>
        <w:spacing w:after="0" w:line="16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If Mr. Sotos’ employment is involuntarily terminated by the Company without cause (including by</w:t>
      </w:r>
    </w:p>
    <w:p>
      <w:pPr>
        <w:spacing w:after="0" w:line="27"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color w:val="auto"/>
        </w:rPr>
        <w:t>reason of the Company’s non-renewal of Mr. Sotos’ employment term under his employment agreement), or if he terminates his employment for good reason, subject to Mr. Sotos executing a release of claims, the Company agrees to provide Mr. Sotos with the following severance benefits:</w:t>
      </w:r>
    </w:p>
    <w:p>
      <w:pPr>
        <w:spacing w:after="0" w:line="77" w:lineRule="exact"/>
        <w:rPr>
          <w:sz w:val="20"/>
          <w:szCs w:val="20"/>
          <w:color w:val="auto"/>
        </w:rPr>
      </w:pPr>
    </w:p>
    <w:p>
      <w:pPr>
        <w:ind w:left="1800" w:right="71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no less than 1.5 times Mr. Sotos’ annual base salary in effect at the time of Mr. Sotos’ termination of employment;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bonus that Mr. Sotos would have earned if his employment had not terminated (i.e., contingent on satisfaction of the performance goals applicable to such bonus) under the then-current bonus plan, which amount will be pro-rated based on the number of days during the year that he was employed by the Company and paid at the time annual bonus payments are generally made to the Company’s executive officers;</w:t>
      </w:r>
    </w:p>
    <w:p>
      <w:pPr>
        <w:spacing w:after="0" w:line="88"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bonus amount for the prior fiscal year to the extent not paid prior to the termination date; and</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12" w:lineRule="exact"/>
        <w:rPr>
          <w:sz w:val="20"/>
          <w:szCs w:val="20"/>
          <w:color w:val="auto"/>
        </w:rPr>
      </w:pPr>
    </w:p>
    <w:p>
      <w:pPr>
        <w:ind w:left="1260" w:right="699" w:firstLine="360"/>
        <w:spacing w:after="0" w:line="262" w:lineRule="auto"/>
        <w:rPr>
          <w:sz w:val="20"/>
          <w:szCs w:val="20"/>
          <w:color w:val="auto"/>
        </w:rPr>
      </w:pPr>
      <w:r>
        <w:rPr>
          <w:rFonts w:ascii="Times New Roman" w:cs="Times New Roman" w:eastAsia="Times New Roman" w:hAnsi="Times New Roman"/>
          <w:sz w:val="18"/>
          <w:szCs w:val="18"/>
          <w:color w:val="auto"/>
        </w:rPr>
        <w:t>If Mr. Sotos’ employment is involuntarily terminated by the Company without cause (including by reason of the Company’s non-renewal of Mr. Sotos’ employment term under his employment agreement) or if he terminates his employment for good reason within the six months immediately prior to, or the</w:t>
      </w:r>
    </w:p>
    <w:p>
      <w:pPr>
        <w:spacing w:after="0" w:line="2"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color w:val="auto"/>
        </w:rPr>
        <w:t>24 months immediately following, a change in control of the Company (i.e., the Change in Control Period with respect to Mr. Sotos), in lieu of the severance benefits set forth above, the Company will provide Mr. Sotos with the following severance benefits:</w:t>
      </w:r>
    </w:p>
    <w:p>
      <w:pPr>
        <w:spacing w:after="0" w:line="77" w:lineRule="exact"/>
        <w:rPr>
          <w:sz w:val="20"/>
          <w:szCs w:val="20"/>
          <w:color w:val="auto"/>
        </w:rPr>
      </w:pPr>
    </w:p>
    <w:p>
      <w:pPr>
        <w:ind w:left="1800" w:right="45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no less than three times the sum of (a) Mr. Sotos’ base salary in effect at the time of Mr. Sotos’ termination of employment, or if greater, at such time that is immediately prior to the change in control and (b) Mr. Sotos’ target bonus opportunity under the then-current bonus plan for the year of termination;</w:t>
      </w:r>
    </w:p>
    <w:p>
      <w:pPr>
        <w:spacing w:after="0" w:line="85"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target bonus opportunity under the then-current bonus plan, which amount will be pro-rated based on the number of days during the year that he was employed by the Company;</w:t>
      </w:r>
    </w:p>
    <w:p>
      <w:pPr>
        <w:spacing w:after="0" w:line="8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bonus amount for the prior fiscal year to the extent not paid prior to the termination date; and</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portion of COBRA premiums based on the monthly premium cost that would have been paid by the Company immediately prior to Mr. Sotos’ termination of employment for a period of 18 months after the date of termination, except that such coverage will be discontinued if Mr. Sotos becomes eligible for medical benefits from a subsequent employer or otherwise.</w:t>
      </w:r>
    </w:p>
    <w:p>
      <w:pPr>
        <w:spacing w:after="0" w:line="11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Mr. Sotos’ employment is terminated as a result of his death or disability, the Company agrees to pay him an amount equal to the target bonus opportunity for the year of termination, which amount will be pro-rated based on the number of days during the year that Mr. Sotos was employed by the Company. In addition, the Company will pay Mr. Sotos any unpaid bonus amount for the prior fiscal year to the extent not paid prior to the termination date.</w:t>
      </w:r>
    </w:p>
    <w:p>
      <w:pPr>
        <w:spacing w:after="0" w:line="102"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If an excise tax under Section 4999 of the Code would be triggered by any payments under Mr. Sotos’ amended and restated employment agreement or otherwise upon a change-in-control, the Company will reduce such payments so that no amounts are subject to Section 4999 of the Code, if such reduction would cause the amount to be retained by Mr. Sotos to be greater than if Mr. Sotos were required to pay such excise tax.</w:t>
      </w: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NEO BENEFITS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Eligible NEOs may receive a discretionary payment of the pro-rated target bonus under the AIP in the event of such NEO’s termination of employment under certain circumstances, including upon his or her termination due to retirement or involuntary termination without cause. Such amount, if payable in the Compensation Committee’s discretion, will be pro- rated based on the number of days during the year that he or she was employed by the Company. In addition, under the CIC Plan, in the event of involuntary termination without cause, eligible NEOs are entitled to a general severance benefit equal to 1.5 times base salary payable in a lump sum amount and reimbursement for COBRA benefits continuation cost for a period of 18 months.</w:t>
      </w:r>
    </w:p>
    <w:p>
      <w:pPr>
        <w:spacing w:after="0" w:line="328"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The CIC Plan also provides a change-in-control benefit in the event that, within six months prior to, as well as 24 months following, a change-in-control, an eligible NEO’s employment is either involuntarily terminated by the Company without cause or voluntarily terminated by such NEO for good reason. The change-in-control benefit for Mr. Malcarney consists of an amount equal to 2.99 times the sum of his base salary plus the annual target incentive for the year of termination. In connection with Ms. Rubenstein’s appointment as Executive Vice President and Chief Financial Officer in April 2023, the change -in-control benefit for Ms. Rubenstein was increased to an amount equal to 2.99 times the sum of her base salary plus the annual target incentive for the year of termination (prior to such appointment such amount was equal to 2.0 times the sum of her base salary plus the annual target incentive for the year of termination). All such NEOs are also eligible for an amount equal to their target bonus for the year of termination, pro-rated for the number of days during the performance period that such NEO was employed by the Company and reimbursement for all or a portion of such NEO’s COBRA benefits continuation cost for a period of</w:t>
      </w:r>
    </w:p>
    <w:p>
      <w:pPr>
        <w:spacing w:after="0" w:line="10"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18 months, such that the NEO maintains the same coverage level and cost, on an after-tax basis, as in effect immediately prior to his or her termination of employment.</w:t>
      </w:r>
    </w:p>
    <w:p>
      <w:pPr>
        <w:spacing w:after="0" w:line="10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As a condition of receiving severance or change-in-control benefits, an eligible NEO must execute a release of claims and acknowledge the restrictive covenants in the CIC Plan. Such restrictive covenants include non- competition, non-solicitation and non-disparagement covenants applicable for one year after termination, confidentiality and intellectual property obligations. The provisions of the CIC Plan may only be waived by the written consent of the Compensation Committee and the applicable NEO.</w:t>
      </w:r>
    </w:p>
    <w:p>
      <w:pPr>
        <w:spacing w:after="0" w:line="114" w:lineRule="exact"/>
        <w:rPr>
          <w:sz w:val="20"/>
          <w:szCs w:val="20"/>
          <w:color w:val="auto"/>
        </w:rPr>
      </w:pPr>
    </w:p>
    <w:p>
      <w:pPr>
        <w:ind w:left="1260" w:right="719" w:firstLine="360"/>
        <w:spacing w:after="0" w:line="250" w:lineRule="auto"/>
        <w:rPr>
          <w:sz w:val="20"/>
          <w:szCs w:val="20"/>
          <w:color w:val="auto"/>
        </w:rPr>
      </w:pPr>
      <w:r>
        <w:rPr>
          <w:rFonts w:ascii="Times New Roman" w:cs="Times New Roman" w:eastAsia="Times New Roman" w:hAnsi="Times New Roman"/>
          <w:sz w:val="18"/>
          <w:szCs w:val="18"/>
          <w:color w:val="auto"/>
        </w:rPr>
        <w:t>If an excise tax under Section 4999 of the Code would be triggered for an eligible NEO by any payments under the CIC Plan or otherwise upon a change-in-control, the Company will reduce such payments so that no amounts are subject to Section 4999 of the Code, if such reduction would cause the amount to be retained by such NEO to be greater than if such NEO were required to pay such excise tax.</w:t>
      </w:r>
    </w:p>
    <w:p>
      <w:pPr>
        <w:spacing w:after="0" w:line="17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DEFINITION OF CHANGE-IN-CONTROL, ETC.</w:t>
      </w:r>
    </w:p>
    <w:p>
      <w:pPr>
        <w:spacing w:after="0" w:line="16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general, under Mr. Sotos’ amended and restated employment agreement and the CIC Plan, a “change- 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w:t>
      </w:r>
    </w:p>
    <w:p>
      <w:pPr>
        <w:spacing w:after="0" w:line="2" w:lineRule="exact"/>
        <w:rPr>
          <w:sz w:val="20"/>
          <w:szCs w:val="20"/>
          <w:color w:val="auto"/>
        </w:rPr>
      </w:pPr>
    </w:p>
    <w:p>
      <w:pPr>
        <w:ind w:left="1260" w:right="539"/>
        <w:spacing w:after="0" w:line="241" w:lineRule="auto"/>
        <w:tabs>
          <w:tab w:leader="none" w:pos="15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w:t>
      </w:r>
    </w:p>
    <w:p>
      <w:pPr>
        <w:spacing w:after="0" w:line="121"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An involuntary termination without “cause” means the NEO’s termination by the Company for any reason other than the NEO’s (a) conviction of, or agreement to a plea of nolo contendere to, a felony or other crime involving moral turpitude (including an indictment therefore under the CIC Plan), (b) willful failure to perform his or her duties (or in Mr. Sotos’ case, his material duties pursuant to his amended and</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restated employment agreement), (c) willful gross neglect or willful misconduct (including a material act of theft, fraud, malfeasance or dishonesty in connection with his or her performance of duties under the</w:t>
      </w:r>
    </w:p>
    <w:p>
      <w:pPr>
        <w:ind w:left="1260" w:right="879"/>
        <w:spacing w:after="0" w:line="255" w:lineRule="auto"/>
        <w:rPr>
          <w:sz w:val="20"/>
          <w:szCs w:val="20"/>
          <w:color w:val="auto"/>
        </w:rPr>
      </w:pPr>
      <w:r>
        <w:rPr>
          <w:rFonts w:ascii="Times New Roman" w:cs="Times New Roman" w:eastAsia="Times New Roman" w:hAnsi="Times New Roman"/>
          <w:sz w:val="18"/>
          <w:szCs w:val="18"/>
          <w:color w:val="auto"/>
        </w:rPr>
        <w:t>CIC Plan), or (d) breach of any written agreement between the Company or NEO, a violation of the Company’s Code of Conduct or other written policy (or in Mr. Sotos’ case, a material breach of such a written agreement or material violation of the Company’s Code of Conduct).</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voluntary termination for “good reason” means the resignation of the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principal place of employment by more than 50 miles or (e) the failure of a successor to the Company to agree, in writing, to assume the CIC Plan, or in the case of Mr. Sotos, his amended and restated employment agreement, within 15 days after a merger, consolidation, sale or similar transaction. In Mr. Sotos’ case only, “good reason” also includes (i) in lieu of the event described in the preceding subclause (a), a reduction in his base salary, annual bonus target, or target long-term incentive awards by more than 15%, excluding across-the-board reductions to his base salary, annual bonus target, and/or target long-term incentive awards, or if during the period that is within the six months immediately prior to, or 24 months immediately following a change in control of the Company, any reduction of base salary, annual bonus target, or target long-term incentive awards (without regard to whether the reduction applies on an across-the-board basis), (ii) any material failure by the Company to comply with his amended and restated employment agreement, (iii) his removal from the Board, (iv) the failure to elect him to the Board during any regular election, or (v) a change in reporting structure of the Company requiring Mr. Sotos to report to anyone other than the Board.</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62" w:lineRule="exact"/>
        <w:rPr>
          <w:sz w:val="20"/>
          <w:szCs w:val="20"/>
          <w:color w:val="auto"/>
        </w:rPr>
      </w:pPr>
    </w:p>
    <w:p>
      <w:pPr>
        <w:jc w:val="both"/>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 amount of compensation payable to each NEO in each circumstance is shown in the table below, assuming that termination of employment occurred as of December 31, 2023, and including payments that would have been earned as of such date. The amounts shown below do not include benefits payable under the Company’s 401(k) plan.</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Not for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Cause 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Voluntary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for Good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Involuntary</w:t>
            </w:r>
          </w:p>
        </w:tc>
        <w:tc>
          <w:tcPr>
            <w:tcW w:w="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Voluntary</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Reason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Termination</w:t>
            </w: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Termination</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Following a</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Not for</w:t>
            </w:r>
          </w:p>
        </w:tc>
        <w:tc>
          <w:tcPr>
            <w:tcW w:w="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for Good</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Death or</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6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Reason</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Control</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Qualified</w:t>
            </w:r>
          </w:p>
        </w:tc>
      </w:tr>
      <w:tr>
        <w:trPr>
          <w:trHeight w:val="190"/>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6"/>
                <w:szCs w:val="16"/>
                <w:color w:val="auto"/>
              </w:rPr>
            </w:pPr>
          </w:p>
        </w:tc>
        <w:tc>
          <w:tcPr>
            <w:tcW w:w="6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r>
      <w:tr>
        <w:trPr>
          <w:trHeight w:val="23"/>
        </w:trPr>
        <w:tc>
          <w:tcPr>
            <w:tcW w:w="3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 Sotos</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​1,681,905​</w:t>
            </w: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​1,681,905​</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​9,883,885</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​5,873,777</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Rubenstein</w:t>
            </w:r>
            <w:r>
              <w:rPr>
                <w:rFonts w:ascii="Times New Roman" w:cs="Times New Roman" w:eastAsia="Times New Roman" w:hAnsi="Times New Roman"/>
                <w:sz w:val="23"/>
                <w:szCs w:val="23"/>
                <w:color w:val="auto"/>
                <w:vertAlign w:val="superscript"/>
              </w:rPr>
              <w:t>(1)</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914,986​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​3,005,407</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​1,073,620</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84"/>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P. Malcarney</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919,650​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​3,209,421</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​1,452,469</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​983,388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-530860</wp:posOffset>
            </wp:positionV>
            <wp:extent cx="1371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-530860</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-530860</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3602990</wp:posOffset>
            </wp:positionH>
            <wp:positionV relativeFrom="paragraph">
              <wp:posOffset>-530860</wp:posOffset>
            </wp:positionV>
            <wp:extent cx="137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-530860</wp:posOffset>
            </wp:positionV>
            <wp:extent cx="1371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59" w:hanging="360"/>
        <w:spacing w:after="0" w:line="275"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Rubenstein was appointed as Executive Vice President and Chief Financial Officer in April 2023. Ms. Rubenstein previously served as Senior Vice President and Chief Accounting Officer of the Company.</w:t>
      </w:r>
    </w:p>
    <w:p>
      <w:pPr>
        <w:spacing w:after="0" w:line="241" w:lineRule="exact"/>
        <w:rPr>
          <w:rFonts w:ascii="Times New Roman" w:cs="Times New Roman" w:eastAsia="Times New Roman" w:hAnsi="Times New Roman"/>
          <w:sz w:val="18"/>
          <w:szCs w:val="18"/>
          <w:color w:val="auto"/>
        </w:rPr>
      </w:pPr>
    </w:p>
    <w:p>
      <w:pPr>
        <w:ind w:left="1620" w:right="67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Malcarney met the definition of Qualified Retirement in 2022 and is therefore entitled to certain payments and vesting of awards in the event he retires before they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As a result of the rules under the Dodd Frank Act, the SEC requires disclosure of the CEO to median employee pay ratio. The following is a reasonable estimate, prepared under applicable SEC rules, of the ratio of the annual total compensation of our CEO, Mr. Sotos, to the annual total compensation of our median employee.</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light of the sale of one of the Company’s business segments that occurred in 2022, a new median employee was identified in 2022. With respect to the 2023 CEO Pay ratio analysis, we determined that we could use the same median employee that we identified in 2022 given that there had been no change in either our employee population or our employee compensation arrangements that we believe would significantly impact our 2023 pay ratio disclosure. Similarly, there has been no change in our median employee’s circumstances that we reasonably believe would result in a significant change to our 2023 pay ratio disclosure. Our median employee’s annual total compensation for 2023 was determined using the same rules that apply to reporting the compensation of our NEOs (including our CEO) in the “Total” column of the “Summary Compensation Table — 2021 — 2023” above. The following total compensation amounts were determined based on that methodology:</w:t>
      </w:r>
    </w:p>
    <w:p>
      <w:pPr>
        <w:spacing w:after="0" w:line="296" w:lineRule="exact"/>
        <w:rPr>
          <w:sz w:val="20"/>
          <w:szCs w:val="20"/>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the median employee for 2023 was $140,622.</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Sotos for 2023 was $3,458,999.</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we estimate that Mr. Sotos’ 2023 annual total compensation was approximately 25 times that of our median employee.</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Given the different methodologies, exemptions, estimates and assumptions that various public companies use to determine an estimate of their pay ratio, the estimated ratio reported above should not be solely used as a basis for comparison between companies.</w:t>
      </w: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COMPENSATION COMMITTEE REPORT ON EXECUTIVE COMPENSATION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w:t>
      </w:r>
    </w:p>
    <w:p>
      <w:pPr>
        <w:spacing w:after="0" w:line="1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 Stanley O’Neal, Chair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Jonathan Bram</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Brian R. Ford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Jennifer Lowry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Daniel B. More</w:t>
      </w:r>
    </w:p>
    <w:p>
      <w:pPr>
        <w:spacing w:after="0" w:line="21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SEC disclosure rules, the following table sets forth information regarding the Company’s performance and executive compensation for our principal executive officer (“PEO”) and Non-PEO NEOs for the fiscal years listed below:</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4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7"/>
                <w:szCs w:val="17"/>
                <w:color w:val="auto"/>
              </w:rPr>
            </w:pPr>
          </w:p>
        </w:tc>
        <w:tc>
          <w:tcPr>
            <w:tcW w:w="20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Value of Initial Fixed $100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2040" w:type="dxa"/>
            <w:vAlign w:val="bottom"/>
            <w:gridSpan w:val="5"/>
          </w:tcPr>
          <w:p>
            <w:pPr>
              <w:jc w:val="center"/>
              <w:ind w:left="364"/>
              <w:spacing w:after="0" w:line="162" w:lineRule="exact"/>
              <w:rPr>
                <w:sz w:val="20"/>
                <w:szCs w:val="20"/>
                <w:color w:val="auto"/>
              </w:rPr>
            </w:pPr>
            <w:r>
              <w:rPr>
                <w:rFonts w:ascii="Times New Roman" w:cs="Times New Roman" w:eastAsia="Times New Roman" w:hAnsi="Times New Roman"/>
                <w:sz w:val="14"/>
                <w:szCs w:val="14"/>
                <w:b w:val="1"/>
                <w:bCs w:val="1"/>
                <w:color w:val="auto"/>
                <w:w w:val="95"/>
              </w:rPr>
              <w:t>Investment Based On:</w:t>
            </w:r>
            <w:r>
              <w:rPr>
                <w:rFonts w:ascii="Times New Roman" w:cs="Times New Roman" w:eastAsia="Times New Roman" w:hAnsi="Times New Roman"/>
                <w:sz w:val="17"/>
                <w:szCs w:val="17"/>
                <w:b w:val="1"/>
                <w:bCs w:val="1"/>
                <w:color w:val="auto"/>
                <w:w w:val="95"/>
                <w:vertAlign w:val="superscript"/>
              </w:rPr>
              <w:t>(4)</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restart"/>
          </w:tcPr>
          <w:p>
            <w:pPr>
              <w:jc w:val="center"/>
              <w:ind w:right="4"/>
              <w:spacing w:after="0" w:line="124"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restart"/>
          </w:tcPr>
          <w:p>
            <w:pPr>
              <w:jc w:val="center"/>
              <w:ind w:right="25"/>
              <w:spacing w:after="0" w:line="124" w:lineRule="exact"/>
              <w:rPr>
                <w:sz w:val="20"/>
                <w:szCs w:val="20"/>
                <w:color w:val="auto"/>
              </w:rPr>
            </w:pPr>
            <w:r>
              <w:rPr>
                <w:rFonts w:ascii="Times New Roman" w:cs="Times New Roman" w:eastAsia="Times New Roman" w:hAnsi="Times New Roman"/>
                <w:sz w:val="14"/>
                <w:szCs w:val="14"/>
                <w:b w:val="1"/>
                <w:bCs w:val="1"/>
                <w:color w:val="auto"/>
                <w:w w:val="97"/>
              </w:rPr>
              <w:t>Total for</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center"/>
              <w:ind w:right="106"/>
              <w:spacing w:after="0" w:line="124" w:lineRule="exact"/>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Non-PEO</w:t>
            </w:r>
          </w:p>
        </w:tc>
        <w:tc>
          <w:tcPr>
            <w:tcW w:w="140" w:type="dxa"/>
            <w:vAlign w:val="bottom"/>
          </w:tcPr>
          <w:p>
            <w:pPr>
              <w:spacing w:after="0"/>
              <w:rPr>
                <w:sz w:val="14"/>
                <w:szCs w:val="14"/>
                <w:color w:val="auto"/>
              </w:rPr>
            </w:pPr>
          </w:p>
        </w:tc>
        <w:tc>
          <w:tcPr>
            <w:tcW w:w="840" w:type="dxa"/>
            <w:vAlign w:val="bottom"/>
            <w:gridSpan w:val="2"/>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140" w:type="dxa"/>
            <w:vAlign w:val="bottom"/>
          </w:tcPr>
          <w:p>
            <w:pPr>
              <w:spacing w:after="0"/>
              <w:rPr>
                <w:sz w:val="14"/>
                <w:szCs w:val="14"/>
                <w:color w:val="auto"/>
              </w:rPr>
            </w:pP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Named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8"/>
              </w:rPr>
              <w:t>Named</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Total for</w:t>
            </w:r>
          </w:p>
        </w:tc>
        <w:tc>
          <w:tcPr>
            <w:tcW w:w="140" w:type="dxa"/>
            <w:vAlign w:val="bottom"/>
          </w:tcPr>
          <w:p>
            <w:pPr>
              <w:spacing w:after="0"/>
              <w:rPr>
                <w:sz w:val="14"/>
                <w:szCs w:val="14"/>
                <w:color w:val="auto"/>
              </w:rPr>
            </w:pP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5"/>
              </w:rPr>
              <w:t>Executive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9"/>
              </w:rPr>
              <w:t>Executive</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(PEO)</w:t>
            </w:r>
          </w:p>
        </w:tc>
        <w:tc>
          <w:tcPr>
            <w:tcW w:w="140" w:type="dxa"/>
            <w:vAlign w:val="bottom"/>
          </w:tcPr>
          <w:p>
            <w:pPr>
              <w:spacing w:after="0"/>
              <w:rPr>
                <w:sz w:val="14"/>
                <w:szCs w:val="14"/>
                <w:color w:val="auto"/>
              </w:rPr>
            </w:pP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(PEO)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Officers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5"/>
              </w:rPr>
              <w:t>Officers</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10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CAFD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8"/>
                <w:szCs w:val="18"/>
                <w:color w:val="auto"/>
              </w:rPr>
            </w:pPr>
          </w:p>
        </w:tc>
        <w:tc>
          <w:tcPr>
            <w:tcW w:w="7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($000,000)</w:t>
            </w:r>
          </w:p>
        </w:tc>
        <w:tc>
          <w:tcPr>
            <w:tcW w:w="100" w:type="dxa"/>
            <w:vAlign w:val="bottom"/>
          </w:tcPr>
          <w:p>
            <w:pPr>
              <w:spacing w:after="0"/>
              <w:rPr>
                <w:sz w:val="18"/>
                <w:szCs w:val="18"/>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3"/>
              </w:rPr>
              <w:t>($000,000)</w:t>
            </w:r>
            <w:r>
              <w:rPr>
                <w:rFonts w:ascii="Times New Roman" w:cs="Times New Roman" w:eastAsia="Times New Roman" w:hAnsi="Times New Roman"/>
                <w:sz w:val="17"/>
                <w:szCs w:val="17"/>
                <w:b w:val="1"/>
                <w:bCs w:val="1"/>
                <w:color w:val="auto"/>
                <w:w w:val="93"/>
                <w:vertAlign w:val="superscript"/>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rPr>
              <w:t>​3,458,999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rPr>
              <w:t>​2,399,165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6"/>
                <w:szCs w:val="16"/>
                <w:color w:val="auto"/>
              </w:rPr>
              <w:t>​1,092,013</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914,431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​165.11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​111.05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​342</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rPr>
              <w:t>​3,348,224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rPr>
              <w:t>​2,612,184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6"/>
                <w:szCs w:val="16"/>
                <w:color w:val="auto"/>
              </w:rPr>
              <w:t>​1,016,878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6"/>
                <w:szCs w:val="16"/>
                <w:color w:val="auto"/>
              </w:rPr>
              <w:t>187,491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​181.30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​122.25</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​326</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rPr>
              <w:t>​3,092,509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center"/>
              <w:ind w:right="4"/>
              <w:spacing w:after="0"/>
              <w:rPr>
                <w:sz w:val="20"/>
                <w:szCs w:val="20"/>
                <w:color w:val="auto"/>
              </w:rPr>
            </w:pPr>
            <w:r>
              <w:rPr>
                <w:rFonts w:ascii="Times New Roman" w:cs="Times New Roman" w:eastAsia="Times New Roman" w:hAnsi="Times New Roman"/>
                <w:sz w:val="16"/>
                <w:szCs w:val="16"/>
                <w:color w:val="auto"/>
              </w:rPr>
              <w:t>​5,238,269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6"/>
                <w:szCs w:val="16"/>
                <w:color w:val="auto"/>
              </w:rPr>
              <w:t>​1,066,691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right w:val="single" w:sz="8" w:color="CCEEFF"/>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​1,603,696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​196.83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​336</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rPr>
              <w:t>​3,248,568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center"/>
              <w:ind w:right="4"/>
              <w:spacing w:after="0"/>
              <w:rPr>
                <w:sz w:val="20"/>
                <w:szCs w:val="20"/>
                <w:color w:val="auto"/>
              </w:rPr>
            </w:pPr>
            <w:r>
              <w:rPr>
                <w:rFonts w:ascii="Times New Roman" w:cs="Times New Roman" w:eastAsia="Times New Roman" w:hAnsi="Times New Roman"/>
                <w:sz w:val="16"/>
                <w:szCs w:val="16"/>
                <w:color w:val="auto"/>
              </w:rPr>
              <w:t>​8,010,421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center"/>
              <w:ind w:right="5"/>
              <w:spacing w:after="0"/>
              <w:rPr>
                <w:sz w:val="20"/>
                <w:szCs w:val="20"/>
                <w:color w:val="auto"/>
              </w:rPr>
            </w:pPr>
            <w:r>
              <w:rPr>
                <w:rFonts w:ascii="Times New Roman" w:cs="Times New Roman" w:eastAsia="Times New Roman" w:hAnsi="Times New Roman"/>
                <w:sz w:val="16"/>
                <w:szCs w:val="16"/>
                <w:color w:val="auto"/>
              </w:rPr>
              <w:t>​ 859,642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color w:val="auto"/>
              </w:rPr>
              <w:t>​1,413,200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​167.04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​102.72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​295</w:t>
            </w: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5446395</wp:posOffset>
            </wp:positionH>
            <wp:positionV relativeFrom="paragraph">
              <wp:posOffset>-629920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-629920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-629920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-629920</wp:posOffset>
            </wp:positionV>
            <wp:extent cx="596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-629920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-629920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-629920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-629920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149225</wp:posOffset>
            </wp:positionV>
            <wp:extent cx="123444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9" w:lineRule="exact"/>
        <w:rPr>
          <w:sz w:val="20"/>
          <w:szCs w:val="20"/>
          <w:color w:val="auto"/>
        </w:rPr>
      </w:pPr>
    </w:p>
    <w:p>
      <w:pPr>
        <w:ind w:left="1620" w:right="839" w:hanging="360"/>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Sotos was our PEO for each year presented. The individuals comprising the Non-PEO NEOs for each year presented are listed below.</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Kevin P. Malcarney</w:t>
            </w: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Borders>
              <w:top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Kevin P. Malcarney</w:t>
            </w: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Kevin P. Malcarney</w:t>
            </w:r>
          </w:p>
        </w:tc>
        <w:tc>
          <w:tcPr>
            <w:tcW w:w="1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Borders>
              <w:top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Kevin P. Malcarney</w:t>
            </w:r>
          </w:p>
        </w:tc>
        <w:tc>
          <w:tcPr>
            <w:tcW w:w="120" w:type="dxa"/>
            <w:vAlign w:val="bottom"/>
            <w:tcBorders>
              <w:top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Chad Plotkin</w:t>
            </w:r>
          </w:p>
        </w:tc>
        <w:tc>
          <w:tcPr>
            <w:tcW w:w="1920" w:type="dxa"/>
            <w:vAlign w:val="bottom"/>
            <w:gridSpan w:val="4"/>
          </w:tcPr>
          <w:p>
            <w:pPr>
              <w:jc w:val="right"/>
              <w:ind w:right="548"/>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Chad Plotkin</w:t>
            </w:r>
          </w:p>
        </w:tc>
        <w:tc>
          <w:tcPr>
            <w:tcW w:w="1900" w:type="dxa"/>
            <w:vAlign w:val="bottom"/>
            <w:gridSpan w:val="3"/>
          </w:tcPr>
          <w:p>
            <w:pPr>
              <w:ind w:left="10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Sarah Rubenstein</w:t>
            </w:r>
          </w:p>
        </w:tc>
        <w:tc>
          <w:tcPr>
            <w:tcW w:w="192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Sarah Rubenstein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3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Mary-Lee Stillwell</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tcPr>
          <w:p>
            <w:pPr>
              <w:spacing w:after="0"/>
              <w:rPr>
                <w:sz w:val="24"/>
                <w:szCs w:val="24"/>
                <w:color w:val="auto"/>
              </w:rPr>
            </w:pPr>
          </w:p>
        </w:tc>
        <w:tc>
          <w:tcPr>
            <w:tcW w:w="1900" w:type="dxa"/>
            <w:vAlign w:val="bottom"/>
            <w:gridSpan w:val="3"/>
          </w:tcPr>
          <w:p>
            <w:pPr>
              <w:ind w:left="100"/>
              <w:spacing w:after="0" w:line="331"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Chad Plotkin</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w:t>
            </w:r>
          </w:p>
        </w:tc>
        <w:tc>
          <w:tcPr>
            <w:tcW w:w="1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1620" w:right="499" w:hanging="360"/>
        <w:spacing w:after="0" w:line="253"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(i) the total compensation reported in the Summary Compensation Table for the applicable year in the case of Mr. Sotos and (ii) the average of the total compensation reported in the Summary Compensation Table for the applicable year for the Company’s Non-PEO NEOs for the applicable year.</w:t>
      </w:r>
    </w:p>
    <w:p>
      <w:pPr>
        <w:spacing w:after="0" w:line="3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w:t>
      </w:r>
    </w:p>
    <w:p>
      <w:pPr>
        <w:spacing w:after="0" w:line="27" w:lineRule="exact"/>
        <w:rPr>
          <w:rFonts w:ascii="Times New Roman" w:cs="Times New Roman" w:eastAsia="Times New Roman" w:hAnsi="Times New Roman"/>
          <w:sz w:val="18"/>
          <w:szCs w:val="18"/>
          <w:color w:val="auto"/>
        </w:rPr>
      </w:pPr>
    </w:p>
    <w:p>
      <w:pPr>
        <w:ind w:left="1620" w:right="47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402(v) of Regulation S-K for the applicable year and do not reflect compensation actually earned, realized, or received by the Company’s NEOs. These amounts reflect the Summary Compensation Table Total with certain adjustments made as described under the “Reconciliation of CAP Adjustments” section below. Equity values are calculated in accordance with FASB ASC Topic 718. Amounts in the Exclusion of Stock Awards column are the totals from the Stock Awards column set forth in the Summary Compensation Table.</w:t>
      </w:r>
    </w:p>
    <w:p>
      <w:pPr>
        <w:spacing w:after="0" w:line="54" w:lineRule="exact"/>
        <w:rPr>
          <w:rFonts w:ascii="Times New Roman" w:cs="Times New Roman" w:eastAsia="Times New Roman" w:hAnsi="Times New Roman"/>
          <w:sz w:val="18"/>
          <w:szCs w:val="18"/>
          <w:color w:val="auto"/>
        </w:rPr>
      </w:pPr>
    </w:p>
    <w:p>
      <w:pPr>
        <w:ind w:left="1620" w:right="619" w:hanging="360"/>
        <w:spacing w:after="0" w:line="25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Philadelphia Utility Sector Index (“UTY”), which we also utilize in the stock performance graph required by Item 201(e) of Regulation S-K included in our Annual Report for the year ended December 31, 2023. The comparison assumes $100 was invested for the period starting December 31, 2019, through the end of the listed year in the Company’s Class C common stock and in the UTY, respectively. Historical stock performance is not necessarily indicative of future stock performance.</w:t>
      </w:r>
    </w:p>
    <w:p>
      <w:pPr>
        <w:spacing w:after="0" w:line="38" w:lineRule="exact"/>
        <w:rPr>
          <w:rFonts w:ascii="Times New Roman" w:cs="Times New Roman" w:eastAsia="Times New Roman" w:hAnsi="Times New Roman"/>
          <w:sz w:val="18"/>
          <w:szCs w:val="18"/>
          <w:color w:val="auto"/>
        </w:rPr>
      </w:pPr>
    </w:p>
    <w:p>
      <w:pPr>
        <w:ind w:left="1620" w:right="559" w:hanging="360"/>
        <w:spacing w:after="0" w:line="253"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in the CD&amp;A, the Compensation Committee selected CAFD as one of the key metrics for evaluating and rewarding management’s performance in the 2023 annual incentive compensation program. CAFD is a non-GAAP measure that is defined in the CD&amp;A under the heading “2023 AIP Bonus Performance Criteria.” Given the importance of CAFD, as discussed further above (i.e., CAFD has a 40% weighting in the AIP scorecard), the Company has determined, in the Company’s assessment, that CAFD represents the most important financial performance measure (that is not otherwise required to be disclosed in the above table) used by the Company to link Compensation Actually Paid to the NEOs for 2023. CAFD may not have been the most important financial performance measure for certain prior years, and the Compensation Committee may determine a different financial performance measure to be the most important financial performance measure in future years.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Reconciliation of CAP Adjustments</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Exclusion of</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w w:val="94"/>
              </w:rPr>
              <w:t>Table Total for</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Actually Paid to</w:t>
            </w:r>
          </w:p>
        </w:tc>
      </w:tr>
      <w:tr>
        <w:trPr>
          <w:trHeight w:val="162"/>
        </w:trPr>
        <w:tc>
          <w:tcPr>
            <w:tcW w:w="2120" w:type="dxa"/>
            <w:vAlign w:val="bottom"/>
          </w:tcPr>
          <w:p>
            <w:pPr>
              <w:spacing w:after="0"/>
              <w:rPr>
                <w:sz w:val="14"/>
                <w:szCs w:val="14"/>
                <w:color w:val="auto"/>
              </w:rPr>
            </w:pPr>
          </w:p>
        </w:tc>
        <w:tc>
          <w:tcPr>
            <w:tcW w:w="2820" w:type="dxa"/>
            <w:vAlign w:val="bottom"/>
          </w:tcPr>
          <w:p>
            <w:pPr>
              <w:jc w:val="center"/>
              <w:ind w:left="1648"/>
              <w:spacing w:after="0"/>
              <w:rPr>
                <w:sz w:val="20"/>
                <w:szCs w:val="20"/>
                <w:color w:val="auto"/>
              </w:rPr>
            </w:pPr>
            <w:r>
              <w:rPr>
                <w:rFonts w:ascii="Times New Roman" w:cs="Times New Roman" w:eastAsia="Times New Roman" w:hAnsi="Times New Roman"/>
                <w:sz w:val="14"/>
                <w:szCs w:val="14"/>
                <w:b w:val="1"/>
                <w:bCs w:val="1"/>
                <w:color w:val="auto"/>
              </w:rPr>
              <w:t>PEO</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c>
          <w:tcPr>
            <w:tcW w:w="10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PEO</w:t>
            </w:r>
          </w:p>
        </w:tc>
      </w:tr>
      <w:tr>
        <w:trPr>
          <w:trHeight w:val="190"/>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820" w:type="dxa"/>
            <w:vAlign w:val="bottom"/>
          </w:tcPr>
          <w:p>
            <w:pPr>
              <w:jc w:val="center"/>
              <w:ind w:left="16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14605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14605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14605</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14605</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3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​3,458,999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​(2,244,752)​</w:t>
            </w:r>
          </w:p>
        </w:tc>
        <w:tc>
          <w:tcPr>
            <w:tcW w:w="8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​1,184,918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​2,399,165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72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2"/>
                <w:szCs w:val="22"/>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​3,348,224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​(1,951,273)​</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​1,215,233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​2,612,184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720" w:type="dxa"/>
            <w:vAlign w:val="bottom"/>
            <w:shd w:val="clear" w:color="auto" w:fill="CCEEFF"/>
          </w:tcPr>
          <w:p>
            <w:pPr>
              <w:jc w:val="right"/>
              <w:ind w:right="325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​3,092,509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​(1,535,147)​</w:t>
            </w:r>
          </w:p>
        </w:tc>
        <w:tc>
          <w:tcPr>
            <w:tcW w:w="8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​3,680,907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​5,238,269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720" w:type="dxa"/>
            <w:vAlign w:val="bottom"/>
          </w:tcPr>
          <w:p>
            <w:pPr>
              <w:jc w:val="right"/>
              <w:ind w:right="325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​3,248,568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​(1,900,423)​</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​6,662,276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​8,010,421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Actually</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Awards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Values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Non-PEO</w:t>
            </w:r>
          </w:p>
        </w:tc>
      </w:tr>
      <w:tr>
        <w:trPr>
          <w:trHeight w:val="162"/>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NEOs</w:t>
            </w:r>
          </w:p>
        </w:tc>
      </w:tr>
      <w:tr>
        <w:trPr>
          <w:trHeight w:val="190"/>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6"/>
                <w:szCs w:val="16"/>
                <w:color w:val="auto"/>
              </w:rPr>
            </w:pPr>
          </w:p>
        </w:tc>
      </w:tr>
      <w:tr>
        <w:trPr>
          <w:trHeight w:val="23"/>
        </w:trPr>
        <w:tc>
          <w:tcPr>
            <w:tcW w:w="3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​1,092,013</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​(480,334)</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302,751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914,431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​1,016,878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​(495,604)</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​(333,784)</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187,491 ​</w:t>
            </w:r>
          </w:p>
        </w:tc>
      </w:tr>
      <w:tr>
        <w:trPr>
          <w:trHeight w:val="2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​1,066,691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​(387,666)</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924,671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​1,603,696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859,642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​(383,279)</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936,837</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​1,413,200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-676910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-676910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-676910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-676910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Last Day</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Year-End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of Year of</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Day of 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Granted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During any</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Vesting Date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Prior</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Granted 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During any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any Prior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Unvested as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Remained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Granted and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Last Day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that 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Forfeited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Total –  </w:t>
            </w: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Last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Day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r>
      <w:tr>
        <w:trPr>
          <w:trHeight w:val="162"/>
        </w:trPr>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Year for PEO</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PEO</w:t>
            </w:r>
          </w:p>
        </w:tc>
      </w:tr>
      <w:tr>
        <w:trPr>
          <w:trHeight w:val="214"/>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50"/>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​2,008,647</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(683,914)​</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​(139,815)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​1,184,918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​1,813,621</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(573,611)​</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(24,417)</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​1,215,233 ​</w:t>
            </w:r>
          </w:p>
        </w:tc>
      </w:tr>
      <w:tr>
        <w:trPr>
          <w:trHeight w:val="257"/>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​2,315,802</w:t>
            </w:r>
          </w:p>
        </w:tc>
        <w:tc>
          <w:tcPr>
            <w:tcW w:w="2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1,392,774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(27,670)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​3,680,907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​3,604,128</w:t>
            </w:r>
          </w:p>
        </w:tc>
        <w:tc>
          <w:tcPr>
            <w:tcW w:w="2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3,089,280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(31,132)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​6,662,276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-676910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-676910</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3723005</wp:posOffset>
            </wp:positionH>
            <wp:positionV relativeFrom="paragraph">
              <wp:posOffset>-676910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-676910</wp:posOffset>
            </wp:positionV>
            <wp:extent cx="137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-676910</wp:posOffset>
            </wp:positionV>
            <wp:extent cx="1289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-676910</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from Last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Day of</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Change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to Last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Day of Year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Last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Year-End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Equity</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Day of Prior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Fair 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to 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at Last Day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During any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as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Equity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Vesting</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Year that</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Date of Equity</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During any Prior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During any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Remain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that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Totals –  </w:t>
            </w: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Unvested as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Granted and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that Forfeited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of Last Day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4"/>
                <w:szCs w:val="14"/>
                <w:b w:val="1"/>
                <w:bCs w:val="1"/>
                <w:color w:val="auto"/>
                <w:w w:val="98"/>
              </w:rPr>
              <w:t>During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Inclusion of</w:t>
            </w: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of Year for</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During Year</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07"/>
              <w:spacing w:after="0"/>
              <w:rPr>
                <w:sz w:val="20"/>
                <w:szCs w:val="20"/>
                <w:color w:val="auto"/>
              </w:rPr>
            </w:pPr>
            <w:r>
              <w:rPr>
                <w:rFonts w:ascii="Times New Roman" w:cs="Times New Roman" w:eastAsia="Times New Roman" w:hAnsi="Times New Roman"/>
                <w:sz w:val="14"/>
                <w:szCs w:val="14"/>
                <w:b w:val="1"/>
                <w:bCs w:val="1"/>
                <w:color w:val="auto"/>
                <w:w w:val="98"/>
              </w:rPr>
              <w:t>Year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Equity Values</w:t>
            </w: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for Non-PEO</w:t>
            </w:r>
          </w:p>
        </w:tc>
        <w:tc>
          <w:tcPr>
            <w:tcW w:w="40" w:type="dxa"/>
            <w:vAlign w:val="bottom"/>
          </w:tcPr>
          <w:p>
            <w:pPr>
              <w:spacing w:after="0"/>
              <w:rPr>
                <w:sz w:val="14"/>
                <w:szCs w:val="14"/>
                <w:color w:val="auto"/>
              </w:rPr>
            </w:pPr>
          </w:p>
        </w:tc>
      </w:tr>
      <w:tr>
        <w:trPr>
          <w:trHeight w:val="162"/>
        </w:trPr>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NEOs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187"/>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40" w:type="dxa"/>
            <w:vAlign w:val="bottom"/>
          </w:tcPr>
          <w:p>
            <w:pPr>
              <w:spacing w:after="0"/>
              <w:rPr>
                <w:sz w:val="14"/>
                <w:szCs w:val="14"/>
                <w:color w:val="auto"/>
              </w:rPr>
            </w:pPr>
          </w:p>
        </w:tc>
      </w:tr>
      <w:tr>
        <w:trPr>
          <w:trHeight w:val="21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6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8"/>
                <w:szCs w:val="18"/>
                <w:color w:val="auto"/>
              </w:rPr>
            </w:pPr>
          </w:p>
        </w:tc>
      </w:tr>
      <w:tr>
        <w:trPr>
          <w:trHeight w:val="25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​429,812</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​(104,706)​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​(22,355)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302,751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​261,472</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(49,476)​</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(6,922)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​(538,859)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​(333,784) ​</w:t>
            </w:r>
          </w:p>
        </w:tc>
      </w:tr>
      <w:tr>
        <w:trPr>
          <w:trHeight w:val="257"/>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​584,801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346,581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(6,711)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 924,671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​582,811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436,026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(2,239)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(79,762)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 936,837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-676910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-676910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-676910</wp:posOffset>
            </wp:positionV>
            <wp:extent cx="137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-676910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2385695</wp:posOffset>
            </wp:positionH>
            <wp:positionV relativeFrom="paragraph">
              <wp:posOffset>-676910</wp:posOffset>
            </wp:positionV>
            <wp:extent cx="137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-676910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439" w:hanging="360"/>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averages result from award forfeitures following Mr. Plotkin’s and Ms. Stillwell’s resignations in 2022 and 2020, respectively.</w:t>
      </w:r>
    </w:p>
    <w:p>
      <w:pPr>
        <w:spacing w:after="0" w:line="21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216" w:lineRule="exact"/>
        <w:rPr>
          <w:sz w:val="20"/>
          <w:szCs w:val="20"/>
          <w:color w:val="auto"/>
        </w:rPr>
      </w:pPr>
    </w:p>
    <w:p>
      <w:pPr>
        <w:ind w:left="1260" w:right="519" w:firstLine="360"/>
        <w:spacing w:after="0" w:line="269" w:lineRule="auto"/>
        <w:rPr>
          <w:sz w:val="20"/>
          <w:szCs w:val="20"/>
          <w:color w:val="auto"/>
        </w:rPr>
      </w:pPr>
      <w:r>
        <w:rPr>
          <w:rFonts w:ascii="Times New Roman" w:cs="Times New Roman" w:eastAsia="Times New Roman" w:hAnsi="Times New Roman"/>
          <w:sz w:val="18"/>
          <w:szCs w:val="18"/>
          <w:color w:val="auto"/>
        </w:rPr>
        <w:t>We believe the Compensation Actually Paid in each of the years reported above and over the four-year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the LTIP. Given the leverage of our compensation program towards equity awards, the Compensation Actually Paid is most directly impacted by our stock price performance.</w:t>
      </w:r>
    </w:p>
    <w:p>
      <w:pPr>
        <w:spacing w:after="0" w:line="240" w:lineRule="exact"/>
        <w:rPr>
          <w:sz w:val="20"/>
          <w:szCs w:val="20"/>
          <w:color w:val="auto"/>
        </w:rPr>
      </w:pPr>
    </w:p>
    <w:p>
      <w:pPr>
        <w:ind w:left="1260" w:right="599"/>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Company and Peer Group Total Shareholder Return (“TSR”)</w:t>
      </w:r>
    </w:p>
    <w:p>
      <w:pPr>
        <w:spacing w:after="0" w:line="160" w:lineRule="exact"/>
        <w:rPr>
          <w:sz w:val="20"/>
          <w:szCs w:val="20"/>
          <w:color w:val="auto"/>
        </w:rPr>
      </w:pPr>
    </w:p>
    <w:p>
      <w:pPr>
        <w:ind w:left="1260" w:right="619" w:firstLine="360"/>
        <w:spacing w:after="0" w:line="271"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Class C common stock cumulative TSR over the four most recently completed fiscal years, and the Peer Group’s cumulative TSR over the same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63160" cy="2802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631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Net Income</w:t>
      </w:r>
    </w:p>
    <w:p>
      <w:pPr>
        <w:spacing w:after="0" w:line="160" w:lineRule="exact"/>
        <w:rPr>
          <w:sz w:val="20"/>
          <w:szCs w:val="20"/>
          <w:color w:val="auto"/>
        </w:rPr>
      </w:pPr>
    </w:p>
    <w:p>
      <w:pPr>
        <w:jc w:val="both"/>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during the four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109855</wp:posOffset>
            </wp:positionV>
            <wp:extent cx="4963160" cy="2802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6316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Description of Relationship Between PEO and Non-PEO NEO Compensation Actually Paid and CAFD</w:t>
      </w:r>
    </w:p>
    <w:p>
      <w:pPr>
        <w:spacing w:after="0" w:line="160" w:lineRule="exact"/>
        <w:rPr>
          <w:sz w:val="20"/>
          <w:szCs w:val="20"/>
          <w:color w:val="auto"/>
        </w:rPr>
      </w:pPr>
    </w:p>
    <w:p>
      <w:pPr>
        <w:ind w:left="1260" w:right="699" w:firstLine="360"/>
        <w:spacing w:after="0" w:line="274"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CAFD during the four most recently completed fiscal years.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63160" cy="27006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6316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14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The following is a list of financial performance measures, which in our assessment represent the most important financial performance measures used by the Company to link Compensation Actually Paid to the NEOs for 2023. The measures in this table are not ranked. In addition to these metrics, the Company’s AIP includes key performance milestones relating to adherence to budget, restructuring of Lighthouse Renewable Holdco LLC and Lighthouse Renewable Holdco 2 LLC, ratio of administrative costs to CAFD, and natural gas strategic plan and execution in order to emphasize those initiatives as priorities throughout the organization. Please see the CD&amp;A for a further description of the metrics used in the Company’s executive compensation program.</w:t>
      </w:r>
    </w:p>
    <w:p>
      <w:pPr>
        <w:spacing w:after="0" w:line="84"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TSR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CAFD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New York Stock Exchange listing standards’ definition of independence for audit committee members and has determined that each member of the Audit Committee meets that standard. The Board has also determined that each of the four members of the Audit Committee who served as such in 2023 met the requirements of an “audit committee financial expert.”</w:t>
      </w:r>
    </w:p>
    <w:p>
      <w:pPr>
        <w:spacing w:after="0" w:line="12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the Company’s financial statements, accounting and financial reporting principles, internal controls and procedures designed to ensure compliance with accounting standards, applicable laws, and regulations.</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for the fiscal year 2023, Ernst &amp; Young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of the Company for the fiscal year ended December 31, 2023 with the Company’s management and has discussed with Ernst &amp; Young LLP the matters required to be discussed by the PCAOB Auditing Standard No. 1301, as amended, “Communication with Audit Committees.” In addition, Ernst &amp; Young LLP has provided the Audit Committee with the written disclosures and the letter required by Statement on the PCAOB Auditing Standard No. 1301, “Communication with Audit Committees,” and the Audit Committee has discussed with Ernst &amp; Young LLP their independence. The Audit Committee also reviewed, and discussed with management and Ernst &amp; Young LLP, management’s report and Ernst &amp; Young LLP’s report and attestation on internal control over financial reporting in accordance with Section 404 of the Sarbanes-Oxley Act of 2002.</w:t>
      </w:r>
    </w:p>
    <w:p>
      <w:pPr>
        <w:spacing w:after="0" w:line="33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the audited financial statements be included in the Company’s Annual Report on Form 10-K for the fiscal year ended December 31, 2023, for filing with the Securities and Exchange Commission.</w:t>
      </w:r>
    </w:p>
    <w:p>
      <w:pPr>
        <w:spacing w:after="0" w:line="1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Brian R. Ford, Chair</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Jennifer Lowry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Daniel B. More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 Stanley O’Neal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services rendered by Ernst &amp; Young LLP, our current principal independent registered public accounting firm:</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4"/>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Pr>
          <w:p>
            <w:pPr>
              <w:ind w:left="214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8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Pr>
          <w:p>
            <w:pPr>
              <w:spacing w:after="0"/>
              <w:rPr>
                <w:sz w:val="20"/>
                <w:szCs w:val="20"/>
                <w:color w:val="auto"/>
              </w:rPr>
            </w:pPr>
          </w:p>
        </w:tc>
        <w:tc>
          <w:tcPr>
            <w:tcW w:w="5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​​$4,665,386​​ ​​$4,484,400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Tax Fees</w:t>
            </w:r>
          </w:p>
        </w:tc>
        <w:tc>
          <w:tcPr>
            <w:tcW w:w="22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 ​1,565,229​​ ​​ ​1,560,400​</w:t>
            </w:r>
          </w:p>
        </w:tc>
      </w:tr>
      <w:tr>
        <w:trPr>
          <w:trHeight w:val="27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8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00" w:type="dxa"/>
            <w:vAlign w:val="bottom"/>
            <w:gridSpan w:val="4"/>
            <w:shd w:val="clear" w:color="auto" w:fill="CCEEFF"/>
          </w:tcPr>
          <w:p>
            <w:pPr>
              <w:ind w:left="140"/>
              <w:spacing w:after="0" w:line="269" w:lineRule="exact"/>
              <w:rPr>
                <w:sz w:val="20"/>
                <w:szCs w:val="20"/>
                <w:color w:val="auto"/>
              </w:rPr>
            </w:pPr>
            <w:r>
              <w:rPr>
                <w:rFonts w:ascii="Times New Roman" w:cs="Times New Roman" w:eastAsia="Times New Roman" w:hAnsi="Times New Roman"/>
                <w:sz w:val="17"/>
                <w:szCs w:val="17"/>
                <w:color w:val="auto"/>
              </w:rPr>
              <w:t>10,000</w:t>
            </w:r>
            <w:r>
              <w:rPr>
                <w:rFonts w:ascii="Times New Roman" w:cs="Times New Roman" w:eastAsia="Times New Roman" w:hAnsi="Times New Roman"/>
                <w:sz w:val="31"/>
                <w:szCs w:val="31"/>
                <w:color w:val="auto"/>
                <w:vertAlign w:val="subscript"/>
              </w:rPr>
              <w:t>​​ ​​</w:t>
            </w:r>
            <w:r>
              <w:rPr>
                <w:rFonts w:ascii="Times New Roman" w:cs="Times New Roman" w:eastAsia="Times New Roman" w:hAnsi="Times New Roman"/>
                <w:sz w:val="17"/>
                <w:szCs w:val="17"/>
                <w:color w:val="auto"/>
              </w:rPr>
              <w:t xml:space="preserve">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32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9"/>
          </w:tcPr>
          <w:p>
            <w:pPr>
              <w:jc w:val="right"/>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$6,240,615</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$6,051,360</w:t>
            </w:r>
            <w:r>
              <w:rPr>
                <w:rFonts w:ascii="Times New Roman" w:cs="Times New Roman" w:eastAsia="Times New Roman" w:hAnsi="Times New Roman"/>
                <w:sz w:val="35"/>
                <w:szCs w:val="35"/>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-815340</wp:posOffset>
            </wp:positionV>
            <wp:extent cx="42176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For 2023 and 2022, Ernst &amp; Young LLP billed us approximately $4,665,386 and $4,484,400, respectively, for the integrated audit of the Company’s annual consolidated financial statements and audits of subsidiary (non-SEC registrants) financial statements, internal control over financial reporting, and the review of the Company’s quarterly consolidated financial statements on Form 10-Q that are customary under the standards of the Public Company Accounting Oversight Board (United States).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2023 and 2022, there were no audit-related fees billed to us by Ernst &amp; Young LLP.</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08"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2023 and 2022 tax fees, Ernst &amp; Young LLP billed us approximately $1,565,229 and $1,560,400, respectively, relating mainly to compliance work.</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94"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2023 and 2022, Ernst &amp; Young LLP billed us approximately $10,000 and $6,560, respectively, in other fees relating to online subscription fees.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w:t>
      </w:r>
    </w:p>
    <w:p>
      <w:pPr>
        <w:spacing w:after="0" w:line="10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is responsible for appointing, setting compensation for, and overseeing the work of the independent registered public accounting firm. The Audit Committee has established a policy regarding pre-approval of all audit and permissible nonaudit services provided by the independent registered public accounting firm.</w:t>
      </w:r>
    </w:p>
    <w:p>
      <w:pPr>
        <w:spacing w:after="0" w:line="58" w:lineRule="exact"/>
        <w:rPr>
          <w:sz w:val="20"/>
          <w:szCs w:val="20"/>
          <w:color w:val="auto"/>
        </w:rPr>
      </w:pPr>
    </w:p>
    <w:p>
      <w:pPr>
        <w:jc w:val="both"/>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w:t>
      </w:r>
    </w:p>
    <w:p>
      <w:pPr>
        <w:spacing w:after="0" w:line="45"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w:t>
      </w:r>
    </w:p>
    <w:p>
      <w:pPr>
        <w:spacing w:after="0" w:line="281"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THE PURPOSE OF THE ANNUAL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purpose of the Annual Meeting is to:</w:t>
      </w:r>
    </w:p>
    <w:p>
      <w:pPr>
        <w:spacing w:after="0" w:line="158" w:lineRule="exact"/>
        <w:rPr>
          <w:sz w:val="20"/>
          <w:szCs w:val="20"/>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eleven directors;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Say on Pay Proposal;</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Ratification of Ernst &amp; Young LLP’s Appointment Proposal; and</w:t>
      </w:r>
    </w:p>
    <w:p>
      <w:pPr>
        <w:spacing w:after="0" w:line="144" w:lineRule="exact"/>
        <w:rPr>
          <w:rFonts w:ascii="Times New Roman" w:cs="Times New Roman" w:eastAsia="Times New Roman" w:hAnsi="Times New Roman"/>
          <w:sz w:val="18"/>
          <w:szCs w:val="18"/>
          <w:color w:val="auto"/>
        </w:rPr>
      </w:pPr>
    </w:p>
    <w:p>
      <w:pPr>
        <w:ind w:left="1980" w:right="1359" w:hanging="360"/>
        <w:spacing w:after="0" w:line="282" w:lineRule="auto"/>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such other business as may properly come before the Annual Meeting and any adjournment or postponement.</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Other than these proposals, the Board is not aware of any other matters to be presented for a vote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162" w:lineRule="exact"/>
        <w:rPr>
          <w:sz w:val="20"/>
          <w:szCs w:val="20"/>
          <w:color w:val="auto"/>
        </w:rPr>
      </w:pPr>
    </w:p>
    <w:p>
      <w:pPr>
        <w:jc w:val="both"/>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All of our stockholders may attend the Annual Meeting. However, only stockholders who owned our Class A, Class B, Class C or Class D common stock at the close of business on March 4, 2024, the record date for the Annual Meeting, or their duly appointed proxies, are entitled to vote at the Annual Meeting.</w:t>
      </w:r>
    </w:p>
    <w:p>
      <w:pPr>
        <w:spacing w:after="0" w:line="10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Many stockholders hold their shares through a stockbroker, bank, trustee or other nominee rather than directly in their own name. As summarized below, there are some distinctions between shares held of record and those owned beneficially:</w:t>
      </w:r>
    </w:p>
    <w:p>
      <w:pPr>
        <w:spacing w:after="0" w:line="80" w:lineRule="exact"/>
        <w:rPr>
          <w:sz w:val="20"/>
          <w:szCs w:val="20"/>
          <w:color w:val="auto"/>
        </w:rPr>
      </w:pPr>
    </w:p>
    <w:p>
      <w:pPr>
        <w:ind w:left="1800" w:right="559" w:hanging="180"/>
        <w:spacing w:after="0" w:line="28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of Record — </w:t>
      </w:r>
      <w:r>
        <w:rPr>
          <w:rFonts w:ascii="Times New Roman" w:cs="Times New Roman" w:eastAsia="Times New Roman" w:hAnsi="Times New Roman"/>
          <w:sz w:val="18"/>
          <w:szCs w:val="18"/>
          <w:color w:val="auto"/>
        </w:rPr>
        <w:t>If your shares are registered directly in your name with our transfer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Computershare, you are considered the stockholder of record of those shares.</w:t>
      </w:r>
    </w:p>
    <w:p>
      <w:pPr>
        <w:spacing w:after="0" w:line="36"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Owner — </w:t>
      </w:r>
      <w:r>
        <w:rPr>
          <w:rFonts w:ascii="Times New Roman" w:cs="Times New Roman" w:eastAsia="Times New Roman" w:hAnsi="Times New Roman"/>
          <w:sz w:val="18"/>
          <w:szCs w:val="18"/>
          <w:color w:val="auto"/>
        </w:rPr>
        <w:t>If your shares are held in a stock brokerage account, or by a bank,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You have one vote for each share of our Class A or Class B common stock you owned as of the record date for the Annual Meeting. You have 1/100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CEG, through the ownership of all of our outstanding Class B and Class D common stock, held approximately 54.91% of the combined voting power of our common stock as of the record date.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RECOMMENDATIONS OF THE BOARD?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40" w:lineRule="exact"/>
        <w:rPr>
          <w:sz w:val="20"/>
          <w:szCs w:val="20"/>
          <w:color w:val="auto"/>
        </w:rPr>
      </w:pPr>
    </w:p>
    <w:p>
      <w:pPr>
        <w:ind w:left="1980" w:hanging="360"/>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director nominees;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Say on Pay Proposal;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Ernst &amp; Young LLP’s Appointment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firstLine="360"/>
        <w:spacing w:after="0" w:line="281" w:lineRule="auto"/>
        <w:rPr>
          <w:sz w:val="20"/>
          <w:szCs w:val="20"/>
          <w:color w:val="auto"/>
        </w:rPr>
      </w:pPr>
      <w:r>
        <w:rPr>
          <w:rFonts w:ascii="Times New Roman" w:cs="Times New Roman" w:eastAsia="Times New Roman" w:hAnsi="Times New Roman"/>
          <w:sz w:val="18"/>
          <w:szCs w:val="18"/>
          <w:color w:val="auto"/>
        </w:rPr>
        <w:t>If you grant a proxy and any additional matters are properly presented for a vote at the Annual Meeting, either of the persons named as proxy holders, Christopher S. Sotos or Kevin P. Malcarney, will have the discretion to vote your shares.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MUST BE PRESENT TO HOLD THE ANNUAL MEETING?</w:t>
      </w:r>
    </w:p>
    <w:p>
      <w:pPr>
        <w:spacing w:after="0" w:line="162"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As of the record date, there were 78,599,885 votes entitled to be cast in the aggregate by the holders of all shares of our common stock outstanding, consisting of:</w:t>
      </w:r>
    </w:p>
    <w:p>
      <w:pPr>
        <w:spacing w:after="0" w:line="78"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34,613,853 shares of our Class A common stock (representing the same number of votes);</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42,738,750 shares of our Class B common stock (representing the same number of votes);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82,391,441 shares of our Class C common stock (representing 823,914 votes); and</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42,336,750 shares of our Class D common stock (representing 423,368 votes).</w:t>
      </w:r>
    </w:p>
    <w:p>
      <w:pPr>
        <w:spacing w:after="0" w:line="144"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presence of holders entitled to cast at least 39,299,943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0" w:lineRule="exact"/>
        <w:rPr>
          <w:sz w:val="20"/>
          <w:szCs w:val="20"/>
          <w:color w:val="auto"/>
        </w:rPr>
      </w:pPr>
    </w:p>
    <w:p>
      <w:pPr>
        <w:ind w:left="1980" w:right="499" w:hanging="360"/>
        <w:spacing w:after="0" w:line="257"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 </w:t>
      </w:r>
      <w:r>
        <w:rPr>
          <w:rFonts w:ascii="Times New Roman" w:cs="Times New Roman" w:eastAsia="Times New Roman" w:hAnsi="Times New Roman"/>
          <w:sz w:val="18"/>
          <w:szCs w:val="18"/>
          <w:color w:val="auto"/>
        </w:rPr>
        <w:t>The nominees for election as directors at the Annual Meeting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w:t>
      </w:r>
    </w:p>
    <w:p>
      <w:pPr>
        <w:spacing w:after="0" w:line="128" w:lineRule="exact"/>
        <w:rPr>
          <w:rFonts w:ascii="Times New Roman" w:cs="Times New Roman" w:eastAsia="Times New Roman" w:hAnsi="Times New Roman"/>
          <w:sz w:val="18"/>
          <w:szCs w:val="18"/>
          <w:color w:val="auto"/>
        </w:rPr>
      </w:pPr>
    </w:p>
    <w:p>
      <w:pPr>
        <w:ind w:left="1980" w:right="419" w:hanging="360"/>
        <w:spacing w:after="0" w:line="257"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Say on Pay Proposal — </w:t>
      </w:r>
      <w:r>
        <w:rPr>
          <w:rFonts w:ascii="Times New Roman" w:cs="Times New Roman" w:eastAsia="Times New Roman" w:hAnsi="Times New Roman"/>
          <w:sz w:val="18"/>
          <w:szCs w:val="18"/>
          <w:color w:val="auto"/>
        </w:rPr>
        <w:t>This proposal requires the affirmative vote of the majority in voting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w:t>
      </w:r>
    </w:p>
    <w:p>
      <w:pPr>
        <w:spacing w:after="0" w:line="114" w:lineRule="exact"/>
        <w:rPr>
          <w:rFonts w:ascii="Times New Roman" w:cs="Times New Roman" w:eastAsia="Times New Roman" w:hAnsi="Times New Roman"/>
          <w:sz w:val="18"/>
          <w:szCs w:val="18"/>
          <w:color w:val="auto"/>
        </w:rPr>
      </w:pPr>
    </w:p>
    <w:p>
      <w:pPr>
        <w:ind w:left="1980" w:right="539" w:hanging="360"/>
        <w:spacing w:after="0" w:line="258"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Ratification of Ernst &amp; Young LLP’s Appointment Proposal — </w:t>
      </w:r>
      <w:r>
        <w:rPr>
          <w:rFonts w:ascii="Times New Roman" w:cs="Times New Roman" w:eastAsia="Times New Roman" w:hAnsi="Times New Roman"/>
          <w:sz w:val="18"/>
          <w:szCs w:val="18"/>
          <w:color w:val="auto"/>
        </w:rPr>
        <w:t>This proposal requires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affirmative vote of a majority in voting power of the shares of our common stock present through virtual attendance or represented by proxy at the Annual Meeting and entitled to vote on the proposal. If the selection of Ernst &amp; Young LLP as our independent registered public accounting firm is not ratified, the Audit Committee will reconsider its selection.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WHAT ARE ABSTENTIONS AND BROKER NON-VOTES AND HOW ARE THEY TREATED?</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Ernst &amp; Young LLP’s Appointment Proposal, but do not have the discretion to vote on the election of directors or the Say on Pay Proposal. Broker non-votes and abstentions, if any, will be treated as follows with respect to votes on each of the proposals: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2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8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Treatment of Abstentions</w:t>
            </w:r>
          </w:p>
        </w:tc>
        <w:tc>
          <w:tcPr>
            <w:tcW w:w="25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Treatment of Broker Non-Votes</w:t>
            </w:r>
          </w:p>
        </w:tc>
      </w:tr>
      <w:tr>
        <w:trPr>
          <w:trHeight w:val="37"/>
        </w:trPr>
        <w:tc>
          <w:tcPr>
            <w:tcW w:w="24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r>
      <w:tr>
        <w:trPr>
          <w:trHeight w:val="24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Election of Directors</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 on this proposal.</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 effect on this proposal.</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Say on Pay Proposal</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Counted toward the tabulation of</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 effect on this proposal.</w:t>
            </w: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on this proposal and will</w:t>
            </w:r>
          </w:p>
        </w:tc>
        <w:tc>
          <w:tcPr>
            <w:tcW w:w="25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the same effect as a vote</w:t>
            </w:r>
          </w:p>
        </w:tc>
        <w:tc>
          <w:tcPr>
            <w:tcW w:w="258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this proposal.</w:t>
            </w:r>
          </w:p>
        </w:tc>
        <w:tc>
          <w:tcPr>
            <w:tcW w:w="2580" w:type="dxa"/>
            <w:vAlign w:val="bottom"/>
          </w:tcPr>
          <w:p>
            <w:pPr>
              <w:spacing w:after="0"/>
              <w:rPr>
                <w:sz w:val="20"/>
                <w:szCs w:val="20"/>
                <w:color w:val="auto"/>
              </w:rPr>
            </w:pPr>
          </w:p>
        </w:tc>
      </w:t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Ratification of Ernst &amp;</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Counted toward the tabulation of</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 since brokers have</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Young LLP’s Appointment</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votes on this proposal and will</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authority to vote on</w:t>
            </w:r>
          </w:p>
        </w:tc>
      </w:tr>
      <w:tr>
        <w:trPr>
          <w:trHeight w:val="216"/>
        </w:trPr>
        <w:tc>
          <w:tcPr>
            <w:tcW w:w="240" w:type="dxa"/>
            <w:vAlign w:val="bottom"/>
          </w:tcPr>
          <w:p>
            <w:pPr>
              <w:spacing w:after="0"/>
              <w:rPr>
                <w:sz w:val="18"/>
                <w:szCs w:val="18"/>
                <w:color w:val="auto"/>
              </w:rPr>
            </w:pPr>
          </w:p>
        </w:tc>
        <w:tc>
          <w:tcPr>
            <w:tcW w:w="2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Proposal</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have the same effect as a vote</w:t>
            </w:r>
          </w:p>
        </w:tc>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this proposal.</w:t>
            </w:r>
          </w:p>
        </w:tc>
      </w:tr>
      <w:tr>
        <w:trPr>
          <w:trHeight w:val="234"/>
        </w:trPr>
        <w:tc>
          <w:tcPr>
            <w:tcW w:w="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 this proposal.</w:t>
            </w:r>
          </w:p>
        </w:tc>
        <w:tc>
          <w:tcPr>
            <w:tcW w:w="2580" w:type="dxa"/>
            <w:vAlign w:val="bottom"/>
          </w:tcPr>
          <w:p>
            <w:pPr>
              <w:spacing w:after="0"/>
              <w:rPr>
                <w:sz w:val="20"/>
                <w:szCs w:val="20"/>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w:t>
      </w:r>
    </w:p>
    <w:p>
      <w:pPr>
        <w:spacing w:after="0" w:line="58" w:lineRule="exact"/>
        <w:rPr>
          <w:sz w:val="20"/>
          <w:szCs w:val="20"/>
          <w:color w:val="auto"/>
        </w:rPr>
      </w:pPr>
    </w:p>
    <w:p>
      <w:pPr>
        <w:ind w:left="1800" w:right="419" w:hanging="180"/>
        <w:spacing w:after="0" w:line="258"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Internet: </w:t>
      </w:r>
      <w:r>
        <w:rPr>
          <w:rFonts w:ascii="Times New Roman" w:cs="Times New Roman" w:eastAsia="Times New Roman" w:hAnsi="Times New Roman"/>
          <w:sz w:val="18"/>
          <w:szCs w:val="18"/>
          <w:color w:val="auto"/>
        </w:rPr>
        <w:t>If you have Internet access, you may submit your proxy from any location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 24 hours a day, 7 days a week, up until 11:59 p.m., Eastern Time, on April 24, 2024 by visiting the website provided on the Notice of Internet Availability of Proxy Materials (Notice of Availability) or voting instruction card. If you vote by using the Internet, you do not need to return your proxy card or voting instruction card.</w:t>
      </w:r>
    </w:p>
    <w:p>
      <w:pPr>
        <w:spacing w:after="0" w:line="75"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Telephone: </w:t>
      </w:r>
      <w:r>
        <w:rPr>
          <w:rFonts w:ascii="Times New Roman" w:cs="Times New Roman" w:eastAsia="Times New Roman" w:hAnsi="Times New Roman"/>
          <w:sz w:val="18"/>
          <w:szCs w:val="18"/>
          <w:color w:val="auto"/>
        </w:rPr>
        <w:t>If you live in the United States, you may use any touch-tone telephone to vote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proxy 24 hours a day, 7 days a week, up until 11:59 p.m., Eastern Time, on April 24, 2024. The telephone number is printed on your proxy card or voting instruction card. If you vote by telephone, you do not need to return your proxy card or voting instruction card.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By Mail: </w:t>
      </w:r>
      <w:r>
        <w:rPr>
          <w:rFonts w:ascii="Times New Roman" w:cs="Times New Roman" w:eastAsia="Times New Roman" w:hAnsi="Times New Roman"/>
          <w:sz w:val="18"/>
          <w:szCs w:val="18"/>
          <w:color w:val="auto"/>
        </w:rPr>
        <w:t>If you received or requested a paper copy of the materials, you may submit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25, 2024, the Annual Meeting date.</w:t>
      </w:r>
    </w:p>
    <w:p>
      <w:pPr>
        <w:spacing w:after="0" w:line="74"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Vote During the Virtual Annual Meeting: </w:t>
      </w:r>
      <w:r>
        <w:rPr>
          <w:rFonts w:ascii="Times New Roman" w:cs="Times New Roman" w:eastAsia="Times New Roman" w:hAnsi="Times New Roman"/>
          <w:sz w:val="18"/>
          <w:szCs w:val="18"/>
          <w:color w:val="auto"/>
        </w:rPr>
        <w:t>To vote during the virtual Annual Meeting,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record at the close of business on March 4, 2024, or their legal proxy holders, must register for and log in to www.virtualshareholdermeeting.com/CWEN2024 using their 16-digit control number 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71.</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MY VOTE?</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VOTE VIRTUALLY DURING THE ANNUAL MEETING?</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Stockholders of record at the close of business on March 4, 2024, or their legal proxy holders, will be able to access the Annual Meeting webcast, ask questions and vote online at www.virtualshareholdermeeting.com/CWEN2024 by entering their 16-digit control number provided on their proxy card. This website also will contain instructions to participate in the virtual Annual Meeting.</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HAPPENS IF I DO NOT PROVIDE INSTRUCTIONS AS TO HOW TO VOTE?</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If you sign your proxy card or voting instruction card with no further instructions, your shares will be voted in accordance with the recommendations of the Board.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OBTAIN THE LIST OF STOCKHOLDERS ENTITLED TO VOTE?</w:t>
      </w:r>
    </w:p>
    <w:p>
      <w:pPr>
        <w:spacing w:after="0" w:line="148"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Annual Meeting will be available at the website for the Annual Meeting at www.virtualshareholdermeeting.com/CWEN2024 and for ten days prior to the meeting for any purpose germane to the Annual Meeting, between the hours of 8:30 a.m. and</w:t>
      </w:r>
    </w:p>
    <w:p>
      <w:pPr>
        <w:spacing w:after="0" w:line="2" w:lineRule="exact"/>
        <w:rPr>
          <w:sz w:val="20"/>
          <w:szCs w:val="20"/>
          <w:color w:val="auto"/>
        </w:rPr>
      </w:pPr>
    </w:p>
    <w:p>
      <w:pPr>
        <w:ind w:left="1260" w:right="599"/>
        <w:spacing w:after="0" w:line="246" w:lineRule="auto"/>
        <w:rPr>
          <w:sz w:val="20"/>
          <w:szCs w:val="20"/>
          <w:color w:val="auto"/>
        </w:rPr>
      </w:pPr>
      <w:r>
        <w:rPr>
          <w:rFonts w:ascii="Times New Roman" w:cs="Times New Roman" w:eastAsia="Times New Roman" w:hAnsi="Times New Roman"/>
          <w:sz w:val="18"/>
          <w:szCs w:val="18"/>
          <w:color w:val="auto"/>
        </w:rPr>
        <w:t>5:00 p.m., Eastern Time, at our principal executive offices at 300 Carnegie Center, Suite 300, Princeton, New Jersey 08540. Please contact our Corporate Secretary if you wish to review the list of stockholders at our principal executive offices.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PAYS THE COST OF SOLICITATION OF PROXIES?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pay for the cost of preparing, assembling, printing, mailing and distributing these proxy</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IS THE COMPANY’S TRANSFER AGENT?</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Our transfer agent is Computershare. All communications concerning stockholder inquiries can be handled by contacting Clearway Energy, Inc. c/o Computershare, Computershare Investor Services, by regular mail to P.O. Box 43006, Providence, RI 02940-3006, by overnight delivery to 150 Royall Street, Suite 101, Canton, MA 02021, or by telephone at 1-877-373- 6374, or 1 -781-575-2879 (outside the U.S. and Canada), or 1-800-952- 9245 (Hearing Impaired-TTY). Their website is </w:t>
      </w:r>
      <w:r>
        <w:rPr>
          <w:rFonts w:ascii="Times New Roman" w:cs="Times New Roman" w:eastAsia="Times New Roman" w:hAnsi="Times New Roman"/>
          <w:sz w:val="18"/>
          <w:szCs w:val="18"/>
          <w:i w:val="1"/>
          <w:iCs w:val="1"/>
          <w:color w:val="auto"/>
        </w:rPr>
        <w:t>http://www.computershare.com</w:t>
      </w:r>
      <w:r>
        <w:rPr>
          <w:rFonts w:ascii="Times New Roman" w:cs="Times New Roman" w:eastAsia="Times New Roman" w:hAnsi="Times New Roman"/>
          <w:sz w:val="18"/>
          <w:szCs w:val="18"/>
          <w:color w:val="auto"/>
        </w:rPr>
        <w:t>. Certificates for transfer and address changes should be sent either by regular mail to Computershare, P.O. Box 43006, Providence, RI 02940-3006 or by overnight delivery to Computershare, 150 Royall Street, Suite 101, Canton, MA 02021.</w:t>
      </w:r>
    </w:p>
    <w:p>
      <w:pPr>
        <w:spacing w:after="0" w:line="392" w:lineRule="exact"/>
        <w:rPr>
          <w:sz w:val="20"/>
          <w:szCs w:val="20"/>
          <w:color w:val="auto"/>
        </w:rPr>
      </w:pPr>
    </w:p>
    <w:p>
      <w:pPr>
        <w:ind w:left="1260" w:right="1059"/>
        <w:spacing w:after="0" w:line="317" w:lineRule="auto"/>
        <w:rPr>
          <w:sz w:val="20"/>
          <w:szCs w:val="20"/>
          <w:color w:val="auto"/>
        </w:rPr>
      </w:pPr>
      <w:r>
        <w:rPr>
          <w:rFonts w:ascii="Times New Roman" w:cs="Times New Roman" w:eastAsia="Times New Roman" w:hAnsi="Times New Roman"/>
          <w:sz w:val="17"/>
          <w:szCs w:val="17"/>
          <w:b w:val="1"/>
          <w:bCs w:val="1"/>
          <w:color w:val="auto"/>
        </w:rPr>
        <w:t>WHY DID I RECEIVE A ONE-PAGE NOTICE IN THE MAIL REGARDING THE INTERNET AVAILABILITY OF PROXY MATERIALS INSTEAD OF A FULL SET OF PROXY MATERIALS?</w:t>
      </w:r>
    </w:p>
    <w:p>
      <w:pPr>
        <w:spacing w:after="0" w:line="6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multiple stockholders who share the same last name and address and do not participate in electronic</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 xml:space="preserve">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Times New Roman" w:cs="Times New Roman" w:eastAsia="Times New Roman" w:hAnsi="Times New Roman"/>
          <w:sz w:val="18"/>
          <w:szCs w:val="18"/>
          <w:i w:val="1"/>
          <w:iCs w:val="1"/>
          <w:color w:val="auto"/>
        </w:rPr>
        <w:t>sendmaterial@proxyvote.com</w:t>
      </w:r>
      <w:r>
        <w:rPr>
          <w:rFonts w:ascii="Times New Roman" w:cs="Times New Roman" w:eastAsia="Times New Roman" w:hAnsi="Times New Roman"/>
          <w:sz w:val="18"/>
          <w:szCs w:val="18"/>
          <w:color w:val="auto"/>
        </w:rPr>
        <w:t>. Stockholders who are receiving individual copies of such materials,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like to receive single copies at a shared address, may contact Broadridge Financial Solutions, Inc. with this request by using the contact information provided above.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CAN I REQUEST ADDITIONAL MATERIALS?</w:t>
      </w:r>
    </w:p>
    <w:p>
      <w:pPr>
        <w:spacing w:after="0" w:line="162" w:lineRule="exact"/>
        <w:rPr>
          <w:sz w:val="20"/>
          <w:szCs w:val="20"/>
          <w:color w:val="auto"/>
        </w:rPr>
      </w:pPr>
    </w:p>
    <w:p>
      <w:pPr>
        <w:ind w:left="1260" w:right="11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Stockholders may request additional copies of the proxy materials or Notice of Availability by contacting Broadridge Financial Solutions, Inc. by telephone at 1-800-579-1639 or by e-mail at </w:t>
      </w:r>
      <w:r>
        <w:rPr>
          <w:rFonts w:ascii="Times New Roman" w:cs="Times New Roman" w:eastAsia="Times New Roman" w:hAnsi="Times New Roman"/>
          <w:sz w:val="18"/>
          <w:szCs w:val="18"/>
          <w:i w:val="1"/>
          <w:iCs w:val="1"/>
          <w:color w:val="auto"/>
        </w:rPr>
        <w:t>sendmaterial@proxyvote.com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WHOM SHOULD I CALL IF I HAVE QUESTIONS ABOUT THE ANNUAL MEETING?</w:t>
      </w:r>
    </w:p>
    <w:p>
      <w:pPr>
        <w:spacing w:after="0" w:line="16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any assistance in voting your shares, please contact our proxy solicitor:</w:t>
      </w:r>
    </w:p>
    <w:p>
      <w:pPr>
        <w:spacing w:after="0" w:line="8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1407 Broadway, 27th Floor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(800) 322-2885</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(212) 929-5500</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i w:val="1"/>
          <w:iCs w:val="1"/>
          <w:color w:val="auto"/>
        </w:rPr>
        <w:t>proxy@mackenziepartners.com</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2025 ANNUAL MEETING OF STOCKHOLDERS</w:t>
      </w:r>
    </w:p>
    <w:p>
      <w:pPr>
        <w:spacing w:after="0" w:line="203" w:lineRule="exact"/>
        <w:rPr>
          <w:sz w:val="20"/>
          <w:szCs w:val="20"/>
          <w:color w:val="auto"/>
        </w:rPr>
      </w:pPr>
    </w:p>
    <w:p>
      <w:pPr>
        <w:ind w:left="1260" w:right="799"/>
        <w:spacing w:after="0" w:line="286" w:lineRule="auto"/>
        <w:rPr>
          <w:sz w:val="20"/>
          <w:szCs w:val="20"/>
          <w:color w:val="auto"/>
        </w:rPr>
      </w:pPr>
      <w:r>
        <w:rPr>
          <w:rFonts w:ascii="Times New Roman" w:cs="Times New Roman" w:eastAsia="Times New Roman" w:hAnsi="Times New Roman"/>
          <w:sz w:val="18"/>
          <w:szCs w:val="18"/>
          <w:b w:val="1"/>
          <w:bCs w:val="1"/>
          <w:color w:val="auto"/>
        </w:rPr>
        <w:t>STOCKHOLDER PROPOSALS FOR INCLUSION IN THE COMPANY’S PROXY STATEMENT FOR THE 2025 ANNUAL MEETING OF STOCKHOLDERS</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our proxy statement for the 2025 Annual Meeting, our Corporate Secretary must receive the proposal no later than the close of business on November 15, 2024, which is the 120th day prior to the first anniversary of the date on which this Proxy Statement was first released to our stockholders in connection with the 2024 Annual Meeting. If we change the date of the 2025 Annual Meeting by more than 30 days from the anniversary of this year’s Annual Meeting, stockholder proposals must be received a reasonable time before we begin to print and mail the proxy materials for the 2025 Annual Meeting in order to be considered for inclusion in our proxy statement. In addition, to comply with the universal proxy rules, stockholders who intend to solicit proxies in support of director nominees other than the Company’s nominees must provide notice that sets forth the information required by Rule 14a-19 under the Exchange Act, no later than February 24, 2025.</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Method of Submitting Proposals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83"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color w:val="auto"/>
        </w:rPr>
        <w:t>STOCKHOLDER PROPOSALS OR STOCKHOLDER NOMINATION OF DIRECTOR TO BE BROUGHT AT THE 2025 ANNUAL MEETING (WITHOUT INCLUSION IN THE COMPANY’S PROXY STATEMENT)</w:t>
      </w:r>
    </w:p>
    <w:p>
      <w:pPr>
        <w:spacing w:after="0" w:line="94"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Alternatively, stockholders intending to present a proposal or nominate a director for election at the 2024 Annual Meeting without having the proposal or nomination included in our proxy statement must comply with the requirements set forth in our Bylaws and summarized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Deadline</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2025 Annual Meeting is more than 30 days before or more than 70 days after such anniversary date. For our 2025 Annual Meeting, our Corporate Secretary must receive the proposal or nomination no earlier than December 26, 2024 and no later than the close of business on January 25, 2025, unless the 2025 Annual Meeting is held earlier than March 26, 2025 or later than July 4, 2025, in which case the proposal or nomination should be received no earlier than the close of business on the 120th day prior to such annual meeting and not later than the close of business on the later of (a) the 90th day prior to the date of the 2025 Annual Meeting or (b) the 10th day following the day on which the date of the 2025 Annual Meeting is first publicly announced by the Company.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Required</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268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82683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7141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871410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800"/>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7"/>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3"/>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decimal"/>
      <w:start w:val="13"/>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6"/>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4"/>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2"/>
    </w:lvl>
  </w:abstractNum>
  <w:abstractNum w:abstractNumId="31">
    <w:nsid w:val="70C6A529"/>
    <w:multiLevelType w:val="hybridMultilevel"/>
    <w:lvl w:ilvl="0">
      <w:lvlJc w:val="left"/>
      <w:lvlText w:val="(%1)"/>
      <w:numFmt w:val="decimal"/>
      <w:start w:val="6"/>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1)"/>
      <w:numFmt w:val="lowerRoman"/>
      <w:start w:val="2"/>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decimal"/>
      <w:start w:val="1"/>
    </w:lvl>
    <w:lvl w:ilvl="1">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lowerRoman"/>
      <w:start w:val="2"/>
    </w:lvl>
  </w:abstractNum>
  <w:abstractNum w:abstractNumId="48">
    <w:nsid w:val="3F6AB60F"/>
    <w:multiLevelType w:val="hybridMultilevel"/>
    <w:lvl w:ilvl="0">
      <w:lvlJc w:val="left"/>
      <w:lvlText w:val="a"/>
      <w:numFmt w:val="bullet"/>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1"/>
    </w:lvl>
  </w:abstractNum>
  <w:abstractNum w:abstractNumId="57">
    <w:nsid w:val="1DBABF00"/>
    <w:multiLevelType w:val="hybridMultilevel"/>
    <w:lvl w:ilvl="0">
      <w:lvlJc w:val="left"/>
      <w:lvlText w:val="(%1)"/>
      <w:numFmt w:val="decimal"/>
      <w:start w:val="3"/>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lowerLetter"/>
      <w:start w:val="2"/>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2"/>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2024-03-15T11:18:02Z</dcterms:created>
  <dcterms:modified xsi:type="dcterms:W3CDTF">2024-03-15T11:18:02Z</dcterms:modified>
</cp:coreProperties>
</file>