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Malcarney Kevin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Clearway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06/01/2020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25"/>
        <w:spacing w:after="0"/>
        <w:rPr>
          <w:sz w:val="20"/>
          <w:szCs w:val="20"/>
          <w:color w:val="auto"/>
        </w:rPr>
      </w:pPr>
      <w:r>
        <w:rPr>
          <w:rFonts w:ascii="Arial" w:cs="Arial" w:eastAsia="Arial" w:hAnsi="Arial"/>
          <w:sz w:val="16"/>
          <w:szCs w:val="16"/>
          <w:color w:val="0000FF"/>
        </w:rPr>
        <w:t>SVP, Gen Counsel and Corp Secr</w:t>
      </w:r>
    </w:p>
    <w:p>
      <w:pPr>
        <w:spacing w:after="0" w:line="414"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10"/>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7"/>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3"/>
            <w:vMerge w:val="restart"/>
          </w:tcPr>
          <w:p>
            <w:pPr>
              <w:jc w:val="right"/>
              <w:ind w:right="58"/>
              <w:spacing w:after="0"/>
              <w:rPr>
                <w:sz w:val="20"/>
                <w:szCs w:val="20"/>
                <w:color w:val="auto"/>
              </w:rPr>
            </w:pPr>
            <w:r>
              <w:rPr>
                <w:rFonts w:ascii="Arial" w:cs="Arial" w:eastAsia="Arial" w:hAnsi="Arial"/>
                <w:sz w:val="17"/>
                <w:szCs w:val="17"/>
                <w:color w:val="0000FF"/>
              </w:rPr>
              <w:t>06/01/2020</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336</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2"/>
            <w:vMerge w:val="restart"/>
          </w:tcPr>
          <w:p>
            <w:pPr>
              <w:ind w:left="180"/>
              <w:spacing w:after="0"/>
              <w:rPr>
                <w:sz w:val="20"/>
                <w:szCs w:val="20"/>
                <w:color w:val="auto"/>
              </w:rPr>
            </w:pPr>
            <w:r>
              <w:rPr>
                <w:rFonts w:ascii="Arial" w:cs="Arial" w:eastAsia="Arial" w:hAnsi="Arial"/>
                <w:sz w:val="11"/>
                <w:szCs w:val="11"/>
                <w:color w:val="008000"/>
              </w:rPr>
              <w:t>(1)</w:t>
            </w:r>
          </w:p>
        </w:tc>
        <w:tc>
          <w:tcPr>
            <w:tcW w:w="1380" w:type="dxa"/>
            <w:vAlign w:val="bottom"/>
            <w:gridSpan w:val="3"/>
            <w:vMerge w:val="restart"/>
          </w:tcPr>
          <w:p>
            <w:pPr>
              <w:ind w:left="460"/>
              <w:spacing w:after="0"/>
              <w:rPr>
                <w:sz w:val="20"/>
                <w:szCs w:val="20"/>
                <w:color w:val="auto"/>
              </w:rPr>
            </w:pPr>
            <w:r>
              <w:rPr>
                <w:rFonts w:ascii="Arial" w:cs="Arial" w:eastAsia="Arial" w:hAnsi="Arial"/>
                <w:sz w:val="17"/>
                <w:szCs w:val="17"/>
                <w:color w:val="0000FF"/>
              </w:rPr>
              <w:t>42,340</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-3009265</wp:posOffset>
            </wp:positionV>
            <wp:extent cx="7031355" cy="305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05435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1,586 dividend equivalent rights that may only be settled in Class C Common Stock.</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Kevin P. Malcarney</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06/03/2020</w:t>
            </w:r>
          </w:p>
        </w:tc>
      </w:tr>
      <w:tr>
        <w:trPr>
          <w:trHeight w:val="20"/>
        </w:trPr>
        <w:tc>
          <w:tcPr>
            <w:tcW w:w="1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8590"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2020-06-03T15:28:45Z</dcterms:created>
  <dcterms:modified xsi:type="dcterms:W3CDTF">2020-06-03T15:28:45Z</dcterms:modified>
</cp:coreProperties>
</file>