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4200"/>
        <w:spacing w:after="0"/>
        <w:tabs>
          <w:tab w:leader="none" w:pos="7040" w:val="left"/>
        </w:tabs>
        <w:rPr>
          <w:sz w:val="20"/>
          <w:szCs w:val="20"/>
          <w:color w:val="auto"/>
        </w:rPr>
      </w:pPr>
      <w:r>
        <w:rPr>
          <w:rFonts w:ascii="Arial" w:cs="Arial" w:eastAsia="Arial" w:hAnsi="Arial"/>
          <w:sz w:val="53"/>
          <w:szCs w:val="53"/>
          <w:color w:val="FFFFFF"/>
        </w:rPr>
        <w:t>F O R M</w:t>
        <w:tab/>
        <w:t>1 0 - K</w:t>
      </w:r>
    </w:p>
    <w:p>
      <w:pPr>
        <w:sectPr>
          <w:pgSz w:w="11880" w:h="15480" w:orient="portrait"/>
          <w:cols w:equalWidth="0" w:num="1">
            <w:col w:w="9000"/>
          </w:cols>
          <w:pgMar w:left="1440" w:top="1440" w:right="1440" w:bottom="1440" w:gutter="0" w:footer="0" w:header="0"/>
        </w:sectPr>
      </w:pPr>
    </w:p>
    <w:bookmarkStart w:id="1" w:name="page2"/>
    <w:bookmarkEnd w:id="1"/>
    <w:p>
      <w:pPr>
        <w:spacing w:after="0"/>
        <w:rPr>
          <w:sz w:val="20"/>
          <w:szCs w:val="20"/>
          <w:color w:val="auto"/>
        </w:rPr>
      </w:pPr>
      <w:r>
        <w:rPr>
          <w:rFonts w:ascii="Arial" w:cs="Arial" w:eastAsia="Arial" w:hAnsi="Arial"/>
          <w:sz w:val="48"/>
          <w:szCs w:val="48"/>
          <w:color w:val="000F60"/>
        </w:rPr>
        <w:t>STOCKHOLDER INFORMATION</w:t>
      </w:r>
    </w:p>
    <w:p>
      <w:pPr>
        <w:spacing w:after="0" w:line="200" w:lineRule="exact"/>
        <w:rPr>
          <w:sz w:val="20"/>
          <w:szCs w:val="20"/>
          <w:color w:val="auto"/>
        </w:rPr>
      </w:pPr>
    </w:p>
    <w:p>
      <w:pPr>
        <w:spacing w:after="0" w:line="243" w:lineRule="exact"/>
        <w:rPr>
          <w:sz w:val="20"/>
          <w:szCs w:val="20"/>
          <w:color w:val="auto"/>
        </w:rPr>
      </w:pPr>
    </w:p>
    <w:p>
      <w:pPr>
        <w:ind w:right="4540"/>
        <w:spacing w:after="0" w:line="357" w:lineRule="auto"/>
        <w:rPr>
          <w:sz w:val="20"/>
          <w:szCs w:val="20"/>
          <w:color w:val="auto"/>
        </w:rPr>
      </w:pPr>
      <w:r>
        <w:rPr>
          <w:rFonts w:ascii="Arial" w:cs="Arial" w:eastAsia="Arial" w:hAnsi="Arial"/>
          <w:sz w:val="21"/>
          <w:szCs w:val="21"/>
          <w:color w:val="65C2D0"/>
        </w:rPr>
        <w:t>STOCK TRANSFER AGENT &amp; REGISTRAR Shareholder correspondence should be mailed to:</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22"/>
          <w:szCs w:val="22"/>
          <w:color w:val="000F60"/>
        </w:rPr>
        <w:t>Computershare</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5C2D0"/>
        </w:rPr>
        <w:t>PO Box 505000</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5C2D0"/>
        </w:rPr>
        <w:t>Louisville KY 40233-5000</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000F60"/>
        </w:rPr>
        <w:t>STOCKHOLDER INQUIRIES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65C2D0"/>
        </w:rPr>
        <w:t>Overnight correspondence should be mailed to:</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22"/>
          <w:szCs w:val="22"/>
          <w:color w:val="000F60"/>
        </w:rPr>
        <w:t>Computershare</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5C2D0"/>
        </w:rPr>
        <w:t>462 South 4th Street Suite 1600</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5C2D0"/>
        </w:rPr>
        <w:t>Louisville KY 40202</w:t>
      </w:r>
    </w:p>
    <w:p>
      <w:pPr>
        <w:spacing w:after="0" w:line="387" w:lineRule="exact"/>
        <w:rPr>
          <w:sz w:val="20"/>
          <w:szCs w:val="20"/>
          <w:color w:val="auto"/>
        </w:rPr>
      </w:pPr>
    </w:p>
    <w:p>
      <w:pPr>
        <w:ind w:left="720"/>
        <w:spacing w:after="0"/>
        <w:rPr>
          <w:sz w:val="20"/>
          <w:szCs w:val="20"/>
          <w:color w:val="auto"/>
        </w:rPr>
      </w:pPr>
      <w:r>
        <w:rPr>
          <w:rFonts w:ascii="Arial" w:cs="Arial" w:eastAsia="Arial" w:hAnsi="Arial"/>
          <w:sz w:val="22"/>
          <w:szCs w:val="22"/>
          <w:color w:val="65C2D0"/>
        </w:rPr>
        <w:t>1 (877) 373-6374</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000F60"/>
        </w:rPr>
        <w:t xml:space="preserve">Email: </w:t>
      </w:r>
      <w:r>
        <w:rPr>
          <w:rFonts w:ascii="Arial" w:cs="Arial" w:eastAsia="Arial" w:hAnsi="Arial"/>
          <w:sz w:val="22"/>
          <w:szCs w:val="22"/>
          <w:color w:val="65C2D0"/>
        </w:rPr>
        <w:t>shareholder@computershare.com</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000F60"/>
        </w:rPr>
        <w:t xml:space="preserve">Online inquires: </w:t>
      </w:r>
      <w:r>
        <w:rPr>
          <w:rFonts w:ascii="Arial" w:cs="Arial" w:eastAsia="Arial" w:hAnsi="Arial"/>
          <w:sz w:val="22"/>
          <w:szCs w:val="22"/>
          <w:color w:val="65C2D0"/>
        </w:rPr>
        <w:t>www-us.computershare.com/Investor/#Contact</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000F60"/>
        </w:rPr>
        <w:t xml:space="preserve">Website: </w:t>
      </w:r>
      <w:r>
        <w:rPr>
          <w:rFonts w:ascii="Arial" w:cs="Arial" w:eastAsia="Arial" w:hAnsi="Arial"/>
          <w:sz w:val="22"/>
          <w:szCs w:val="22"/>
          <w:color w:val="65C2D0"/>
        </w:rPr>
        <w:t>www.computershare.com/investor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000F60"/>
        </w:rPr>
        <w:t>Send certificates for transfers &amp; address changes to:</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22"/>
          <w:szCs w:val="22"/>
          <w:color w:val="000F60"/>
        </w:rPr>
        <w:t>Computershare</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5C2D0"/>
        </w:rPr>
        <w:t>PO Box 505000</w:t>
      </w:r>
    </w:p>
    <w:p>
      <w:pPr>
        <w:spacing w:after="0" w:line="67" w:lineRule="exact"/>
        <w:rPr>
          <w:sz w:val="20"/>
          <w:szCs w:val="20"/>
          <w:color w:val="auto"/>
        </w:rPr>
      </w:pPr>
    </w:p>
    <w:p>
      <w:pPr>
        <w:ind w:left="720"/>
        <w:spacing w:after="0"/>
        <w:rPr>
          <w:sz w:val="20"/>
          <w:szCs w:val="20"/>
          <w:color w:val="auto"/>
        </w:rPr>
      </w:pPr>
      <w:r>
        <w:rPr>
          <w:rFonts w:ascii="Arial" w:cs="Arial" w:eastAsia="Arial" w:hAnsi="Arial"/>
          <w:sz w:val="22"/>
          <w:szCs w:val="22"/>
          <w:color w:val="65C2D0"/>
        </w:rPr>
        <w:t>Louisville KY 40233-5000</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000F60"/>
        </w:rPr>
        <w:t>STOCK LISTING</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65C2D0"/>
        </w:rPr>
        <w:t>Clearway Energy’s Class A and Class C common stock are listed on the</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65C2D0"/>
        </w:rPr>
        <w:t>New York Stock Exchange under the ticker symbols CWEN.A and CWEN respectively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000F60"/>
        </w:rPr>
        <w:t>FINANCIAL INFORMATION</w:t>
      </w:r>
    </w:p>
    <w:p>
      <w:pPr>
        <w:spacing w:after="0" w:line="127" w:lineRule="exact"/>
        <w:rPr>
          <w:sz w:val="20"/>
          <w:szCs w:val="20"/>
          <w:color w:val="auto"/>
        </w:rPr>
      </w:pPr>
    </w:p>
    <w:p>
      <w:pPr>
        <w:ind w:right="3160"/>
        <w:spacing w:after="0" w:line="366" w:lineRule="auto"/>
        <w:rPr>
          <w:sz w:val="20"/>
          <w:szCs w:val="20"/>
          <w:color w:val="auto"/>
        </w:rPr>
      </w:pPr>
      <w:r>
        <w:rPr>
          <w:rFonts w:ascii="Arial" w:cs="Arial" w:eastAsia="Arial" w:hAnsi="Arial"/>
          <w:sz w:val="21"/>
          <w:szCs w:val="21"/>
          <w:color w:val="65C2D0"/>
        </w:rPr>
        <w:t>Clearway Energy’s Annual Report Form 10-K Proxy Statement and other SEC Filings are available at www.clearwayenergy.com</w:t>
      </w:r>
    </w:p>
    <w:p>
      <w:pPr>
        <w:sectPr>
          <w:pgSz w:w="11880" w:h="15480" w:orient="portrait"/>
          <w:cols w:equalWidth="0" w:num="1">
            <w:col w:w="9380"/>
          </w:cols>
          <w:pgMar w:left="1060" w:top="87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681990</wp:posOffset>
                </wp:positionH>
                <wp:positionV relativeFrom="page">
                  <wp:posOffset>386080</wp:posOffset>
                </wp:positionV>
                <wp:extent cx="620776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7760" cy="4763"/>
                        </a:xfrm>
                        <a:prstGeom prst="line">
                          <a:avLst/>
                        </a:prstGeom>
                        <a:solidFill>
                          <a:srgbClr val="FFFFFF"/>
                        </a:solidFill>
                        <a:ln w="24891">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7pt,30.4pt" to="542.5pt,30.4pt" o:allowincell="f" strokecolor="#000000" strokeweight="1.9599pt">
                <w10:wrap anchorx="page" anchory="page"/>
              </v:line>
            </w:pict>
          </mc:Fallback>
        </mc:AlternateContent>
        <mc:AlternateContent>
          <mc:Choice Requires="wps">
            <w:drawing>
              <wp:anchor simplePos="0" relativeHeight="251657728" behindDoc="1" locked="0" layoutInCell="0" allowOverlap="1">
                <wp:simplePos x="0" y="0"/>
                <wp:positionH relativeFrom="page">
                  <wp:posOffset>681990</wp:posOffset>
                </wp:positionH>
                <wp:positionV relativeFrom="page">
                  <wp:posOffset>432435</wp:posOffset>
                </wp:positionV>
                <wp:extent cx="620776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77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7pt,34.05pt" to="542.5pt,34.05pt" o:allowincell="f" strokecolor="#000000" strokeweight="1pt">
                <w10:wrap anchorx="page" anchory="page"/>
              </v:line>
            </w:pict>
          </mc:Fallback>
        </mc:AlternateContent>
        <w:t>UNITED STATES SECURITIES AND EXCHANGE COMMISSION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jc w:val="center"/>
        <w:spacing w:after="0"/>
        <w:rPr>
          <w:sz w:val="20"/>
          <w:szCs w:val="20"/>
          <w:color w:val="auto"/>
        </w:rPr>
      </w:pPr>
      <w:r>
        <w:rPr>
          <w:rFonts w:ascii="Arial" w:cs="Arial" w:eastAsia="Arial" w:hAnsi="Arial"/>
          <w:sz w:val="31"/>
          <w:szCs w:val="31"/>
          <w:b w:val="1"/>
          <w:bCs w:val="1"/>
          <w:color w:val="auto"/>
        </w:rPr>
        <w:t>Form 10-K</w:t>
      </w:r>
    </w:p>
    <w:p>
      <w:pPr>
        <w:spacing w:after="0" w:line="131" w:lineRule="exact"/>
        <w:rPr>
          <w:sz w:val="20"/>
          <w:szCs w:val="20"/>
          <w:color w:val="auto"/>
        </w:rPr>
      </w:pPr>
    </w:p>
    <w:p>
      <w:pPr>
        <w:ind w:left="580" w:hanging="298"/>
        <w:spacing w:after="0"/>
        <w:tabs>
          <w:tab w:leader="none" w:pos="580" w:val="left"/>
        </w:tabs>
        <w:numPr>
          <w:ilvl w:val="0"/>
          <w:numId w:val="1"/>
        </w:numPr>
        <w:rPr>
          <w:rFonts w:ascii="MS PGothic" w:cs="MS PGothic" w:eastAsia="MS PGothic" w:hAnsi="MS PGothic"/>
          <w:sz w:val="20"/>
          <w:szCs w:val="20"/>
          <w:b w:val="1"/>
          <w:bCs w:val="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9" w:lineRule="exact"/>
        <w:rPr>
          <w:sz w:val="20"/>
          <w:szCs w:val="20"/>
          <w:color w:val="auto"/>
        </w:rPr>
      </w:pPr>
    </w:p>
    <w:p>
      <w:pPr>
        <w:ind w:left="580"/>
        <w:spacing w:after="0"/>
        <w:tabs>
          <w:tab w:leader="none" w:pos="2840" w:val="left"/>
        </w:tabs>
        <w:rPr>
          <w:sz w:val="20"/>
          <w:szCs w:val="20"/>
          <w:color w:val="auto"/>
        </w:rPr>
      </w:pPr>
      <w:r>
        <w:rPr>
          <w:rFonts w:ascii="Arial" w:cs="Arial" w:eastAsia="Arial" w:hAnsi="Arial"/>
          <w:sz w:val="17"/>
          <w:szCs w:val="17"/>
          <w:b w:val="1"/>
          <w:bCs w:val="1"/>
          <w:color w:val="auto"/>
        </w:rPr>
        <w:t>For the Fiscal Year ended</w:t>
      </w:r>
      <w:r>
        <w:rPr>
          <w:sz w:val="20"/>
          <w:szCs w:val="20"/>
          <w:color w:val="auto"/>
        </w:rPr>
        <w:tab/>
      </w:r>
      <w:r>
        <w:rPr>
          <w:rFonts w:ascii="Arial" w:cs="Arial" w:eastAsia="Arial" w:hAnsi="Arial"/>
          <w:sz w:val="15"/>
          <w:szCs w:val="15"/>
          <w:b w:val="1"/>
          <w:bCs w:val="1"/>
          <w:color w:val="auto"/>
        </w:rPr>
        <w:t>December 31, 2025</w:t>
      </w:r>
    </w:p>
    <w:p>
      <w:pPr>
        <w:spacing w:after="0" w:line="47" w:lineRule="exact"/>
        <w:rPr>
          <w:sz w:val="20"/>
          <w:szCs w:val="20"/>
          <w:color w:val="auto"/>
        </w:rPr>
      </w:pPr>
    </w:p>
    <w:p>
      <w:pPr>
        <w:ind w:left="580" w:hanging="298"/>
        <w:spacing w:after="0"/>
        <w:tabs>
          <w:tab w:leader="none" w:pos="580" w:val="left"/>
        </w:tabs>
        <w:numPr>
          <w:ilvl w:val="0"/>
          <w:numId w:val="2"/>
        </w:numPr>
        <w:rPr>
          <w:rFonts w:ascii="MS PGothic" w:cs="MS PGothic" w:eastAsia="MS PGothic" w:hAnsi="MS PGothic"/>
          <w:sz w:val="20"/>
          <w:szCs w:val="20"/>
          <w:b w:val="1"/>
          <w:bCs w:val="1"/>
          <w:color w:val="auto"/>
        </w:rPr>
      </w:pPr>
      <w:r>
        <w:rPr>
          <w:rFonts w:ascii="Arial" w:cs="Arial" w:eastAsia="Arial" w:hAnsi="Arial"/>
          <w:sz w:val="17"/>
          <w:szCs w:val="17"/>
          <w:b w:val="1"/>
          <w:bCs w:val="1"/>
          <w:color w:val="auto"/>
        </w:rPr>
        <w:t>TRANSITION REPORT PURSUANT TO SECTION 13 OR 15(d) OF THE SECURITIES EXCHANGE ACT OF 1934</w:t>
      </w:r>
    </w:p>
    <w:tbl>
      <w:tblPr>
        <w:tblLayout w:type="fixed"/>
        <w:tblInd w:w="260" w:type="dxa"/>
        <w:tblCellMar>
          <w:top w:w="0" w:type="dxa"/>
          <w:left w:w="0" w:type="dxa"/>
          <w:bottom w:w="0" w:type="dxa"/>
          <w:right w:w="0" w:type="dxa"/>
        </w:tblCellMar>
      </w:tblPr>
      <w:tr>
        <w:trPr>
          <w:trHeight w:val="231"/>
        </w:trPr>
        <w:tc>
          <w:tcPr>
            <w:tcW w:w="3440" w:type="dxa"/>
            <w:vAlign w:val="bottom"/>
            <w:gridSpan w:val="3"/>
          </w:tcPr>
          <w:p>
            <w:pPr>
              <w:ind w:left="320"/>
              <w:spacing w:after="0"/>
              <w:rPr>
                <w:sz w:val="20"/>
                <w:szCs w:val="20"/>
                <w:color w:val="auto"/>
              </w:rPr>
            </w:pPr>
            <w:r>
              <w:rPr>
                <w:rFonts w:ascii="Arial" w:cs="Arial" w:eastAsia="Arial" w:hAnsi="Arial"/>
                <w:sz w:val="17"/>
                <w:szCs w:val="17"/>
                <w:b w:val="1"/>
                <w:bCs w:val="1"/>
                <w:color w:val="auto"/>
              </w:rPr>
              <w:t>For the Transition period from</w:t>
            </w: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1300" w:type="dxa"/>
            <w:vAlign w:val="bottom"/>
          </w:tcPr>
          <w:p>
            <w:pPr>
              <w:jc w:val="right"/>
              <w:ind w:right="1146"/>
              <w:spacing w:after="0"/>
              <w:rPr>
                <w:sz w:val="20"/>
                <w:szCs w:val="20"/>
                <w:color w:val="auto"/>
              </w:rPr>
            </w:pPr>
            <w:r>
              <w:rPr>
                <w:rFonts w:ascii="Arial" w:cs="Arial" w:eastAsia="Arial" w:hAnsi="Arial"/>
                <w:sz w:val="18"/>
                <w:szCs w:val="18"/>
                <w:b w:val="1"/>
                <w:bCs w:val="1"/>
                <w:color w:val="auto"/>
                <w:w w:val="78"/>
              </w:rPr>
              <w:t>.</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0" w:type="dxa"/>
            <w:vAlign w:val="bottom"/>
            <w:gridSpan w:val="6"/>
          </w:tcPr>
          <w:p>
            <w:pPr>
              <w:jc w:val="center"/>
              <w:ind w:right="560"/>
              <w:spacing w:after="0" w:line="224" w:lineRule="exact"/>
              <w:rPr>
                <w:sz w:val="20"/>
                <w:szCs w:val="20"/>
                <w:color w:val="auto"/>
              </w:rPr>
            </w:pPr>
            <w:r>
              <w:rPr>
                <w:rFonts w:ascii="Arial" w:cs="Arial" w:eastAsia="Arial" w:hAnsi="Arial"/>
                <w:sz w:val="20"/>
                <w:szCs w:val="20"/>
                <w:b w:val="1"/>
                <w:bCs w:val="1"/>
                <w:color w:val="auto"/>
                <w:w w:val="89"/>
              </w:rPr>
              <w:t>Commission File Number: 001-36002</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2"/>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00" w:type="dxa"/>
            <w:vAlign w:val="bottom"/>
            <w:gridSpan w:val="7"/>
          </w:tcPr>
          <w:p>
            <w:pPr>
              <w:jc w:val="center"/>
              <w:ind w:left="224"/>
              <w:spacing w:after="0"/>
              <w:rPr>
                <w:sz w:val="20"/>
                <w:szCs w:val="20"/>
                <w:color w:val="auto"/>
              </w:rPr>
            </w:pPr>
            <w:r>
              <w:rPr>
                <w:rFonts w:ascii="Arial" w:cs="Arial" w:eastAsia="Arial" w:hAnsi="Arial"/>
                <w:sz w:val="43"/>
                <w:szCs w:val="43"/>
                <w:b w:val="1"/>
                <w:bCs w:val="1"/>
                <w:color w:val="auto"/>
                <w:w w:val="93"/>
              </w:rPr>
              <w:t>Clearway Energy, Inc.</w:t>
            </w: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00" w:type="dxa"/>
            <w:vAlign w:val="bottom"/>
            <w:gridSpan w:val="7"/>
          </w:tcPr>
          <w:p>
            <w:pPr>
              <w:jc w:val="center"/>
              <w:ind w:left="204"/>
              <w:spacing w:after="0"/>
              <w:rPr>
                <w:sz w:val="20"/>
                <w:szCs w:val="20"/>
                <w:color w:val="auto"/>
              </w:rPr>
            </w:pPr>
            <w:r>
              <w:rPr>
                <w:rFonts w:ascii="Arial" w:cs="Arial" w:eastAsia="Arial" w:hAnsi="Arial"/>
                <w:sz w:val="20"/>
                <w:szCs w:val="20"/>
                <w:b w:val="1"/>
                <w:bCs w:val="1"/>
                <w:i w:val="1"/>
                <w:iCs w:val="1"/>
                <w:color w:val="auto"/>
                <w:w w:val="83"/>
              </w:rPr>
              <w:t>(Exact name of registrant as specified in its charter)</w:t>
            </w: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060" w:type="dxa"/>
            <w:vAlign w:val="bottom"/>
          </w:tcPr>
          <w:p>
            <w:pPr>
              <w:spacing w:after="0"/>
              <w:rPr>
                <w:sz w:val="24"/>
                <w:szCs w:val="24"/>
                <w:color w:val="auto"/>
              </w:rPr>
            </w:pPr>
          </w:p>
        </w:tc>
        <w:tc>
          <w:tcPr>
            <w:tcW w:w="2380" w:type="dxa"/>
            <w:vAlign w:val="bottom"/>
            <w:gridSpan w:val="2"/>
          </w:tcPr>
          <w:p>
            <w:pPr>
              <w:jc w:val="center"/>
              <w:ind w:right="784"/>
              <w:spacing w:after="0"/>
              <w:rPr>
                <w:sz w:val="20"/>
                <w:szCs w:val="20"/>
                <w:color w:val="auto"/>
              </w:rPr>
            </w:pPr>
            <w:r>
              <w:rPr>
                <w:rFonts w:ascii="Arial" w:cs="Arial" w:eastAsia="Arial" w:hAnsi="Arial"/>
                <w:sz w:val="20"/>
                <w:szCs w:val="20"/>
                <w:b w:val="1"/>
                <w:bCs w:val="1"/>
                <w:color w:val="auto"/>
                <w:w w:val="91"/>
              </w:rPr>
              <w:t>Delaware</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jc w:val="right"/>
              <w:ind w:right="222"/>
              <w:spacing w:after="0"/>
              <w:rPr>
                <w:sz w:val="20"/>
                <w:szCs w:val="20"/>
                <w:color w:val="auto"/>
              </w:rPr>
            </w:pPr>
            <w:r>
              <w:rPr>
                <w:rFonts w:ascii="Arial" w:cs="Arial" w:eastAsia="Arial" w:hAnsi="Arial"/>
                <w:sz w:val="20"/>
                <w:szCs w:val="20"/>
                <w:b w:val="1"/>
                <w:bCs w:val="1"/>
                <w:color w:val="auto"/>
              </w:rPr>
              <w:t>46-1777204</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40" w:type="dxa"/>
            <w:vAlign w:val="bottom"/>
            <w:gridSpan w:val="3"/>
          </w:tcPr>
          <w:p>
            <w:pPr>
              <w:jc w:val="center"/>
              <w:ind w:left="68"/>
              <w:spacing w:after="0" w:line="223" w:lineRule="exact"/>
              <w:rPr>
                <w:sz w:val="20"/>
                <w:szCs w:val="20"/>
                <w:color w:val="auto"/>
              </w:rPr>
            </w:pPr>
            <w:r>
              <w:rPr>
                <w:rFonts w:ascii="Arial" w:cs="Arial" w:eastAsia="Arial" w:hAnsi="Arial"/>
                <w:sz w:val="20"/>
                <w:szCs w:val="20"/>
                <w:b w:val="1"/>
                <w:bCs w:val="1"/>
                <w:i w:val="1"/>
                <w:iCs w:val="1"/>
                <w:color w:val="auto"/>
                <w:w w:val="83"/>
              </w:rPr>
              <w:t>(State or other jurisdiction</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60" w:type="dxa"/>
            <w:vAlign w:val="bottom"/>
          </w:tcPr>
          <w:p>
            <w:pPr>
              <w:jc w:val="center"/>
              <w:spacing w:after="0" w:line="223" w:lineRule="exact"/>
              <w:rPr>
                <w:sz w:val="20"/>
                <w:szCs w:val="20"/>
                <w:color w:val="auto"/>
              </w:rPr>
            </w:pPr>
            <w:r>
              <w:rPr>
                <w:rFonts w:ascii="Arial" w:cs="Arial" w:eastAsia="Arial" w:hAnsi="Arial"/>
                <w:sz w:val="20"/>
                <w:szCs w:val="20"/>
                <w:b w:val="1"/>
                <w:bCs w:val="1"/>
                <w:i w:val="1"/>
                <w:iCs w:val="1"/>
                <w:color w:val="auto"/>
                <w:w w:val="84"/>
              </w:rPr>
              <w:t>(I.R.S. Employer</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gridSpan w:val="3"/>
          </w:tcPr>
          <w:p>
            <w:pPr>
              <w:jc w:val="center"/>
              <w:ind w:left="68"/>
              <w:spacing w:after="0"/>
              <w:rPr>
                <w:sz w:val="20"/>
                <w:szCs w:val="20"/>
                <w:color w:val="auto"/>
              </w:rPr>
            </w:pPr>
            <w:r>
              <w:rPr>
                <w:rFonts w:ascii="Arial" w:cs="Arial" w:eastAsia="Arial" w:hAnsi="Arial"/>
                <w:sz w:val="20"/>
                <w:szCs w:val="20"/>
                <w:b w:val="1"/>
                <w:bCs w:val="1"/>
                <w:i w:val="1"/>
                <w:iCs w:val="1"/>
                <w:color w:val="auto"/>
                <w:w w:val="85"/>
              </w:rPr>
              <w:t>of incorporation or organization)</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86"/>
              </w:rPr>
              <w:t>Identification No.)</w:t>
            </w: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3440" w:type="dxa"/>
            <w:vAlign w:val="bottom"/>
            <w:gridSpan w:val="3"/>
          </w:tcPr>
          <w:p>
            <w:pPr>
              <w:jc w:val="center"/>
              <w:ind w:left="68"/>
              <w:spacing w:after="0"/>
              <w:rPr>
                <w:sz w:val="20"/>
                <w:szCs w:val="20"/>
                <w:color w:val="auto"/>
              </w:rPr>
            </w:pPr>
            <w:r>
              <w:rPr>
                <w:rFonts w:ascii="Arial" w:cs="Arial" w:eastAsia="Arial" w:hAnsi="Arial"/>
                <w:sz w:val="20"/>
                <w:szCs w:val="20"/>
                <w:b w:val="1"/>
                <w:bCs w:val="1"/>
                <w:color w:val="auto"/>
                <w:w w:val="88"/>
              </w:rPr>
              <w:t>300 Carnegie Center, Suite 300</w:t>
            </w:r>
          </w:p>
        </w:tc>
        <w:tc>
          <w:tcPr>
            <w:tcW w:w="1200" w:type="dxa"/>
            <w:vAlign w:val="bottom"/>
            <w:gridSpan w:val="2"/>
          </w:tcPr>
          <w:p>
            <w:pPr>
              <w:ind w:left="360"/>
              <w:spacing w:after="0"/>
              <w:rPr>
                <w:sz w:val="20"/>
                <w:szCs w:val="20"/>
                <w:color w:val="auto"/>
              </w:rPr>
            </w:pPr>
            <w:r>
              <w:rPr>
                <w:rFonts w:ascii="Arial" w:cs="Arial" w:eastAsia="Arial" w:hAnsi="Arial"/>
                <w:sz w:val="20"/>
                <w:szCs w:val="20"/>
                <w:b w:val="1"/>
                <w:bCs w:val="1"/>
                <w:color w:val="auto"/>
                <w:w w:val="88"/>
              </w:rPr>
              <w:t>Princeton</w:t>
            </w:r>
          </w:p>
        </w:tc>
        <w:tc>
          <w:tcPr>
            <w:tcW w:w="1820" w:type="dxa"/>
            <w:vAlign w:val="bottom"/>
            <w:gridSpan w:val="2"/>
          </w:tcPr>
          <w:p>
            <w:pPr>
              <w:ind w:left="640"/>
              <w:spacing w:after="0"/>
              <w:rPr>
                <w:sz w:val="20"/>
                <w:szCs w:val="20"/>
                <w:color w:val="auto"/>
              </w:rPr>
            </w:pPr>
            <w:r>
              <w:rPr>
                <w:rFonts w:ascii="Arial" w:cs="Arial" w:eastAsia="Arial" w:hAnsi="Arial"/>
                <w:sz w:val="20"/>
                <w:szCs w:val="20"/>
                <w:b w:val="1"/>
                <w:bCs w:val="1"/>
                <w:color w:val="auto"/>
              </w:rPr>
              <w:t>New Jersey</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jc w:val="right"/>
              <w:ind w:right="442"/>
              <w:spacing w:after="0"/>
              <w:rPr>
                <w:sz w:val="20"/>
                <w:szCs w:val="20"/>
                <w:color w:val="auto"/>
              </w:rPr>
            </w:pPr>
            <w:r>
              <w:rPr>
                <w:rFonts w:ascii="Arial" w:cs="Arial" w:eastAsia="Arial" w:hAnsi="Arial"/>
                <w:sz w:val="20"/>
                <w:szCs w:val="20"/>
                <w:b w:val="1"/>
                <w:bCs w:val="1"/>
                <w:color w:val="auto"/>
              </w:rPr>
              <w:t>08540</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60" w:type="dxa"/>
            <w:vAlign w:val="bottom"/>
          </w:tcPr>
          <w:p>
            <w:pPr>
              <w:spacing w:after="0"/>
              <w:rPr>
                <w:sz w:val="24"/>
                <w:szCs w:val="24"/>
                <w:color w:val="auto"/>
              </w:rPr>
            </w:pPr>
          </w:p>
        </w:tc>
        <w:tc>
          <w:tcPr>
            <w:tcW w:w="5400" w:type="dxa"/>
            <w:vAlign w:val="bottom"/>
            <w:gridSpan w:val="6"/>
          </w:tcPr>
          <w:p>
            <w:pPr>
              <w:ind w:left="740"/>
              <w:spacing w:after="0"/>
              <w:rPr>
                <w:sz w:val="20"/>
                <w:szCs w:val="20"/>
                <w:color w:val="auto"/>
              </w:rPr>
            </w:pPr>
            <w:r>
              <w:rPr>
                <w:rFonts w:ascii="Arial" w:cs="Arial" w:eastAsia="Arial" w:hAnsi="Arial"/>
                <w:sz w:val="20"/>
                <w:szCs w:val="20"/>
                <w:b w:val="1"/>
                <w:bCs w:val="1"/>
                <w:i w:val="1"/>
                <w:iCs w:val="1"/>
                <w:color w:val="auto"/>
              </w:rPr>
              <w:t>(Address of principal executive offices)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86"/>
              </w:rPr>
              <w:t>(Zip Code)</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00" w:type="dxa"/>
            <w:vAlign w:val="bottom"/>
            <w:gridSpan w:val="3"/>
          </w:tcPr>
          <w:p>
            <w:pPr>
              <w:jc w:val="center"/>
              <w:ind w:left="826"/>
              <w:spacing w:after="0"/>
              <w:rPr>
                <w:sz w:val="20"/>
                <w:szCs w:val="20"/>
                <w:color w:val="auto"/>
              </w:rPr>
            </w:pPr>
            <w:r>
              <w:rPr>
                <w:rFonts w:ascii="Arial" w:cs="Arial" w:eastAsia="Arial" w:hAnsi="Arial"/>
                <w:sz w:val="18"/>
                <w:szCs w:val="18"/>
                <w:b w:val="1"/>
                <w:bCs w:val="1"/>
                <w:color w:val="auto"/>
                <w:w w:val="89"/>
              </w:rPr>
              <w:t>(609) 608-1525</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900" w:type="dxa"/>
            <w:vAlign w:val="bottom"/>
            <w:gridSpan w:val="7"/>
          </w:tcPr>
          <w:p>
            <w:pPr>
              <w:jc w:val="center"/>
              <w:ind w:left="224"/>
              <w:spacing w:after="0"/>
              <w:rPr>
                <w:sz w:val="20"/>
                <w:szCs w:val="20"/>
                <w:color w:val="auto"/>
              </w:rPr>
            </w:pPr>
            <w:r>
              <w:rPr>
                <w:rFonts w:ascii="Arial" w:cs="Arial" w:eastAsia="Arial" w:hAnsi="Arial"/>
                <w:sz w:val="18"/>
                <w:szCs w:val="18"/>
                <w:color w:val="auto"/>
                <w:w w:val="88"/>
              </w:rPr>
              <w:t>(Registrant’s telephone number, including area code)</w:t>
            </w: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900" w:type="dxa"/>
            <w:vAlign w:val="bottom"/>
            <w:gridSpan w:val="7"/>
          </w:tcPr>
          <w:p>
            <w:pPr>
              <w:jc w:val="center"/>
              <w:ind w:left="224"/>
              <w:spacing w:after="0"/>
              <w:rPr>
                <w:sz w:val="20"/>
                <w:szCs w:val="20"/>
                <w:color w:val="auto"/>
              </w:rPr>
            </w:pPr>
            <w:r>
              <w:rPr>
                <w:rFonts w:ascii="Arial" w:cs="Arial" w:eastAsia="Arial" w:hAnsi="Arial"/>
                <w:sz w:val="18"/>
                <w:szCs w:val="18"/>
                <w:color w:val="auto"/>
                <w:w w:val="89"/>
              </w:rPr>
              <w:t>Securities registered pursuant to Section 12(b) of the Act:</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060" w:type="dxa"/>
            <w:vAlign w:val="bottom"/>
          </w:tcPr>
          <w:p>
            <w:pPr>
              <w:spacing w:after="0"/>
              <w:rPr>
                <w:sz w:val="22"/>
                <w:szCs w:val="22"/>
                <w:color w:val="auto"/>
              </w:rPr>
            </w:pPr>
          </w:p>
        </w:tc>
        <w:tc>
          <w:tcPr>
            <w:tcW w:w="2380" w:type="dxa"/>
            <w:vAlign w:val="bottom"/>
            <w:gridSpan w:val="2"/>
          </w:tcPr>
          <w:p>
            <w:pPr>
              <w:jc w:val="center"/>
              <w:ind w:right="784"/>
              <w:spacing w:after="0"/>
              <w:rPr>
                <w:sz w:val="20"/>
                <w:szCs w:val="20"/>
                <w:color w:val="auto"/>
              </w:rPr>
            </w:pPr>
            <w:r>
              <w:rPr>
                <w:rFonts w:ascii="Arial" w:cs="Arial" w:eastAsia="Arial" w:hAnsi="Arial"/>
                <w:sz w:val="20"/>
                <w:szCs w:val="20"/>
                <w:b w:val="1"/>
                <w:bCs w:val="1"/>
                <w:color w:val="auto"/>
                <w:w w:val="85"/>
              </w:rPr>
              <w:t>Title of each class</w:t>
            </w:r>
          </w:p>
        </w:tc>
        <w:tc>
          <w:tcPr>
            <w:tcW w:w="3020" w:type="dxa"/>
            <w:vAlign w:val="bottom"/>
            <w:gridSpan w:val="4"/>
          </w:tcPr>
          <w:p>
            <w:pPr>
              <w:jc w:val="center"/>
              <w:ind w:left="326"/>
              <w:spacing w:after="0"/>
              <w:rPr>
                <w:sz w:val="20"/>
                <w:szCs w:val="20"/>
                <w:color w:val="auto"/>
              </w:rPr>
            </w:pPr>
            <w:r>
              <w:rPr>
                <w:rFonts w:ascii="Arial" w:cs="Arial" w:eastAsia="Arial" w:hAnsi="Arial"/>
                <w:sz w:val="20"/>
                <w:szCs w:val="20"/>
                <w:b w:val="1"/>
                <w:bCs w:val="1"/>
                <w:color w:val="auto"/>
                <w:w w:val="88"/>
              </w:rPr>
              <w:t>Trading Symbol(s)</w:t>
            </w:r>
          </w:p>
        </w:tc>
        <w:tc>
          <w:tcPr>
            <w:tcW w:w="3880" w:type="dxa"/>
            <w:vAlign w:val="bottom"/>
            <w:gridSpan w:val="5"/>
          </w:tcPr>
          <w:p>
            <w:pPr>
              <w:ind w:left="220"/>
              <w:spacing w:after="0"/>
              <w:rPr>
                <w:sz w:val="20"/>
                <w:szCs w:val="20"/>
                <w:color w:val="auto"/>
              </w:rPr>
            </w:pPr>
            <w:r>
              <w:rPr>
                <w:rFonts w:ascii="Arial" w:cs="Arial" w:eastAsia="Arial" w:hAnsi="Arial"/>
                <w:sz w:val="20"/>
                <w:szCs w:val="20"/>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3440" w:type="dxa"/>
            <w:vAlign w:val="bottom"/>
            <w:gridSpan w:val="3"/>
          </w:tcPr>
          <w:p>
            <w:pPr>
              <w:jc w:val="center"/>
              <w:ind w:left="68"/>
              <w:spacing w:after="0"/>
              <w:rPr>
                <w:sz w:val="20"/>
                <w:szCs w:val="20"/>
                <w:color w:val="auto"/>
              </w:rPr>
            </w:pPr>
            <w:r>
              <w:rPr>
                <w:rFonts w:ascii="Arial" w:cs="Arial" w:eastAsia="Arial" w:hAnsi="Arial"/>
                <w:sz w:val="20"/>
                <w:szCs w:val="20"/>
                <w:color w:val="auto"/>
                <w:w w:val="88"/>
              </w:rPr>
              <w:t>Class A Common Stock, par value $0.01</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center"/>
              <w:ind w:right="780"/>
              <w:spacing w:after="0"/>
              <w:rPr>
                <w:sz w:val="20"/>
                <w:szCs w:val="20"/>
                <w:color w:val="auto"/>
              </w:rPr>
            </w:pPr>
            <w:r>
              <w:rPr>
                <w:rFonts w:ascii="Arial" w:cs="Arial" w:eastAsia="Arial" w:hAnsi="Arial"/>
                <w:sz w:val="20"/>
                <w:szCs w:val="20"/>
                <w:color w:val="auto"/>
                <w:w w:val="94"/>
              </w:rPr>
              <w:t>CWEN.A</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40" w:type="dxa"/>
            <w:vAlign w:val="bottom"/>
            <w:gridSpan w:val="2"/>
          </w:tcPr>
          <w:p>
            <w:pPr>
              <w:jc w:val="right"/>
              <w:ind w:right="22"/>
              <w:spacing w:after="0"/>
              <w:rPr>
                <w:sz w:val="20"/>
                <w:szCs w:val="20"/>
                <w:color w:val="auto"/>
              </w:rPr>
            </w:pPr>
            <w:r>
              <w:rPr>
                <w:rFonts w:ascii="Arial" w:cs="Arial" w:eastAsia="Arial" w:hAnsi="Arial"/>
                <w:sz w:val="20"/>
                <w:szCs w:val="20"/>
                <w:color w:val="auto"/>
                <w:w w:val="89"/>
              </w:rPr>
              <w:t>New York Stock Exchange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440" w:type="dxa"/>
            <w:vAlign w:val="bottom"/>
            <w:gridSpan w:val="3"/>
          </w:tcPr>
          <w:p>
            <w:pPr>
              <w:jc w:val="center"/>
              <w:ind w:left="88"/>
              <w:spacing w:after="0"/>
              <w:rPr>
                <w:sz w:val="20"/>
                <w:szCs w:val="20"/>
                <w:color w:val="auto"/>
              </w:rPr>
            </w:pPr>
            <w:r>
              <w:rPr>
                <w:rFonts w:ascii="Arial" w:cs="Arial" w:eastAsia="Arial" w:hAnsi="Arial"/>
                <w:sz w:val="20"/>
                <w:szCs w:val="20"/>
                <w:color w:val="auto"/>
                <w:w w:val="88"/>
              </w:rPr>
              <w:t>Class C Common Stock, par value $0.01</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20"/>
                <w:szCs w:val="20"/>
                <w:color w:val="auto"/>
                <w:w w:val="94"/>
              </w:rPr>
              <w:t>CWEN</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40" w:type="dxa"/>
            <w:vAlign w:val="bottom"/>
            <w:gridSpan w:val="2"/>
          </w:tcPr>
          <w:p>
            <w:pPr>
              <w:jc w:val="right"/>
              <w:ind w:right="22"/>
              <w:spacing w:after="0"/>
              <w:rPr>
                <w:sz w:val="20"/>
                <w:szCs w:val="20"/>
                <w:color w:val="auto"/>
              </w:rPr>
            </w:pPr>
            <w:r>
              <w:rPr>
                <w:rFonts w:ascii="Arial" w:cs="Arial" w:eastAsia="Arial" w:hAnsi="Arial"/>
                <w:sz w:val="20"/>
                <w:szCs w:val="20"/>
                <w:color w:val="auto"/>
                <w:w w:val="89"/>
              </w:rPr>
              <w:t>New York Stock Exchange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00" w:type="dxa"/>
            <w:vAlign w:val="bottom"/>
            <w:gridSpan w:val="7"/>
          </w:tcPr>
          <w:p>
            <w:pPr>
              <w:ind w:left="580"/>
              <w:spacing w:after="0"/>
              <w:rPr>
                <w:sz w:val="20"/>
                <w:szCs w:val="20"/>
                <w:color w:val="auto"/>
              </w:rPr>
            </w:pPr>
            <w:r>
              <w:rPr>
                <w:rFonts w:ascii="Arial" w:cs="Arial" w:eastAsia="Arial" w:hAnsi="Arial"/>
                <w:sz w:val="18"/>
                <w:szCs w:val="18"/>
                <w:b w:val="1"/>
                <w:bCs w:val="1"/>
                <w:color w:val="auto"/>
                <w:w w:val="87"/>
              </w:rPr>
              <w:t>Securities registered pursuant to Section 12(g) of the Act:</w:t>
            </w: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8"/>
              </w:rPr>
              <w:t>None</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vMerge w:val="restart"/>
          </w:tcPr>
          <w:p>
            <w:pPr>
              <w:jc w:val="right"/>
              <w:ind w:right="2"/>
              <w:spacing w:after="0" w:line="184" w:lineRule="exact"/>
              <w:rPr>
                <w:sz w:val="20"/>
                <w:szCs w:val="20"/>
                <w:color w:val="auto"/>
              </w:rPr>
            </w:pPr>
            <w:r>
              <w:rPr>
                <w:rFonts w:ascii="Arial" w:cs="Arial" w:eastAsia="Arial" w:hAnsi="Arial"/>
                <w:sz w:val="16"/>
                <w:szCs w:val="16"/>
                <w:color w:val="auto"/>
                <w:w w:val="99"/>
              </w:rPr>
              <w:t xml:space="preserve">Yes </w:t>
            </w:r>
            <w:r>
              <w:rPr>
                <w:rFonts w:ascii="MS PGothic" w:cs="MS PGothic" w:eastAsia="MS PGothic" w:hAnsi="MS PGothic"/>
                <w:sz w:val="16"/>
                <w:szCs w:val="16"/>
                <w:b w:val="1"/>
                <w:bCs w:val="1"/>
                <w:color w:val="auto"/>
                <w:w w:val="99"/>
              </w:rPr>
              <w:t>☒</w:t>
            </w:r>
          </w:p>
        </w:tc>
        <w:tc>
          <w:tcPr>
            <w:tcW w:w="660" w:type="dxa"/>
            <w:vAlign w:val="bottom"/>
            <w:vMerge w:val="restart"/>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b w:val="1"/>
                <w:bCs w:val="1"/>
                <w:color w:val="auto"/>
              </w:rPr>
              <w:t>☐</w:t>
            </w:r>
          </w:p>
        </w:tc>
        <w:tc>
          <w:tcPr>
            <w:tcW w:w="0" w:type="dxa"/>
            <w:vAlign w:val="bottom"/>
          </w:tcPr>
          <w:p>
            <w:pPr>
              <w:spacing w:after="0"/>
              <w:rPr>
                <w:sz w:val="1"/>
                <w:szCs w:val="1"/>
                <w:color w:val="auto"/>
              </w:rPr>
            </w:pPr>
          </w:p>
        </w:tc>
      </w:tr>
      <w:tr>
        <w:trPr>
          <w:trHeight w:val="218"/>
        </w:trPr>
        <w:tc>
          <w:tcPr>
            <w:tcW w:w="7440" w:type="dxa"/>
            <w:vAlign w:val="bottom"/>
            <w:gridSpan w:val="9"/>
          </w:tcPr>
          <w:p>
            <w:pPr>
              <w:spacing w:after="0"/>
              <w:rPr>
                <w:sz w:val="20"/>
                <w:szCs w:val="20"/>
                <w:color w:val="auto"/>
              </w:rPr>
            </w:pPr>
            <w:r>
              <w:rPr>
                <w:rFonts w:ascii="Arial" w:cs="Arial" w:eastAsia="Arial" w:hAnsi="Arial"/>
                <w:sz w:val="16"/>
                <w:szCs w:val="16"/>
                <w:color w:val="auto"/>
                <w:w w:val="89"/>
              </w:rPr>
              <w:t>Indicate by check mark if the registrant is a well-known seasoned issuer, as defined in Rule 405 of the Securities Act.</w:t>
            </w:r>
          </w:p>
        </w:tc>
        <w:tc>
          <w:tcPr>
            <w:tcW w:w="16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100" w:type="dxa"/>
            <w:vAlign w:val="bottom"/>
            <w:gridSpan w:val="10"/>
          </w:tcPr>
          <w:p>
            <w:pPr>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ndicate by check mark if the registrant is not required to file reports pursuant to Section 13 or Section 15(d) of the Exchange Act.</w:t>
            </w:r>
          </w:p>
        </w:tc>
        <w:tc>
          <w:tcPr>
            <w:tcW w:w="580" w:type="dxa"/>
            <w:vAlign w:val="bottom"/>
          </w:tcPr>
          <w:p>
            <w:pPr>
              <w:jc w:val="right"/>
              <w:ind w:right="22"/>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b w:val="1"/>
                <w:bCs w:val="1"/>
                <w:color w:val="auto"/>
                <w:w w:val="95"/>
              </w:rPr>
              <w:t>☐</w:t>
            </w:r>
          </w:p>
        </w:tc>
        <w:tc>
          <w:tcPr>
            <w:tcW w:w="66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b w:val="1"/>
                <w:bCs w:val="1"/>
                <w:color w:val="auto"/>
              </w:rPr>
              <w:t>☒</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right="380" w:firstLine="265"/>
        <w:spacing w:after="0" w:line="298"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184" w:lineRule="exact"/>
        <w:tabs>
          <w:tab w:leader="none" w:pos="9420" w:val="left"/>
          <w:tab w:leader="none" w:pos="9980" w:val="left"/>
        </w:tabs>
        <w:rPr>
          <w:sz w:val="20"/>
          <w:szCs w:val="20"/>
          <w:color w:val="auto"/>
        </w:rPr>
      </w:pPr>
      <w:r>
        <w:rPr>
          <w:rFonts w:ascii="Arial" w:cs="Arial" w:eastAsia="Arial" w:hAnsi="Arial"/>
          <w:sz w:val="16"/>
          <w:szCs w:val="16"/>
          <w:color w:val="auto"/>
        </w:rPr>
        <w:t>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b w:val="1"/>
          <w:bCs w:val="1"/>
          <w:color w:val="auto"/>
        </w:rPr>
        <w:t>☐</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w:t>
      </w:r>
    </w:p>
    <w:p>
      <w:pPr>
        <w:spacing w:after="0" w:line="52" w:lineRule="exact"/>
        <w:rPr>
          <w:sz w:val="20"/>
          <w:szCs w:val="20"/>
          <w:color w:val="auto"/>
        </w:rPr>
      </w:pPr>
    </w:p>
    <w:p>
      <w:pPr>
        <w:spacing w:after="0" w:line="184" w:lineRule="exact"/>
        <w:tabs>
          <w:tab w:leader="none" w:pos="9420" w:val="left"/>
          <w:tab w:leader="none" w:pos="9980" w:val="left"/>
        </w:tabs>
        <w:rPr>
          <w:sz w:val="20"/>
          <w:szCs w:val="20"/>
          <w:color w:val="auto"/>
        </w:rPr>
      </w:pPr>
      <w:r>
        <w:rPr>
          <w:rFonts w:ascii="Arial" w:cs="Arial" w:eastAsia="Arial" w:hAnsi="Arial"/>
          <w:sz w:val="16"/>
          <w:szCs w:val="16"/>
          <w:color w:val="auto"/>
        </w:rPr>
        <w:t>(§232.405 of this chapter)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b w:val="1"/>
          <w:bCs w:val="1"/>
          <w:color w:val="auto"/>
        </w:rPr>
        <w:t>☐</w:t>
      </w:r>
    </w:p>
    <w:p>
      <w:pPr>
        <w:spacing w:after="0" w:line="83" w:lineRule="exact"/>
        <w:rPr>
          <w:sz w:val="20"/>
          <w:szCs w:val="20"/>
          <w:color w:val="auto"/>
        </w:rPr>
      </w:pPr>
    </w:p>
    <w:p>
      <w:pPr>
        <w:jc w:val="both"/>
        <w:ind w:firstLine="265"/>
        <w:spacing w:after="0" w:line="22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0"/>
          <w:szCs w:val="20"/>
          <w:color w:val="auto"/>
        </w:rPr>
      </w:pPr>
    </w:p>
    <w:tbl>
      <w:tblPr>
        <w:tblLayout w:type="fixed"/>
        <w:tblInd w:w="1480" w:type="dxa"/>
        <w:tblCellMar>
          <w:top w:w="0" w:type="dxa"/>
          <w:left w:w="0" w:type="dxa"/>
          <w:bottom w:w="0" w:type="dxa"/>
          <w:right w:w="0" w:type="dxa"/>
        </w:tblCellMar>
      </w:tblPr>
      <w:tr>
        <w:trPr>
          <w:trHeight w:val="274"/>
        </w:trPr>
        <w:tc>
          <w:tcPr>
            <w:tcW w:w="2220" w:type="dxa"/>
            <w:vAlign w:val="bottom"/>
          </w:tcPr>
          <w:p>
            <w:pPr>
              <w:jc w:val="center"/>
              <w:ind w:right="362"/>
              <w:spacing w:after="0"/>
              <w:rPr>
                <w:sz w:val="20"/>
                <w:szCs w:val="20"/>
                <w:color w:val="auto"/>
              </w:rPr>
            </w:pPr>
            <w:r>
              <w:rPr>
                <w:rFonts w:ascii="Arial" w:cs="Arial" w:eastAsia="Arial" w:hAnsi="Arial"/>
                <w:sz w:val="20"/>
                <w:szCs w:val="20"/>
                <w:color w:val="auto"/>
                <w:w w:val="88"/>
              </w:rPr>
              <w:t>Large accelerated filer</w:t>
            </w:r>
          </w:p>
        </w:tc>
        <w:tc>
          <w:tcPr>
            <w:tcW w:w="1140" w:type="dxa"/>
            <w:vAlign w:val="bottom"/>
          </w:tcPr>
          <w:p>
            <w:pPr>
              <w:ind w:left="46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160" w:type="dxa"/>
            <w:vAlign w:val="bottom"/>
          </w:tcPr>
          <w:p>
            <w:pPr>
              <w:ind w:left="540"/>
              <w:spacing w:after="0"/>
              <w:rPr>
                <w:sz w:val="20"/>
                <w:szCs w:val="20"/>
                <w:color w:val="auto"/>
              </w:rPr>
            </w:pPr>
            <w:r>
              <w:rPr>
                <w:rFonts w:ascii="Arial" w:cs="Arial" w:eastAsia="Arial" w:hAnsi="Arial"/>
                <w:sz w:val="20"/>
                <w:szCs w:val="20"/>
                <w:color w:val="auto"/>
              </w:rPr>
              <w:t>Accelerated filer</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b w:val="1"/>
                <w:bCs w:val="1"/>
                <w:color w:val="auto"/>
                <w:w w:val="70"/>
              </w:rPr>
              <w:t>☐</w:t>
            </w:r>
          </w:p>
        </w:tc>
      </w:tr>
      <w:tr>
        <w:trPr>
          <w:trHeight w:val="279"/>
        </w:trPr>
        <w:tc>
          <w:tcPr>
            <w:tcW w:w="2220" w:type="dxa"/>
            <w:vAlign w:val="bottom"/>
          </w:tcPr>
          <w:p>
            <w:pPr>
              <w:jc w:val="center"/>
              <w:ind w:right="362"/>
              <w:spacing w:after="0"/>
              <w:rPr>
                <w:sz w:val="20"/>
                <w:szCs w:val="20"/>
                <w:color w:val="auto"/>
              </w:rPr>
            </w:pPr>
            <w:r>
              <w:rPr>
                <w:rFonts w:ascii="Arial" w:cs="Arial" w:eastAsia="Arial" w:hAnsi="Arial"/>
                <w:sz w:val="20"/>
                <w:szCs w:val="20"/>
                <w:color w:val="auto"/>
                <w:w w:val="88"/>
              </w:rPr>
              <w:t>Non-accelerated filer</w:t>
            </w:r>
          </w:p>
        </w:tc>
        <w:tc>
          <w:tcPr>
            <w:tcW w:w="1140" w:type="dxa"/>
            <w:vAlign w:val="bottom"/>
          </w:tcPr>
          <w:p>
            <w:pPr>
              <w:ind w:left="46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160" w:type="dxa"/>
            <w:vAlign w:val="bottom"/>
          </w:tcPr>
          <w:p>
            <w:pPr>
              <w:ind w:left="540"/>
              <w:spacing w:after="0"/>
              <w:rPr>
                <w:sz w:val="20"/>
                <w:szCs w:val="20"/>
                <w:color w:val="auto"/>
              </w:rPr>
            </w:pPr>
            <w:r>
              <w:rPr>
                <w:rFonts w:ascii="Arial" w:cs="Arial" w:eastAsia="Arial" w:hAnsi="Arial"/>
                <w:sz w:val="20"/>
                <w:szCs w:val="20"/>
                <w:color w:val="auto"/>
              </w:rPr>
              <w:t>Smaller reporting company</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b w:val="1"/>
                <w:bCs w:val="1"/>
                <w:color w:val="auto"/>
                <w:w w:val="70"/>
              </w:rPr>
              <w:t>☐</w:t>
            </w:r>
          </w:p>
        </w:tc>
      </w:tr>
      <w:tr>
        <w:trPr>
          <w:trHeight w:val="279"/>
        </w:trPr>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60" w:type="dxa"/>
            <w:vAlign w:val="bottom"/>
          </w:tcPr>
          <w:p>
            <w:pPr>
              <w:ind w:left="540"/>
              <w:spacing w:after="0"/>
              <w:rPr>
                <w:sz w:val="20"/>
                <w:szCs w:val="20"/>
                <w:color w:val="auto"/>
              </w:rPr>
            </w:pPr>
            <w:r>
              <w:rPr>
                <w:rFonts w:ascii="Arial" w:cs="Arial" w:eastAsia="Arial" w:hAnsi="Arial"/>
                <w:sz w:val="20"/>
                <w:szCs w:val="20"/>
                <w:color w:val="auto"/>
              </w:rPr>
              <w:t>Emerging growth company</w:t>
            </w:r>
          </w:p>
        </w:tc>
        <w:tc>
          <w:tcPr>
            <w:tcW w:w="620" w:type="dxa"/>
            <w:vAlign w:val="bottom"/>
          </w:tcPr>
          <w:p>
            <w:pPr>
              <w:ind w:left="480"/>
              <w:spacing w:after="0" w:line="171" w:lineRule="exact"/>
              <w:rPr>
                <w:sz w:val="20"/>
                <w:szCs w:val="20"/>
                <w:color w:val="auto"/>
              </w:rPr>
            </w:pPr>
            <w:r>
              <w:rPr>
                <w:rFonts w:ascii="MS PGothic" w:cs="MS PGothic" w:eastAsia="MS PGothic" w:hAnsi="MS PGothic"/>
                <w:sz w:val="17"/>
                <w:szCs w:val="17"/>
                <w:b w:val="1"/>
                <w:bCs w:val="1"/>
                <w:color w:val="auto"/>
                <w:w w:val="70"/>
              </w:rPr>
              <w:t>☐</w:t>
            </w:r>
          </w:p>
        </w:tc>
      </w:tr>
    </w:tbl>
    <w:p>
      <w:pPr>
        <w:spacing w:after="0" w:line="5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line="184" w:lineRule="exact"/>
              <w:rPr>
                <w:sz w:val="20"/>
                <w:szCs w:val="20"/>
                <w:color w:val="auto"/>
              </w:rPr>
            </w:pPr>
            <w:r>
              <w:rPr>
                <w:rFonts w:ascii="Arial" w:cs="Arial" w:eastAsia="Arial" w:hAnsi="Arial"/>
                <w:sz w:val="16"/>
                <w:szCs w:val="16"/>
                <w:color w:val="auto"/>
              </w:rPr>
              <w:t xml:space="preserve">financial accounting standards provided pursuant to Section 13(a) of the Exchange Act. </w:t>
            </w:r>
            <w:r>
              <w:rPr>
                <w:rFonts w:ascii="MS PGothic" w:cs="MS PGothic" w:eastAsia="MS PGothic" w:hAnsi="MS PGothic"/>
                <w:sz w:val="16"/>
                <w:szCs w:val="16"/>
                <w:b w:val="1"/>
                <w:bCs w:val="1"/>
                <w:color w:val="auto"/>
              </w:rPr>
              <w:t>☐</w:t>
            </w:r>
          </w:p>
        </w:tc>
        <w:tc>
          <w:tcPr>
            <w:tcW w:w="2300" w:type="dxa"/>
            <w:vAlign w:val="bottom"/>
            <w:vMerge w:val="restart"/>
          </w:tcPr>
          <w:p>
            <w:pPr>
              <w:ind w:left="13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Arial" w:cs="Arial" w:eastAsia="Arial" w:hAnsi="Arial"/>
                <w:sz w:val="16"/>
                <w:szCs w:val="16"/>
                <w:b w:val="1"/>
                <w:bCs w:val="1"/>
                <w:color w:val="auto"/>
              </w:rPr>
              <w:t>x</w:t>
            </w:r>
          </w:p>
        </w:tc>
        <w:tc>
          <w:tcPr>
            <w:tcW w:w="0" w:type="dxa"/>
            <w:vAlign w:val="bottom"/>
          </w:tcPr>
          <w:p>
            <w:pPr>
              <w:spacing w:after="0"/>
              <w:rPr>
                <w:sz w:val="1"/>
                <w:szCs w:val="1"/>
                <w:color w:val="auto"/>
              </w:rPr>
            </w:pPr>
          </w:p>
        </w:tc>
      </w:tr>
      <w:tr>
        <w:trPr>
          <w:trHeight w:val="208"/>
        </w:trPr>
        <w:tc>
          <w:tcPr>
            <w:tcW w:w="8080" w:type="dxa"/>
            <w:vAlign w:val="bottom"/>
          </w:tcPr>
          <w:p>
            <w:pPr>
              <w:ind w:left="2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firstLine="265"/>
        <w:spacing w:after="0" w:line="349" w:lineRule="auto"/>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3"/>
          <w:szCs w:val="13"/>
          <w:b w:val="1"/>
          <w:bCs w:val="1"/>
          <w:color w:val="auto"/>
        </w:rPr>
        <w:t>x</w:t>
      </w:r>
    </w:p>
    <w:p>
      <w:pPr>
        <w:ind w:left="260"/>
        <w:spacing w:after="0"/>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w:t>
      </w:r>
    </w:p>
    <w:p>
      <w:pPr>
        <w:spacing w:after="0" w:line="43" w:lineRule="exact"/>
        <w:rPr>
          <w:sz w:val="20"/>
          <w:szCs w:val="20"/>
          <w:color w:val="auto"/>
        </w:rPr>
      </w:pPr>
    </w:p>
    <w:p>
      <w:pPr>
        <w:spacing w:after="0"/>
        <w:tabs>
          <w:tab w:leader="none" w:pos="10560" w:val="left"/>
        </w:tabs>
        <w:rPr>
          <w:sz w:val="20"/>
          <w:szCs w:val="20"/>
          <w:color w:val="auto"/>
        </w:rPr>
      </w:pPr>
      <w:r>
        <w:rPr>
          <w:rFonts w:ascii="Arial" w:cs="Arial" w:eastAsia="Arial" w:hAnsi="Arial"/>
          <w:sz w:val="16"/>
          <w:szCs w:val="16"/>
          <w:color w:val="auto"/>
        </w:rPr>
        <w:t>correction of an error to previously issued financial statements.</w:t>
      </w:r>
      <w:r>
        <w:rPr>
          <w:sz w:val="20"/>
          <w:szCs w:val="20"/>
          <w:color w:val="auto"/>
        </w:rPr>
        <w:tab/>
      </w:r>
      <w:r>
        <w:rPr>
          <w:rFonts w:ascii="Arial" w:cs="Arial" w:eastAsia="Arial" w:hAnsi="Arial"/>
          <w:sz w:val="16"/>
          <w:szCs w:val="16"/>
          <w:b w:val="1"/>
          <w:bCs w:val="1"/>
          <w:color w:val="auto"/>
        </w:rPr>
        <w:t>x</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w:t>
      </w:r>
    </w:p>
    <w:p>
      <w:pPr>
        <w:spacing w:after="0" w:line="43" w:lineRule="exact"/>
        <w:rPr>
          <w:sz w:val="20"/>
          <w:szCs w:val="20"/>
          <w:color w:val="auto"/>
        </w:rPr>
      </w:pPr>
    </w:p>
    <w:p>
      <w:pPr>
        <w:spacing w:after="0" w:line="184" w:lineRule="exact"/>
        <w:tabs>
          <w:tab w:leader="none" w:pos="10560" w:val="left"/>
        </w:tabs>
        <w:rPr>
          <w:sz w:val="20"/>
          <w:szCs w:val="20"/>
          <w:color w:val="auto"/>
        </w:rPr>
      </w:pPr>
      <w:r>
        <w:rPr>
          <w:rFonts w:ascii="Arial" w:cs="Arial" w:eastAsia="Arial" w:hAnsi="Arial"/>
          <w:sz w:val="16"/>
          <w:szCs w:val="16"/>
          <w:color w:val="auto"/>
        </w:rPr>
        <w:t>registrant’s executive officers during the relevant recovery period pursuant to §240.10D-1(b).</w:t>
      </w:r>
      <w:r>
        <w:rPr>
          <w:sz w:val="20"/>
          <w:szCs w:val="20"/>
          <w:color w:val="auto"/>
        </w:rPr>
        <w:tab/>
      </w:r>
      <w:r>
        <w:rPr>
          <w:rFonts w:ascii="MS PGothic" w:cs="MS PGothic" w:eastAsia="MS PGothic" w:hAnsi="MS PGothic"/>
          <w:sz w:val="12"/>
          <w:szCs w:val="12"/>
          <w:b w:val="1"/>
          <w:bCs w:val="1"/>
          <w:color w:val="auto"/>
        </w:rPr>
        <w:t>☐</w:t>
      </w:r>
    </w:p>
    <w:p>
      <w:pPr>
        <w:spacing w:after="0" w:line="58" w:lineRule="exact"/>
        <w:rPr>
          <w:sz w:val="20"/>
          <w:szCs w:val="20"/>
          <w:color w:val="auto"/>
        </w:rPr>
      </w:pPr>
    </w:p>
    <w:p>
      <w:pPr>
        <w:ind w:firstLine="265"/>
        <w:spacing w:after="0" w:line="271" w:lineRule="auto"/>
        <w:rPr>
          <w:sz w:val="20"/>
          <w:szCs w:val="20"/>
          <w:color w:val="auto"/>
        </w:rPr>
      </w:pPr>
      <w:r>
        <w:rPr>
          <w:rFonts w:ascii="Arial" w:cs="Arial" w:eastAsia="Arial" w:hAnsi="Arial"/>
          <w:sz w:val="16"/>
          <w:szCs w:val="16"/>
          <w:color w:val="auto"/>
        </w:rPr>
        <w:t>As of the last business day of the most recently completed second fiscal quarter, the aggregate market value of the common stock of the registrant held by non-affiliates was approximately $2,789 million based on the closing sale prices of such shares as reported on the New York Stock Exchange.</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27" w:lineRule="exact"/>
        <w:rPr>
          <w:sz w:val="20"/>
          <w:szCs w:val="20"/>
          <w:color w:val="auto"/>
        </w:rPr>
      </w:pPr>
    </w:p>
    <w:tbl>
      <w:tblPr>
        <w:tblLayout w:type="fixed"/>
        <w:tblInd w:w="1760" w:type="dxa"/>
        <w:tblCellMar>
          <w:top w:w="0" w:type="dxa"/>
          <w:left w:w="0" w:type="dxa"/>
          <w:bottom w:w="0" w:type="dxa"/>
          <w:right w:w="0" w:type="dxa"/>
        </w:tblCellMar>
      </w:tblPr>
      <w:tr>
        <w:trPr>
          <w:trHeight w:val="195"/>
        </w:trPr>
        <w:tc>
          <w:tcPr>
            <w:tcW w:w="1520" w:type="dxa"/>
            <w:vAlign w:val="bottom"/>
          </w:tcPr>
          <w:p>
            <w:pPr>
              <w:spacing w:after="0"/>
              <w:rPr>
                <w:sz w:val="16"/>
                <w:szCs w:val="16"/>
                <w:color w:val="auto"/>
              </w:rPr>
            </w:pPr>
          </w:p>
        </w:tc>
        <w:tc>
          <w:tcPr>
            <w:tcW w:w="3140" w:type="dxa"/>
            <w:vAlign w:val="bottom"/>
            <w:gridSpan w:val="2"/>
          </w:tcPr>
          <w:p>
            <w:pPr>
              <w:jc w:val="center"/>
              <w:ind w:right="2760"/>
              <w:spacing w:after="0"/>
              <w:rPr>
                <w:sz w:val="20"/>
                <w:szCs w:val="20"/>
                <w:color w:val="auto"/>
              </w:rPr>
            </w:pPr>
            <w:r>
              <w:rPr>
                <w:rFonts w:ascii="Arial" w:cs="Arial" w:eastAsia="Arial" w:hAnsi="Arial"/>
                <w:sz w:val="17"/>
                <w:szCs w:val="17"/>
                <w:b w:val="1"/>
                <w:bCs w:val="1"/>
                <w:color w:val="auto"/>
                <w:w w:val="83"/>
              </w:rPr>
              <w:t>Class</w:t>
            </w:r>
          </w:p>
        </w:tc>
        <w:tc>
          <w:tcPr>
            <w:tcW w:w="23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Outstanding at January 31, 2026</w:t>
            </w:r>
          </w:p>
        </w:tc>
      </w:tr>
      <w:tr>
        <w:trPr>
          <w:trHeight w:val="20"/>
        </w:trPr>
        <w:tc>
          <w:tcPr>
            <w:tcW w:w="1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4660" w:type="dxa"/>
            <w:vAlign w:val="bottom"/>
            <w:gridSpan w:val="3"/>
          </w:tcPr>
          <w:p>
            <w:pPr>
              <w:jc w:val="center"/>
              <w:ind w:right="1240"/>
              <w:spacing w:after="0"/>
              <w:rPr>
                <w:sz w:val="20"/>
                <w:szCs w:val="20"/>
                <w:color w:val="auto"/>
              </w:rPr>
            </w:pPr>
            <w:r>
              <w:rPr>
                <w:rFonts w:ascii="Arial" w:cs="Arial" w:eastAsia="Arial" w:hAnsi="Arial"/>
                <w:sz w:val="17"/>
                <w:szCs w:val="17"/>
                <w:color w:val="auto"/>
                <w:w w:val="88"/>
              </w:rPr>
              <w:t>Common Stock, Class A, par value $0.01 per share</w:t>
            </w:r>
          </w:p>
        </w:tc>
        <w:tc>
          <w:tcPr>
            <w:tcW w:w="2320" w:type="dxa"/>
            <w:vAlign w:val="bottom"/>
          </w:tcPr>
          <w:p>
            <w:pPr>
              <w:jc w:val="center"/>
              <w:spacing w:after="0"/>
              <w:rPr>
                <w:sz w:val="20"/>
                <w:szCs w:val="20"/>
                <w:color w:val="auto"/>
              </w:rPr>
            </w:pPr>
            <w:r>
              <w:rPr>
                <w:rFonts w:ascii="Arial" w:cs="Arial" w:eastAsia="Arial" w:hAnsi="Arial"/>
                <w:sz w:val="17"/>
                <w:szCs w:val="17"/>
                <w:color w:val="auto"/>
                <w:w w:val="89"/>
              </w:rPr>
              <w:t>34,613,853</w:t>
            </w:r>
          </w:p>
        </w:tc>
        <w:tc>
          <w:tcPr>
            <w:tcW w:w="20" w:type="dxa"/>
            <w:vAlign w:val="bottom"/>
          </w:tcPr>
          <w:p>
            <w:pPr>
              <w:spacing w:after="0"/>
              <w:rPr>
                <w:sz w:val="21"/>
                <w:szCs w:val="21"/>
                <w:color w:val="auto"/>
              </w:rPr>
            </w:pPr>
          </w:p>
        </w:tc>
      </w:tr>
      <w:tr>
        <w:trPr>
          <w:trHeight w:val="235"/>
        </w:trPr>
        <w:tc>
          <w:tcPr>
            <w:tcW w:w="4660" w:type="dxa"/>
            <w:vAlign w:val="bottom"/>
            <w:gridSpan w:val="3"/>
          </w:tcPr>
          <w:p>
            <w:pPr>
              <w:jc w:val="center"/>
              <w:ind w:right="1220"/>
              <w:spacing w:after="0"/>
              <w:rPr>
                <w:sz w:val="20"/>
                <w:szCs w:val="20"/>
                <w:color w:val="auto"/>
              </w:rPr>
            </w:pPr>
            <w:r>
              <w:rPr>
                <w:rFonts w:ascii="Arial" w:cs="Arial" w:eastAsia="Arial" w:hAnsi="Arial"/>
                <w:sz w:val="17"/>
                <w:szCs w:val="17"/>
                <w:color w:val="auto"/>
                <w:w w:val="87"/>
              </w:rPr>
              <w:t>Common Stock, Class B, par value $0.01 per share</w:t>
            </w:r>
          </w:p>
        </w:tc>
        <w:tc>
          <w:tcPr>
            <w:tcW w:w="2320" w:type="dxa"/>
            <w:vAlign w:val="bottom"/>
          </w:tcPr>
          <w:p>
            <w:pPr>
              <w:jc w:val="center"/>
              <w:spacing w:after="0"/>
              <w:rPr>
                <w:sz w:val="20"/>
                <w:szCs w:val="20"/>
                <w:color w:val="auto"/>
              </w:rPr>
            </w:pPr>
            <w:r>
              <w:rPr>
                <w:rFonts w:ascii="Arial" w:cs="Arial" w:eastAsia="Arial" w:hAnsi="Arial"/>
                <w:sz w:val="17"/>
                <w:szCs w:val="17"/>
                <w:color w:val="auto"/>
                <w:w w:val="89"/>
              </w:rPr>
              <w:t>42,738,750</w:t>
            </w:r>
          </w:p>
        </w:tc>
        <w:tc>
          <w:tcPr>
            <w:tcW w:w="20" w:type="dxa"/>
            <w:vAlign w:val="bottom"/>
          </w:tcPr>
          <w:p>
            <w:pPr>
              <w:spacing w:after="0"/>
              <w:rPr>
                <w:sz w:val="20"/>
                <w:szCs w:val="20"/>
                <w:color w:val="auto"/>
              </w:rPr>
            </w:pPr>
          </w:p>
        </w:tc>
      </w:tr>
      <w:tr>
        <w:trPr>
          <w:trHeight w:val="235"/>
        </w:trPr>
        <w:tc>
          <w:tcPr>
            <w:tcW w:w="4660" w:type="dxa"/>
            <w:vAlign w:val="bottom"/>
            <w:gridSpan w:val="3"/>
          </w:tcPr>
          <w:p>
            <w:pPr>
              <w:jc w:val="center"/>
              <w:ind w:right="1220"/>
              <w:spacing w:after="0"/>
              <w:rPr>
                <w:sz w:val="20"/>
                <w:szCs w:val="20"/>
                <w:color w:val="auto"/>
              </w:rPr>
            </w:pPr>
            <w:r>
              <w:rPr>
                <w:rFonts w:ascii="Arial" w:cs="Arial" w:eastAsia="Arial" w:hAnsi="Arial"/>
                <w:sz w:val="17"/>
                <w:szCs w:val="17"/>
                <w:color w:val="auto"/>
                <w:w w:val="87"/>
              </w:rPr>
              <w:t>Common Stock, Class C, par value $0.01 per share</w:t>
            </w:r>
          </w:p>
        </w:tc>
        <w:tc>
          <w:tcPr>
            <w:tcW w:w="2320" w:type="dxa"/>
            <w:vAlign w:val="bottom"/>
          </w:tcPr>
          <w:p>
            <w:pPr>
              <w:jc w:val="center"/>
              <w:spacing w:after="0"/>
              <w:rPr>
                <w:sz w:val="20"/>
                <w:szCs w:val="20"/>
                <w:color w:val="auto"/>
              </w:rPr>
            </w:pPr>
            <w:r>
              <w:rPr>
                <w:rFonts w:ascii="Arial" w:cs="Arial" w:eastAsia="Arial" w:hAnsi="Arial"/>
                <w:sz w:val="17"/>
                <w:szCs w:val="17"/>
                <w:color w:val="auto"/>
                <w:w w:val="89"/>
              </w:rPr>
              <w:t>86,290,173</w:t>
            </w:r>
          </w:p>
        </w:tc>
        <w:tc>
          <w:tcPr>
            <w:tcW w:w="20" w:type="dxa"/>
            <w:vAlign w:val="bottom"/>
          </w:tcPr>
          <w:p>
            <w:pPr>
              <w:spacing w:after="0"/>
              <w:rPr>
                <w:sz w:val="20"/>
                <w:szCs w:val="20"/>
                <w:color w:val="auto"/>
              </w:rPr>
            </w:pPr>
          </w:p>
        </w:tc>
      </w:tr>
      <w:tr>
        <w:trPr>
          <w:trHeight w:val="235"/>
        </w:trPr>
        <w:tc>
          <w:tcPr>
            <w:tcW w:w="4660" w:type="dxa"/>
            <w:vAlign w:val="bottom"/>
            <w:gridSpan w:val="3"/>
          </w:tcPr>
          <w:p>
            <w:pPr>
              <w:jc w:val="center"/>
              <w:ind w:right="1240"/>
              <w:spacing w:after="0"/>
              <w:rPr>
                <w:sz w:val="20"/>
                <w:szCs w:val="20"/>
                <w:color w:val="auto"/>
              </w:rPr>
            </w:pPr>
            <w:r>
              <w:rPr>
                <w:rFonts w:ascii="Arial" w:cs="Arial" w:eastAsia="Arial" w:hAnsi="Arial"/>
                <w:sz w:val="17"/>
                <w:szCs w:val="17"/>
                <w:color w:val="auto"/>
                <w:w w:val="88"/>
              </w:rPr>
              <w:t>Common Stock, Class D, par value $0.01 per share</w:t>
            </w:r>
          </w:p>
        </w:tc>
        <w:tc>
          <w:tcPr>
            <w:tcW w:w="2320" w:type="dxa"/>
            <w:vAlign w:val="bottom"/>
          </w:tcPr>
          <w:p>
            <w:pPr>
              <w:jc w:val="center"/>
              <w:spacing w:after="0"/>
              <w:rPr>
                <w:sz w:val="20"/>
                <w:szCs w:val="20"/>
                <w:color w:val="auto"/>
              </w:rPr>
            </w:pPr>
            <w:r>
              <w:rPr>
                <w:rFonts w:ascii="Arial" w:cs="Arial" w:eastAsia="Arial" w:hAnsi="Arial"/>
                <w:sz w:val="17"/>
                <w:szCs w:val="17"/>
                <w:color w:val="auto"/>
                <w:w w:val="89"/>
              </w:rPr>
              <w:t>41,576,142</w:t>
            </w:r>
          </w:p>
        </w:tc>
        <w:tc>
          <w:tcPr>
            <w:tcW w:w="20" w:type="dxa"/>
            <w:vAlign w:val="bottom"/>
          </w:tcPr>
          <w:p>
            <w:pPr>
              <w:spacing w:after="0"/>
              <w:rPr>
                <w:sz w:val="20"/>
                <w:szCs w:val="20"/>
                <w:color w:val="auto"/>
              </w:rPr>
            </w:pPr>
          </w:p>
        </w:tc>
      </w:tr>
    </w:tbl>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Portions of the Registrant’s Definitive Proxy Statement relating to its 2026 Annual Meeting of Stockholders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336550</wp:posOffset>
                </wp:positionH>
                <wp:positionV relativeFrom="paragraph">
                  <wp:posOffset>26035</wp:posOffset>
                </wp:positionV>
                <wp:extent cx="620712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7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pt,2.05pt" to="515.25pt,2.0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336550</wp:posOffset>
                </wp:positionH>
                <wp:positionV relativeFrom="paragraph">
                  <wp:posOffset>73025</wp:posOffset>
                </wp:positionV>
                <wp:extent cx="62071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7125" cy="4763"/>
                        </a:xfrm>
                        <a:prstGeom prst="line">
                          <a:avLst/>
                        </a:prstGeom>
                        <a:solidFill>
                          <a:srgbClr val="FFFFFF"/>
                        </a:solidFill>
                        <a:ln w="24891">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pt,5.75pt" to="515.25pt,5.75pt" o:allowincell="f" strokecolor="#000000" strokeweight="1.9599pt"/>
            </w:pict>
          </mc:Fallback>
        </mc:AlternateContent>
      </w:r>
    </w:p>
    <w:p>
      <w:pPr>
        <w:sectPr>
          <w:pgSz w:w="11880" w:h="15480" w:orient="portrait"/>
          <w:cols w:equalWidth="0" w:num="1">
            <w:col w:w="10840"/>
          </w:cols>
          <w:pgMar w:left="520" w:top="818" w:right="520" w:bottom="159"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5"/>
        </w:trPr>
        <w:tc>
          <w:tcPr>
            <w:tcW w:w="9340" w:type="dxa"/>
            <w:vAlign w:val="bottom"/>
          </w:tcPr>
          <w:p>
            <w:pPr>
              <w:ind w:left="3900"/>
              <w:spacing w:after="0"/>
              <w:rPr>
                <w:sz w:val="20"/>
                <w:szCs w:val="20"/>
                <w:color w:val="auto"/>
              </w:rPr>
            </w:pPr>
            <w:r>
              <w:rPr>
                <w:rFonts w:ascii="Arial" w:cs="Arial" w:eastAsia="Arial" w:hAnsi="Arial"/>
                <w:sz w:val="20"/>
                <w:szCs w:val="20"/>
                <w:b w:val="1"/>
                <w:bCs w:val="1"/>
                <w:color w:val="auto"/>
              </w:rPr>
              <w:t>TABLE OF CONTENTS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9340" w:type="dxa"/>
            <w:vAlign w:val="bottom"/>
          </w:tcPr>
          <w:p>
            <w:pPr>
              <w:ind w:left="4720"/>
              <w:spacing w:after="0"/>
              <w:rPr>
                <w:sz w:val="20"/>
                <w:szCs w:val="20"/>
                <w:color w:val="auto"/>
              </w:rPr>
            </w:pPr>
            <w:r>
              <w:rPr>
                <w:rFonts w:ascii="Arial" w:cs="Arial" w:eastAsia="Arial" w:hAnsi="Arial"/>
                <w:sz w:val="20"/>
                <w:szCs w:val="20"/>
                <w:b w:val="1"/>
                <w:bCs w:val="1"/>
                <w:color w:val="auto"/>
              </w:rPr>
              <w:t>Index</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9340" w:type="dxa"/>
            <w:vAlign w:val="bottom"/>
          </w:tcPr>
          <w:p>
            <w:pPr>
              <w:spacing w:after="0"/>
              <w:rPr>
                <w:sz w:val="20"/>
                <w:szCs w:val="20"/>
                <w:color w:val="auto"/>
              </w:rPr>
            </w:pPr>
            <w:r>
              <w:rPr>
                <w:rFonts w:ascii="Arial" w:cs="Arial" w:eastAsia="Arial" w:hAnsi="Arial"/>
                <w:sz w:val="20"/>
                <w:szCs w:val="20"/>
                <w:color w:val="auto"/>
              </w:rPr>
              <w:t>GLOSSARY OF TERMS</w:t>
            </w:r>
          </w:p>
        </w:tc>
        <w:tc>
          <w:tcPr>
            <w:tcW w:w="58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94"/>
        </w:trPr>
        <w:tc>
          <w:tcPr>
            <w:tcW w:w="934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58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1 — Business</w:t>
            </w:r>
          </w:p>
        </w:tc>
        <w:tc>
          <w:tcPr>
            <w:tcW w:w="58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1A — Risk Factors</w:t>
            </w:r>
          </w:p>
        </w:tc>
        <w:tc>
          <w:tcPr>
            <w:tcW w:w="58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1B — Unresolved Staff Comments</w:t>
            </w:r>
          </w:p>
        </w:tc>
        <w:tc>
          <w:tcPr>
            <w:tcW w:w="580" w:type="dxa"/>
            <w:vAlign w:val="bottom"/>
          </w:tcPr>
          <w:p>
            <w:pPr>
              <w:jc w:val="right"/>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1C — Cybersecurity</w:t>
            </w:r>
          </w:p>
        </w:tc>
        <w:tc>
          <w:tcPr>
            <w:tcW w:w="58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2 — Properties</w:t>
            </w:r>
          </w:p>
        </w:tc>
        <w:tc>
          <w:tcPr>
            <w:tcW w:w="58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3 — Legal Proceedings</w:t>
            </w:r>
          </w:p>
        </w:tc>
        <w:tc>
          <w:tcPr>
            <w:tcW w:w="58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4 — Mine Safety Disclosures</w:t>
            </w:r>
          </w:p>
        </w:tc>
        <w:tc>
          <w:tcPr>
            <w:tcW w:w="58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94"/>
        </w:trPr>
        <w:tc>
          <w:tcPr>
            <w:tcW w:w="934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580" w:type="dxa"/>
            <w:vAlign w:val="bottom"/>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31"/>
        </w:trPr>
        <w:tc>
          <w:tcPr>
            <w:tcW w:w="9340" w:type="dxa"/>
            <w:vAlign w:val="bottom"/>
          </w:tcPr>
          <w:p>
            <w:pPr>
              <w:ind w:left="220"/>
              <w:spacing w:after="0"/>
              <w:rPr>
                <w:sz w:val="20"/>
                <w:szCs w:val="20"/>
                <w:color w:val="auto"/>
              </w:rPr>
            </w:pPr>
            <w:r>
              <w:rPr>
                <w:rFonts w:ascii="Arial" w:cs="Arial" w:eastAsia="Arial" w:hAnsi="Arial"/>
                <w:sz w:val="20"/>
                <w:szCs w:val="20"/>
                <w:color w:val="auto"/>
                <w:w w:val="92"/>
              </w:rPr>
              <w:t>Item 5 — Market for Registrant’s Common Equity, Related Stockholder Matters and Issuer Purchases of Equity</w:t>
            </w: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55"/>
        </w:trPr>
        <w:tc>
          <w:tcPr>
            <w:tcW w:w="9340" w:type="dxa"/>
            <w:vAlign w:val="bottom"/>
          </w:tcPr>
          <w:p>
            <w:pPr>
              <w:ind w:left="220"/>
              <w:spacing w:after="0"/>
              <w:rPr>
                <w:sz w:val="20"/>
                <w:szCs w:val="20"/>
                <w:color w:val="auto"/>
              </w:rPr>
            </w:pPr>
            <w:r>
              <w:rPr>
                <w:rFonts w:ascii="Arial" w:cs="Arial" w:eastAsia="Arial" w:hAnsi="Arial"/>
                <w:sz w:val="20"/>
                <w:szCs w:val="20"/>
                <w:color w:val="auto"/>
              </w:rPr>
              <w:t>Securities</w:t>
            </w:r>
          </w:p>
        </w:tc>
        <w:tc>
          <w:tcPr>
            <w:tcW w:w="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9340" w:type="dxa"/>
            <w:vAlign w:val="bottom"/>
          </w:tcPr>
          <w:p>
            <w:pPr>
              <w:ind w:left="220"/>
              <w:spacing w:after="0"/>
              <w:rPr>
                <w:sz w:val="20"/>
                <w:szCs w:val="20"/>
                <w:color w:val="auto"/>
              </w:rPr>
            </w:pPr>
            <w:r>
              <w:rPr>
                <w:rFonts w:ascii="Arial" w:cs="Arial" w:eastAsia="Arial" w:hAnsi="Arial"/>
                <w:sz w:val="20"/>
                <w:szCs w:val="20"/>
                <w:color w:val="auto"/>
              </w:rPr>
              <w:t>Item 6 — Reserved</w:t>
            </w:r>
          </w:p>
        </w:tc>
        <w:tc>
          <w:tcPr>
            <w:tcW w:w="580" w:type="dxa"/>
            <w:vAlign w:val="bottom"/>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7 — Management’s Discussion and Analysis of Financial Condition and Results of Operations</w:t>
            </w:r>
          </w:p>
        </w:tc>
        <w:tc>
          <w:tcPr>
            <w:tcW w:w="58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7A — 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20"/>
                <w:szCs w:val="20"/>
                <w:color w:val="auto"/>
              </w:rPr>
              <w:t>70</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8 — Financial Statements and Supplementary Data</w:t>
            </w:r>
          </w:p>
        </w:tc>
        <w:tc>
          <w:tcPr>
            <w:tcW w:w="580" w:type="dxa"/>
            <w:vAlign w:val="bottom"/>
          </w:tcPr>
          <w:p>
            <w:pPr>
              <w:jc w:val="right"/>
              <w:spacing w:after="0"/>
              <w:rPr>
                <w:sz w:val="20"/>
                <w:szCs w:val="20"/>
                <w:color w:val="auto"/>
              </w:rPr>
            </w:pPr>
            <w:r>
              <w:rPr>
                <w:rFonts w:ascii="Arial" w:cs="Arial" w:eastAsia="Arial" w:hAnsi="Arial"/>
                <w:sz w:val="20"/>
                <w:szCs w:val="20"/>
                <w:color w:val="auto"/>
              </w:rPr>
              <w:t>70</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9 — Changes in and Disagreements with Accountants on Accounting and Financial Disclosure</w:t>
            </w:r>
          </w:p>
        </w:tc>
        <w:tc>
          <w:tcPr>
            <w:tcW w:w="58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9A — Controls and Procedures</w:t>
            </w:r>
          </w:p>
        </w:tc>
        <w:tc>
          <w:tcPr>
            <w:tcW w:w="58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9B — Other Information</w:t>
            </w:r>
          </w:p>
        </w:tc>
        <w:tc>
          <w:tcPr>
            <w:tcW w:w="58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94"/>
        </w:trPr>
        <w:tc>
          <w:tcPr>
            <w:tcW w:w="9340" w:type="dxa"/>
            <w:vAlign w:val="bottom"/>
          </w:tcPr>
          <w:p>
            <w:pPr>
              <w:spacing w:after="0"/>
              <w:rPr>
                <w:sz w:val="20"/>
                <w:szCs w:val="20"/>
                <w:color w:val="auto"/>
              </w:rPr>
            </w:pPr>
            <w:r>
              <w:rPr>
                <w:rFonts w:ascii="Arial" w:cs="Arial" w:eastAsia="Arial" w:hAnsi="Arial"/>
                <w:sz w:val="20"/>
                <w:szCs w:val="20"/>
                <w:b w:val="1"/>
                <w:bCs w:val="1"/>
                <w:color w:val="auto"/>
              </w:rPr>
              <w:t>PART III</w:t>
            </w:r>
          </w:p>
        </w:tc>
        <w:tc>
          <w:tcPr>
            <w:tcW w:w="580" w:type="dxa"/>
            <w:vAlign w:val="bottom"/>
          </w:tcPr>
          <w:p>
            <w:pPr>
              <w:jc w:val="right"/>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10 — Information about Directors, Executive Officers and Corporate Governance</w:t>
            </w:r>
          </w:p>
        </w:tc>
        <w:tc>
          <w:tcPr>
            <w:tcW w:w="580" w:type="dxa"/>
            <w:vAlign w:val="bottom"/>
          </w:tcPr>
          <w:p>
            <w:pPr>
              <w:jc w:val="right"/>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11 — Executive Compensation</w:t>
            </w:r>
          </w:p>
        </w:tc>
        <w:tc>
          <w:tcPr>
            <w:tcW w:w="580" w:type="dxa"/>
            <w:vAlign w:val="bottom"/>
          </w:tcPr>
          <w:p>
            <w:pPr>
              <w:jc w:val="right"/>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w w:val="92"/>
              </w:rPr>
              <w:t>Item 12 — Security Ownership of Certain Beneficial Owners and Management and Related Stockholder Matters</w:t>
            </w:r>
          </w:p>
        </w:tc>
        <w:tc>
          <w:tcPr>
            <w:tcW w:w="580" w:type="dxa"/>
            <w:vAlign w:val="bottom"/>
          </w:tcPr>
          <w:p>
            <w:pPr>
              <w:jc w:val="right"/>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13 — Certain Relationships and Related Transactions, and Director Independence</w:t>
            </w:r>
          </w:p>
        </w:tc>
        <w:tc>
          <w:tcPr>
            <w:tcW w:w="580" w:type="dxa"/>
            <w:vAlign w:val="bottom"/>
          </w:tcPr>
          <w:p>
            <w:pPr>
              <w:jc w:val="right"/>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14 — Principal Accounting Fees and Services</w:t>
            </w:r>
          </w:p>
        </w:tc>
        <w:tc>
          <w:tcPr>
            <w:tcW w:w="580" w:type="dxa"/>
            <w:vAlign w:val="bottom"/>
          </w:tcPr>
          <w:p>
            <w:pPr>
              <w:jc w:val="right"/>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294"/>
        </w:trPr>
        <w:tc>
          <w:tcPr>
            <w:tcW w:w="934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580" w:type="dxa"/>
            <w:vAlign w:val="bottom"/>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15 — Exhibits, Financial Statement Schedules</w:t>
            </w:r>
          </w:p>
        </w:tc>
        <w:tc>
          <w:tcPr>
            <w:tcW w:w="580" w:type="dxa"/>
            <w:vAlign w:val="bottom"/>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94"/>
        </w:trPr>
        <w:tc>
          <w:tcPr>
            <w:tcW w:w="9340" w:type="dxa"/>
            <w:vAlign w:val="bottom"/>
          </w:tcPr>
          <w:p>
            <w:pPr>
              <w:spacing w:after="0"/>
              <w:rPr>
                <w:sz w:val="20"/>
                <w:szCs w:val="20"/>
                <w:color w:val="auto"/>
              </w:rPr>
            </w:pPr>
            <w:r>
              <w:rPr>
                <w:rFonts w:ascii="Arial" w:cs="Arial" w:eastAsia="Arial" w:hAnsi="Arial"/>
                <w:sz w:val="20"/>
                <w:szCs w:val="20"/>
                <w:b w:val="1"/>
                <w:bCs w:val="1"/>
                <w:color w:val="auto"/>
              </w:rPr>
              <w:t>EXHIBIT INDEX</w:t>
            </w:r>
          </w:p>
        </w:tc>
        <w:tc>
          <w:tcPr>
            <w:tcW w:w="580" w:type="dxa"/>
            <w:vAlign w:val="bottom"/>
          </w:tcPr>
          <w:p>
            <w:pPr>
              <w:jc w:val="right"/>
              <w:spacing w:after="0"/>
              <w:rPr>
                <w:sz w:val="20"/>
                <w:szCs w:val="20"/>
                <w:color w:val="auto"/>
              </w:rPr>
            </w:pPr>
            <w:r>
              <w:rPr>
                <w:rFonts w:ascii="Arial" w:cs="Arial" w:eastAsia="Arial" w:hAnsi="Arial"/>
                <w:sz w:val="20"/>
                <w:szCs w:val="20"/>
                <w:color w:val="auto"/>
              </w:rPr>
              <w:t>143</w:t>
            </w:r>
          </w:p>
        </w:tc>
        <w:tc>
          <w:tcPr>
            <w:tcW w:w="0" w:type="dxa"/>
            <w:vAlign w:val="bottom"/>
          </w:tcPr>
          <w:p>
            <w:pPr>
              <w:spacing w:after="0"/>
              <w:rPr>
                <w:sz w:val="1"/>
                <w:szCs w:val="1"/>
                <w:color w:val="auto"/>
              </w:rPr>
            </w:pPr>
          </w:p>
        </w:tc>
      </w:tr>
      <w:tr>
        <w:trPr>
          <w:trHeight w:val="294"/>
        </w:trPr>
        <w:tc>
          <w:tcPr>
            <w:tcW w:w="9340" w:type="dxa"/>
            <w:vAlign w:val="bottom"/>
          </w:tcPr>
          <w:p>
            <w:pPr>
              <w:ind w:left="220"/>
              <w:spacing w:after="0"/>
              <w:rPr>
                <w:sz w:val="20"/>
                <w:szCs w:val="20"/>
                <w:color w:val="auto"/>
              </w:rPr>
            </w:pPr>
            <w:r>
              <w:rPr>
                <w:rFonts w:ascii="Arial" w:cs="Arial" w:eastAsia="Arial" w:hAnsi="Arial"/>
                <w:sz w:val="20"/>
                <w:szCs w:val="20"/>
                <w:color w:val="auto"/>
              </w:rPr>
              <w:t>Item 16 — Form 10-K Summary</w:t>
            </w:r>
          </w:p>
        </w:tc>
        <w:tc>
          <w:tcPr>
            <w:tcW w:w="580" w:type="dxa"/>
            <w:vAlign w:val="bottom"/>
          </w:tcPr>
          <w:p>
            <w:pPr>
              <w:jc w:val="right"/>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20"/>
          </w:cols>
          <w:pgMar w:left="980" w:top="57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9920"/>
          </w:cols>
          <w:pgMar w:left="980" w:top="577" w:right="980"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GLOSSARY OF TERMS</w:t>
      </w:r>
    </w:p>
    <w:p>
      <w:pPr>
        <w:spacing w:after="0" w:line="18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When the following terms and abbreviations appear in the text of this report, they have the meanings indicated below:</w:t>
      </w:r>
    </w:p>
    <w:p>
      <w:pPr>
        <w:spacing w:after="0" w:line="101"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2028 Senior Notes</w:t>
      </w:r>
      <w:r>
        <w:rPr>
          <w:sz w:val="20"/>
          <w:szCs w:val="20"/>
          <w:color w:val="auto"/>
        </w:rPr>
        <w:tab/>
      </w:r>
      <w:r>
        <w:rPr>
          <w:rFonts w:ascii="Arial" w:cs="Arial" w:eastAsia="Arial" w:hAnsi="Arial"/>
          <w:sz w:val="17"/>
          <w:szCs w:val="17"/>
          <w:color w:val="auto"/>
        </w:rPr>
        <w:t>$850 million aggregate principal amount of 4.75% unsecured senior notes due 2028, issued</w:t>
      </w:r>
    </w:p>
    <w:p>
      <w:pPr>
        <w:ind w:left="2580"/>
        <w:spacing w:after="0"/>
        <w:rPr>
          <w:sz w:val="20"/>
          <w:szCs w:val="20"/>
          <w:color w:val="auto"/>
        </w:rPr>
      </w:pPr>
      <w:r>
        <w:rPr>
          <w:rFonts w:ascii="Arial" w:cs="Arial" w:eastAsia="Arial" w:hAnsi="Arial"/>
          <w:sz w:val="20"/>
          <w:szCs w:val="20"/>
          <w:color w:val="auto"/>
        </w:rPr>
        <w:t>by Clearway Energy Operating LLC</w:t>
      </w:r>
    </w:p>
    <w:p>
      <w:pPr>
        <w:spacing w:after="0" w:line="25"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2031 Senior Notes</w:t>
      </w:r>
      <w:r>
        <w:rPr>
          <w:sz w:val="20"/>
          <w:szCs w:val="20"/>
          <w:color w:val="auto"/>
        </w:rPr>
        <w:tab/>
      </w:r>
      <w:r>
        <w:rPr>
          <w:rFonts w:ascii="Arial" w:cs="Arial" w:eastAsia="Arial" w:hAnsi="Arial"/>
          <w:sz w:val="17"/>
          <w:szCs w:val="17"/>
          <w:color w:val="auto"/>
        </w:rPr>
        <w:t>$925 million aggregate principal amount of 3.75% unsecured senior notes due 2031, issued</w:t>
      </w:r>
    </w:p>
    <w:p>
      <w:pPr>
        <w:ind w:left="2580"/>
        <w:spacing w:after="0"/>
        <w:rPr>
          <w:sz w:val="20"/>
          <w:szCs w:val="20"/>
          <w:color w:val="auto"/>
        </w:rPr>
      </w:pPr>
      <w:r>
        <w:rPr>
          <w:rFonts w:ascii="Arial" w:cs="Arial" w:eastAsia="Arial" w:hAnsi="Arial"/>
          <w:sz w:val="20"/>
          <w:szCs w:val="20"/>
          <w:color w:val="auto"/>
        </w:rPr>
        <w:t>by Clearway Energy Operating LLC</w:t>
      </w:r>
    </w:p>
    <w:p>
      <w:pPr>
        <w:spacing w:after="0" w:line="25"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2032 Senior Notes</w:t>
      </w:r>
      <w:r>
        <w:rPr>
          <w:sz w:val="20"/>
          <w:szCs w:val="20"/>
          <w:color w:val="auto"/>
        </w:rPr>
        <w:tab/>
      </w:r>
      <w:r>
        <w:rPr>
          <w:rFonts w:ascii="Arial" w:cs="Arial" w:eastAsia="Arial" w:hAnsi="Arial"/>
          <w:sz w:val="17"/>
          <w:szCs w:val="17"/>
          <w:color w:val="auto"/>
        </w:rPr>
        <w:t>$350 million aggregate principal amount of 3.75% unsecured senior notes due 2032, issued</w:t>
      </w:r>
    </w:p>
    <w:p>
      <w:pPr>
        <w:ind w:left="2580"/>
        <w:spacing w:after="0"/>
        <w:rPr>
          <w:sz w:val="20"/>
          <w:szCs w:val="20"/>
          <w:color w:val="auto"/>
        </w:rPr>
      </w:pPr>
      <w:r>
        <w:rPr>
          <w:rFonts w:ascii="Arial" w:cs="Arial" w:eastAsia="Arial" w:hAnsi="Arial"/>
          <w:sz w:val="20"/>
          <w:szCs w:val="20"/>
          <w:color w:val="auto"/>
        </w:rPr>
        <w:t>by Clearway Energy Operating LLC</w:t>
      </w:r>
    </w:p>
    <w:p>
      <w:pPr>
        <w:spacing w:after="0" w:line="25"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2034 Senior Notes</w:t>
      </w:r>
      <w:r>
        <w:rPr>
          <w:sz w:val="20"/>
          <w:szCs w:val="20"/>
          <w:color w:val="auto"/>
        </w:rPr>
        <w:tab/>
      </w:r>
      <w:r>
        <w:rPr>
          <w:rFonts w:ascii="Arial" w:cs="Arial" w:eastAsia="Arial" w:hAnsi="Arial"/>
          <w:sz w:val="17"/>
          <w:szCs w:val="17"/>
          <w:color w:val="auto"/>
        </w:rPr>
        <w:t>$600 million aggregate principal amount of 5.75% unsecured senior notes due 2034, issued</w:t>
      </w:r>
    </w:p>
    <w:p>
      <w:pPr>
        <w:ind w:left="2580"/>
        <w:spacing w:after="0"/>
        <w:rPr>
          <w:sz w:val="20"/>
          <w:szCs w:val="20"/>
          <w:color w:val="auto"/>
        </w:rPr>
      </w:pPr>
      <w:r>
        <w:rPr>
          <w:rFonts w:ascii="Arial" w:cs="Arial" w:eastAsia="Arial" w:hAnsi="Arial"/>
          <w:sz w:val="20"/>
          <w:szCs w:val="20"/>
          <w:color w:val="auto"/>
        </w:rPr>
        <w:t>by Clearway Energy Operating LLC</w:t>
      </w:r>
    </w:p>
    <w:p>
      <w:pPr>
        <w:spacing w:after="0" w:line="25"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Adjusted EBITDA</w:t>
      </w:r>
      <w:r>
        <w:rPr>
          <w:sz w:val="20"/>
          <w:szCs w:val="20"/>
          <w:color w:val="auto"/>
        </w:rPr>
        <w:tab/>
      </w:r>
      <w:r>
        <w:rPr>
          <w:rFonts w:ascii="Arial" w:cs="Arial" w:eastAsia="Arial" w:hAnsi="Arial"/>
          <w:sz w:val="17"/>
          <w:szCs w:val="17"/>
          <w:color w:val="auto"/>
        </w:rPr>
        <w:t>A  non-GAAP  measure,  represents  earnings  before  interest  (including  loss  on  debt</w:t>
      </w:r>
    </w:p>
    <w:p>
      <w:pPr>
        <w:ind w:left="2580"/>
        <w:spacing w:after="0"/>
        <w:rPr>
          <w:sz w:val="20"/>
          <w:szCs w:val="20"/>
          <w:color w:val="auto"/>
        </w:rPr>
      </w:pPr>
      <w:r>
        <w:rPr>
          <w:rFonts w:ascii="Arial" w:cs="Arial" w:eastAsia="Arial" w:hAnsi="Arial"/>
          <w:sz w:val="17"/>
          <w:szCs w:val="17"/>
          <w:color w:val="auto"/>
        </w:rPr>
        <w:t>extinguishment), tax, depreciation and amortization adjusted for mark-to-market gains or</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losses, asset write offs and impairments; and factors which the Company does not consider</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indicative of future operating performance</w:t>
      </w:r>
    </w:p>
    <w:p>
      <w:pPr>
        <w:spacing w:after="0" w:line="42"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ARO</w:t>
      </w:r>
      <w:r>
        <w:rPr>
          <w:sz w:val="20"/>
          <w:szCs w:val="20"/>
          <w:color w:val="auto"/>
        </w:rPr>
        <w:tab/>
      </w:r>
      <w:r>
        <w:rPr>
          <w:rFonts w:ascii="Arial" w:cs="Arial" w:eastAsia="Arial" w:hAnsi="Arial"/>
          <w:sz w:val="20"/>
          <w:szCs w:val="20"/>
          <w:color w:val="auto"/>
        </w:rPr>
        <w:t>Asset Retirement Obligation</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17"/>
          <w:szCs w:val="17"/>
          <w:color w:val="auto"/>
        </w:rPr>
        <w:t>ASC</w:t>
      </w:r>
      <w:r>
        <w:rPr>
          <w:sz w:val="20"/>
          <w:szCs w:val="20"/>
          <w:color w:val="auto"/>
        </w:rPr>
        <w:tab/>
      </w:r>
      <w:r>
        <w:rPr>
          <w:rFonts w:ascii="Arial" w:cs="Arial" w:eastAsia="Arial" w:hAnsi="Arial"/>
          <w:sz w:val="17"/>
          <w:szCs w:val="17"/>
          <w:color w:val="auto"/>
        </w:rPr>
        <w:t>The FASB Accounting Standards Codification, which the FASB established as the source of</w:t>
      </w:r>
    </w:p>
    <w:p>
      <w:pPr>
        <w:spacing w:after="0" w:line="23" w:lineRule="exact"/>
        <w:rPr>
          <w:sz w:val="20"/>
          <w:szCs w:val="20"/>
          <w:color w:val="auto"/>
        </w:rPr>
      </w:pPr>
    </w:p>
    <w:p>
      <w:pPr>
        <w:jc w:val="center"/>
        <w:ind w:right="3240"/>
        <w:spacing w:after="0"/>
        <w:rPr>
          <w:sz w:val="20"/>
          <w:szCs w:val="20"/>
          <w:color w:val="auto"/>
        </w:rPr>
      </w:pPr>
      <w:r>
        <w:rPr>
          <w:rFonts w:ascii="Arial" w:cs="Arial" w:eastAsia="Arial" w:hAnsi="Arial"/>
          <w:sz w:val="20"/>
          <w:szCs w:val="20"/>
          <w:color w:val="auto"/>
        </w:rPr>
        <w:t>authoritative GAAP</w:t>
      </w:r>
    </w:p>
    <w:p>
      <w:pPr>
        <w:spacing w:after="0" w:line="37"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ASU</w:t>
      </w:r>
      <w:r>
        <w:rPr>
          <w:sz w:val="20"/>
          <w:szCs w:val="20"/>
          <w:color w:val="auto"/>
        </w:rPr>
        <w:tab/>
      </w:r>
      <w:r>
        <w:rPr>
          <w:rFonts w:ascii="Arial" w:cs="Arial" w:eastAsia="Arial" w:hAnsi="Arial"/>
          <w:sz w:val="20"/>
          <w:szCs w:val="20"/>
          <w:color w:val="auto"/>
        </w:rPr>
        <w:t>Accounting Standards Updates – updates to the ASC</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ATM Program</w:t>
      </w:r>
      <w:r>
        <w:rPr>
          <w:sz w:val="20"/>
          <w:szCs w:val="20"/>
          <w:color w:val="auto"/>
        </w:rPr>
        <w:tab/>
      </w:r>
      <w:r>
        <w:rPr>
          <w:rFonts w:ascii="Arial" w:cs="Arial" w:eastAsia="Arial" w:hAnsi="Arial"/>
          <w:sz w:val="17"/>
          <w:szCs w:val="17"/>
          <w:color w:val="auto"/>
        </w:rPr>
        <w:t>At-the-Market Equity Offering Program</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BESS</w:t>
      </w:r>
      <w:r>
        <w:rPr>
          <w:sz w:val="20"/>
          <w:szCs w:val="20"/>
          <w:color w:val="auto"/>
        </w:rPr>
        <w:tab/>
      </w:r>
      <w:r>
        <w:rPr>
          <w:rFonts w:ascii="Arial" w:cs="Arial" w:eastAsia="Arial" w:hAnsi="Arial"/>
          <w:sz w:val="20"/>
          <w:szCs w:val="20"/>
          <w:color w:val="auto"/>
        </w:rPr>
        <w:t>Battery energy storage system</w:t>
      </w:r>
    </w:p>
    <w:p>
      <w:pPr>
        <w:spacing w:after="0" w:line="52"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Black Start</w:t>
      </w:r>
      <w:r>
        <w:rPr>
          <w:sz w:val="20"/>
          <w:szCs w:val="20"/>
          <w:color w:val="auto"/>
        </w:rPr>
        <w:tab/>
      </w:r>
      <w:r>
        <w:rPr>
          <w:rFonts w:ascii="Arial" w:cs="Arial" w:eastAsia="Arial" w:hAnsi="Arial"/>
          <w:sz w:val="19"/>
          <w:szCs w:val="19"/>
          <w:color w:val="auto"/>
        </w:rPr>
        <w:t>The capability of a generating asset to restore the grid in the event of a blackout without</w:t>
      </w:r>
    </w:p>
    <w:p>
      <w:pPr>
        <w:jc w:val="center"/>
        <w:ind w:right="160"/>
        <w:spacing w:after="0"/>
        <w:rPr>
          <w:sz w:val="20"/>
          <w:szCs w:val="20"/>
          <w:color w:val="auto"/>
        </w:rPr>
      </w:pPr>
      <w:r>
        <w:rPr>
          <w:rFonts w:ascii="Arial" w:cs="Arial" w:eastAsia="Arial" w:hAnsi="Arial"/>
          <w:sz w:val="20"/>
          <w:szCs w:val="20"/>
          <w:color w:val="auto"/>
        </w:rPr>
        <w:t>relying on the external electric power transmission network</w:t>
      </w:r>
    </w:p>
    <w:p>
      <w:pPr>
        <w:spacing w:after="0" w:line="37" w:lineRule="exact"/>
        <w:rPr>
          <w:sz w:val="20"/>
          <w:szCs w:val="20"/>
          <w:color w:val="auto"/>
        </w:rPr>
      </w:pPr>
    </w:p>
    <w:p>
      <w:pPr>
        <w:spacing w:after="0"/>
        <w:tabs>
          <w:tab w:leader="none" w:pos="2560" w:val="left"/>
        </w:tabs>
        <w:rPr>
          <w:sz w:val="20"/>
          <w:szCs w:val="20"/>
          <w:color w:val="auto"/>
        </w:rPr>
      </w:pPr>
      <w:r>
        <w:rPr>
          <w:rFonts w:ascii="Arial" w:cs="Arial" w:eastAsia="Arial" w:hAnsi="Arial"/>
          <w:sz w:val="17"/>
          <w:szCs w:val="17"/>
          <w:color w:val="auto"/>
        </w:rPr>
        <w:t>CAFD</w:t>
      </w:r>
      <w:r>
        <w:rPr>
          <w:sz w:val="20"/>
          <w:szCs w:val="20"/>
          <w:color w:val="auto"/>
        </w:rPr>
        <w:tab/>
      </w:r>
      <w:r>
        <w:rPr>
          <w:rFonts w:ascii="Arial" w:cs="Arial" w:eastAsia="Arial" w:hAnsi="Arial"/>
          <w:sz w:val="17"/>
          <w:szCs w:val="17"/>
          <w:color w:val="auto"/>
        </w:rPr>
        <w:t>A non-GAAP measure, Cash Available for Distribution is defined as of December 31, 2025</w:t>
      </w:r>
    </w:p>
    <w:p>
      <w:pPr>
        <w:ind w:left="2580"/>
        <w:spacing w:after="0"/>
        <w:rPr>
          <w:sz w:val="20"/>
          <w:szCs w:val="20"/>
          <w:color w:val="auto"/>
        </w:rPr>
      </w:pPr>
      <w:r>
        <w:rPr>
          <w:rFonts w:ascii="Arial" w:cs="Arial" w:eastAsia="Arial" w:hAnsi="Arial"/>
          <w:sz w:val="19"/>
          <w:szCs w:val="19"/>
          <w:color w:val="auto"/>
        </w:rPr>
        <w:t>as Adjusted EBITDA plus cash distributions/return of investment from unconsolidated</w:t>
      </w:r>
    </w:p>
    <w:p>
      <w:pPr>
        <w:ind w:left="2580"/>
        <w:spacing w:after="0" w:line="215" w:lineRule="auto"/>
        <w:rPr>
          <w:sz w:val="20"/>
          <w:szCs w:val="20"/>
          <w:color w:val="auto"/>
        </w:rPr>
      </w:pPr>
      <w:r>
        <w:rPr>
          <w:rFonts w:ascii="Arial" w:cs="Arial" w:eastAsia="Arial" w:hAnsi="Arial"/>
          <w:sz w:val="19"/>
          <w:szCs w:val="19"/>
          <w:color w:val="auto"/>
        </w:rPr>
        <w:t>affiliates, cash receipts from notes receivable, cash contributions from noncontrolling</w:t>
      </w:r>
    </w:p>
    <w:p>
      <w:pPr>
        <w:ind w:left="2580"/>
        <w:spacing w:after="0"/>
        <w:rPr>
          <w:sz w:val="20"/>
          <w:szCs w:val="20"/>
          <w:color w:val="auto"/>
        </w:rPr>
      </w:pPr>
      <w:r>
        <w:rPr>
          <w:rFonts w:ascii="Arial" w:cs="Arial" w:eastAsia="Arial" w:hAnsi="Arial"/>
          <w:sz w:val="17"/>
          <w:szCs w:val="17"/>
          <w:color w:val="auto"/>
        </w:rPr>
        <w:t>interests, adjustments to reflect sales-type lease cash payments and payments for lease</w:t>
      </w:r>
    </w:p>
    <w:p>
      <w:pPr>
        <w:ind w:left="2580"/>
        <w:spacing w:after="0"/>
        <w:tabs>
          <w:tab w:leader="none" w:pos="3500" w:val="left"/>
          <w:tab w:leader="none" w:pos="3980" w:val="left"/>
          <w:tab w:leader="none" w:pos="4520" w:val="left"/>
          <w:tab w:leader="none" w:pos="5680" w:val="left"/>
          <w:tab w:leader="none" w:pos="6020" w:val="left"/>
          <w:tab w:leader="none" w:pos="7360" w:val="left"/>
          <w:tab w:leader="none" w:pos="8240" w:val="left"/>
          <w:tab w:leader="none" w:pos="9420" w:val="left"/>
        </w:tabs>
        <w:rPr>
          <w:sz w:val="20"/>
          <w:szCs w:val="20"/>
          <w:color w:val="auto"/>
        </w:rPr>
      </w:pPr>
      <w:r>
        <w:rPr>
          <w:rFonts w:ascii="Arial" w:cs="Arial" w:eastAsia="Arial" w:hAnsi="Arial"/>
          <w:sz w:val="20"/>
          <w:szCs w:val="20"/>
          <w:color w:val="auto"/>
        </w:rPr>
        <w:t>expenses,</w:t>
        <w:tab/>
        <w:t>less</w:t>
        <w:tab/>
        <w:t>cash</w:t>
        <w:tab/>
        <w:t>distributions</w:t>
        <w:tab/>
        <w:t>to</w:t>
        <w:tab/>
        <w:t>noncontrolling</w:t>
        <w:tab/>
        <w:t>interests,</w:t>
        <w:tab/>
        <w:t>maintenance</w:t>
      </w:r>
      <w:r>
        <w:rPr>
          <w:sz w:val="20"/>
          <w:szCs w:val="20"/>
          <w:color w:val="auto"/>
        </w:rPr>
        <w:tab/>
      </w:r>
      <w:r>
        <w:rPr>
          <w:rFonts w:ascii="Arial" w:cs="Arial" w:eastAsia="Arial" w:hAnsi="Arial"/>
          <w:sz w:val="17"/>
          <w:szCs w:val="17"/>
          <w:color w:val="auto"/>
        </w:rPr>
        <w:t>capital</w:t>
      </w:r>
    </w:p>
    <w:p>
      <w:pPr>
        <w:ind w:left="2580"/>
        <w:spacing w:after="0"/>
        <w:rPr>
          <w:sz w:val="20"/>
          <w:szCs w:val="20"/>
          <w:color w:val="auto"/>
        </w:rPr>
      </w:pPr>
      <w:r>
        <w:rPr>
          <w:rFonts w:ascii="Arial" w:cs="Arial" w:eastAsia="Arial" w:hAnsi="Arial"/>
          <w:sz w:val="17"/>
          <w:szCs w:val="17"/>
          <w:color w:val="auto"/>
        </w:rPr>
        <w:t>expenditures, pro-rata Adjusted EBITDA from unconsolidated affiliates, cash interest paid,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income taxes paid, principal amortization of indebtedness, changes in prepaid and accrued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capacity payments, and adjusted for development expenses</w:t>
      </w:r>
    </w:p>
    <w:p>
      <w:pPr>
        <w:spacing w:after="0" w:line="37"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CAISO</w:t>
      </w:r>
      <w:r>
        <w:rPr>
          <w:sz w:val="20"/>
          <w:szCs w:val="20"/>
          <w:color w:val="auto"/>
        </w:rPr>
        <w:tab/>
      </w:r>
      <w:r>
        <w:rPr>
          <w:rFonts w:ascii="Arial" w:cs="Arial" w:eastAsia="Arial" w:hAnsi="Arial"/>
          <w:sz w:val="20"/>
          <w:szCs w:val="20"/>
          <w:color w:val="auto"/>
        </w:rPr>
        <w:t>California Independent System Operator</w:t>
      </w:r>
    </w:p>
    <w:p>
      <w:pPr>
        <w:spacing w:after="0" w:line="52" w:lineRule="exact"/>
        <w:rPr>
          <w:sz w:val="20"/>
          <w:szCs w:val="20"/>
          <w:color w:val="auto"/>
        </w:rPr>
      </w:pPr>
    </w:p>
    <w:p>
      <w:pPr>
        <w:spacing w:after="0"/>
        <w:tabs>
          <w:tab w:leader="none" w:pos="1000" w:val="left"/>
          <w:tab w:leader="none" w:pos="1880" w:val="left"/>
        </w:tabs>
        <w:rPr>
          <w:sz w:val="20"/>
          <w:szCs w:val="20"/>
          <w:color w:val="auto"/>
        </w:rPr>
      </w:pPr>
      <w:r>
        <w:rPr>
          <w:rFonts w:ascii="Arial" w:cs="Arial" w:eastAsia="Arial" w:hAnsi="Arial"/>
          <w:sz w:val="20"/>
          <w:szCs w:val="20"/>
          <w:color w:val="auto"/>
        </w:rPr>
        <w:t>Capistrano</w:t>
        <w:tab/>
        <w:t>Portfolio</w:t>
      </w:r>
      <w:r>
        <w:rPr>
          <w:sz w:val="20"/>
          <w:szCs w:val="20"/>
          <w:color w:val="auto"/>
        </w:rPr>
        <w:tab/>
      </w:r>
      <w:r>
        <w:rPr>
          <w:rFonts w:ascii="Arial" w:cs="Arial" w:eastAsia="Arial" w:hAnsi="Arial"/>
          <w:sz w:val="17"/>
          <w:szCs w:val="17"/>
          <w:color w:val="auto"/>
        </w:rPr>
        <w:t>Holdco The holding company that owns four wind facilities representing 263 MW of capacity, which</w:t>
      </w:r>
    </w:p>
    <w:p>
      <w:pPr>
        <w:spacing w:after="0"/>
        <w:tabs>
          <w:tab w:leader="none" w:pos="2560" w:val="left"/>
        </w:tabs>
        <w:rPr>
          <w:sz w:val="20"/>
          <w:szCs w:val="20"/>
          <w:color w:val="auto"/>
        </w:rPr>
      </w:pPr>
      <w:r>
        <w:rPr>
          <w:rFonts w:ascii="Arial" w:cs="Arial" w:eastAsia="Arial" w:hAnsi="Arial"/>
          <w:sz w:val="20"/>
          <w:szCs w:val="20"/>
          <w:color w:val="auto"/>
        </w:rPr>
        <w:t>LLC</w:t>
      </w:r>
      <w:r>
        <w:rPr>
          <w:sz w:val="20"/>
          <w:szCs w:val="20"/>
          <w:color w:val="auto"/>
        </w:rPr>
        <w:tab/>
      </w:r>
      <w:r>
        <w:rPr>
          <w:rFonts w:ascii="Arial" w:cs="Arial" w:eastAsia="Arial" w:hAnsi="Arial"/>
          <w:sz w:val="20"/>
          <w:szCs w:val="20"/>
          <w:color w:val="auto"/>
        </w:rPr>
        <w:t>includes Broken Bow, Crofton Bluffs, Mountain Wind 1 and Mountain Wind 2</w:t>
      </w:r>
    </w:p>
    <w:p>
      <w:pPr>
        <w:spacing w:after="0" w:line="25"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Capistrano Wind Portfolio</w:t>
      </w:r>
      <w:r>
        <w:rPr>
          <w:sz w:val="20"/>
          <w:szCs w:val="20"/>
          <w:color w:val="auto"/>
        </w:rPr>
        <w:tab/>
      </w:r>
      <w:r>
        <w:rPr>
          <w:rFonts w:ascii="Arial" w:cs="Arial" w:eastAsia="Arial" w:hAnsi="Arial"/>
          <w:sz w:val="19"/>
          <w:szCs w:val="19"/>
          <w:color w:val="auto"/>
        </w:rPr>
        <w:t>Portfolio of wind facilities acquired from Clearway Renew on August 22, 2022, which</w:t>
      </w:r>
    </w:p>
    <w:p>
      <w:pPr>
        <w:ind w:left="2580"/>
        <w:spacing w:after="0"/>
        <w:rPr>
          <w:sz w:val="20"/>
          <w:szCs w:val="20"/>
          <w:color w:val="auto"/>
        </w:rPr>
      </w:pPr>
      <w:r>
        <w:rPr>
          <w:rFonts w:ascii="Arial" w:cs="Arial" w:eastAsia="Arial" w:hAnsi="Arial"/>
          <w:sz w:val="19"/>
          <w:szCs w:val="19"/>
          <w:color w:val="auto"/>
        </w:rPr>
        <w:t>includes Broken Bow, Cedro Hill, Crofton Bluffs, Mountain Wind 1 and Mountain Wind 2</w:t>
      </w:r>
    </w:p>
    <w:p>
      <w:pPr>
        <w:spacing w:after="0" w:line="48" w:lineRule="exact"/>
        <w:rPr>
          <w:sz w:val="20"/>
          <w:szCs w:val="20"/>
          <w:color w:val="auto"/>
        </w:rPr>
      </w:pPr>
    </w:p>
    <w:p>
      <w:pPr>
        <w:spacing w:after="0"/>
        <w:tabs>
          <w:tab w:leader="none" w:pos="2560" w:val="left"/>
        </w:tabs>
        <w:rPr>
          <w:sz w:val="20"/>
          <w:szCs w:val="20"/>
          <w:color w:val="auto"/>
        </w:rPr>
      </w:pPr>
      <w:r>
        <w:rPr>
          <w:rFonts w:ascii="Arial" w:cs="Arial" w:eastAsia="Arial" w:hAnsi="Arial"/>
          <w:sz w:val="19"/>
          <w:szCs w:val="19"/>
          <w:color w:val="auto"/>
        </w:rPr>
        <w:t>Catalina</w:t>
      </w:r>
      <w:r>
        <w:rPr>
          <w:sz w:val="20"/>
          <w:szCs w:val="20"/>
          <w:color w:val="auto"/>
        </w:rPr>
        <w:tab/>
      </w:r>
      <w:r>
        <w:rPr>
          <w:rFonts w:ascii="Arial" w:cs="Arial" w:eastAsia="Arial" w:hAnsi="Arial"/>
          <w:sz w:val="19"/>
          <w:szCs w:val="19"/>
          <w:color w:val="auto"/>
        </w:rPr>
        <w:t>109 MW solar facility located in Kern County, California that the Company leases and</w:t>
      </w:r>
    </w:p>
    <w:p>
      <w:pPr>
        <w:ind w:left="2580"/>
        <w:spacing w:after="0"/>
        <w:rPr>
          <w:sz w:val="20"/>
          <w:szCs w:val="20"/>
          <w:color w:val="auto"/>
        </w:rPr>
      </w:pPr>
      <w:r>
        <w:rPr>
          <w:rFonts w:ascii="Arial" w:cs="Arial" w:eastAsia="Arial" w:hAnsi="Arial"/>
          <w:sz w:val="20"/>
          <w:szCs w:val="20"/>
          <w:color w:val="auto"/>
        </w:rPr>
        <w:t>operates</w:t>
      </w:r>
    </w:p>
    <w:p>
      <w:pPr>
        <w:spacing w:after="0" w:line="37"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CEG</w:t>
      </w:r>
      <w:r>
        <w:rPr>
          <w:sz w:val="20"/>
          <w:szCs w:val="20"/>
          <w:color w:val="auto"/>
        </w:rPr>
        <w:tab/>
      </w:r>
      <w:r>
        <w:rPr>
          <w:rFonts w:ascii="Arial" w:cs="Arial" w:eastAsia="Arial" w:hAnsi="Arial"/>
          <w:sz w:val="20"/>
          <w:szCs w:val="20"/>
          <w:color w:val="auto"/>
        </w:rPr>
        <w:t>Clearway Energy Group LLC (formerly Zephyr Renewables LLC)</w:t>
      </w:r>
    </w:p>
    <w:p>
      <w:pPr>
        <w:spacing w:after="0" w:line="52"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CEG Master Services</w:t>
      </w:r>
      <w:r>
        <w:rPr>
          <w:sz w:val="20"/>
          <w:szCs w:val="20"/>
          <w:color w:val="auto"/>
        </w:rPr>
        <w:tab/>
      </w:r>
      <w:r>
        <w:rPr>
          <w:rFonts w:ascii="Arial" w:cs="Arial" w:eastAsia="Arial" w:hAnsi="Arial"/>
          <w:sz w:val="17"/>
          <w:szCs w:val="17"/>
          <w:color w:val="auto"/>
        </w:rPr>
        <w:t>Amended and Restated Master Services Agreement and Payroll Sharing Agreement, effective</w:t>
      </w:r>
    </w:p>
    <w:p>
      <w:pPr>
        <w:spacing w:after="0"/>
        <w:tabs>
          <w:tab w:leader="none" w:pos="2560" w:val="left"/>
        </w:tabs>
        <w:rPr>
          <w:sz w:val="20"/>
          <w:szCs w:val="20"/>
          <w:color w:val="auto"/>
        </w:rPr>
      </w:pPr>
      <w:r>
        <w:rPr>
          <w:rFonts w:ascii="Arial" w:cs="Arial" w:eastAsia="Arial" w:hAnsi="Arial"/>
          <w:sz w:val="17"/>
          <w:szCs w:val="17"/>
          <w:color w:val="auto"/>
        </w:rPr>
        <w:t>Agreement</w:t>
      </w:r>
      <w:r>
        <w:rPr>
          <w:sz w:val="20"/>
          <w:szCs w:val="20"/>
          <w:color w:val="auto"/>
        </w:rPr>
        <w:tab/>
      </w:r>
      <w:r>
        <w:rPr>
          <w:rFonts w:ascii="Arial" w:cs="Arial" w:eastAsia="Arial" w:hAnsi="Arial"/>
          <w:sz w:val="17"/>
          <w:szCs w:val="17"/>
          <w:color w:val="auto"/>
        </w:rPr>
        <w:t>as of January 1, 2025, among the Company, Clearway Energy Finance Inc., Clearway Energy</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LLC, Clearway Energy Operating LLC and CEG</w:t>
      </w:r>
    </w:p>
    <w:p>
      <w:pPr>
        <w:spacing w:after="0" w:line="35"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Clearway Energy LLC</w:t>
      </w:r>
      <w:r>
        <w:rPr>
          <w:sz w:val="20"/>
          <w:szCs w:val="20"/>
          <w:color w:val="auto"/>
        </w:rPr>
        <w:tab/>
      </w:r>
      <w:r>
        <w:rPr>
          <w:rFonts w:ascii="Arial" w:cs="Arial" w:eastAsia="Arial" w:hAnsi="Arial"/>
          <w:sz w:val="19"/>
          <w:szCs w:val="19"/>
          <w:color w:val="auto"/>
        </w:rPr>
        <w:t>The holding company through which the facilities are owned by Clearway Energy Group</w:t>
      </w:r>
    </w:p>
    <w:p>
      <w:pPr>
        <w:ind w:left="2580"/>
        <w:spacing w:after="0" w:line="223" w:lineRule="auto"/>
        <w:rPr>
          <w:sz w:val="20"/>
          <w:szCs w:val="20"/>
          <w:color w:val="auto"/>
        </w:rPr>
      </w:pPr>
      <w:r>
        <w:rPr>
          <w:rFonts w:ascii="Arial" w:cs="Arial" w:eastAsia="Arial" w:hAnsi="Arial"/>
          <w:sz w:val="20"/>
          <w:szCs w:val="20"/>
          <w:color w:val="auto"/>
        </w:rPr>
        <w:t>LLC, the holder of Class B and Class D units, and the Company, the holder of the Class A and Class C units</w:t>
      </w:r>
    </w:p>
    <w:p>
      <w:pPr>
        <w:spacing w:after="0" w:line="3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Clearway Energy Group LLC</w:t>
      </w:r>
      <w:r>
        <w:rPr>
          <w:sz w:val="20"/>
          <w:szCs w:val="20"/>
          <w:color w:val="auto"/>
        </w:rPr>
        <w:tab/>
      </w:r>
      <w:r>
        <w:rPr>
          <w:rFonts w:ascii="Arial" w:cs="Arial" w:eastAsia="Arial" w:hAnsi="Arial"/>
          <w:sz w:val="17"/>
          <w:szCs w:val="17"/>
          <w:color w:val="auto"/>
        </w:rPr>
        <w:t>The holder of all shares of the Company’s Class B and Class D common stock and Clearway</w:t>
      </w:r>
    </w:p>
    <w:p>
      <w:pPr>
        <w:jc w:val="right"/>
        <w:spacing w:after="0" w:line="204" w:lineRule="auto"/>
        <w:rPr>
          <w:sz w:val="20"/>
          <w:szCs w:val="20"/>
          <w:color w:val="auto"/>
        </w:rPr>
      </w:pPr>
      <w:r>
        <w:rPr>
          <w:rFonts w:ascii="Arial" w:cs="Arial" w:eastAsia="Arial" w:hAnsi="Arial"/>
          <w:sz w:val="20"/>
          <w:szCs w:val="20"/>
          <w:color w:val="auto"/>
        </w:rPr>
        <w:t>Energy LLC’s Class B and Class D units, and from time to time, possibly shares of the</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Company’s Class A and/or Class C common stock. Clearway Energy Group LLC is a leading</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developer of renewable, energy storage and power infrastructure in the U.S.</w:t>
      </w:r>
    </w:p>
    <w:p>
      <w:pPr>
        <w:spacing w:after="0" w:line="42" w:lineRule="exact"/>
        <w:rPr>
          <w:sz w:val="20"/>
          <w:szCs w:val="20"/>
          <w:color w:val="auto"/>
        </w:rPr>
      </w:pPr>
    </w:p>
    <w:p>
      <w:pPr>
        <w:ind w:right="2020"/>
        <w:spacing w:after="0" w:line="235" w:lineRule="auto"/>
        <w:rPr>
          <w:sz w:val="20"/>
          <w:szCs w:val="20"/>
          <w:color w:val="auto"/>
        </w:rPr>
      </w:pPr>
      <w:r>
        <w:rPr>
          <w:rFonts w:ascii="Arial" w:cs="Arial" w:eastAsia="Arial" w:hAnsi="Arial"/>
          <w:sz w:val="20"/>
          <w:szCs w:val="20"/>
          <w:color w:val="auto"/>
        </w:rPr>
        <w:t>Clearway Energy Operating The holder of the facilities that are owned by Clearway Energy LLC LLC</w:t>
      </w:r>
    </w:p>
    <w:p>
      <w:pPr>
        <w:spacing w:after="0" w:line="35"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Clearway Renew</w:t>
      </w:r>
      <w:r>
        <w:rPr>
          <w:sz w:val="20"/>
          <w:szCs w:val="20"/>
          <w:color w:val="auto"/>
        </w:rPr>
        <w:tab/>
      </w:r>
      <w:r>
        <w:rPr>
          <w:rFonts w:ascii="Arial" w:cs="Arial" w:eastAsia="Arial" w:hAnsi="Arial"/>
          <w:sz w:val="17"/>
          <w:szCs w:val="17"/>
          <w:color w:val="auto"/>
        </w:rPr>
        <w:t>Clearway Renew LLC, a subsidiary of CEG, and its wholly-owned subsidiaries</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COD</w:t>
      </w:r>
      <w:r>
        <w:rPr>
          <w:sz w:val="20"/>
          <w:szCs w:val="20"/>
          <w:color w:val="auto"/>
        </w:rPr>
        <w:tab/>
      </w:r>
      <w:r>
        <w:rPr>
          <w:rFonts w:ascii="Arial" w:cs="Arial" w:eastAsia="Arial" w:hAnsi="Arial"/>
          <w:sz w:val="20"/>
          <w:szCs w:val="20"/>
          <w:color w:val="auto"/>
        </w:rPr>
        <w:t>Commercial Operation Date</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Code</w:t>
      </w:r>
      <w:r>
        <w:rPr>
          <w:sz w:val="20"/>
          <w:szCs w:val="20"/>
          <w:color w:val="auto"/>
        </w:rPr>
        <w:tab/>
      </w:r>
      <w:r>
        <w:rPr>
          <w:rFonts w:ascii="Arial" w:cs="Arial" w:eastAsia="Arial" w:hAnsi="Arial"/>
          <w:sz w:val="20"/>
          <w:szCs w:val="20"/>
          <w:color w:val="auto"/>
        </w:rPr>
        <w:t>Internal Revenue Code of 1986, as amended</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20"/>
          <w:szCs w:val="20"/>
          <w:color w:val="auto"/>
        </w:rPr>
        <w:t>Clearway Energy, Inc., together with its consolidated subsidiaries</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CVSR</w:t>
      </w:r>
      <w:r>
        <w:rPr>
          <w:sz w:val="20"/>
          <w:szCs w:val="20"/>
          <w:color w:val="auto"/>
        </w:rPr>
        <w:tab/>
      </w:r>
      <w:r>
        <w:rPr>
          <w:rFonts w:ascii="Arial" w:cs="Arial" w:eastAsia="Arial" w:hAnsi="Arial"/>
          <w:sz w:val="20"/>
          <w:szCs w:val="20"/>
          <w:color w:val="auto"/>
        </w:rPr>
        <w:t>California Valley Solar Ranch</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CVSR Holdco</w:t>
      </w:r>
      <w:r>
        <w:rPr>
          <w:sz w:val="20"/>
          <w:szCs w:val="20"/>
          <w:color w:val="auto"/>
        </w:rPr>
        <w:tab/>
      </w:r>
      <w:r>
        <w:rPr>
          <w:rFonts w:ascii="Arial" w:cs="Arial" w:eastAsia="Arial" w:hAnsi="Arial"/>
          <w:sz w:val="17"/>
          <w:szCs w:val="17"/>
          <w:color w:val="auto"/>
        </w:rPr>
        <w:t>CVSR Holdco LLC, the indirect owner of CVSR</w:t>
      </w:r>
    </w:p>
    <w:p>
      <w:pPr>
        <w:sectPr>
          <w:pgSz w:w="11880" w:h="15480" w:orient="portrait"/>
          <w:cols w:equalWidth="0" w:num="1">
            <w:col w:w="9960"/>
          </w:cols>
          <w:pgMar w:left="960" w:top="577" w:right="96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9960"/>
          </w:cols>
          <w:pgMar w:left="960" w:top="577" w:right="960" w:bottom="0" w:gutter="0" w:footer="0" w:header="0"/>
          <w:type w:val="continuous"/>
        </w:sectPr>
      </w:pPr>
    </w:p>
    <w:bookmarkStart w:id="5" w:name="page6"/>
    <w:bookmarkEnd w:id="5"/>
    <w:p>
      <w:pPr>
        <w:spacing w:after="0"/>
        <w:tabs>
          <w:tab w:leader="none" w:pos="2560" w:val="left"/>
        </w:tabs>
        <w:rPr>
          <w:sz w:val="20"/>
          <w:szCs w:val="20"/>
          <w:color w:val="auto"/>
        </w:rPr>
      </w:pPr>
      <w:r>
        <w:rPr>
          <w:rFonts w:ascii="Arial" w:cs="Arial" w:eastAsia="Arial" w:hAnsi="Arial"/>
          <w:sz w:val="20"/>
          <w:szCs w:val="20"/>
          <w:color w:val="auto"/>
        </w:rPr>
        <w:t>Daggett 1 Class B</w:t>
      </w:r>
      <w:r>
        <w:rPr>
          <w:sz w:val="20"/>
          <w:szCs w:val="20"/>
          <w:color w:val="auto"/>
        </w:rPr>
        <w:tab/>
      </w:r>
      <w:r>
        <w:rPr>
          <w:rFonts w:ascii="Arial" w:cs="Arial" w:eastAsia="Arial" w:hAnsi="Arial"/>
          <w:sz w:val="17"/>
          <w:szCs w:val="17"/>
          <w:color w:val="auto"/>
        </w:rPr>
        <w:t>Daggett 1 Class B Member LLC, the indirect owner of Daggett 1</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Dan’s Mountain TargetCo</w:t>
      </w:r>
      <w:r>
        <w:rPr>
          <w:sz w:val="20"/>
          <w:szCs w:val="20"/>
          <w:color w:val="auto"/>
        </w:rPr>
        <w:tab/>
      </w:r>
      <w:r>
        <w:rPr>
          <w:rFonts w:ascii="Arial" w:cs="Arial" w:eastAsia="Arial" w:hAnsi="Arial"/>
          <w:sz w:val="17"/>
          <w:szCs w:val="17"/>
          <w:color w:val="auto"/>
        </w:rPr>
        <w:t>Dan’s Mountain TargetCo LLC, a partnership and the indirect owner of Dan’s Mountain</w:t>
      </w:r>
    </w:p>
    <w:p>
      <w:pPr>
        <w:spacing w:after="0" w:line="52"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Deriva Solar Portfolio</w:t>
      </w:r>
      <w:r>
        <w:rPr>
          <w:sz w:val="20"/>
          <w:szCs w:val="20"/>
          <w:color w:val="auto"/>
        </w:rPr>
        <w:tab/>
      </w:r>
      <w:r>
        <w:rPr>
          <w:rFonts w:ascii="Arial" w:cs="Arial" w:eastAsia="Arial" w:hAnsi="Arial"/>
          <w:sz w:val="17"/>
          <w:szCs w:val="17"/>
          <w:color w:val="auto"/>
        </w:rPr>
        <w:t>613 MW operational solar portfolio located in eight states that the Company entered into a</w:t>
      </w:r>
    </w:p>
    <w:p>
      <w:pPr>
        <w:ind w:left="2580"/>
        <w:spacing w:after="0"/>
        <w:rPr>
          <w:sz w:val="20"/>
          <w:szCs w:val="20"/>
          <w:color w:val="auto"/>
        </w:rPr>
      </w:pPr>
      <w:r>
        <w:rPr>
          <w:rFonts w:ascii="Arial" w:cs="Arial" w:eastAsia="Arial" w:hAnsi="Arial"/>
          <w:sz w:val="20"/>
          <w:szCs w:val="20"/>
          <w:color w:val="auto"/>
        </w:rPr>
        <w:t>binding agreement on October 3, 2025 to acquire</w:t>
      </w:r>
    </w:p>
    <w:p>
      <w:pPr>
        <w:spacing w:after="0" w:line="25"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Distributed Solar</w:t>
      </w:r>
      <w:r>
        <w:rPr>
          <w:sz w:val="20"/>
          <w:szCs w:val="20"/>
          <w:color w:val="auto"/>
        </w:rPr>
        <w:tab/>
      </w:r>
      <w:r>
        <w:rPr>
          <w:rFonts w:ascii="Arial" w:cs="Arial" w:eastAsia="Arial" w:hAnsi="Arial"/>
          <w:sz w:val="17"/>
          <w:szCs w:val="17"/>
          <w:color w:val="auto"/>
        </w:rPr>
        <w:t>Solar power facilities, typically less than 20 MW in size (on an alternating current, or AC,</w:t>
      </w:r>
    </w:p>
    <w:p>
      <w:pPr>
        <w:ind w:left="2580"/>
        <w:spacing w:after="0" w:line="223" w:lineRule="auto"/>
        <w:rPr>
          <w:sz w:val="20"/>
          <w:szCs w:val="20"/>
          <w:color w:val="auto"/>
        </w:rPr>
      </w:pPr>
      <w:r>
        <w:rPr>
          <w:rFonts w:ascii="Arial" w:cs="Arial" w:eastAsia="Arial" w:hAnsi="Arial"/>
          <w:sz w:val="20"/>
          <w:szCs w:val="20"/>
          <w:color w:val="auto"/>
        </w:rPr>
        <w:t>basis), that primarily sell power produced to customers for usage on site, or are interconnected to sell power into the local distribution grid</w:t>
      </w:r>
    </w:p>
    <w:p>
      <w:pPr>
        <w:spacing w:after="0" w:line="46"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DRIP</w:t>
      </w:r>
      <w:r>
        <w:rPr>
          <w:sz w:val="20"/>
          <w:szCs w:val="20"/>
          <w:color w:val="auto"/>
        </w:rPr>
        <w:tab/>
      </w:r>
      <w:r>
        <w:rPr>
          <w:rFonts w:ascii="Arial" w:cs="Arial" w:eastAsia="Arial" w:hAnsi="Arial"/>
          <w:sz w:val="20"/>
          <w:szCs w:val="20"/>
          <w:color w:val="auto"/>
        </w:rPr>
        <w:t>Dividend Reinvestment Plan</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Drop Down Assets</w:t>
      </w:r>
      <w:r>
        <w:rPr>
          <w:sz w:val="20"/>
          <w:szCs w:val="20"/>
          <w:color w:val="auto"/>
        </w:rPr>
        <w:tab/>
      </w:r>
      <w:r>
        <w:rPr>
          <w:rFonts w:ascii="Arial" w:cs="Arial" w:eastAsia="Arial" w:hAnsi="Arial"/>
          <w:sz w:val="17"/>
          <w:szCs w:val="17"/>
          <w:color w:val="auto"/>
        </w:rPr>
        <w:t>Assets under common control acquired by the Company from CEG</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DSPP</w:t>
      </w:r>
      <w:r>
        <w:rPr>
          <w:sz w:val="20"/>
          <w:szCs w:val="20"/>
          <w:color w:val="auto"/>
        </w:rPr>
        <w:tab/>
      </w:r>
      <w:r>
        <w:rPr>
          <w:rFonts w:ascii="Arial" w:cs="Arial" w:eastAsia="Arial" w:hAnsi="Arial"/>
          <w:sz w:val="20"/>
          <w:szCs w:val="20"/>
          <w:color w:val="auto"/>
        </w:rPr>
        <w:t>Direct Stock Purchase Plan</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EPA</w:t>
      </w:r>
      <w:r>
        <w:rPr>
          <w:sz w:val="20"/>
          <w:szCs w:val="20"/>
          <w:color w:val="auto"/>
        </w:rPr>
        <w:tab/>
      </w:r>
      <w:r>
        <w:rPr>
          <w:rFonts w:ascii="Arial" w:cs="Arial" w:eastAsia="Arial" w:hAnsi="Arial"/>
          <w:sz w:val="20"/>
          <w:szCs w:val="20"/>
          <w:color w:val="auto"/>
        </w:rPr>
        <w:t>United States Environmental Protection Agency</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17"/>
          <w:szCs w:val="17"/>
          <w:color w:val="auto"/>
        </w:rPr>
        <w:t>ERCOT</w:t>
      </w:r>
      <w:r>
        <w:rPr>
          <w:sz w:val="20"/>
          <w:szCs w:val="20"/>
          <w:color w:val="auto"/>
        </w:rPr>
        <w:tab/>
      </w:r>
      <w:r>
        <w:rPr>
          <w:rFonts w:ascii="Arial" w:cs="Arial" w:eastAsia="Arial" w:hAnsi="Arial"/>
          <w:sz w:val="17"/>
          <w:szCs w:val="17"/>
          <w:color w:val="auto"/>
        </w:rPr>
        <w:t>Electric Reliability Council of Texas, the ISO and the regional reliability coordinator of the</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various electricity systems within Texas</w:t>
      </w:r>
    </w:p>
    <w:p>
      <w:pPr>
        <w:spacing w:after="0" w:line="37"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EWG</w:t>
      </w:r>
      <w:r>
        <w:rPr>
          <w:sz w:val="20"/>
          <w:szCs w:val="20"/>
          <w:color w:val="auto"/>
        </w:rPr>
        <w:tab/>
      </w:r>
      <w:r>
        <w:rPr>
          <w:rFonts w:ascii="Arial" w:cs="Arial" w:eastAsia="Arial" w:hAnsi="Arial"/>
          <w:sz w:val="20"/>
          <w:szCs w:val="20"/>
          <w:color w:val="auto"/>
        </w:rPr>
        <w:t>Exempt Wholesale Generator</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Exchange Act</w:t>
      </w:r>
      <w:r>
        <w:rPr>
          <w:sz w:val="20"/>
          <w:szCs w:val="20"/>
          <w:color w:val="auto"/>
        </w:rPr>
        <w:tab/>
      </w:r>
      <w:r>
        <w:rPr>
          <w:rFonts w:ascii="Arial" w:cs="Arial" w:eastAsia="Arial" w:hAnsi="Arial"/>
          <w:sz w:val="17"/>
          <w:szCs w:val="17"/>
          <w:color w:val="auto"/>
        </w:rPr>
        <w:t>The Securities Exchange Act of 1934, as amended</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FASB</w:t>
      </w:r>
      <w:r>
        <w:rPr>
          <w:sz w:val="20"/>
          <w:szCs w:val="20"/>
          <w:color w:val="auto"/>
        </w:rPr>
        <w:tab/>
      </w:r>
      <w:r>
        <w:rPr>
          <w:rFonts w:ascii="Arial" w:cs="Arial" w:eastAsia="Arial" w:hAnsi="Arial"/>
          <w:sz w:val="20"/>
          <w:szCs w:val="20"/>
          <w:color w:val="auto"/>
        </w:rPr>
        <w:t>Financial Accounting Standards Board</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FERC</w:t>
      </w:r>
      <w:r>
        <w:rPr>
          <w:sz w:val="20"/>
          <w:szCs w:val="20"/>
          <w:color w:val="auto"/>
        </w:rPr>
        <w:tab/>
      </w:r>
      <w:r>
        <w:rPr>
          <w:rFonts w:ascii="Arial" w:cs="Arial" w:eastAsia="Arial" w:hAnsi="Arial"/>
          <w:sz w:val="20"/>
          <w:szCs w:val="20"/>
          <w:color w:val="auto"/>
        </w:rPr>
        <w:t>Federal Energy Regulatory Commission</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Flexible Generation</w:t>
      </w:r>
      <w:r>
        <w:rPr>
          <w:sz w:val="20"/>
          <w:szCs w:val="20"/>
          <w:color w:val="auto"/>
        </w:rPr>
        <w:tab/>
      </w:r>
      <w:r>
        <w:rPr>
          <w:rFonts w:ascii="Arial" w:cs="Arial" w:eastAsia="Arial" w:hAnsi="Arial"/>
          <w:sz w:val="17"/>
          <w:szCs w:val="17"/>
          <w:color w:val="auto"/>
        </w:rPr>
        <w:t>Formerly the Conventional Generation segment</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FPA</w:t>
      </w:r>
      <w:r>
        <w:rPr>
          <w:sz w:val="20"/>
          <w:szCs w:val="20"/>
          <w:color w:val="auto"/>
        </w:rPr>
        <w:tab/>
      </w:r>
      <w:r>
        <w:rPr>
          <w:rFonts w:ascii="Arial" w:cs="Arial" w:eastAsia="Arial" w:hAnsi="Arial"/>
          <w:sz w:val="20"/>
          <w:szCs w:val="20"/>
          <w:color w:val="auto"/>
        </w:rPr>
        <w:t>Federal Power Act</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FWS</w:t>
      </w:r>
      <w:r>
        <w:rPr>
          <w:sz w:val="20"/>
          <w:szCs w:val="20"/>
          <w:color w:val="auto"/>
        </w:rPr>
        <w:tab/>
      </w:r>
      <w:r>
        <w:rPr>
          <w:rFonts w:ascii="Arial" w:cs="Arial" w:eastAsia="Arial" w:hAnsi="Arial"/>
          <w:sz w:val="20"/>
          <w:szCs w:val="20"/>
          <w:color w:val="auto"/>
        </w:rPr>
        <w:t>U.S. Fish &amp; Wildlife Service</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GAAP</w:t>
      </w:r>
      <w:r>
        <w:rPr>
          <w:sz w:val="20"/>
          <w:szCs w:val="20"/>
          <w:color w:val="auto"/>
        </w:rPr>
        <w:tab/>
      </w:r>
      <w:r>
        <w:rPr>
          <w:rFonts w:ascii="Arial" w:cs="Arial" w:eastAsia="Arial" w:hAnsi="Arial"/>
          <w:sz w:val="20"/>
          <w:szCs w:val="20"/>
          <w:color w:val="auto"/>
        </w:rPr>
        <w:t>Accounting principles generally accepted in the U.S.</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GenConn</w:t>
      </w:r>
      <w:r>
        <w:rPr>
          <w:sz w:val="20"/>
          <w:szCs w:val="20"/>
          <w:color w:val="auto"/>
        </w:rPr>
        <w:tab/>
      </w:r>
      <w:r>
        <w:rPr>
          <w:rFonts w:ascii="Arial" w:cs="Arial" w:eastAsia="Arial" w:hAnsi="Arial"/>
          <w:sz w:val="20"/>
          <w:szCs w:val="20"/>
          <w:color w:val="auto"/>
        </w:rPr>
        <w:t>GenConn Energy LLC</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GHG</w:t>
      </w:r>
      <w:r>
        <w:rPr>
          <w:sz w:val="20"/>
          <w:szCs w:val="20"/>
          <w:color w:val="auto"/>
        </w:rPr>
        <w:tab/>
      </w:r>
      <w:r>
        <w:rPr>
          <w:rFonts w:ascii="Arial" w:cs="Arial" w:eastAsia="Arial" w:hAnsi="Arial"/>
          <w:sz w:val="20"/>
          <w:szCs w:val="20"/>
          <w:color w:val="auto"/>
        </w:rPr>
        <w:t>Greenhouse gas</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GIP</w:t>
      </w:r>
      <w:r>
        <w:rPr>
          <w:sz w:val="20"/>
          <w:szCs w:val="20"/>
          <w:color w:val="auto"/>
        </w:rPr>
        <w:tab/>
      </w:r>
      <w:r>
        <w:rPr>
          <w:rFonts w:ascii="Arial" w:cs="Arial" w:eastAsia="Arial" w:hAnsi="Arial"/>
          <w:sz w:val="20"/>
          <w:szCs w:val="20"/>
          <w:color w:val="auto"/>
        </w:rPr>
        <w:t>Global Infrastructure Partners</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GW</w:t>
      </w:r>
      <w:r>
        <w:rPr>
          <w:sz w:val="20"/>
          <w:szCs w:val="20"/>
          <w:color w:val="auto"/>
        </w:rPr>
        <w:tab/>
      </w:r>
      <w:r>
        <w:rPr>
          <w:rFonts w:ascii="Arial" w:cs="Arial" w:eastAsia="Arial" w:hAnsi="Arial"/>
          <w:sz w:val="20"/>
          <w:szCs w:val="20"/>
          <w:color w:val="auto"/>
        </w:rPr>
        <w:t>Gigawatt</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HLBV</w:t>
      </w:r>
      <w:r>
        <w:rPr>
          <w:sz w:val="20"/>
          <w:szCs w:val="20"/>
          <w:color w:val="auto"/>
        </w:rPr>
        <w:tab/>
      </w:r>
      <w:r>
        <w:rPr>
          <w:rFonts w:ascii="Arial" w:cs="Arial" w:eastAsia="Arial" w:hAnsi="Arial"/>
          <w:sz w:val="20"/>
          <w:szCs w:val="20"/>
          <w:color w:val="auto"/>
        </w:rPr>
        <w:t>Hypothetical Liquidation at Book Value</w:t>
      </w:r>
    </w:p>
    <w:p>
      <w:pPr>
        <w:spacing w:after="0" w:line="52"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Honeycomb Portfolio</w:t>
      </w:r>
      <w:r>
        <w:rPr>
          <w:sz w:val="20"/>
          <w:szCs w:val="20"/>
          <w:color w:val="auto"/>
        </w:rPr>
        <w:tab/>
      </w:r>
      <w:r>
        <w:rPr>
          <w:rFonts w:ascii="Arial" w:cs="Arial" w:eastAsia="Arial" w:hAnsi="Arial"/>
          <w:sz w:val="19"/>
          <w:szCs w:val="19"/>
          <w:color w:val="auto"/>
        </w:rPr>
        <w:t>Four  BESS  facilities  under  construction  in  Beaver  County  and  Iron  County,  Utah</w:t>
      </w:r>
    </w:p>
    <w:p>
      <w:pPr>
        <w:ind w:left="2580"/>
        <w:spacing w:after="0" w:line="235" w:lineRule="auto"/>
        <w:rPr>
          <w:sz w:val="20"/>
          <w:szCs w:val="20"/>
          <w:color w:val="auto"/>
        </w:rPr>
      </w:pPr>
      <w:r>
        <w:rPr>
          <w:rFonts w:ascii="Arial" w:cs="Arial" w:eastAsia="Arial" w:hAnsi="Arial"/>
          <w:sz w:val="19"/>
          <w:szCs w:val="19"/>
          <w:color w:val="auto"/>
        </w:rPr>
        <w:t>representing 320 MW of capacity, which includes Enterprise, Escalante I, Granite Mountain East and Iron Springs that are co-located with the respective solar facilities</w:t>
      </w:r>
    </w:p>
    <w:p>
      <w:pPr>
        <w:spacing w:after="0" w:line="45"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IRS</w:t>
      </w:r>
      <w:r>
        <w:rPr>
          <w:sz w:val="20"/>
          <w:szCs w:val="20"/>
          <w:color w:val="auto"/>
        </w:rPr>
        <w:tab/>
      </w:r>
      <w:r>
        <w:rPr>
          <w:rFonts w:ascii="Arial" w:cs="Arial" w:eastAsia="Arial" w:hAnsi="Arial"/>
          <w:sz w:val="20"/>
          <w:szCs w:val="20"/>
          <w:color w:val="auto"/>
        </w:rPr>
        <w:t>Internal Revenue Service</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ISO</w:t>
      </w:r>
      <w:r>
        <w:rPr>
          <w:sz w:val="20"/>
          <w:szCs w:val="20"/>
          <w:color w:val="auto"/>
        </w:rPr>
        <w:tab/>
      </w:r>
      <w:r>
        <w:rPr>
          <w:rFonts w:ascii="Arial" w:cs="Arial" w:eastAsia="Arial" w:hAnsi="Arial"/>
          <w:sz w:val="20"/>
          <w:szCs w:val="20"/>
          <w:color w:val="auto"/>
        </w:rPr>
        <w:t>Independent System Operator, also referred to as an RTO</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ITC</w:t>
      </w:r>
      <w:r>
        <w:rPr>
          <w:sz w:val="20"/>
          <w:szCs w:val="20"/>
          <w:color w:val="auto"/>
        </w:rPr>
        <w:tab/>
      </w:r>
      <w:r>
        <w:rPr>
          <w:rFonts w:ascii="Arial" w:cs="Arial" w:eastAsia="Arial" w:hAnsi="Arial"/>
          <w:sz w:val="20"/>
          <w:szCs w:val="20"/>
          <w:color w:val="auto"/>
        </w:rPr>
        <w:t>Investment Tax Credit</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Luna Valley Class B</w:t>
      </w:r>
      <w:r>
        <w:rPr>
          <w:sz w:val="20"/>
          <w:szCs w:val="20"/>
          <w:color w:val="auto"/>
        </w:rPr>
        <w:tab/>
      </w:r>
      <w:r>
        <w:rPr>
          <w:rFonts w:ascii="Arial" w:cs="Arial" w:eastAsia="Arial" w:hAnsi="Arial"/>
          <w:sz w:val="17"/>
          <w:szCs w:val="17"/>
          <w:color w:val="auto"/>
        </w:rPr>
        <w:t>Luna Valley Class B Member LLC, the indirect owner of Luna Valley</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MBTA</w:t>
      </w:r>
      <w:r>
        <w:rPr>
          <w:sz w:val="20"/>
          <w:szCs w:val="20"/>
          <w:color w:val="auto"/>
        </w:rPr>
        <w:tab/>
      </w:r>
      <w:r>
        <w:rPr>
          <w:rFonts w:ascii="Arial" w:cs="Arial" w:eastAsia="Arial" w:hAnsi="Arial"/>
          <w:sz w:val="20"/>
          <w:szCs w:val="20"/>
          <w:color w:val="auto"/>
        </w:rPr>
        <w:t>Migratory Bird Treaty Act</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MMBtu</w:t>
      </w:r>
      <w:r>
        <w:rPr>
          <w:sz w:val="20"/>
          <w:szCs w:val="20"/>
          <w:color w:val="auto"/>
        </w:rPr>
        <w:tab/>
      </w:r>
      <w:r>
        <w:rPr>
          <w:rFonts w:ascii="Arial" w:cs="Arial" w:eastAsia="Arial" w:hAnsi="Arial"/>
          <w:sz w:val="20"/>
          <w:szCs w:val="20"/>
          <w:color w:val="auto"/>
        </w:rPr>
        <w:t>Million British Thermal Units</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MW</w:t>
      </w:r>
      <w:r>
        <w:rPr>
          <w:sz w:val="20"/>
          <w:szCs w:val="20"/>
          <w:color w:val="auto"/>
        </w:rPr>
        <w:tab/>
      </w:r>
      <w:r>
        <w:rPr>
          <w:rFonts w:ascii="Arial" w:cs="Arial" w:eastAsia="Arial" w:hAnsi="Arial"/>
          <w:sz w:val="20"/>
          <w:szCs w:val="20"/>
          <w:color w:val="auto"/>
        </w:rPr>
        <w:t>Megawatt</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MWh</w:t>
      </w:r>
      <w:r>
        <w:rPr>
          <w:sz w:val="20"/>
          <w:szCs w:val="20"/>
          <w:color w:val="auto"/>
        </w:rPr>
        <w:tab/>
      </w:r>
      <w:r>
        <w:rPr>
          <w:rFonts w:ascii="Arial" w:cs="Arial" w:eastAsia="Arial" w:hAnsi="Arial"/>
          <w:sz w:val="20"/>
          <w:szCs w:val="20"/>
          <w:color w:val="auto"/>
        </w:rPr>
        <w:t>Saleable megawatt hours, net of internal/parasitic load megawatt-hours</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Natural Gas Holdco</w:t>
      </w:r>
      <w:r>
        <w:rPr>
          <w:sz w:val="20"/>
          <w:szCs w:val="20"/>
          <w:color w:val="auto"/>
        </w:rPr>
        <w:tab/>
      </w:r>
      <w:r>
        <w:rPr>
          <w:rFonts w:ascii="Arial" w:cs="Arial" w:eastAsia="Arial" w:hAnsi="Arial"/>
          <w:sz w:val="17"/>
          <w:szCs w:val="17"/>
          <w:color w:val="auto"/>
        </w:rPr>
        <w:t>Natural Gas CA Holdco LLC</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NEPA</w:t>
      </w:r>
      <w:r>
        <w:rPr>
          <w:sz w:val="20"/>
          <w:szCs w:val="20"/>
          <w:color w:val="auto"/>
        </w:rPr>
        <w:tab/>
      </w:r>
      <w:r>
        <w:rPr>
          <w:rFonts w:ascii="Arial" w:cs="Arial" w:eastAsia="Arial" w:hAnsi="Arial"/>
          <w:sz w:val="20"/>
          <w:szCs w:val="20"/>
          <w:color w:val="auto"/>
        </w:rPr>
        <w:t>National Environmental Policy Act</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NERC</w:t>
      </w:r>
      <w:r>
        <w:rPr>
          <w:sz w:val="20"/>
          <w:szCs w:val="20"/>
          <w:color w:val="auto"/>
        </w:rPr>
        <w:tab/>
      </w:r>
      <w:r>
        <w:rPr>
          <w:rFonts w:ascii="Arial" w:cs="Arial" w:eastAsia="Arial" w:hAnsi="Arial"/>
          <w:sz w:val="20"/>
          <w:szCs w:val="20"/>
          <w:color w:val="auto"/>
        </w:rPr>
        <w:t>North American Electric Reliability Corporation</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Net Exposure</w:t>
      </w:r>
      <w:r>
        <w:rPr>
          <w:sz w:val="20"/>
          <w:szCs w:val="20"/>
          <w:color w:val="auto"/>
        </w:rPr>
        <w:tab/>
      </w:r>
      <w:r>
        <w:rPr>
          <w:rFonts w:ascii="Arial" w:cs="Arial" w:eastAsia="Arial" w:hAnsi="Arial"/>
          <w:sz w:val="17"/>
          <w:szCs w:val="17"/>
          <w:color w:val="auto"/>
        </w:rPr>
        <w:t>Counterparty credit exposure to Clearway Energy, Inc. net of collateral</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NOLs</w:t>
      </w:r>
      <w:r>
        <w:rPr>
          <w:sz w:val="20"/>
          <w:szCs w:val="20"/>
          <w:color w:val="auto"/>
        </w:rPr>
        <w:tab/>
      </w:r>
      <w:r>
        <w:rPr>
          <w:rFonts w:ascii="Arial" w:cs="Arial" w:eastAsia="Arial" w:hAnsi="Arial"/>
          <w:sz w:val="20"/>
          <w:szCs w:val="20"/>
          <w:color w:val="auto"/>
        </w:rPr>
        <w:t>Net Operating Losses</w:t>
      </w:r>
    </w:p>
    <w:p>
      <w:pPr>
        <w:spacing w:after="0" w:line="25"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NO</w:t>
      </w:r>
      <w:r>
        <w:rPr>
          <w:rFonts w:ascii="Arial" w:cs="Arial" w:eastAsia="Arial" w:hAnsi="Arial"/>
          <w:sz w:val="25"/>
          <w:szCs w:val="25"/>
          <w:color w:val="auto"/>
          <w:vertAlign w:val="subscript"/>
        </w:rPr>
        <w:t>x</w:t>
      </w:r>
      <w:r>
        <w:rPr>
          <w:sz w:val="20"/>
          <w:szCs w:val="20"/>
          <w:color w:val="auto"/>
        </w:rPr>
        <w:tab/>
      </w:r>
      <w:r>
        <w:rPr>
          <w:rFonts w:ascii="Arial" w:cs="Arial" w:eastAsia="Arial" w:hAnsi="Arial"/>
          <w:sz w:val="17"/>
          <w:szCs w:val="17"/>
          <w:color w:val="auto"/>
        </w:rPr>
        <w:t>Nitrogen Oxides</w:t>
      </w:r>
    </w:p>
    <w:p>
      <w:pPr>
        <w:spacing w:after="0" w:line="46"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NPNS</w:t>
      </w:r>
      <w:r>
        <w:rPr>
          <w:sz w:val="20"/>
          <w:szCs w:val="20"/>
          <w:color w:val="auto"/>
        </w:rPr>
        <w:tab/>
      </w:r>
      <w:r>
        <w:rPr>
          <w:rFonts w:ascii="Arial" w:cs="Arial" w:eastAsia="Arial" w:hAnsi="Arial"/>
          <w:sz w:val="20"/>
          <w:szCs w:val="20"/>
          <w:color w:val="auto"/>
        </w:rPr>
        <w:t>Normal Purchases and Normal Sales</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NRG</w:t>
      </w:r>
      <w:r>
        <w:rPr>
          <w:sz w:val="20"/>
          <w:szCs w:val="20"/>
          <w:color w:val="auto"/>
        </w:rPr>
        <w:tab/>
      </w:r>
      <w:r>
        <w:rPr>
          <w:rFonts w:ascii="Arial" w:cs="Arial" w:eastAsia="Arial" w:hAnsi="Arial"/>
          <w:sz w:val="20"/>
          <w:szCs w:val="20"/>
          <w:color w:val="auto"/>
        </w:rPr>
        <w:t>NRG Energy, Inc.</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OCI/OCL</w:t>
      </w:r>
      <w:r>
        <w:rPr>
          <w:sz w:val="20"/>
          <w:szCs w:val="20"/>
          <w:color w:val="auto"/>
        </w:rPr>
        <w:tab/>
      </w:r>
      <w:r>
        <w:rPr>
          <w:rFonts w:ascii="Arial" w:cs="Arial" w:eastAsia="Arial" w:hAnsi="Arial"/>
          <w:sz w:val="20"/>
          <w:szCs w:val="20"/>
          <w:color w:val="auto"/>
        </w:rPr>
        <w:t>Other comprehensive income/loss</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O&amp;M</w:t>
      </w:r>
      <w:r>
        <w:rPr>
          <w:sz w:val="20"/>
          <w:szCs w:val="20"/>
          <w:color w:val="auto"/>
        </w:rPr>
        <w:tab/>
      </w:r>
      <w:r>
        <w:rPr>
          <w:rFonts w:ascii="Arial" w:cs="Arial" w:eastAsia="Arial" w:hAnsi="Arial"/>
          <w:sz w:val="20"/>
          <w:szCs w:val="20"/>
          <w:color w:val="auto"/>
        </w:rPr>
        <w:t>Operations and Maintenance</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PG&amp;E</w:t>
      </w:r>
      <w:r>
        <w:rPr>
          <w:sz w:val="20"/>
          <w:szCs w:val="20"/>
          <w:color w:val="auto"/>
        </w:rPr>
        <w:tab/>
      </w:r>
      <w:r>
        <w:rPr>
          <w:rFonts w:ascii="Arial" w:cs="Arial" w:eastAsia="Arial" w:hAnsi="Arial"/>
          <w:sz w:val="20"/>
          <w:szCs w:val="20"/>
          <w:color w:val="auto"/>
        </w:rPr>
        <w:t>Pacific Gas and Electric Company</w:t>
      </w:r>
    </w:p>
    <w:p>
      <w:pPr>
        <w:spacing w:after="0" w:line="64" w:lineRule="exact"/>
        <w:rPr>
          <w:sz w:val="20"/>
          <w:szCs w:val="20"/>
          <w:color w:val="auto"/>
        </w:rPr>
      </w:pPr>
    </w:p>
    <w:p>
      <w:pPr>
        <w:spacing w:after="0"/>
        <w:tabs>
          <w:tab w:leader="none" w:pos="2560" w:val="left"/>
        </w:tabs>
        <w:rPr>
          <w:sz w:val="20"/>
          <w:szCs w:val="20"/>
          <w:color w:val="auto"/>
        </w:rPr>
      </w:pPr>
      <w:r>
        <w:rPr>
          <w:rFonts w:ascii="Arial" w:cs="Arial" w:eastAsia="Arial" w:hAnsi="Arial"/>
          <w:sz w:val="20"/>
          <w:szCs w:val="20"/>
          <w:color w:val="auto"/>
        </w:rPr>
        <w:t>Pine Forest TargetCo</w:t>
      </w:r>
      <w:r>
        <w:rPr>
          <w:sz w:val="20"/>
          <w:szCs w:val="20"/>
          <w:color w:val="auto"/>
        </w:rPr>
        <w:tab/>
      </w:r>
      <w:r>
        <w:rPr>
          <w:rFonts w:ascii="Arial" w:cs="Arial" w:eastAsia="Arial" w:hAnsi="Arial"/>
          <w:sz w:val="17"/>
          <w:szCs w:val="17"/>
          <w:color w:val="auto"/>
        </w:rPr>
        <w:t>Pine Forest CE TargetCo LLC, a partnership and the indirect owner of Pine Forest</w:t>
      </w:r>
    </w:p>
    <w:p>
      <w:pPr>
        <w:sectPr>
          <w:pgSz w:w="11880" w:h="15480" w:orient="portrait"/>
          <w:cols w:equalWidth="0" w:num="1">
            <w:col w:w="9960"/>
          </w:cols>
          <w:pgMar w:left="960" w:top="658" w:right="96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9960"/>
          </w:cols>
          <w:pgMar w:left="960" w:top="658" w:right="960" w:bottom="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color w:val="auto"/>
        </w:rPr>
        <w:t>Pine Forest TE Class A</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PJM</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PPA</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PTC</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PUCT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PUHCA</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PURPA</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QF</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RA</w:t>
      </w:r>
    </w:p>
    <w:p>
      <w:pPr>
        <w:spacing w:after="0" w:line="64" w:lineRule="exact"/>
        <w:rPr>
          <w:sz w:val="20"/>
          <w:szCs w:val="20"/>
          <w:color w:val="auto"/>
        </w:rPr>
      </w:pPr>
    </w:p>
    <w:p>
      <w:pPr>
        <w:ind w:right="60"/>
        <w:spacing w:after="0" w:line="306" w:lineRule="auto"/>
        <w:rPr>
          <w:sz w:val="20"/>
          <w:szCs w:val="20"/>
          <w:color w:val="auto"/>
        </w:rPr>
      </w:pPr>
      <w:r>
        <w:rPr>
          <w:rFonts w:ascii="Arial" w:cs="Arial" w:eastAsia="Arial" w:hAnsi="Arial"/>
          <w:sz w:val="20"/>
          <w:szCs w:val="20"/>
          <w:color w:val="auto"/>
        </w:rPr>
        <w:t>Renewables &amp; Storage RENOM</w:t>
      </w:r>
    </w:p>
    <w:p>
      <w:pPr>
        <w:spacing w:after="0" w:line="2" w:lineRule="exact"/>
        <w:rPr>
          <w:sz w:val="20"/>
          <w:szCs w:val="20"/>
          <w:color w:val="auto"/>
        </w:rPr>
      </w:pPr>
    </w:p>
    <w:p>
      <w:pPr>
        <w:ind w:right="120"/>
        <w:spacing w:after="0" w:line="306" w:lineRule="auto"/>
        <w:rPr>
          <w:sz w:val="20"/>
          <w:szCs w:val="20"/>
          <w:color w:val="auto"/>
        </w:rPr>
      </w:pPr>
      <w:r>
        <w:rPr>
          <w:rFonts w:ascii="Arial" w:cs="Arial" w:eastAsia="Arial" w:hAnsi="Arial"/>
          <w:sz w:val="20"/>
          <w:szCs w:val="20"/>
          <w:color w:val="auto"/>
        </w:rPr>
        <w:t>Rosie Central BESS Rosie South TargetCo RPS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RTO</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SCE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SDG&amp;E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SEC</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Senior Notes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SO</w:t>
      </w:r>
      <w:r>
        <w:rPr>
          <w:rFonts w:ascii="Arial" w:cs="Arial" w:eastAsia="Arial" w:hAnsi="Arial"/>
          <w:sz w:val="25"/>
          <w:szCs w:val="25"/>
          <w:color w:val="auto"/>
          <w:vertAlign w:val="subscript"/>
        </w:rPr>
        <w:t>2</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SOFR</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SPP</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SREC</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U.S.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Utah Solar Portfolio</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Utility Scale Solar</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VIE</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20"/>
          <w:szCs w:val="20"/>
          <w:color w:val="auto"/>
        </w:rPr>
        <w:t>Pine Forest TE Class A Owner LLC, a consolidated subsidiary of Clearway Energy Finance Inc. and an indirect subsidiary of the Company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PJM Interconnection, LLC</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Power Purchase Agreement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Production Tax Credit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Public Utility Commission of Texas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Public Utility Holding Company Act of 2005</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Public Utility Regulatory Policies Act of 1978</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Qualifying Facility under PURPA</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Resource adequacy</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Formerly the Renewables segment</w:t>
      </w:r>
    </w:p>
    <w:p>
      <w:pPr>
        <w:spacing w:after="0" w:line="64" w:lineRule="exact"/>
        <w:rPr>
          <w:sz w:val="20"/>
          <w:szCs w:val="20"/>
          <w:color w:val="auto"/>
        </w:rPr>
      </w:pPr>
    </w:p>
    <w:p>
      <w:pPr>
        <w:ind w:right="320"/>
        <w:spacing w:after="0" w:line="306" w:lineRule="auto"/>
        <w:rPr>
          <w:sz w:val="20"/>
          <w:szCs w:val="20"/>
          <w:color w:val="auto"/>
        </w:rPr>
      </w:pPr>
      <w:r>
        <w:rPr>
          <w:rFonts w:ascii="Arial" w:cs="Arial" w:eastAsia="Arial" w:hAnsi="Arial"/>
          <w:sz w:val="20"/>
          <w:szCs w:val="20"/>
          <w:color w:val="auto"/>
        </w:rPr>
        <w:t>Clearway Renewable Operation &amp; Maintenance LLC, a wholly-owned subsidiary of CEG Rosie BESS Devco LLC</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Rosie South TargetCo LLC, a partnership and the indirect owner of Rosamond South I</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Renewable Portfolio Standards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Regional Transmission Organization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Southern California Edison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San Diego Gas &amp; Electric</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5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Collectively, the 2028 Senior Notes, the 2031 Senior Notes, the 2032 Senior Notes and the 2034 Senior Notes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Sulfur Dioxide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Secured Overnight Financing Rate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Solar Power Partners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Solar Renewable Energy Credit</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United States of America</w:t>
      </w:r>
    </w:p>
    <w:p>
      <w:pPr>
        <w:spacing w:after="0" w:line="69"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Seven utility-scale solar farms located in Utah, representing 530 MW of capacity, which includes Enterprise, Escalante I, Escalante II, Escalante III, Granite Mountain East, Granite Mountain West and Iron Springs</w:t>
      </w:r>
    </w:p>
    <w:p>
      <w:pPr>
        <w:spacing w:after="0" w:line="47"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Solar power facilities, typically 20 MW or greater in size (on an alternating current, or AC, basis), that are interconnected into the transmission or distribution grid to sell power at a wholesale level</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Variable Interest Entity</w:t>
      </w:r>
    </w:p>
    <w:p>
      <w:pPr>
        <w:spacing w:after="0" w:line="200" w:lineRule="exact"/>
        <w:rPr>
          <w:sz w:val="20"/>
          <w:szCs w:val="20"/>
          <w:color w:val="auto"/>
        </w:rPr>
      </w:pPr>
    </w:p>
    <w:p>
      <w:pPr>
        <w:sectPr>
          <w:pgSz w:w="11880" w:h="15480" w:orient="portrait"/>
          <w:cols w:equalWidth="0" w:num="2">
            <w:col w:w="1860" w:space="720"/>
            <w:col w:w="7380"/>
          </w:cols>
          <w:pgMar w:left="960" w:top="65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9960"/>
          </w:cols>
          <w:pgMar w:left="960" w:top="658" w:right="960"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PART I</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 Business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8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was formed as a Delaware corporation on December 20, 2012. The Company is sponsored by Clearway Energy Group LLC, or CEG.</w:t>
      </w:r>
    </w:p>
    <w:p>
      <w:pPr>
        <w:spacing w:after="0" w:line="144"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 xml:space="preserve">The Company is one of the largest owners of clean energy generation assets in the U.S. The Company’s portfolio comprises approximately 12.9 GW of gross capacity in 27 states, including approximately 10.1 GW of wind, solar and battery energy storage systems, or BESS, and approximately 2.8 GW of dispatchable combustion-based power generation assets included in the Flexible Generation segment that provide critical grid reliability services. In 2025, 98% of the Company’s total generation was attributable to renewable energy and storage assets. Through this environmentally-sound, diversified and primarily contracted portfolio, the Company endeavors to provide its investors with stable and growing dividend income. The majority of the Company’s revenues are derived from long-term contractual arrangements for the output or capacity from these assets. The weighted average remaining contract duration of the Company’s Renewables &amp; Storage segment offtake agreements was approximately 12 years as of December 31, 2025 based on CAFD. A complete listing of the Company’s interests in operating facilities as of December 31, 2025 can be found in Item 2 — </w:t>
      </w:r>
      <w:r>
        <w:rPr>
          <w:rFonts w:ascii="Arial" w:cs="Arial" w:eastAsia="Arial" w:hAnsi="Arial"/>
          <w:sz w:val="17"/>
          <w:szCs w:val="17"/>
          <w:b w:val="1"/>
          <w:bCs w:val="1"/>
          <w:i w:val="1"/>
          <w:iCs w:val="1"/>
          <w:color w:val="auto"/>
        </w:rPr>
        <w:t>Properties.</w:t>
      </w:r>
    </w:p>
    <w:p>
      <w:pPr>
        <w:spacing w:after="0" w:line="118" w:lineRule="exact"/>
        <w:rPr>
          <w:sz w:val="20"/>
          <w:szCs w:val="20"/>
          <w:color w:val="auto"/>
        </w:rPr>
      </w:pPr>
    </w:p>
    <w:p>
      <w:pPr>
        <w:jc w:val="both"/>
        <w:ind w:firstLine="441"/>
        <w:spacing w:after="0" w:line="298" w:lineRule="auto"/>
        <w:rPr>
          <w:sz w:val="20"/>
          <w:szCs w:val="20"/>
          <w:color w:val="auto"/>
        </w:rPr>
      </w:pPr>
      <w:r>
        <w:rPr>
          <w:rFonts w:ascii="Arial" w:cs="Arial" w:eastAsia="Arial" w:hAnsi="Arial"/>
          <w:sz w:val="17"/>
          <w:szCs w:val="17"/>
          <w:color w:val="auto"/>
        </w:rPr>
        <w:t>The Company is the sole managing member of Clearway Energy LLC and operates and controls all of its business and affairs and consolidates the financial results of Clearway Energy LLC and its subsidiaries. Clearway Energy LLC is a holding company for the companies that directly and indirectly own and operate the Company’s assets. 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As a result of its current ownership of the Class B common stock and Class D common stock of the Company, CEG controls the Company. From time to time, CEG may also hold shares of the Company’s Class A and/or Class C common stock.</w:t>
      </w:r>
    </w:p>
    <w:p>
      <w:pPr>
        <w:spacing w:after="0" w:line="351"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As of December 31, 2025, the Company owned 58.62% of the economic interests of Clearway Energy LLC, with CEG owning 41.38% of the economic interests of Clearway Energy LLC.</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040"/>
          </w:cols>
          <w:pgMar w:left="920" w:top="577" w:right="920" w:bottom="0" w:gutter="0" w:footer="0" w:header="0"/>
          <w:type w:val="continuous"/>
        </w:sectPr>
      </w:pPr>
    </w:p>
    <w:bookmarkStart w:id="8" w:name="page9"/>
    <w:bookmarkEnd w:id="8"/>
    <w:p>
      <w:pPr>
        <w:ind w:left="440"/>
        <w:spacing w:after="0"/>
        <w:rPr>
          <w:sz w:val="20"/>
          <w:szCs w:val="20"/>
          <w:color w:val="auto"/>
        </w:rPr>
      </w:pPr>
      <w:r>
        <w:rPr>
          <w:rFonts w:ascii="Arial" w:cs="Arial" w:eastAsia="Arial" w:hAnsi="Arial"/>
          <w:sz w:val="20"/>
          <w:szCs w:val="20"/>
          <w:color w:val="auto"/>
        </w:rPr>
        <w:t>The diagram below represents a summarized structure of the Company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6384925" cy="3706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384925" cy="370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w:t>
      </w:r>
    </w:p>
    <w:p>
      <w:pPr>
        <w:spacing w:after="0" w:line="189" w:lineRule="exact"/>
        <w:rPr>
          <w:sz w:val="20"/>
          <w:szCs w:val="20"/>
          <w:color w:val="auto"/>
        </w:rPr>
      </w:pPr>
    </w:p>
    <w:p>
      <w:pPr>
        <w:jc w:val="both"/>
        <w:ind w:firstLine="441"/>
        <w:spacing w:after="0" w:line="325" w:lineRule="auto"/>
        <w:rPr>
          <w:sz w:val="20"/>
          <w:szCs w:val="20"/>
          <w:color w:val="auto"/>
        </w:rPr>
      </w:pPr>
      <w:r>
        <w:rPr>
          <w:rFonts w:ascii="Arial" w:cs="Arial" w:eastAsia="Arial" w:hAnsi="Arial"/>
          <w:sz w:val="17"/>
          <w:szCs w:val="17"/>
          <w:color w:val="auto"/>
        </w:rPr>
        <w:t>The Company’s primary business strategy is to focus on the ownership of assets and growth through investments in or acquisitions of assets that generate predictable, long-term cash flows so that it can continue to grow and expand the business as well as to increase the dividends paid to holders of the Company’s Class A and Class C common stock over time.</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Company’s plan for executing its business strategy includes the following key components:</w:t>
      </w:r>
    </w:p>
    <w:p>
      <w:pPr>
        <w:spacing w:after="0" w:line="178" w:lineRule="exact"/>
        <w:rPr>
          <w:sz w:val="20"/>
          <w:szCs w:val="20"/>
          <w:color w:val="auto"/>
        </w:rPr>
      </w:pPr>
    </w:p>
    <w:p>
      <w:pPr>
        <w:jc w:val="both"/>
        <w:ind w:firstLine="441"/>
        <w:spacing w:after="0" w:line="304" w:lineRule="auto"/>
        <w:rPr>
          <w:sz w:val="20"/>
          <w:szCs w:val="20"/>
          <w:color w:val="auto"/>
        </w:rPr>
      </w:pPr>
      <w:r>
        <w:rPr>
          <w:rFonts w:ascii="Arial" w:cs="Arial" w:eastAsia="Arial" w:hAnsi="Arial"/>
          <w:sz w:val="17"/>
          <w:szCs w:val="17"/>
          <w:b w:val="1"/>
          <w:bCs w:val="1"/>
          <w:i w:val="1"/>
          <w:iCs w:val="1"/>
          <w:color w:val="auto"/>
        </w:rPr>
        <w:t xml:space="preserve">Focus on contracted renewable energy and dispatchable combustion-based generation. </w:t>
      </w:r>
      <w:r>
        <w:rPr>
          <w:rFonts w:ascii="Arial" w:cs="Arial" w:eastAsia="Arial" w:hAnsi="Arial"/>
          <w:sz w:val="17"/>
          <w:szCs w:val="17"/>
          <w:color w:val="auto"/>
        </w:rPr>
        <w:t>The Company owns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operates utility scale and distributed renewable energy assets, as well as BESS facilities, and dispatchable combustion-based power generation assets included in the Flexible Generation segment that provide critical grid reliability services. The assets are operated with proven technologies and have generally low operating risks and stable cash flows. The Company believes that by focusing on this core asset class and leveraging its industry knowledge, it will maximize its strategic opportunities, be a leader in operational efficiency and maximize its overall financial performance.</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040"/>
          </w:cols>
          <w:pgMar w:left="920" w:top="584" w:right="920" w:bottom="0" w:gutter="0" w:footer="0" w:header="0"/>
          <w:type w:val="continuous"/>
        </w:sectPr>
      </w:pPr>
    </w:p>
    <w:bookmarkStart w:id="9" w:name="page10"/>
    <w:bookmarkEnd w:id="9"/>
    <w:p>
      <w:pPr>
        <w:jc w:val="both"/>
        <w:ind w:firstLine="441"/>
        <w:spacing w:after="0" w:line="298" w:lineRule="auto"/>
        <w:rPr>
          <w:sz w:val="20"/>
          <w:szCs w:val="20"/>
          <w:color w:val="auto"/>
        </w:rPr>
      </w:pPr>
      <w:r>
        <w:rPr>
          <w:rFonts w:ascii="Arial" w:cs="Arial" w:eastAsia="Arial" w:hAnsi="Arial"/>
          <w:sz w:val="17"/>
          <w:szCs w:val="17"/>
          <w:b w:val="1"/>
          <w:bCs w:val="1"/>
          <w:i w:val="1"/>
          <w:iCs w:val="1"/>
          <w:color w:val="auto"/>
        </w:rPr>
        <w:t xml:space="preserve">Growing the business through investments in operating power generation assets. </w:t>
      </w:r>
      <w:r>
        <w:rPr>
          <w:rFonts w:ascii="Arial" w:cs="Arial" w:eastAsia="Arial" w:hAnsi="Arial"/>
          <w:sz w:val="17"/>
          <w:szCs w:val="17"/>
          <w:color w:val="auto"/>
        </w:rPr>
        <w:t>The Company believes that its base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provides a platform for strategic growth through cash accretive and tax advantaged investments and acquisitions complementary to its existing portfolio and investment in organic cash flow expansion of its own fleet. In addition, the Company may invest in or acquire generation facilities from third parties when it believes its knowledge of the market and operating expertise provides it with a competitive advantage, as well as consummate future investments in, or acquisitions of, assets developed by CEG. The Company believes that CEG’s development expertise provides the Company access to a development platform with an extensive pipeline of potential renewable energy and BESS facilities that are aligned with the Company’s growth objectives. The Company and CEG work collaboratively in considering new assets to be invested in or acquired by the Company. The assets listed below represent the Company’s currently committed investments in facilities: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Asset</w:t>
            </w:r>
          </w:p>
        </w:tc>
        <w:tc>
          <w:tcPr>
            <w:tcW w:w="80" w:type="dxa"/>
            <w:vAlign w:val="bottom"/>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Technology</w:t>
            </w:r>
          </w:p>
        </w:tc>
        <w:tc>
          <w:tcPr>
            <w:tcW w:w="60" w:type="dxa"/>
            <w:vAlign w:val="bottom"/>
          </w:tcPr>
          <w:p>
            <w:pPr>
              <w:spacing w:after="0"/>
              <w:rPr>
                <w:sz w:val="22"/>
                <w:szCs w:val="22"/>
                <w:color w:val="auto"/>
              </w:rPr>
            </w:pPr>
          </w:p>
        </w:tc>
        <w:tc>
          <w:tcPr>
            <w:tcW w:w="196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w w:val="93"/>
              </w:rPr>
              <w:t>Gross Capacity (MW)</w:t>
            </w:r>
          </w:p>
        </w:tc>
        <w:tc>
          <w:tcPr>
            <w:tcW w:w="8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State</w:t>
            </w:r>
          </w:p>
        </w:tc>
        <w:tc>
          <w:tcPr>
            <w:tcW w:w="6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Estimated Funding</w:t>
            </w:r>
          </w:p>
        </w:tc>
      </w:tr>
      <w:tr>
        <w:trPr>
          <w:trHeight w:val="280"/>
        </w:trPr>
        <w:tc>
          <w:tcPr>
            <w:tcW w:w="3200" w:type="dxa"/>
            <w:vAlign w:val="bottom"/>
          </w:tcPr>
          <w:p>
            <w:pPr>
              <w:ind w:left="40"/>
              <w:spacing w:after="0" w:line="281" w:lineRule="exact"/>
              <w:rPr>
                <w:sz w:val="20"/>
                <w:szCs w:val="20"/>
                <w:color w:val="auto"/>
              </w:rPr>
            </w:pPr>
            <w:r>
              <w:rPr>
                <w:rFonts w:ascii="Arial" w:cs="Arial" w:eastAsia="Arial" w:hAnsi="Arial"/>
                <w:sz w:val="20"/>
                <w:szCs w:val="20"/>
                <w:color w:val="auto"/>
              </w:rPr>
              <w:t xml:space="preserve">Deriva Solar Portfolio </w:t>
            </w:r>
            <w:r>
              <w:rPr>
                <w:rFonts w:ascii="Arial" w:cs="Arial" w:eastAsia="Arial" w:hAnsi="Arial"/>
                <w:sz w:val="25"/>
                <w:szCs w:val="25"/>
                <w:color w:val="auto"/>
                <w:vertAlign w:val="superscript"/>
              </w:rPr>
              <w:t>(a) (b)</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Distributed Generation</w:t>
            </w:r>
          </w:p>
        </w:tc>
        <w:tc>
          <w:tcPr>
            <w:tcW w:w="2020" w:type="dxa"/>
            <w:vAlign w:val="bottom"/>
            <w:gridSpan w:val="2"/>
          </w:tcPr>
          <w:p>
            <w:pPr>
              <w:jc w:val="center"/>
              <w:ind w:left="2"/>
              <w:spacing w:after="0"/>
              <w:rPr>
                <w:sz w:val="20"/>
                <w:szCs w:val="20"/>
                <w:color w:val="auto"/>
              </w:rPr>
            </w:pPr>
            <w:r>
              <w:rPr>
                <w:rFonts w:ascii="Arial" w:cs="Arial" w:eastAsia="Arial" w:hAnsi="Arial"/>
                <w:sz w:val="20"/>
                <w:szCs w:val="20"/>
                <w:color w:val="auto"/>
                <w:w w:val="83"/>
              </w:rPr>
              <w:t>613</w:t>
            </w: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91"/>
              </w:rPr>
              <w:t>Various</w:t>
            </w:r>
          </w:p>
        </w:tc>
        <w:tc>
          <w:tcPr>
            <w:tcW w:w="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91"/>
              </w:rPr>
              <w:t>1H26</w:t>
            </w:r>
          </w:p>
        </w:tc>
      </w:tr>
      <w:tr>
        <w:trPr>
          <w:trHeight w:val="255"/>
        </w:trPr>
        <w:tc>
          <w:tcPr>
            <w:tcW w:w="3200" w:type="dxa"/>
            <w:vAlign w:val="bottom"/>
          </w:tcPr>
          <w:p>
            <w:pPr>
              <w:ind w:left="40"/>
              <w:spacing w:after="0"/>
              <w:rPr>
                <w:sz w:val="20"/>
                <w:szCs w:val="20"/>
                <w:color w:val="auto"/>
              </w:rPr>
            </w:pPr>
            <w:r>
              <w:rPr>
                <w:rFonts w:ascii="Arial" w:cs="Arial" w:eastAsia="Arial" w:hAnsi="Arial"/>
                <w:sz w:val="20"/>
                <w:szCs w:val="20"/>
                <w:color w:val="auto"/>
              </w:rPr>
              <w:t>Goat Mountain Repower</w:t>
            </w:r>
          </w:p>
        </w:tc>
        <w:tc>
          <w:tcPr>
            <w:tcW w:w="8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96"/>
              </w:rPr>
              <w:t>Wind</w:t>
            </w:r>
          </w:p>
        </w:tc>
        <w:tc>
          <w:tcPr>
            <w:tcW w:w="2020" w:type="dxa"/>
            <w:vAlign w:val="bottom"/>
            <w:gridSpan w:val="2"/>
          </w:tcPr>
          <w:p>
            <w:pPr>
              <w:jc w:val="center"/>
              <w:ind w:left="2"/>
              <w:spacing w:after="0"/>
              <w:rPr>
                <w:sz w:val="20"/>
                <w:szCs w:val="20"/>
                <w:color w:val="auto"/>
              </w:rPr>
            </w:pPr>
            <w:r>
              <w:rPr>
                <w:rFonts w:ascii="Arial" w:cs="Arial" w:eastAsia="Arial" w:hAnsi="Arial"/>
                <w:sz w:val="20"/>
                <w:szCs w:val="20"/>
                <w:color w:val="auto"/>
                <w:w w:val="83"/>
              </w:rPr>
              <w:t>360</w:t>
            </w:r>
          </w:p>
        </w:tc>
        <w:tc>
          <w:tcPr>
            <w:tcW w:w="8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rPr>
              <w:t>TX</w:t>
            </w:r>
          </w:p>
        </w:tc>
        <w:tc>
          <w:tcPr>
            <w:tcW w:w="6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91"/>
              </w:rPr>
              <w:t>2H27</w:t>
            </w:r>
          </w:p>
        </w:tc>
      </w:tr>
      <w:tr>
        <w:trPr>
          <w:trHeight w:val="279"/>
        </w:trPr>
        <w:tc>
          <w:tcPr>
            <w:tcW w:w="3200" w:type="dxa"/>
            <w:vAlign w:val="bottom"/>
          </w:tcPr>
          <w:p>
            <w:pPr>
              <w:ind w:left="40"/>
              <w:spacing w:after="0"/>
              <w:rPr>
                <w:sz w:val="20"/>
                <w:szCs w:val="20"/>
                <w:color w:val="auto"/>
              </w:rPr>
            </w:pPr>
            <w:r>
              <w:rPr>
                <w:rFonts w:ascii="Arial" w:cs="Arial" w:eastAsia="Arial" w:hAnsi="Arial"/>
                <w:sz w:val="20"/>
                <w:szCs w:val="20"/>
                <w:color w:val="auto"/>
              </w:rPr>
              <w:t>Mt. Storm Repower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96"/>
              </w:rPr>
              <w:t>Wind</w:t>
            </w:r>
          </w:p>
        </w:tc>
        <w:tc>
          <w:tcPr>
            <w:tcW w:w="2020" w:type="dxa"/>
            <w:vAlign w:val="bottom"/>
            <w:gridSpan w:val="2"/>
          </w:tcPr>
          <w:p>
            <w:pPr>
              <w:jc w:val="center"/>
              <w:ind w:left="2"/>
              <w:spacing w:after="0"/>
              <w:rPr>
                <w:sz w:val="20"/>
                <w:szCs w:val="20"/>
                <w:color w:val="auto"/>
              </w:rPr>
            </w:pPr>
            <w:r>
              <w:rPr>
                <w:rFonts w:ascii="Arial" w:cs="Arial" w:eastAsia="Arial" w:hAnsi="Arial"/>
                <w:sz w:val="20"/>
                <w:szCs w:val="20"/>
                <w:color w:val="auto"/>
                <w:w w:val="83"/>
              </w:rPr>
              <w:t>335</w:t>
            </w: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99"/>
              </w:rPr>
              <w:t>WV</w:t>
            </w:r>
          </w:p>
        </w:tc>
        <w:tc>
          <w:tcPr>
            <w:tcW w:w="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91"/>
              </w:rPr>
              <w:t>2H26</w:t>
            </w:r>
          </w:p>
        </w:tc>
      </w:tr>
      <w:tr>
        <w:trPr>
          <w:trHeight w:val="279"/>
        </w:trPr>
        <w:tc>
          <w:tcPr>
            <w:tcW w:w="3200" w:type="dxa"/>
            <w:vAlign w:val="bottom"/>
          </w:tcPr>
          <w:p>
            <w:pPr>
              <w:ind w:left="40"/>
              <w:spacing w:after="0"/>
              <w:rPr>
                <w:sz w:val="20"/>
                <w:szCs w:val="20"/>
                <w:color w:val="auto"/>
              </w:rPr>
            </w:pPr>
            <w:r>
              <w:rPr>
                <w:rFonts w:ascii="Arial" w:cs="Arial" w:eastAsia="Arial" w:hAnsi="Arial"/>
                <w:sz w:val="20"/>
                <w:szCs w:val="20"/>
                <w:color w:val="auto"/>
              </w:rPr>
              <w:t>Rosamond South II</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BESS</w:t>
            </w:r>
          </w:p>
        </w:tc>
        <w:tc>
          <w:tcPr>
            <w:tcW w:w="2020" w:type="dxa"/>
            <w:vAlign w:val="bottom"/>
            <w:gridSpan w:val="2"/>
          </w:tcPr>
          <w:p>
            <w:pPr>
              <w:jc w:val="center"/>
              <w:ind w:left="2"/>
              <w:spacing w:after="0"/>
              <w:rPr>
                <w:sz w:val="20"/>
                <w:szCs w:val="20"/>
                <w:color w:val="auto"/>
              </w:rPr>
            </w:pPr>
            <w:r>
              <w:rPr>
                <w:rFonts w:ascii="Arial" w:cs="Arial" w:eastAsia="Arial" w:hAnsi="Arial"/>
                <w:sz w:val="20"/>
                <w:szCs w:val="20"/>
                <w:color w:val="auto"/>
                <w:w w:val="89"/>
              </w:rPr>
              <w:t>92</w:t>
            </w: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rPr>
              <w:t>CA</w:t>
            </w:r>
          </w:p>
        </w:tc>
        <w:tc>
          <w:tcPr>
            <w:tcW w:w="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91"/>
              </w:rPr>
              <w:t>2H26</w:t>
            </w:r>
          </w:p>
        </w:tc>
      </w:tr>
      <w:tr>
        <w:trPr>
          <w:trHeight w:val="304"/>
        </w:trPr>
        <w:tc>
          <w:tcPr>
            <w:tcW w:w="3200" w:type="dxa"/>
            <w:vAlign w:val="bottom"/>
          </w:tcPr>
          <w:p>
            <w:pPr>
              <w:ind w:left="40"/>
              <w:spacing w:after="0"/>
              <w:rPr>
                <w:sz w:val="20"/>
                <w:szCs w:val="20"/>
                <w:color w:val="auto"/>
              </w:rPr>
            </w:pPr>
            <w:r>
              <w:rPr>
                <w:rFonts w:ascii="Arial" w:cs="Arial" w:eastAsia="Arial" w:hAnsi="Arial"/>
                <w:sz w:val="20"/>
                <w:szCs w:val="20"/>
                <w:color w:val="auto"/>
              </w:rPr>
              <w:t xml:space="preserve">San Juan Mesa Repower </w:t>
            </w:r>
            <w:r>
              <w:rPr>
                <w:rFonts w:ascii="Arial" w:cs="Arial" w:eastAsia="Arial" w:hAnsi="Arial"/>
                <w:sz w:val="25"/>
                <w:szCs w:val="25"/>
                <w:color w:val="auto"/>
                <w:vertAlign w:val="superscript"/>
              </w:rPr>
              <w:t>(b)</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96"/>
              </w:rPr>
              <w:t>Wind</w:t>
            </w:r>
          </w:p>
        </w:tc>
        <w:tc>
          <w:tcPr>
            <w:tcW w:w="2020" w:type="dxa"/>
            <w:vAlign w:val="bottom"/>
            <w:gridSpan w:val="2"/>
          </w:tcPr>
          <w:p>
            <w:pPr>
              <w:jc w:val="center"/>
              <w:ind w:left="2"/>
              <w:spacing w:after="0"/>
              <w:rPr>
                <w:sz w:val="20"/>
                <w:szCs w:val="20"/>
                <w:color w:val="auto"/>
              </w:rPr>
            </w:pPr>
            <w:r>
              <w:rPr>
                <w:rFonts w:ascii="Arial" w:cs="Arial" w:eastAsia="Arial" w:hAnsi="Arial"/>
                <w:sz w:val="20"/>
                <w:szCs w:val="20"/>
                <w:color w:val="auto"/>
                <w:w w:val="83"/>
              </w:rPr>
              <w:t>135</w:t>
            </w: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rPr>
              <w:t>NM</w:t>
            </w:r>
          </w:p>
        </w:tc>
        <w:tc>
          <w:tcPr>
            <w:tcW w:w="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91"/>
              </w:rPr>
              <w:t>2H27</w:t>
            </w:r>
          </w:p>
        </w:tc>
      </w:tr>
      <w:tr>
        <w:trPr>
          <w:trHeight w:val="256"/>
        </w:trPr>
        <w:tc>
          <w:tcPr>
            <w:tcW w:w="3200" w:type="dxa"/>
            <w:vAlign w:val="bottom"/>
          </w:tcPr>
          <w:p>
            <w:pPr>
              <w:ind w:left="40"/>
              <w:spacing w:after="0"/>
              <w:rPr>
                <w:sz w:val="20"/>
                <w:szCs w:val="20"/>
                <w:color w:val="auto"/>
              </w:rPr>
            </w:pPr>
            <w:r>
              <w:rPr>
                <w:rFonts w:ascii="Arial" w:cs="Arial" w:eastAsia="Arial" w:hAnsi="Arial"/>
                <w:sz w:val="20"/>
                <w:szCs w:val="20"/>
                <w:color w:val="auto"/>
              </w:rPr>
              <w:t>Spindle</w:t>
            </w:r>
          </w:p>
        </w:tc>
        <w:tc>
          <w:tcPr>
            <w:tcW w:w="8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BESS</w:t>
            </w:r>
          </w:p>
        </w:tc>
        <w:tc>
          <w:tcPr>
            <w:tcW w:w="2020" w:type="dxa"/>
            <w:vAlign w:val="bottom"/>
            <w:gridSpan w:val="2"/>
          </w:tcPr>
          <w:p>
            <w:pPr>
              <w:jc w:val="center"/>
              <w:ind w:left="2"/>
              <w:spacing w:after="0"/>
              <w:rPr>
                <w:sz w:val="20"/>
                <w:szCs w:val="20"/>
                <w:color w:val="auto"/>
              </w:rPr>
            </w:pPr>
            <w:r>
              <w:rPr>
                <w:rFonts w:ascii="Arial" w:cs="Arial" w:eastAsia="Arial" w:hAnsi="Arial"/>
                <w:sz w:val="20"/>
                <w:szCs w:val="20"/>
                <w:color w:val="auto"/>
                <w:w w:val="83"/>
              </w:rPr>
              <w:t>199</w:t>
            </w:r>
          </w:p>
        </w:tc>
        <w:tc>
          <w:tcPr>
            <w:tcW w:w="8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93"/>
              </w:rPr>
              <w:t>CO</w:t>
            </w:r>
          </w:p>
        </w:tc>
        <w:tc>
          <w:tcPr>
            <w:tcW w:w="6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91"/>
              </w:rPr>
              <w:t>2H26</w:t>
            </w:r>
          </w:p>
        </w:tc>
      </w:tr>
      <w:tr>
        <w:trPr>
          <w:trHeight w:val="278"/>
        </w:trPr>
        <w:tc>
          <w:tcPr>
            <w:tcW w:w="3200" w:type="dxa"/>
            <w:vAlign w:val="bottom"/>
          </w:tcPr>
          <w:p>
            <w:pPr>
              <w:ind w:left="40"/>
              <w:spacing w:after="0"/>
              <w:rPr>
                <w:sz w:val="20"/>
                <w:szCs w:val="20"/>
                <w:color w:val="auto"/>
              </w:rPr>
            </w:pPr>
            <w:r>
              <w:rPr>
                <w:rFonts w:ascii="Arial" w:cs="Arial" w:eastAsia="Arial" w:hAnsi="Arial"/>
                <w:sz w:val="20"/>
                <w:szCs w:val="20"/>
                <w:color w:val="auto"/>
              </w:rPr>
              <w:t>Tuolumne Repower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96"/>
              </w:rPr>
              <w:t>Wind</w:t>
            </w:r>
          </w:p>
        </w:tc>
        <w:tc>
          <w:tcPr>
            <w:tcW w:w="2020" w:type="dxa"/>
            <w:vAlign w:val="bottom"/>
            <w:gridSpan w:val="2"/>
          </w:tcPr>
          <w:p>
            <w:pPr>
              <w:jc w:val="center"/>
              <w:ind w:left="2"/>
              <w:spacing w:after="0"/>
              <w:rPr>
                <w:sz w:val="20"/>
                <w:szCs w:val="20"/>
                <w:color w:val="auto"/>
              </w:rPr>
            </w:pPr>
            <w:r>
              <w:rPr>
                <w:rFonts w:ascii="Arial" w:cs="Arial" w:eastAsia="Arial" w:hAnsi="Arial"/>
                <w:sz w:val="20"/>
                <w:szCs w:val="20"/>
                <w:color w:val="auto"/>
                <w:w w:val="83"/>
              </w:rPr>
              <w:t>137</w:t>
            </w:r>
          </w:p>
        </w:tc>
        <w:tc>
          <w:tcPr>
            <w:tcW w:w="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99"/>
              </w:rPr>
              <w:t>WA</w:t>
            </w:r>
          </w:p>
        </w:tc>
        <w:tc>
          <w:tcPr>
            <w:tcW w:w="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91"/>
              </w:rPr>
              <w:t>2H26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-1245235</wp:posOffset>
            </wp:positionV>
            <wp:extent cx="6410325" cy="1360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410325" cy="1360170"/>
                    </a:xfrm>
                    <a:prstGeom prst="rect">
                      <a:avLst/>
                    </a:prstGeom>
                    <a:noFill/>
                  </pic:spPr>
                </pic:pic>
              </a:graphicData>
            </a:graphic>
          </wp:anchor>
        </w:drawing>
      </w:r>
    </w:p>
    <w:p>
      <w:pPr>
        <w:spacing w:after="0" w:line="149" w:lineRule="exact"/>
        <w:rPr>
          <w:sz w:val="20"/>
          <w:szCs w:val="20"/>
          <w:color w:val="auto"/>
        </w:rPr>
      </w:pPr>
    </w:p>
    <w:p>
      <w:pPr>
        <w:ind w:left="320" w:hanging="239"/>
        <w:spacing w:after="0"/>
        <w:tabs>
          <w:tab w:leader="none" w:pos="32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Third-party acquisition of operating facilities.</w:t>
      </w:r>
    </w:p>
    <w:p>
      <w:pPr>
        <w:spacing w:after="0" w:line="84" w:lineRule="exact"/>
        <w:rPr>
          <w:rFonts w:ascii="Arial" w:cs="Arial" w:eastAsia="Arial" w:hAnsi="Arial"/>
          <w:sz w:val="25"/>
          <w:szCs w:val="25"/>
          <w:color w:val="auto"/>
          <w:vertAlign w:val="superscript"/>
        </w:rPr>
      </w:pPr>
    </w:p>
    <w:p>
      <w:pPr>
        <w:ind w:left="320" w:hanging="239"/>
        <w:spacing w:after="0" w:line="181" w:lineRule="auto"/>
        <w:tabs>
          <w:tab w:leader="none" w:pos="32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Included in a co-investment partnership.</w:t>
      </w:r>
    </w:p>
    <w:p>
      <w:pPr>
        <w:spacing w:after="0" w:line="160" w:lineRule="exact"/>
        <w:rPr>
          <w:sz w:val="20"/>
          <w:szCs w:val="20"/>
          <w:color w:val="auto"/>
        </w:rPr>
      </w:pPr>
    </w:p>
    <w:p>
      <w:pPr>
        <w:jc w:val="both"/>
        <w:ind w:firstLine="441"/>
        <w:spacing w:after="0" w:line="314" w:lineRule="auto"/>
        <w:rPr>
          <w:sz w:val="20"/>
          <w:szCs w:val="20"/>
          <w:color w:val="auto"/>
        </w:rPr>
      </w:pPr>
      <w:r>
        <w:rPr>
          <w:rFonts w:ascii="Arial" w:cs="Arial" w:eastAsia="Arial" w:hAnsi="Arial"/>
          <w:sz w:val="17"/>
          <w:szCs w:val="17"/>
          <w:b w:val="1"/>
          <w:bCs w:val="1"/>
          <w:i w:val="1"/>
          <w:iCs w:val="1"/>
          <w:color w:val="auto"/>
        </w:rPr>
        <w:t xml:space="preserve">Primary focus on North America. </w:t>
      </w:r>
      <w:r>
        <w:rPr>
          <w:rFonts w:ascii="Arial" w:cs="Arial" w:eastAsia="Arial" w:hAnsi="Arial"/>
          <w:sz w:val="17"/>
          <w:szCs w:val="17"/>
          <w:color w:val="auto"/>
        </w:rPr>
        <w:t>The Company intends to focus its investments in North America.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believes that industry fundamentals in North America offer significant opportunity to grow its portfolio without creating significant exposure to currency or sovereign risk. By focusing its efforts on North America, the Company believes it will best leverage its regional knowledge of power markets, industry relationships and skill sets to maximize its performance.</w:t>
      </w:r>
    </w:p>
    <w:p>
      <w:pPr>
        <w:spacing w:after="0" w:line="94"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b w:val="1"/>
          <w:bCs w:val="1"/>
          <w:i w:val="1"/>
          <w:iCs w:val="1"/>
          <w:color w:val="auto"/>
        </w:rPr>
        <w:t xml:space="preserve">Maintain sound financial practices to grow the dividend. </w:t>
      </w:r>
      <w:r>
        <w:rPr>
          <w:rFonts w:ascii="Arial" w:cs="Arial" w:eastAsia="Arial" w:hAnsi="Arial"/>
          <w:sz w:val="19"/>
          <w:szCs w:val="19"/>
          <w:color w:val="auto"/>
        </w:rPr>
        <w:t>The Company intends to maintain a commitment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disciplined financial analysis and a balanced capital structure to enable it to increase its quarterly dividend over time 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the Company receives from Clearway Energy LLC, subject to available capital, market conditions and compliance with associated laws, regulations and other contractual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89"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Power generation is a capital-intensive business with numerous and diverse industry participants. The Company competes based on the location of its plants, as well as the contract price and terms of individual facilities. Within the power industry, the Company competes with a wide variety of companies with different capabilities, resources and business models, depending on the market. The Company’s competitors for energy supply include utilities and independent power producers. The Company also competes to acquire new facilities with renewable developers who retain ownership of their renewable power plants, independent power producers, financial investors and other downstream power infrastructure owners. Competitive conditions may be substantially affected by capital market conditions and by various forms of energy-related legislation and regulation considered by federal, state and local legislatures and administrative agencies, including tax policy. Such laws and regulations, or changes thereto, may substantially increase the costs of acquiring, constructing and operating facilities, and it could be difficult for the Company to adapt to and operate under such laws and regulations.</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040"/>
          </w:cols>
          <w:pgMar w:left="920" w:top="580" w:right="920" w:bottom="0" w:gutter="0" w:footer="0" w:header="0"/>
          <w:type w:val="continuous"/>
        </w:sectPr>
      </w:pPr>
    </w:p>
    <w:bookmarkStart w:id="10" w:name="page11"/>
    <w:bookmarkEnd w:id="10"/>
    <w:p>
      <w:pPr>
        <w:ind w:left="7"/>
        <w:spacing w:after="0"/>
        <w:rPr>
          <w:sz w:val="20"/>
          <w:szCs w:val="20"/>
          <w:color w:val="auto"/>
        </w:rPr>
      </w:pPr>
      <w:r>
        <w:rPr>
          <w:rFonts w:ascii="Arial" w:cs="Arial" w:eastAsia="Arial" w:hAnsi="Arial"/>
          <w:sz w:val="20"/>
          <w:szCs w:val="20"/>
          <w:b w:val="1"/>
          <w:bCs w:val="1"/>
          <w:color w:val="auto"/>
        </w:rPr>
        <w:t>Competitive Strengths</w:t>
      </w:r>
    </w:p>
    <w:p>
      <w:pPr>
        <w:spacing w:after="0" w:line="185" w:lineRule="exact"/>
        <w:rPr>
          <w:sz w:val="20"/>
          <w:szCs w:val="20"/>
          <w:color w:val="auto"/>
        </w:rPr>
      </w:pPr>
    </w:p>
    <w:p>
      <w:pPr>
        <w:jc w:val="both"/>
        <w:ind w:left="7" w:firstLine="441"/>
        <w:spacing w:after="0" w:line="298" w:lineRule="auto"/>
        <w:rPr>
          <w:sz w:val="20"/>
          <w:szCs w:val="20"/>
          <w:color w:val="auto"/>
        </w:rPr>
      </w:pPr>
      <w:r>
        <w:rPr>
          <w:rFonts w:ascii="Arial" w:cs="Arial" w:eastAsia="Arial" w:hAnsi="Arial"/>
          <w:sz w:val="17"/>
          <w:szCs w:val="17"/>
          <w:b w:val="1"/>
          <w:bCs w:val="1"/>
          <w:i w:val="1"/>
          <w:iCs w:val="1"/>
          <w:color w:val="auto"/>
        </w:rPr>
        <w:t xml:space="preserve">Stable, high quality cash flows. </w:t>
      </w:r>
      <w:r>
        <w:rPr>
          <w:rFonts w:ascii="Arial" w:cs="Arial" w:eastAsia="Arial" w:hAnsi="Arial"/>
          <w:sz w:val="17"/>
          <w:szCs w:val="17"/>
          <w:color w:val="auto"/>
        </w:rPr>
        <w:t>The Company’s facilities have a stable, predictable cash flow profile consisting of long-life electric generation assets that primarily sell electricity under long-term fixed priced contracts or pursuant to regulated rates with investment-grade and certain other creditworthy counterparties. The majority of the Company’s facilities have minimal fuel risk, as the Renewables &amp; Storage facilities have no fuel costs, however, the Company’s merchant assets included in the Flexible Generation segment need to procure their own fuel. The offtake agreements within the Company’s Renewables &amp; Storage segment have a weighted-average remaining duration, based on CAFD, of approximately 12 years as of December 31, 2025, which contributes to long-term cash flow stability. The Company’s offtake agreements with counterparties for whom credit ratings are available have a weighted-average Moody’s rating of Baa1 based on rated capacity under contract. Additionally, because all of the Company’s assets are located in the U.S., they are not exposed to currency or repatriation risks.</w:t>
      </w:r>
    </w:p>
    <w:p>
      <w:pPr>
        <w:spacing w:after="0" w:line="109" w:lineRule="exact"/>
        <w:rPr>
          <w:sz w:val="20"/>
          <w:szCs w:val="20"/>
          <w:color w:val="auto"/>
        </w:rPr>
      </w:pPr>
    </w:p>
    <w:p>
      <w:pPr>
        <w:jc w:val="both"/>
        <w:ind w:left="7" w:firstLine="441"/>
        <w:spacing w:after="0" w:line="265" w:lineRule="auto"/>
        <w:rPr>
          <w:sz w:val="20"/>
          <w:szCs w:val="20"/>
          <w:color w:val="auto"/>
        </w:rPr>
      </w:pPr>
      <w:r>
        <w:rPr>
          <w:rFonts w:ascii="Arial" w:cs="Arial" w:eastAsia="Arial" w:hAnsi="Arial"/>
          <w:sz w:val="19"/>
          <w:szCs w:val="19"/>
          <w:b w:val="1"/>
          <w:bCs w:val="1"/>
          <w:i w:val="1"/>
          <w:iCs w:val="1"/>
          <w:color w:val="auto"/>
        </w:rPr>
        <w:t xml:space="preserve">Environmentally well-positioned portfolio of assets. </w:t>
      </w:r>
      <w:r>
        <w:rPr>
          <w:rFonts w:ascii="Arial" w:cs="Arial" w:eastAsia="Arial" w:hAnsi="Arial"/>
          <w:sz w:val="19"/>
          <w:szCs w:val="19"/>
          <w:color w:val="auto"/>
        </w:rPr>
        <w:t>The Company’s portfolio includes approximately 10.1 gross GW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installed wind, solar and BESS assets that are predominantly non-emitting sources of power generation. Additionally, the Company’s assets within the Flexible Generation segment that are located in California consist of efficient gas generation facilities that support electric system reliability. The Company does not expect to incur any significant capital expenditures in the foreseeable future to comply with current environmental regulations applicable to its generation assets. Taken as a whole, the Company believes it will be a net beneficiary of growing energy demand and market support for the types of assets that the Company operates and acquires.</w:t>
      </w:r>
    </w:p>
    <w:p>
      <w:pPr>
        <w:spacing w:after="0" w:line="134" w:lineRule="exact"/>
        <w:rPr>
          <w:sz w:val="20"/>
          <w:szCs w:val="20"/>
          <w:color w:val="auto"/>
        </w:rPr>
      </w:pPr>
    </w:p>
    <w:p>
      <w:pPr>
        <w:jc w:val="both"/>
        <w:ind w:left="7" w:firstLine="441"/>
        <w:spacing w:after="0" w:line="269" w:lineRule="auto"/>
        <w:rPr>
          <w:sz w:val="20"/>
          <w:szCs w:val="20"/>
          <w:color w:val="auto"/>
        </w:rPr>
      </w:pPr>
      <w:r>
        <w:rPr>
          <w:rFonts w:ascii="Arial" w:cs="Arial" w:eastAsia="Arial" w:hAnsi="Arial"/>
          <w:sz w:val="19"/>
          <w:szCs w:val="19"/>
          <w:b w:val="1"/>
          <w:bCs w:val="1"/>
          <w:i w:val="1"/>
          <w:iCs w:val="1"/>
          <w:color w:val="auto"/>
        </w:rPr>
        <w:t xml:space="preserve">High quality, long-lived assets with low operating and capital requirements. </w:t>
      </w:r>
      <w:r>
        <w:rPr>
          <w:rFonts w:ascii="Arial" w:cs="Arial" w:eastAsia="Arial" w:hAnsi="Arial"/>
          <w:sz w:val="19"/>
          <w:szCs w:val="19"/>
          <w:color w:val="auto"/>
        </w:rPr>
        <w:t>The Company benefits from a portfolio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relatively newer assets. The Company’s assets are largely comprised of proven and reliable technologies, provided by leading original wind, solar and BESS equipment manufacturers. Given the nature of the portfolio, which includes a substantial number of wind, solar and BESS facilities, with relatively low operating and maintenance costs, the Company expects to maintain high fleet availability and expend modest maintenance-related capital expenditures.</w:t>
      </w:r>
    </w:p>
    <w:p>
      <w:pPr>
        <w:spacing w:after="0" w:line="128" w:lineRule="exact"/>
        <w:rPr>
          <w:sz w:val="20"/>
          <w:szCs w:val="20"/>
          <w:color w:val="auto"/>
        </w:rPr>
      </w:pPr>
    </w:p>
    <w:p>
      <w:pPr>
        <w:jc w:val="both"/>
        <w:ind w:left="7" w:firstLine="441"/>
        <w:spacing w:after="0" w:line="298" w:lineRule="auto"/>
        <w:rPr>
          <w:sz w:val="20"/>
          <w:szCs w:val="20"/>
          <w:color w:val="auto"/>
        </w:rPr>
      </w:pPr>
      <w:r>
        <w:rPr>
          <w:rFonts w:ascii="Arial" w:cs="Arial" w:eastAsia="Arial" w:hAnsi="Arial"/>
          <w:sz w:val="17"/>
          <w:szCs w:val="17"/>
          <w:b w:val="1"/>
          <w:bCs w:val="1"/>
          <w:i w:val="1"/>
          <w:iCs w:val="1"/>
          <w:color w:val="auto"/>
        </w:rPr>
        <w:t xml:space="preserve">Significant scale and diversity. </w:t>
      </w:r>
      <w:r>
        <w:rPr>
          <w:rFonts w:ascii="Arial" w:cs="Arial" w:eastAsia="Arial" w:hAnsi="Arial"/>
          <w:sz w:val="17"/>
          <w:szCs w:val="17"/>
          <w:color w:val="auto"/>
        </w:rPr>
        <w:t>The Company’s portfolio comprises approximately 12.9 GW of gross capacity in 27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states, including approximately 10.1 GW of wind, solar and BESS and approximately 2.8 GW of dispatchable combustion-based power generation providing critical grid reliability services. The Company’s contracted assets included in the Renewables</w:t>
      </w:r>
    </w:p>
    <w:p>
      <w:pPr>
        <w:spacing w:after="0" w:line="1" w:lineRule="exact"/>
        <w:rPr>
          <w:sz w:val="20"/>
          <w:szCs w:val="20"/>
          <w:color w:val="auto"/>
        </w:rPr>
      </w:pPr>
    </w:p>
    <w:p>
      <w:pPr>
        <w:jc w:val="both"/>
        <w:ind w:left="7" w:hanging="7"/>
        <w:spacing w:after="0" w:line="305" w:lineRule="auto"/>
        <w:tabs>
          <w:tab w:leader="none" w:pos="262" w:val="left"/>
        </w:tabs>
        <w:numPr>
          <w:ilvl w:val="0"/>
          <w:numId w:val="4"/>
        </w:numPr>
        <w:rPr>
          <w:rFonts w:ascii="Arial" w:cs="Arial" w:eastAsia="Arial" w:hAnsi="Arial"/>
          <w:sz w:val="17"/>
          <w:szCs w:val="17"/>
          <w:color w:val="auto"/>
        </w:rPr>
      </w:pPr>
      <w:r>
        <w:rPr>
          <w:rFonts w:ascii="Arial" w:cs="Arial" w:eastAsia="Arial" w:hAnsi="Arial"/>
          <w:sz w:val="17"/>
          <w:szCs w:val="17"/>
          <w:color w:val="auto"/>
        </w:rPr>
        <w:t>Storage and Flexible Generation segments benefit from significant diversification in terms of technology, fuel type, counterparty and geography.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100" w:lineRule="exact"/>
        <w:rPr>
          <w:sz w:val="20"/>
          <w:szCs w:val="20"/>
          <w:color w:val="auto"/>
        </w:rPr>
      </w:pPr>
    </w:p>
    <w:p>
      <w:pPr>
        <w:jc w:val="both"/>
        <w:ind w:left="7" w:firstLine="441"/>
        <w:spacing w:after="0" w:line="252" w:lineRule="auto"/>
        <w:rPr>
          <w:sz w:val="20"/>
          <w:szCs w:val="20"/>
          <w:color w:val="auto"/>
        </w:rPr>
      </w:pPr>
      <w:r>
        <w:rPr>
          <w:rFonts w:ascii="Arial" w:cs="Arial" w:eastAsia="Arial" w:hAnsi="Arial"/>
          <w:sz w:val="20"/>
          <w:szCs w:val="20"/>
          <w:b w:val="1"/>
          <w:bCs w:val="1"/>
          <w:i w:val="1"/>
          <w:iCs w:val="1"/>
          <w:color w:val="auto"/>
        </w:rPr>
        <w:t xml:space="preserve">Relationship with CEG as sponsor. </w:t>
      </w:r>
      <w:r>
        <w:rPr>
          <w:rFonts w:ascii="Arial" w:cs="Arial" w:eastAsia="Arial" w:hAnsi="Arial"/>
          <w:sz w:val="20"/>
          <w:szCs w:val="20"/>
          <w:color w:val="auto"/>
        </w:rPr>
        <w:t>The Company believes that its relationship with CEG provides significant benefits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given CEG’s highly capable renewable development and operations platform that is aligned to support the Company’s growth. CEG has strong capabilities in capital formation, power origination, procurement, construction, business development, asset management, operations and maintenance and related commercial functions, all of which help to safeguard and optimize the value of the Company’s business and operating fleet.</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Segment Review</w:t>
      </w:r>
    </w:p>
    <w:p>
      <w:pPr>
        <w:spacing w:after="0" w:line="189" w:lineRule="exact"/>
        <w:rPr>
          <w:sz w:val="20"/>
          <w:szCs w:val="20"/>
          <w:color w:val="auto"/>
        </w:rPr>
      </w:pPr>
    </w:p>
    <w:p>
      <w:pPr>
        <w:jc w:val="both"/>
        <w:ind w:left="7" w:firstLine="441"/>
        <w:spacing w:after="0" w:line="271" w:lineRule="auto"/>
        <w:rPr>
          <w:sz w:val="20"/>
          <w:szCs w:val="20"/>
          <w:color w:val="auto"/>
        </w:rPr>
      </w:pPr>
      <w:r>
        <w:rPr>
          <w:rFonts w:ascii="Arial" w:cs="Arial" w:eastAsia="Arial" w:hAnsi="Arial"/>
          <w:sz w:val="20"/>
          <w:szCs w:val="20"/>
          <w:color w:val="auto"/>
        </w:rPr>
        <w:t xml:space="preserve">The following tables summarize the Company’s operating revenues, net income (loss) and assets by segment, as discussed in Item 15 — Note 13, </w:t>
      </w:r>
      <w:r>
        <w:rPr>
          <w:rFonts w:ascii="Arial" w:cs="Arial" w:eastAsia="Arial" w:hAnsi="Arial"/>
          <w:sz w:val="20"/>
          <w:szCs w:val="20"/>
          <w:b w:val="1"/>
          <w:bCs w:val="1"/>
          <w:i w:val="1"/>
          <w:iCs w:val="1"/>
          <w:color w:val="auto"/>
        </w:rPr>
        <w:t>Segment Reporting</w:t>
      </w:r>
      <w:r>
        <w:rPr>
          <w:rFonts w:ascii="Arial" w:cs="Arial" w:eastAsia="Arial" w:hAnsi="Arial"/>
          <w:sz w:val="20"/>
          <w:szCs w:val="20"/>
          <w:color w:val="auto"/>
        </w:rPr>
        <w:t>:</w:t>
      </w:r>
    </w:p>
    <w:p>
      <w:pPr>
        <w:spacing w:after="0" w:line="98"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6"/>
                <w:szCs w:val="16"/>
                <w:b w:val="1"/>
                <w:bCs w:val="1"/>
                <w:color w:val="auto"/>
                <w:w w:val="92"/>
              </w:rPr>
              <w:t>Year ended December 31, 2025</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680" w:type="dxa"/>
            <w:vAlign w:val="bottom"/>
            <w:vMerge w:val="restart"/>
          </w:tcPr>
          <w:p>
            <w:pPr>
              <w:jc w:val="right"/>
              <w:ind w:right="3774"/>
              <w:spacing w:after="0"/>
              <w:rPr>
                <w:sz w:val="20"/>
                <w:szCs w:val="20"/>
                <w:color w:val="auto"/>
              </w:rPr>
            </w:pPr>
            <w:r>
              <w:rPr>
                <w:rFonts w:ascii="Arial" w:cs="Arial" w:eastAsia="Arial" w:hAnsi="Arial"/>
                <w:sz w:val="16"/>
                <w:szCs w:val="16"/>
                <w:b w:val="1"/>
                <w:bCs w:val="1"/>
                <w:color w:val="auto"/>
                <w:w w:val="89"/>
              </w:rPr>
              <w:t>(In millions)</w:t>
            </w:r>
          </w:p>
        </w:tc>
        <w:tc>
          <w:tcPr>
            <w:tcW w:w="200" w:type="dxa"/>
            <w:vAlign w:val="bottom"/>
          </w:tcPr>
          <w:p>
            <w:pPr>
              <w:spacing w:after="0"/>
              <w:rPr>
                <w:sz w:val="15"/>
                <w:szCs w:val="15"/>
                <w:color w:val="auto"/>
              </w:rPr>
            </w:pPr>
          </w:p>
        </w:tc>
        <w:tc>
          <w:tcPr>
            <w:tcW w:w="1080" w:type="dxa"/>
            <w:vAlign w:val="bottom"/>
          </w:tcPr>
          <w:p>
            <w:pPr>
              <w:jc w:val="center"/>
              <w:ind w:right="136"/>
              <w:spacing w:after="0" w:line="182" w:lineRule="exact"/>
              <w:rPr>
                <w:sz w:val="20"/>
                <w:szCs w:val="20"/>
                <w:color w:val="auto"/>
              </w:rPr>
            </w:pPr>
            <w:r>
              <w:rPr>
                <w:rFonts w:ascii="Arial" w:cs="Arial" w:eastAsia="Arial" w:hAnsi="Arial"/>
                <w:sz w:val="16"/>
                <w:szCs w:val="16"/>
                <w:b w:val="1"/>
                <w:bCs w:val="1"/>
                <w:color w:val="auto"/>
                <w:w w:val="90"/>
              </w:rPr>
              <w:t>Flexible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7"/>
              <w:spacing w:after="0" w:line="182" w:lineRule="exact"/>
              <w:rPr>
                <w:sz w:val="20"/>
                <w:szCs w:val="20"/>
                <w:color w:val="auto"/>
              </w:rPr>
            </w:pPr>
            <w:r>
              <w:rPr>
                <w:rFonts w:ascii="Arial" w:cs="Arial" w:eastAsia="Arial" w:hAnsi="Arial"/>
                <w:sz w:val="16"/>
                <w:szCs w:val="16"/>
                <w:b w:val="1"/>
                <w:bCs w:val="1"/>
                <w:color w:val="auto"/>
                <w:w w:val="88"/>
              </w:rPr>
              <w:t>Renewables &amp;</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w w:val="96"/>
              </w:rPr>
              <w:t>Corporate</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37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6"/>
              <w:spacing w:after="0"/>
              <w:rPr>
                <w:sz w:val="20"/>
                <w:szCs w:val="20"/>
                <w:color w:val="auto"/>
              </w:rPr>
            </w:pPr>
            <w:r>
              <w:rPr>
                <w:rFonts w:ascii="Arial" w:cs="Arial" w:eastAsia="Arial" w:hAnsi="Arial"/>
                <w:sz w:val="16"/>
                <w:szCs w:val="16"/>
                <w:b w:val="1"/>
                <w:bCs w:val="1"/>
                <w:color w:val="auto"/>
                <w:w w:val="87"/>
              </w:rPr>
              <w:t>Generation</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87"/>
              </w:rPr>
              <w:t>Storage</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80" w:type="dxa"/>
            <w:vAlign w:val="bottom"/>
          </w:tcPr>
          <w:p>
            <w:pPr>
              <w:jc w:val="right"/>
              <w:spacing w:after="0"/>
              <w:rPr>
                <w:sz w:val="20"/>
                <w:szCs w:val="20"/>
                <w:color w:val="auto"/>
              </w:rPr>
            </w:pPr>
            <w:r>
              <w:rPr>
                <w:rFonts w:ascii="Arial" w:cs="Arial" w:eastAsia="Arial" w:hAnsi="Arial"/>
                <w:sz w:val="18"/>
                <w:szCs w:val="18"/>
                <w:color w:val="B4B4B4"/>
                <w:w w:val="90"/>
              </w:rPr>
              <w:t>. . . . . . . . . . . . . . . . . . . . . . . . . . . . . . . . . . . .</w:t>
            </w:r>
            <w:r>
              <w:rPr>
                <w:rFonts w:ascii="Arial" w:cs="Arial" w:eastAsia="Arial" w:hAnsi="Arial"/>
                <w:sz w:val="18"/>
                <w:szCs w:val="18"/>
                <w:color w:val="000000"/>
                <w:w w:val="90"/>
              </w:rPr>
              <w:t>Operatingrevenues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66"/>
        </w:trPr>
        <w:tc>
          <w:tcPr>
            <w:tcW w:w="4680" w:type="dxa"/>
            <w:vAlign w:val="bottom"/>
          </w:tcPr>
          <w:p>
            <w:pPr>
              <w:jc w:val="right"/>
              <w:spacing w:after="0"/>
              <w:rPr>
                <w:sz w:val="20"/>
                <w:szCs w:val="20"/>
                <w:color w:val="auto"/>
              </w:rPr>
            </w:pPr>
            <w:r>
              <w:rPr>
                <w:rFonts w:ascii="Arial" w:cs="Arial" w:eastAsia="Arial" w:hAnsi="Arial"/>
                <w:sz w:val="18"/>
                <w:szCs w:val="18"/>
                <w:color w:val="auto"/>
                <w:w w:val="89"/>
              </w:rPr>
              <w:t xml:space="preserve">Net income (loss)  </w:t>
            </w:r>
            <w:r>
              <w:rPr>
                <w:rFonts w:ascii="Arial" w:cs="Arial" w:eastAsia="Arial" w:hAnsi="Arial"/>
                <w:sz w:val="18"/>
                <w:szCs w:val="18"/>
                <w:color w:val="B4B4B4"/>
                <w:w w:val="89"/>
              </w:rPr>
              <w:t>. . . . . . . . . . . . . . . . . . . . . . . . . . . . . . . . . . . . .</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50"/>
        </w:trPr>
        <w:tc>
          <w:tcPr>
            <w:tcW w:w="4680" w:type="dxa"/>
            <w:vAlign w:val="bottom"/>
          </w:tcPr>
          <w:p>
            <w:pPr>
              <w:jc w:val="right"/>
              <w:spacing w:after="0"/>
              <w:rPr>
                <w:sz w:val="20"/>
                <w:szCs w:val="20"/>
                <w:color w:val="auto"/>
              </w:rPr>
            </w:pPr>
            <w:r>
              <w:rPr>
                <w:rFonts w:ascii="Arial" w:cs="Arial" w:eastAsia="Arial" w:hAnsi="Arial"/>
                <w:sz w:val="18"/>
                <w:szCs w:val="18"/>
                <w:color w:val="auto"/>
                <w:w w:val="88"/>
              </w:rPr>
              <w:t xml:space="preserve">Total assets  </w:t>
            </w:r>
            <w:r>
              <w:rPr>
                <w:rFonts w:ascii="Arial" w:cs="Arial" w:eastAsia="Arial" w:hAnsi="Arial"/>
                <w:sz w:val="18"/>
                <w:szCs w:val="18"/>
                <w:color w:val="B4B4B4"/>
                <w:w w:val="88"/>
              </w:rPr>
              <w:t>. . . . . . . . . . . . . . . . . . . . . . . . . . . . . . . . . . . . . . . . . .</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530"/>
        </w:trPr>
        <w:tc>
          <w:tcPr>
            <w:tcW w:w="4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6"/>
                <w:szCs w:val="16"/>
                <w:b w:val="1"/>
                <w:bCs w:val="1"/>
                <w:color w:val="auto"/>
                <w:w w:val="92"/>
              </w:rPr>
              <w:t>Year ended December 31, 2024</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680" w:type="dxa"/>
            <w:vAlign w:val="bottom"/>
            <w:vMerge w:val="restart"/>
          </w:tcPr>
          <w:p>
            <w:pPr>
              <w:jc w:val="right"/>
              <w:ind w:right="3774"/>
              <w:spacing w:after="0"/>
              <w:rPr>
                <w:sz w:val="20"/>
                <w:szCs w:val="20"/>
                <w:color w:val="auto"/>
              </w:rPr>
            </w:pPr>
            <w:r>
              <w:rPr>
                <w:rFonts w:ascii="Arial" w:cs="Arial" w:eastAsia="Arial" w:hAnsi="Arial"/>
                <w:sz w:val="16"/>
                <w:szCs w:val="16"/>
                <w:b w:val="1"/>
                <w:bCs w:val="1"/>
                <w:color w:val="auto"/>
                <w:w w:val="89"/>
              </w:rPr>
              <w:t>(In millions)</w:t>
            </w:r>
          </w:p>
        </w:tc>
        <w:tc>
          <w:tcPr>
            <w:tcW w:w="200" w:type="dxa"/>
            <w:vAlign w:val="bottom"/>
          </w:tcPr>
          <w:p>
            <w:pPr>
              <w:spacing w:after="0"/>
              <w:rPr>
                <w:sz w:val="15"/>
                <w:szCs w:val="15"/>
                <w:color w:val="auto"/>
              </w:rPr>
            </w:pPr>
          </w:p>
        </w:tc>
        <w:tc>
          <w:tcPr>
            <w:tcW w:w="1080" w:type="dxa"/>
            <w:vAlign w:val="bottom"/>
          </w:tcPr>
          <w:p>
            <w:pPr>
              <w:jc w:val="center"/>
              <w:ind w:right="136"/>
              <w:spacing w:after="0" w:line="182" w:lineRule="exact"/>
              <w:rPr>
                <w:sz w:val="20"/>
                <w:szCs w:val="20"/>
                <w:color w:val="auto"/>
              </w:rPr>
            </w:pPr>
            <w:r>
              <w:rPr>
                <w:rFonts w:ascii="Arial" w:cs="Arial" w:eastAsia="Arial" w:hAnsi="Arial"/>
                <w:sz w:val="16"/>
                <w:szCs w:val="16"/>
                <w:b w:val="1"/>
                <w:bCs w:val="1"/>
                <w:color w:val="auto"/>
                <w:w w:val="90"/>
              </w:rPr>
              <w:t>Flexible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7"/>
              <w:spacing w:after="0" w:line="182" w:lineRule="exact"/>
              <w:rPr>
                <w:sz w:val="20"/>
                <w:szCs w:val="20"/>
                <w:color w:val="auto"/>
              </w:rPr>
            </w:pPr>
            <w:r>
              <w:rPr>
                <w:rFonts w:ascii="Arial" w:cs="Arial" w:eastAsia="Arial" w:hAnsi="Arial"/>
                <w:sz w:val="16"/>
                <w:szCs w:val="16"/>
                <w:b w:val="1"/>
                <w:bCs w:val="1"/>
                <w:color w:val="auto"/>
                <w:w w:val="88"/>
              </w:rPr>
              <w:t>Renewables &amp;</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w w:val="96"/>
              </w:rPr>
              <w:t>Corporate</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ind w:right="37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6"/>
              <w:spacing w:after="0"/>
              <w:rPr>
                <w:sz w:val="20"/>
                <w:szCs w:val="20"/>
                <w:color w:val="auto"/>
              </w:rPr>
            </w:pPr>
            <w:r>
              <w:rPr>
                <w:rFonts w:ascii="Arial" w:cs="Arial" w:eastAsia="Arial" w:hAnsi="Arial"/>
                <w:sz w:val="16"/>
                <w:szCs w:val="16"/>
                <w:b w:val="1"/>
                <w:bCs w:val="1"/>
                <w:color w:val="auto"/>
                <w:w w:val="87"/>
              </w:rPr>
              <w:t>Generation</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87"/>
              </w:rPr>
              <w:t>Storage</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jc w:val="right"/>
              <w:spacing w:after="0"/>
              <w:rPr>
                <w:sz w:val="20"/>
                <w:szCs w:val="20"/>
                <w:color w:val="auto"/>
              </w:rPr>
            </w:pPr>
            <w:r>
              <w:rPr>
                <w:rFonts w:ascii="Arial" w:cs="Arial" w:eastAsia="Arial" w:hAnsi="Arial"/>
                <w:sz w:val="18"/>
                <w:szCs w:val="18"/>
                <w:color w:val="B4B4B4"/>
                <w:w w:val="90"/>
              </w:rPr>
              <w:t>. . . . . . . . . . . . . . . . . . . . . . . . . . . . . . . . . . . .</w:t>
            </w:r>
            <w:r>
              <w:rPr>
                <w:rFonts w:ascii="Arial" w:cs="Arial" w:eastAsia="Arial" w:hAnsi="Arial"/>
                <w:sz w:val="18"/>
                <w:szCs w:val="18"/>
                <w:color w:val="000000"/>
                <w:w w:val="90"/>
              </w:rPr>
              <w:t>Operatingrevenues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75"/>
        </w:trPr>
        <w:tc>
          <w:tcPr>
            <w:tcW w:w="4680" w:type="dxa"/>
            <w:vAlign w:val="bottom"/>
          </w:tcPr>
          <w:p>
            <w:pPr>
              <w:jc w:val="right"/>
              <w:spacing w:after="0"/>
              <w:rPr>
                <w:sz w:val="20"/>
                <w:szCs w:val="20"/>
                <w:color w:val="auto"/>
              </w:rPr>
            </w:pPr>
            <w:r>
              <w:rPr>
                <w:rFonts w:ascii="Arial" w:cs="Arial" w:eastAsia="Arial" w:hAnsi="Arial"/>
                <w:sz w:val="18"/>
                <w:szCs w:val="18"/>
                <w:color w:val="auto"/>
                <w:w w:val="89"/>
              </w:rPr>
              <w:t xml:space="preserve">Net income (loss)  </w:t>
            </w:r>
            <w:r>
              <w:rPr>
                <w:rFonts w:ascii="Arial" w:cs="Arial" w:eastAsia="Arial" w:hAnsi="Arial"/>
                <w:sz w:val="18"/>
                <w:szCs w:val="18"/>
                <w:color w:val="B4B4B4"/>
                <w:w w:val="89"/>
              </w:rPr>
              <w:t>. . . . . . . . . . . . . . . . . . . . . . . . . . . . . . . . . . . . .</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0"/>
        </w:trPr>
        <w:tc>
          <w:tcPr>
            <w:tcW w:w="4680" w:type="dxa"/>
            <w:vAlign w:val="bottom"/>
          </w:tcPr>
          <w:p>
            <w:pPr>
              <w:jc w:val="right"/>
              <w:spacing w:after="0"/>
              <w:rPr>
                <w:sz w:val="20"/>
                <w:szCs w:val="20"/>
                <w:color w:val="auto"/>
              </w:rPr>
            </w:pPr>
            <w:r>
              <w:rPr>
                <w:rFonts w:ascii="Arial" w:cs="Arial" w:eastAsia="Arial" w:hAnsi="Arial"/>
                <w:sz w:val="18"/>
                <w:szCs w:val="18"/>
                <w:color w:val="auto"/>
                <w:w w:val="88"/>
              </w:rPr>
              <w:t xml:space="preserve">Total assets  </w:t>
            </w:r>
            <w:r>
              <w:rPr>
                <w:rFonts w:ascii="Arial" w:cs="Arial" w:eastAsia="Arial" w:hAnsi="Arial"/>
                <w:sz w:val="18"/>
                <w:szCs w:val="18"/>
                <w:color w:val="B4B4B4"/>
                <w:w w:val="88"/>
              </w:rPr>
              <w:t>. . . . . . . . . . . . . . . . . . . . . . . . . . . . . . . . . . . . . . . . . .</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-1586230</wp:posOffset>
            </wp:positionV>
            <wp:extent cx="6410325" cy="520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410325" cy="5200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-497205</wp:posOffset>
            </wp:positionV>
            <wp:extent cx="6410325" cy="520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6410325" cy="5200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2995930</wp:posOffset>
                </wp:positionH>
                <wp:positionV relativeFrom="paragraph">
                  <wp:posOffset>-746125</wp:posOffset>
                </wp:positionV>
                <wp:extent cx="85915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1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9pt,-58.7499pt" to="303.55pt,-58.7499pt" o:allowincell="f" strokecolor="#000000" strokeweight="0pt"/>
            </w:pict>
          </mc:Fallback>
        </mc:AlternateContent>
      </w:r>
    </w:p>
    <w:p>
      <w:pPr>
        <w:sectPr>
          <w:pgSz w:w="11880" w:h="15480" w:orient="portrait"/>
          <w:cols w:equalWidth="0" w:num="1">
            <w:col w:w="10047"/>
          </w:cols>
          <w:pgMar w:left="913"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047"/>
          </w:cols>
          <w:pgMar w:left="913" w:top="577" w:right="920" w:bottom="0" w:gutter="0" w:footer="0" w:header="0"/>
          <w:type w:val="continuous"/>
        </w:sectPr>
      </w:pPr>
    </w:p>
    <w:bookmarkStart w:id="11" w:name="page12"/>
    <w:bookmarkEnd w:id="11"/>
    <w:tbl>
      <w:tblPr>
        <w:tblLayout w:type="fixed"/>
        <w:tblInd w:w="4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552"/>
              <w:spacing w:after="0"/>
              <w:rPr>
                <w:sz w:val="20"/>
                <w:szCs w:val="20"/>
                <w:color w:val="auto"/>
              </w:rPr>
            </w:pPr>
            <w:r>
              <w:rPr>
                <w:rFonts w:ascii="Arial" w:cs="Arial" w:eastAsia="Arial" w:hAnsi="Arial"/>
                <w:sz w:val="16"/>
                <w:szCs w:val="16"/>
                <w:b w:val="1"/>
                <w:bCs w:val="1"/>
                <w:color w:val="auto"/>
                <w:w w:val="92"/>
              </w:rPr>
              <w:t>Year ended December 31, 2023</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680" w:type="dxa"/>
            <w:vAlign w:val="bottom"/>
            <w:vMerge w:val="restart"/>
          </w:tcPr>
          <w:p>
            <w:pPr>
              <w:jc w:val="right"/>
              <w:ind w:right="3775"/>
              <w:spacing w:after="0"/>
              <w:rPr>
                <w:sz w:val="20"/>
                <w:szCs w:val="20"/>
                <w:color w:val="auto"/>
              </w:rPr>
            </w:pPr>
            <w:r>
              <w:rPr>
                <w:rFonts w:ascii="Arial" w:cs="Arial" w:eastAsia="Arial" w:hAnsi="Arial"/>
                <w:sz w:val="16"/>
                <w:szCs w:val="16"/>
                <w:b w:val="1"/>
                <w:bCs w:val="1"/>
                <w:color w:val="auto"/>
                <w:w w:val="89"/>
              </w:rPr>
              <w:t>(In millions)</w:t>
            </w:r>
          </w:p>
        </w:tc>
        <w:tc>
          <w:tcPr>
            <w:tcW w:w="200" w:type="dxa"/>
            <w:vAlign w:val="bottom"/>
          </w:tcPr>
          <w:p>
            <w:pPr>
              <w:spacing w:after="0"/>
              <w:rPr>
                <w:sz w:val="15"/>
                <w:szCs w:val="15"/>
                <w:color w:val="auto"/>
              </w:rPr>
            </w:pPr>
          </w:p>
        </w:tc>
        <w:tc>
          <w:tcPr>
            <w:tcW w:w="1080" w:type="dxa"/>
            <w:vAlign w:val="bottom"/>
          </w:tcPr>
          <w:p>
            <w:pPr>
              <w:jc w:val="right"/>
              <w:ind w:right="297"/>
              <w:spacing w:after="0" w:line="182" w:lineRule="exact"/>
              <w:rPr>
                <w:sz w:val="20"/>
                <w:szCs w:val="20"/>
                <w:color w:val="auto"/>
              </w:rPr>
            </w:pPr>
            <w:r>
              <w:rPr>
                <w:rFonts w:ascii="Arial" w:cs="Arial" w:eastAsia="Arial" w:hAnsi="Arial"/>
                <w:sz w:val="16"/>
                <w:szCs w:val="16"/>
                <w:b w:val="1"/>
                <w:bCs w:val="1"/>
                <w:color w:val="auto"/>
              </w:rPr>
              <w:t>Flexible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78"/>
              <w:spacing w:after="0" w:line="182" w:lineRule="exact"/>
              <w:rPr>
                <w:sz w:val="20"/>
                <w:szCs w:val="20"/>
                <w:color w:val="auto"/>
              </w:rPr>
            </w:pPr>
            <w:r>
              <w:rPr>
                <w:rFonts w:ascii="Arial" w:cs="Arial" w:eastAsia="Arial" w:hAnsi="Arial"/>
                <w:sz w:val="16"/>
                <w:szCs w:val="16"/>
                <w:b w:val="1"/>
                <w:bCs w:val="1"/>
                <w:color w:val="auto"/>
                <w:w w:val="86"/>
              </w:rPr>
              <w:t>Renewables &amp;</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vMerge w:val="restart"/>
          </w:tcPr>
          <w:p>
            <w:pPr>
              <w:jc w:val="right"/>
              <w:ind w:right="572"/>
              <w:spacing w:after="0"/>
              <w:rPr>
                <w:sz w:val="20"/>
                <w:szCs w:val="20"/>
                <w:color w:val="auto"/>
              </w:rPr>
            </w:pPr>
            <w:r>
              <w:rPr>
                <w:rFonts w:ascii="Arial" w:cs="Arial" w:eastAsia="Arial" w:hAnsi="Arial"/>
                <w:sz w:val="16"/>
                <w:szCs w:val="16"/>
                <w:b w:val="1"/>
                <w:bCs w:val="1"/>
                <w:color w:val="auto"/>
                <w:w w:val="96"/>
              </w:rPr>
              <w:t>Corporate</w:t>
            </w:r>
          </w:p>
        </w:tc>
        <w:tc>
          <w:tcPr>
            <w:tcW w:w="980" w:type="dxa"/>
            <w:vAlign w:val="bottom"/>
            <w:vMerge w:val="restart"/>
          </w:tcPr>
          <w:p>
            <w:pPr>
              <w:jc w:val="right"/>
              <w:ind w:right="37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97"/>
              <w:spacing w:after="0"/>
              <w:rPr>
                <w:sz w:val="20"/>
                <w:szCs w:val="20"/>
                <w:color w:val="auto"/>
              </w:rPr>
            </w:pPr>
            <w:r>
              <w:rPr>
                <w:rFonts w:ascii="Arial" w:cs="Arial" w:eastAsia="Arial" w:hAnsi="Arial"/>
                <w:sz w:val="16"/>
                <w:szCs w:val="16"/>
                <w:b w:val="1"/>
                <w:bCs w:val="1"/>
                <w:color w:val="auto"/>
                <w:w w:val="92"/>
              </w:rPr>
              <w:t>Generation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298"/>
              <w:spacing w:after="0"/>
              <w:rPr>
                <w:sz w:val="20"/>
                <w:szCs w:val="20"/>
                <w:color w:val="auto"/>
              </w:rPr>
            </w:pPr>
            <w:r>
              <w:rPr>
                <w:rFonts w:ascii="Arial" w:cs="Arial" w:eastAsia="Arial" w:hAnsi="Arial"/>
                <w:sz w:val="16"/>
                <w:szCs w:val="16"/>
                <w:b w:val="1"/>
                <w:bCs w:val="1"/>
                <w:color w:val="auto"/>
              </w:rPr>
              <w:t>Storage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jc w:val="right"/>
              <w:spacing w:after="0"/>
              <w:rPr>
                <w:sz w:val="20"/>
                <w:szCs w:val="20"/>
                <w:color w:val="auto"/>
              </w:rPr>
            </w:pPr>
            <w:r>
              <w:rPr>
                <w:rFonts w:ascii="Arial" w:cs="Arial" w:eastAsia="Arial" w:hAnsi="Arial"/>
                <w:sz w:val="18"/>
                <w:szCs w:val="18"/>
                <w:color w:val="B4B4B4"/>
                <w:w w:val="90"/>
              </w:rPr>
              <w:t>. . . . . . . . . . . . . . . . . . . . . . . . . . . . . . . . . . . .</w:t>
            </w:r>
            <w:r>
              <w:rPr>
                <w:rFonts w:ascii="Arial" w:cs="Arial" w:eastAsia="Arial" w:hAnsi="Arial"/>
                <w:sz w:val="18"/>
                <w:szCs w:val="18"/>
                <w:color w:val="000000"/>
                <w:w w:val="90"/>
              </w:rPr>
              <w:t>Operatingrevenues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75"/>
        </w:trPr>
        <w:tc>
          <w:tcPr>
            <w:tcW w:w="4680" w:type="dxa"/>
            <w:vAlign w:val="bottom"/>
          </w:tcPr>
          <w:p>
            <w:pPr>
              <w:jc w:val="right"/>
              <w:spacing w:after="0"/>
              <w:rPr>
                <w:sz w:val="20"/>
                <w:szCs w:val="20"/>
                <w:color w:val="auto"/>
              </w:rPr>
            </w:pPr>
            <w:r>
              <w:rPr>
                <w:rFonts w:ascii="Arial" w:cs="Arial" w:eastAsia="Arial" w:hAnsi="Arial"/>
                <w:sz w:val="18"/>
                <w:szCs w:val="18"/>
                <w:color w:val="auto"/>
                <w:w w:val="88"/>
              </w:rPr>
              <w:t xml:space="preserve">Net income (loss) </w:t>
            </w:r>
            <w:r>
              <w:rPr>
                <w:rFonts w:ascii="Arial" w:cs="Arial" w:eastAsia="Arial" w:hAnsi="Arial"/>
                <w:sz w:val="18"/>
                <w:szCs w:val="18"/>
                <w:color w:val="B4B4B4"/>
                <w:w w:val="88"/>
              </w:rPr>
              <w:t>. . . . . . . . . . . . . . . . . . . . . . . . . . . . . . . . . . . . . .</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-338455</wp:posOffset>
            </wp:positionV>
            <wp:extent cx="6410325" cy="361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6410325" cy="36131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Policy Incentives</w:t>
      </w:r>
    </w:p>
    <w:p>
      <w:pPr>
        <w:spacing w:after="0" w:line="189"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7"/>
          <w:szCs w:val="17"/>
          <w:color w:val="auto"/>
        </w:rPr>
        <w:t>U.S. federal, state and local governments have established various policy incentives to support the development, financing, ownership and operation of renewable energy facilities. These incentives include PTCs, ITCs, accelerated tax depreciation, cash grants, tax abatements and RPS programs which have the effect of decreasing the costs and risks associated with developing and operating such facilities or creating demand for renewable energy assets. In particular,</w:t>
      </w:r>
    </w:p>
    <w:p>
      <w:pPr>
        <w:spacing w:after="0" w:line="101" w:lineRule="exact"/>
        <w:rPr>
          <w:sz w:val="20"/>
          <w:szCs w:val="20"/>
          <w:color w:val="auto"/>
        </w:rPr>
      </w:pPr>
    </w:p>
    <w:p>
      <w:pPr>
        <w:jc w:val="both"/>
        <w:ind w:left="700" w:hanging="355"/>
        <w:spacing w:after="0" w:line="293"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Owners of wind facilities are eligible to claim the PTC, or an ITC in lieu of the PTC, provided that certain requirements are met. Similarly, owners of solar facilities are eligible to claim the ITC or, for facilities placed in service after August 16, 2022, either the ITC or, in lieu thereof, a PTC, provided certain requirements are met. Additionally, owners of BESS facilities are eligible to claim the ITC for facilities placed in service after December 31, 2022, provided certain requirements are met. The PTC is an annual credit that is based on the amount of electricity sold by the facility during the first ten years after the facility is first placed in service. The ITC is a one-time credit that is based on a percentage of the cost of the facility and is claimed for the tax year in which the facility is first placed in service. Depending on the type of taxpayer, the PTC or ITC may be sold to an unrelated third party for cash. In order to qualify for the full amount of these credits in the case of facilities whose construction began on or after January 28, 2023, certain prevailing wage and apprenticeship requirements generally must be satisfied. For facilities that begin construction after December 31, 2024, the PTC and ITC will no longer apply and such facilities may instead be eligible for the clean electricity production credit or clean electricity investment credit, respectively. In order to qualify for these new credits, the facility’s GHG emissions cannot be greater than zero. Moreover, pursuant to legislation enacted July 4, 2025, wind and solar facilities that begin construction after July 4, 2026 must be placed in service by December 31, 2027 in order to qualify for these credits and the percentage of components in the facility manufactured by foreign entities of concern cannot exceed a specified percentage.</w:t>
      </w:r>
    </w:p>
    <w:p>
      <w:pPr>
        <w:spacing w:after="0" w:line="242" w:lineRule="exact"/>
        <w:rPr>
          <w:rFonts w:ascii="Arial" w:cs="Arial" w:eastAsia="Arial" w:hAnsi="Arial"/>
          <w:sz w:val="17"/>
          <w:szCs w:val="17"/>
          <w:color w:val="auto"/>
        </w:rPr>
      </w:pPr>
    </w:p>
    <w:p>
      <w:pPr>
        <w:jc w:val="both"/>
        <w:ind w:left="700" w:hanging="355"/>
        <w:spacing w:after="0" w:line="300"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Pursuant to the U.S. federal Modified Accelerated Cost Recovery System, or MACRS, wind, solar and BESS facilities have generally been depreciable for tax purposes over a five-year period (before applying certain conventions), even though the useful life of such facilities is generally much longer than five years. However, pursuant to federal tax legislation enacted on July 4, 2025, in certain cases, facilities as to which construction begins after 2024 will no longer be depreciable over a five-year period; instead, their cost will be recovered over a seven-year period. Under the same legislation, immediate 100% expensing is also permanently available for such property.</w:t>
      </w:r>
    </w:p>
    <w:p>
      <w:pPr>
        <w:spacing w:after="0" w:line="3" w:lineRule="exact"/>
        <w:rPr>
          <w:rFonts w:ascii="Arial" w:cs="Arial" w:eastAsia="Arial" w:hAnsi="Arial"/>
          <w:sz w:val="17"/>
          <w:szCs w:val="17"/>
          <w:color w:val="auto"/>
        </w:rPr>
      </w:pPr>
    </w:p>
    <w:p>
      <w:pPr>
        <w:jc w:val="both"/>
        <w:ind w:left="700" w:hanging="355"/>
        <w:spacing w:after="0" w:line="312"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RPS programs,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101"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The elimination of, loss of, reduction in, or the addition of stricter eligibility requirements for the business tax credits and incentives discussed above could decrease the attractiveness of renewable energy facilities to developers, including, but not limited to, CEG, which could reduce the Company’s acquisition or development opportunities. Such an elimination, loss or reduction could also reduce the Company’s willingness to pursue or develop certain renewable energy facilities due to higher operating costs or decreased revenues under its PPAs. However, these changes (i) are not anticipated to have an adverse impact on the anticipated pipeline of facilities that are being developed by the Company’s sponsor, CEG, through at least 2030 and (ii) did not impact the operation of facilities owned by the Company.</w:t>
      </w:r>
    </w:p>
    <w:p>
      <w:pPr>
        <w:sectPr>
          <w:pgSz w:w="11880" w:h="15480" w:orient="portrait"/>
          <w:cols w:equalWidth="0" w:num="1">
            <w:col w:w="10040"/>
          </w:cols>
          <w:pgMar w:left="920" w:top="6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040"/>
          </w:cols>
          <w:pgMar w:left="920" w:top="672" w:right="920" w:bottom="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Regulatory Matters</w:t>
      </w:r>
    </w:p>
    <w:p>
      <w:pPr>
        <w:spacing w:after="0" w:line="189" w:lineRule="exact"/>
        <w:rPr>
          <w:sz w:val="20"/>
          <w:szCs w:val="20"/>
          <w:color w:val="auto"/>
        </w:rPr>
      </w:pPr>
    </w:p>
    <w:p>
      <w:pPr>
        <w:jc w:val="both"/>
        <w:ind w:firstLine="441"/>
        <w:spacing w:after="0" w:line="262" w:lineRule="auto"/>
        <w:rPr>
          <w:sz w:val="20"/>
          <w:szCs w:val="20"/>
          <w:color w:val="auto"/>
        </w:rPr>
      </w:pPr>
      <w:r>
        <w:rPr>
          <w:rFonts w:ascii="Arial" w:cs="Arial" w:eastAsia="Arial" w:hAnsi="Arial"/>
          <w:sz w:val="19"/>
          <w:szCs w:val="19"/>
          <w:color w:val="auto"/>
        </w:rPr>
        <w:t>As owners of power plants and participants in wholesale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 Similarly, the Company’s operations within Hawaii are not subject to rate regulation by FERC, as they are deemed to operate solely within the State of Hawaii and not in interstate commerce.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FERC</w:t>
      </w:r>
    </w:p>
    <w:p>
      <w:pPr>
        <w:spacing w:after="0" w:line="189"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FERC, among other things, regulates the transmission and the wholesale sale of electricity in interstate commerce under the authority of the FPA. The transmission and sale of electric energy occurring wholly within ERCOT and Hawaii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150"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are just and reasonable.</w:t>
      </w:r>
    </w:p>
    <w:p>
      <w:pPr>
        <w:spacing w:after="0" w:line="130"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and Hawaii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106"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7"/>
          <w:szCs w:val="17"/>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spacing w:after="0" w:line="101"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140" w:lineRule="exact"/>
        <w:rPr>
          <w:sz w:val="20"/>
          <w:szCs w:val="20"/>
          <w:color w:val="auto"/>
        </w:rPr>
      </w:pPr>
    </w:p>
    <w:p>
      <w:pPr>
        <w:jc w:val="both"/>
        <w:ind w:firstLine="441"/>
        <w:spacing w:after="0" w:line="278" w:lineRule="auto"/>
        <w:rPr>
          <w:sz w:val="20"/>
          <w:szCs w:val="20"/>
          <w:color w:val="auto"/>
        </w:rPr>
      </w:pPr>
      <w:r>
        <w:rPr>
          <w:rFonts w:ascii="Arial" w:cs="Arial" w:eastAsia="Arial" w:hAnsi="Arial"/>
          <w:sz w:val="19"/>
          <w:szCs w:val="19"/>
          <w:color w:val="auto"/>
        </w:rPr>
        <w:t>The PUHCA provides FERC with certain authority over and access to books and records of public utility holding companies and companies within the public utility holding company systems. The Company is not required to comply with the accounting, record retention and reporting requirements promulgated by FERC pursuant to the PUHCA.</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18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9"/>
          <w:szCs w:val="19"/>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has recently shifted at the federal level. To the extent that proposed legislation and new or revised regulations restrict or otherwise impact the Company’s operations, the proposed legislation and regulations could have a negative impact on the Company’s financial performance.</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040"/>
          </w:cols>
          <w:pgMar w:left="920" w:top="577" w:right="920" w:bottom="0" w:gutter="0" w:footer="0" w:header="0"/>
          <w:type w:val="continuous"/>
        </w:sectPr>
      </w:pPr>
    </w:p>
    <w:bookmarkStart w:id="13" w:name="page14"/>
    <w:bookmarkEnd w:id="13"/>
    <w:p>
      <w:pPr>
        <w:jc w:val="both"/>
        <w:ind w:firstLine="441"/>
        <w:spacing w:after="0" w:line="293" w:lineRule="auto"/>
        <w:rPr>
          <w:sz w:val="20"/>
          <w:szCs w:val="20"/>
          <w:color w:val="auto"/>
        </w:rPr>
      </w:pPr>
      <w:r>
        <w:rPr>
          <w:rFonts w:ascii="Arial" w:cs="Arial" w:eastAsia="Arial" w:hAnsi="Arial"/>
          <w:sz w:val="17"/>
          <w:szCs w:val="17"/>
          <w:b w:val="1"/>
          <w:bCs w:val="1"/>
          <w:i w:val="1"/>
          <w:iCs w:val="1"/>
          <w:color w:val="auto"/>
        </w:rPr>
        <w:t xml:space="preserve">EPA GHG Rulemaking and Proposals </w:t>
      </w:r>
      <w:r>
        <w:rPr>
          <w:rFonts w:ascii="Arial" w:cs="Arial" w:eastAsia="Arial" w:hAnsi="Arial"/>
          <w:sz w:val="17"/>
          <w:szCs w:val="17"/>
          <w:color w:val="auto"/>
        </w:rPr>
        <w:t>— In March 2025, a Joint Resolution of Disapproval under the Congressional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Act was signed which prohibited the EPA’s November 2024 Waste Emissions Charge rules from taking effect. Federal tax legislation enacted on July 4, 2025 postponed the EPA’s imposition of the Waste Emissions Charge to 2034. On July 29, 2025, the EPA issued an interim final rule extending several compliance deadlines associated with the strict new methane rules for the oil and gas industry that were published in March 2024 and took effect in May 2024. In December 2025, the EPA issued a final rule extending these compliance deadlines associated with its 2024 methane rules. On September 16, 2025, the EPA announced a proposal to end the Greenhouse Gas Reporting Program for all sectors except petroleum and natural gas systems (excluding reporting for natural gas distribution). Reporting for petroleum and natural gas systems under the Greenhouse Gas Reporting Program would be deferred until 2034 under the proposal. On February 12, 2026, the EPA announced the repeal of its 2009 “Endangerment Finding” under the Clean Air Act, which found that GHGs endanger the public health and welfare of current and future generations and emissions of GHGs from motor vehicles contribute to GHG pollution. The Endangerment Finding formed the EPA’s legal authority to regulate GHG emissions from motor vehicles, but the repeal calls into question the EPA’s authority to regulate GHGs not just from motor vehicles, but from all regulated sources, as well as the EPA’s prior scientific assessment of climate change risks. Litigation regarding the repeal is anticipated and it is unclear how the repeal will impact the EPA’s regulation of GHG emissions generally going forward. The move away from the federal regulation of GHGs and the repeal of the Endangerment Finding mark a significant shift in federal climate policy.</w:t>
      </w:r>
    </w:p>
    <w:p>
      <w:pPr>
        <w:spacing w:after="0" w:line="121"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b w:val="1"/>
          <w:bCs w:val="1"/>
          <w:i w:val="1"/>
          <w:iCs w:val="1"/>
          <w:color w:val="auto"/>
        </w:rPr>
        <w:t xml:space="preserve">Changes to NEPA </w:t>
      </w:r>
      <w:r>
        <w:rPr>
          <w:rFonts w:ascii="Arial" w:cs="Arial" w:eastAsia="Arial" w:hAnsi="Arial"/>
          <w:sz w:val="17"/>
          <w:szCs w:val="17"/>
          <w:color w:val="auto"/>
        </w:rPr>
        <w:t>— In February 2025, the White House Council on Environmental Quality, or CEQ, sent NEPA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Implementation Guidance to the heads of federal department and agencies to expedite and simplify the permitting process pursuant to Executive Order 14154, “Unleashing American Energy.” In the same month, CEQ issued an interim final rule removing its regulations implementing NEPA from the Code of Federal Regulations, which rule was finalized in January 2026. On May 29, 2025, the U.S. Supreme Court issued a decision in </w:t>
      </w:r>
      <w:r>
        <w:rPr>
          <w:rFonts w:ascii="Arial" w:cs="Arial" w:eastAsia="Arial" w:hAnsi="Arial"/>
          <w:sz w:val="17"/>
          <w:szCs w:val="17"/>
          <w:b w:val="1"/>
          <w:bCs w:val="1"/>
          <w:i w:val="1"/>
          <w:iCs w:val="1"/>
          <w:color w:val="auto"/>
        </w:rPr>
        <w:t>Seven County Infrastructure Coalition v. Eagle County,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Colorado </w:t>
      </w:r>
      <w:r>
        <w:rPr>
          <w:rFonts w:ascii="Arial" w:cs="Arial" w:eastAsia="Arial" w:hAnsi="Arial"/>
          <w:sz w:val="17"/>
          <w:szCs w:val="17"/>
          <w:color w:val="auto"/>
        </w:rPr>
        <w:t>limiting the scope of upstream and downstream effects agencies must consider in NEPA reviews and clarifying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courts must afford agencies “substantial judicial deference” in NEPA cases. In July 2025, federal tax legislation added Section 112 to NEPA, which provides for expedited environmental reviews for a fee under NEPA, and the U.S. Army Corps of Engineers, FERC and the Departments of Energy, Interior, Transportation, Agriculture and Defense released updates to their regulations and procedures implementing NEPA to speed up permitting and streamline environmental reviews.</w:t>
      </w:r>
    </w:p>
    <w:p>
      <w:pPr>
        <w:spacing w:after="0" w:line="109"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b w:val="1"/>
          <w:bCs w:val="1"/>
          <w:i w:val="1"/>
          <w:iCs w:val="1"/>
          <w:color w:val="auto"/>
        </w:rPr>
        <w:t xml:space="preserve">Federal Endangered Species Act Legislation and Regulations </w:t>
      </w:r>
      <w:r>
        <w:rPr>
          <w:rFonts w:ascii="Arial" w:cs="Arial" w:eastAsia="Arial" w:hAnsi="Arial"/>
          <w:sz w:val="20"/>
          <w:szCs w:val="20"/>
          <w:color w:val="auto"/>
        </w:rPr>
        <w:t>— In November 2025, the U.S. Fish and Wildlife Service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proposed four rules, two of which were jointly issued with the National Marine Fisheries Service, which amend the federal Endangered Species Act, or ESA, regulations. The proposed rules revise the prior administration’s 2024 regulations under the ESA and revert to the 2019 and 2020 regulations regarding listing, delisting and critical habitat determinations, pursuant to Executive Order 14154, “Unleashing American Energy,” and the U.S. Department of Interior Secretary’s Order 3418 (implementing EO 14154).</w:t>
      </w:r>
    </w:p>
    <w:p>
      <w:pPr>
        <w:spacing w:after="0" w:line="15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9"/>
          <w:szCs w:val="19"/>
          <w:b w:val="1"/>
          <w:bCs w:val="1"/>
          <w:i w:val="1"/>
          <w:iCs w:val="1"/>
          <w:color w:val="auto"/>
        </w:rPr>
        <w:t xml:space="preserve">Federal Eagle Incidental Take Permit Rule </w:t>
      </w:r>
      <w:r>
        <w:rPr>
          <w:rFonts w:ascii="Arial" w:cs="Arial" w:eastAsia="Arial" w:hAnsi="Arial"/>
          <w:sz w:val="19"/>
          <w:szCs w:val="19"/>
          <w:color w:val="auto"/>
        </w:rPr>
        <w:t>— On September 30, 2022, FWS published in the Federal Register a draft rule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revising the eagle incidental take permit program. Comments on the revised rule continued to be accepted during 2023. The final eagle incidental take permit rule was published in the Federal Register on February 12, 2024, and became effective on April 13, 2024. The final rule provided expedited eagle take permitting and a lower cost pathway to permit issuance for many wind facilities but not all. Facility-specific permits will still be required for some facilities. In August 2025, DOI began auditing the eagle take permit program and eagle take permits for wind projects issued prior to January 2025 as part of the DOI’s implementation of Executive Order 14315 “Ending Market Distorting Subsidies for Unreliable, Foreign-Controlled Energy Sources” and DOI’s memorandum “Ensuring Compliance with the Bald and Gold Eagle Protection Act and Executive Order 14315.”</w:t>
      </w:r>
    </w:p>
    <w:p>
      <w:pPr>
        <w:spacing w:after="0" w:line="138"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b w:val="1"/>
          <w:bCs w:val="1"/>
          <w:i w:val="1"/>
          <w:iCs w:val="1"/>
          <w:color w:val="auto"/>
        </w:rPr>
        <w:t xml:space="preserve">Federal MBTA Incidental Take Legislation and Regulations </w:t>
      </w:r>
      <w:r>
        <w:rPr>
          <w:rFonts w:ascii="Arial" w:cs="Arial" w:eastAsia="Arial" w:hAnsi="Arial"/>
          <w:sz w:val="17"/>
          <w:szCs w:val="17"/>
          <w:color w:val="auto"/>
        </w:rPr>
        <w:t>— On April 11, 2025, citing executive order “Unleashing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American Energy,” the U.S. Department of the Interior, or DOI, issued a legal opinion repealing opinion M-37065, which was issued during the prior administration and specified that the MBTA prohibits both intentional and incidental take of migratory birds, and restoring opinion M-37050, which was issued during the first Trump administration and specifies that only intentional take of migratory birds is prohibited. On July 29, 2025, DOI announced a policy measure to review whether avian mortality rates associated with the development of wind energy facilities located in migratory flight paths qualify as “incidental” takings of birds under the MBTA and related laws, and to determine the appropriate approach to permitting these activities, identifying violations of the applicable statutes and related penalties.</w:t>
      </w:r>
    </w:p>
    <w:p>
      <w:pPr>
        <w:sectPr>
          <w:pgSz w:w="11880" w:h="15480" w:orient="portrait"/>
          <w:cols w:equalWidth="0" w:num="1">
            <w:col w:w="10040"/>
          </w:cols>
          <w:pgMar w:left="920" w:top="58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040"/>
          </w:cols>
          <w:pgMar w:left="920" w:top="583" w:right="920" w:bottom="0" w:gutter="0" w:footer="0" w:header="0"/>
          <w:type w:val="continuous"/>
        </w:sectPr>
      </w:pPr>
    </w:p>
    <w:bookmarkStart w:id="14" w:name="page15"/>
    <w:bookmarkEnd w:id="14"/>
    <w:p>
      <w:pPr>
        <w:jc w:val="both"/>
        <w:ind w:firstLine="441"/>
        <w:spacing w:after="0" w:line="264" w:lineRule="auto"/>
        <w:rPr>
          <w:sz w:val="20"/>
          <w:szCs w:val="20"/>
          <w:color w:val="auto"/>
        </w:rPr>
      </w:pPr>
      <w:r>
        <w:rPr>
          <w:rFonts w:ascii="Arial" w:cs="Arial" w:eastAsia="Arial" w:hAnsi="Arial"/>
          <w:sz w:val="19"/>
          <w:szCs w:val="19"/>
          <w:b w:val="1"/>
          <w:bCs w:val="1"/>
          <w:i w:val="1"/>
          <w:iCs w:val="1"/>
          <w:color w:val="auto"/>
        </w:rPr>
        <w:t xml:space="preserve">California Climate Disclosure Laws </w:t>
      </w:r>
      <w:r>
        <w:rPr>
          <w:rFonts w:ascii="Arial" w:cs="Arial" w:eastAsia="Arial" w:hAnsi="Arial"/>
          <w:sz w:val="19"/>
          <w:szCs w:val="19"/>
          <w:color w:val="auto"/>
        </w:rPr>
        <w:t>— In September 2023, the California State Assembly passed landmark climate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disclosure laws (SB 253 and SB 261, as amended by SB 219). These laws require large companies "doing business in California" to provide annual reporting of Scope 1, 2 and 3 GHG emissions to the state (SB 253) and the biennial disclosure of climate-related financial risks and mitigation (SB 261). The initial reporting of Scope 1 and 2 emissions under SB 253 is due August 10, 2026, and the reporting of Scope 3 emissions is set to begin in 2027. The biennial disclosure under SB 261 was originally due on January 1, 2026, however, on November 18, 2025, enforcement of SB 261 was stayed due to a preliminary injunction from the Ninth Circuit Court of Appeals. Litigation regarding both laws remains ongoing. The Company has prepared to comply with these new state requirements.</w:t>
      </w:r>
    </w:p>
    <w:p>
      <w:pPr>
        <w:spacing w:after="0" w:line="135"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b w:val="1"/>
          <w:bCs w:val="1"/>
          <w:i w:val="1"/>
          <w:iCs w:val="1"/>
          <w:color w:val="auto"/>
        </w:rPr>
        <w:t xml:space="preserve">Local California Air District Rules </w:t>
      </w:r>
      <w:r>
        <w:rPr>
          <w:rFonts w:ascii="Arial" w:cs="Arial" w:eastAsia="Arial" w:hAnsi="Arial"/>
          <w:sz w:val="17"/>
          <w:szCs w:val="17"/>
          <w:color w:val="auto"/>
        </w:rPr>
        <w:t>— Air districts, including the San Diego Air Pollution Control District, have recently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proposed and/or updated new source review permitting requirements, including to incorporate public notice requirements as well as updates to programs addressing toxic air contaminants.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cap and trade program in the next few years. The Company’s facilities in the Flexible Generation segment meet the district’s existing and proposed amendments to command-and-control regulations. Proposed updates to local California Air District Rules are not expected to affect the operations nor compliance of the Company’s facilities.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189"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The Company sells its electricity and environmental attributes, including RECs, primarily to customers located across 27 states under contractual arrangements. The Company’s customer base includes 38 local utilities and 26 commercial and industrial customers delivered through its utility-scale generation fleet, as well as thousands of additional customers for products delivered from its distributed solar fleet. During the year ended December 31, 2025, the Company’s largest customers as a percentage of consolidated revenue were SCE and PG&amp;E, which represented approximately 22% and 16%, respectively, with the next five largest customers representing a total of approximately 26% of consolidated revenue.</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189"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Effective January 1, 2025, the Company effected a reorganization pursuant to which all of the employees of the Company transferred to CEG. As a result, the Company does not have employees of its own and instead depends solely on the services provided by or under the direction of CEG under the CEG Master Services Agreement to carry out its operations. The Company directly bears all labor costs for certain employees of CEG who perform work on behalf of the Company. The Company also depends upon personnel of CEG for the provision of asset management, administration and O&amp;M services.</w:t>
      </w:r>
    </w:p>
    <w:p>
      <w:pPr>
        <w:spacing w:after="0" w:line="106"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In addition to the personnel of CEG, the Company relies on other third-party service providers in the daily operations of its facilities in the Flexible Generation segment, as well as certain renewable facilities.</w:t>
      </w:r>
    </w:p>
    <w:p>
      <w:pPr>
        <w:spacing w:after="0" w:line="127"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color w:val="auto"/>
        </w:rPr>
        <w:t>The Company, together with CEG, focuses on attracting, developing and retaining a team of highly talented and motivated employees. CEG seeks to attract and retain employees with industry experience and relevant skills to support operations, which in certain areas requires specific professional or technical skills and experience. CEG’s programs to attract and recruit qualified candidates focus on identifying qualified candidates from a variety of backgrounds with the requisite skills and experience to bring value to the Company. CEG regularly conducts assessments of its compensation and benefit practices and pay levels to help ensure that staff members are compensated equitably and competitively. CEG devotes extensive resources to staff development and training, including tuition assistance for career-enhancing academic and professional programs. CEG utilizes various programs for developing and retaining employees that focus on employee engagement and belonging, as well as continuing education. Employee performance is measured in part based on goals that are aligned with the Company’s annual objectives.</w:t>
      </w:r>
    </w:p>
    <w:p>
      <w:pPr>
        <w:spacing w:after="0" w:line="351" w:lineRule="exact"/>
        <w:rPr>
          <w:sz w:val="20"/>
          <w:szCs w:val="20"/>
          <w:color w:val="auto"/>
        </w:rPr>
      </w:pPr>
    </w:p>
    <w:p>
      <w:pPr>
        <w:jc w:val="both"/>
        <w:ind w:firstLine="441"/>
        <w:spacing w:after="0" w:line="278" w:lineRule="auto"/>
        <w:rPr>
          <w:sz w:val="20"/>
          <w:szCs w:val="20"/>
          <w:color w:val="auto"/>
        </w:rPr>
      </w:pPr>
      <w:r>
        <w:rPr>
          <w:rFonts w:ascii="Arial" w:cs="Arial" w:eastAsia="Arial" w:hAnsi="Arial"/>
          <w:sz w:val="19"/>
          <w:szCs w:val="19"/>
          <w:color w:val="auto"/>
        </w:rPr>
        <w:t>CEG is committed to maintaining a workplace that acknowledges, encourages and values its employees as individuals. The Company and CEG believe that individual differences, experiences, and strengths enrich a company’s culture and help it better understand the needs of its customers and the communities in which it operates.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Social and Governance (ESG)</w:t>
      </w:r>
    </w:p>
    <w:p>
      <w:pPr>
        <w:spacing w:after="0" w:line="189"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The Company is committed to engaging with its stakeholders on environmental, social and governance, or ESG, matters in a proactive, holistic and integrated manner. The Company strives to provide recent, credible and comparable data to investors around ESG issues and to comply with ESG disclosure requirements. The Company’s Board of Directors reviews developing trends and emerging ESG matters as well as the Company’s strategies, activities, policies and communications regarding ESG matters, and reviews and considers potential actions the Company could take regarding ESG matters.</w:t>
      </w:r>
    </w:p>
    <w:p>
      <w:pPr>
        <w:sectPr>
          <w:pgSz w:w="11880" w:h="15480" w:orient="portrait"/>
          <w:cols w:equalWidth="0" w:num="1">
            <w:col w:w="10040"/>
          </w:cols>
          <w:pgMar w:left="920" w:top="58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040"/>
          </w:cols>
          <w:pgMar w:left="920" w:top="583" w:right="920" w:bottom="0" w:gutter="0" w:footer="0" w:header="0"/>
          <w:type w:val="continuous"/>
        </w:sectPr>
      </w:pPr>
    </w:p>
    <w:bookmarkStart w:id="15" w:name="page16"/>
    <w:bookmarkEnd w:id="15"/>
    <w:p>
      <w:pPr>
        <w:jc w:val="both"/>
        <w:ind w:firstLine="441"/>
        <w:spacing w:after="0" w:line="300" w:lineRule="auto"/>
        <w:rPr>
          <w:sz w:val="20"/>
          <w:szCs w:val="20"/>
          <w:color w:val="auto"/>
        </w:rPr>
      </w:pPr>
      <w:r>
        <w:rPr>
          <w:rFonts w:ascii="Arial" w:cs="Arial" w:eastAsia="Arial" w:hAnsi="Arial"/>
          <w:sz w:val="17"/>
          <w:szCs w:val="17"/>
          <w:color w:val="auto"/>
        </w:rPr>
        <w:t>Aligned with the Company’s strategy of owning and acquiring environmentally-sound assets, in 2025, approximately 91% of the Company’s total operating revenues were not tied to the dispatch of power generation emitting GHGs. This non-GHG emitting operating revenue included renewable energy generation and grid reliability services in the Company’s Renewables &amp; Storage segment and grid reliability services in the Flexible Generation segment at the El Segundo, Marsh Landing and Walnut Creek facilities. Excluding the Carlsbad facility, which is currently under a long-term tolling agreement whereby the Company does not control the dispatch of the facility, in 2025, approximately 97% of the Company’s total operating revenues were not tied to the dispatch of power generation emitting GHGs.</w:t>
      </w:r>
    </w:p>
    <w:p>
      <w:pPr>
        <w:spacing w:after="0" w:line="112"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9"/>
          <w:szCs w:val="19"/>
          <w:color w:val="auto"/>
        </w:rPr>
        <w:t xml:space="preserve">Also in 2025, 98% of the Company’s total generation was attributable to renewable energy and storage assets. The Company has also issued $2,725 million of corporate green bonds under a green bond framework that applies the net proceeds to finance or refinance, in part or in full, new and existing facilities and assets meeting certain criteria focused on the supply of energy from renewable resources, including solar energy and wind energy, which includes the 2034 Senior Notes that were issued on January 13, 2026, as further described in Item 15 — Note 10, </w:t>
      </w:r>
      <w:r>
        <w:rPr>
          <w:rFonts w:ascii="Arial" w:cs="Arial" w:eastAsia="Arial" w:hAnsi="Arial"/>
          <w:sz w:val="19"/>
          <w:szCs w:val="19"/>
          <w:b w:val="1"/>
          <w:bCs w:val="1"/>
          <w:i w:val="1"/>
          <w:iCs w:val="1"/>
          <w:color w:val="auto"/>
        </w:rPr>
        <w:t>Long-term Debt</w:t>
      </w:r>
      <w:r>
        <w:rPr>
          <w:rFonts w:ascii="Arial" w:cs="Arial" w:eastAsia="Arial" w:hAnsi="Arial"/>
          <w:sz w:val="19"/>
          <w:szCs w:val="19"/>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89"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the Company’s website, </w:t>
      </w:r>
      <w:r>
        <w:rPr>
          <w:rFonts w:ascii="Arial" w:cs="Arial" w:eastAsia="Arial" w:hAnsi="Arial"/>
          <w:sz w:val="17"/>
          <w:szCs w:val="17"/>
          <w:b w:val="1"/>
          <w:bCs w:val="1"/>
          <w:i w:val="1"/>
          <w:iCs w:val="1"/>
          <w:color w:val="auto"/>
        </w:rPr>
        <w:t>www.clearwayenergy.com</w:t>
      </w:r>
      <w:r>
        <w:rPr>
          <w:rFonts w:ascii="Arial" w:cs="Arial" w:eastAsia="Arial" w:hAnsi="Arial"/>
          <w:sz w:val="17"/>
          <w:szCs w:val="17"/>
          <w:color w:val="auto"/>
        </w:rPr>
        <w:t>, as soon as reasonably practicable after they are electronically filed with, or furnished to, the SEC.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also routinely posts press releases, presentations, webcasts, and other information regarding the Company on its website. The information posted on the Company’s website is not a part of this report.</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040"/>
          </w:cols>
          <w:pgMar w:left="920" w:top="584" w:right="920" w:bottom="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Item 1A — Risk Factors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of 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business is subject to numerous risks and uncertainties, discussed in more detail in the following section.</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These risks include, among others, the following key risks: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Company’s Business</w:t>
      </w:r>
    </w:p>
    <w:p>
      <w:pPr>
        <w:spacing w:after="0" w:line="130" w:lineRule="exact"/>
        <w:rPr>
          <w:sz w:val="20"/>
          <w:szCs w:val="20"/>
          <w:color w:val="auto"/>
        </w:rPr>
      </w:pPr>
    </w:p>
    <w:p>
      <w:pPr>
        <w:ind w:left="700" w:hanging="355"/>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ability to grow and make investments or acquisitions through cash on hand is limited.</w:t>
      </w:r>
    </w:p>
    <w:p>
      <w:pPr>
        <w:spacing w:after="0" w:line="44" w:lineRule="exact"/>
        <w:rPr>
          <w:rFonts w:ascii="Arial" w:cs="Arial" w:eastAsia="Arial" w:hAnsi="Arial"/>
          <w:sz w:val="20"/>
          <w:szCs w:val="20"/>
          <w:color w:val="auto"/>
        </w:rPr>
      </w:pPr>
    </w:p>
    <w:p>
      <w:pPr>
        <w:jc w:val="both"/>
        <w:ind w:left="700" w:hanging="355"/>
        <w:spacing w:after="0" w:line="254"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may not be able to effectively identify or consummate any future investments or acquisitions on favorable terms, or at all, and future investments or acquisitions may not be accretive as a result of incorrect assumptions in the Company’s evaluation of such investments or acquisitions, unforeseen consequences or other external events beyond the Company’s control.</w:t>
      </w:r>
    </w:p>
    <w:p>
      <w:pPr>
        <w:spacing w:after="0" w:line="6" w:lineRule="exact"/>
        <w:rPr>
          <w:rFonts w:ascii="Arial" w:cs="Arial" w:eastAsia="Arial" w:hAnsi="Arial"/>
          <w:sz w:val="20"/>
          <w:szCs w:val="20"/>
          <w:color w:val="auto"/>
        </w:rPr>
      </w:pPr>
    </w:p>
    <w:p>
      <w:pPr>
        <w:ind w:left="700" w:hanging="355"/>
        <w:spacing w:after="0" w:line="279" w:lineRule="auto"/>
        <w:tabs>
          <w:tab w:leader="none" w:pos="700" w:val="left"/>
        </w:tabs>
        <w:numPr>
          <w:ilvl w:val="0"/>
          <w:numId w:val="6"/>
        </w:numPr>
        <w:rPr>
          <w:rFonts w:ascii="Arial" w:cs="Arial" w:eastAsia="Arial" w:hAnsi="Arial"/>
          <w:sz w:val="19"/>
          <w:szCs w:val="19"/>
          <w:color w:val="auto"/>
        </w:rPr>
      </w:pPr>
      <w:r>
        <w:rPr>
          <w:rFonts w:ascii="Arial" w:cs="Arial" w:eastAsia="Arial" w:hAnsi="Arial"/>
          <w:sz w:val="19"/>
          <w:szCs w:val="19"/>
          <w:color w:val="auto"/>
        </w:rPr>
        <w:t>Counterparties to the Company’s offtake agreements may not fulfill their obligations and, as the contracts expire or terminate, the Company may not be able to replace them with agreements on similar terms, or at all.</w:t>
      </w:r>
    </w:p>
    <w:p>
      <w:pPr>
        <w:spacing w:after="0" w:line="1" w:lineRule="exact"/>
        <w:rPr>
          <w:rFonts w:ascii="Arial" w:cs="Arial" w:eastAsia="Arial" w:hAnsi="Arial"/>
          <w:sz w:val="19"/>
          <w:szCs w:val="19"/>
          <w:color w:val="auto"/>
        </w:rPr>
      </w:pPr>
    </w:p>
    <w:p>
      <w:pPr>
        <w:ind w:left="700" w:hanging="355"/>
        <w:spacing w:after="0" w:line="265"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ability to effectively consummate future investments or acquisitions will also depend on the Company’s ability to arrange the required or desired financing for such transactions.</w:t>
      </w:r>
    </w:p>
    <w:p>
      <w:pPr>
        <w:spacing w:after="0" w:line="1" w:lineRule="exact"/>
        <w:rPr>
          <w:rFonts w:ascii="Arial" w:cs="Arial" w:eastAsia="Arial" w:hAnsi="Arial"/>
          <w:sz w:val="20"/>
          <w:szCs w:val="20"/>
          <w:color w:val="auto"/>
        </w:rPr>
      </w:pPr>
    </w:p>
    <w:p>
      <w:pPr>
        <w:ind w:left="700" w:hanging="355"/>
        <w:spacing w:after="0" w:line="265"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indebtedness could adversely affect its ability to raise additional capital to fund the Company’s operations or pay dividends.</w:t>
      </w:r>
    </w:p>
    <w:p>
      <w:pPr>
        <w:spacing w:after="0" w:line="1" w:lineRule="exact"/>
        <w:rPr>
          <w:rFonts w:ascii="Arial" w:cs="Arial" w:eastAsia="Arial" w:hAnsi="Arial"/>
          <w:sz w:val="20"/>
          <w:szCs w:val="20"/>
          <w:color w:val="auto"/>
        </w:rPr>
      </w:pPr>
    </w:p>
    <w:p>
      <w:pPr>
        <w:jc w:val="both"/>
        <w:ind w:left="700" w:hanging="355"/>
        <w:spacing w:after="0" w:line="254"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spacing w:after="0" w:line="6" w:lineRule="exact"/>
        <w:rPr>
          <w:rFonts w:ascii="Arial" w:cs="Arial" w:eastAsia="Arial" w:hAnsi="Arial"/>
          <w:sz w:val="20"/>
          <w:szCs w:val="20"/>
          <w:color w:val="auto"/>
        </w:rPr>
      </w:pPr>
    </w:p>
    <w:p>
      <w:pPr>
        <w:ind w:left="700" w:hanging="355"/>
        <w:spacing w:after="0" w:line="265"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Maintenance, expansion and refurbishment of electric generation facilities involve significant risks that could result in unplanned power outages or reduced output.</w:t>
      </w:r>
    </w:p>
    <w:p>
      <w:pPr>
        <w:spacing w:after="0" w:line="1" w:lineRule="exact"/>
        <w:rPr>
          <w:rFonts w:ascii="Arial" w:cs="Arial" w:eastAsia="Arial" w:hAnsi="Arial"/>
          <w:sz w:val="20"/>
          <w:szCs w:val="20"/>
          <w:color w:val="auto"/>
        </w:rPr>
      </w:pPr>
    </w:p>
    <w:p>
      <w:pPr>
        <w:ind w:left="700" w:hanging="355"/>
        <w:spacing w:after="0" w:line="265"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Supplier concentration at certain of the Company’s facilities and the inability of suppliers to meet their obligations may expose the Company to significant financial credit or performance risks.</w:t>
      </w:r>
    </w:p>
    <w:p>
      <w:pPr>
        <w:spacing w:after="0" w:line="1" w:lineRule="exact"/>
        <w:rPr>
          <w:rFonts w:ascii="Arial" w:cs="Arial" w:eastAsia="Arial" w:hAnsi="Arial"/>
          <w:sz w:val="20"/>
          <w:szCs w:val="20"/>
          <w:color w:val="auto"/>
        </w:rPr>
      </w:pPr>
    </w:p>
    <w:p>
      <w:pPr>
        <w:ind w:left="700" w:hanging="355"/>
        <w:spacing w:after="0" w:line="312"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 w:lineRule="exact"/>
        <w:rPr>
          <w:rFonts w:ascii="Arial" w:cs="Arial" w:eastAsia="Arial" w:hAnsi="Arial"/>
          <w:sz w:val="17"/>
          <w:szCs w:val="17"/>
          <w:color w:val="auto"/>
        </w:rPr>
      </w:pPr>
    </w:p>
    <w:p>
      <w:pPr>
        <w:ind w:left="700" w:hanging="355"/>
        <w:spacing w:after="0" w:line="312"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1" w:lineRule="exact"/>
        <w:rPr>
          <w:rFonts w:ascii="Arial" w:cs="Arial" w:eastAsia="Arial" w:hAnsi="Arial"/>
          <w:sz w:val="17"/>
          <w:szCs w:val="17"/>
          <w:color w:val="auto"/>
        </w:rPr>
      </w:pPr>
    </w:p>
    <w:p>
      <w:pPr>
        <w:jc w:val="both"/>
        <w:ind w:left="700" w:hanging="355"/>
        <w:spacing w:after="0" w:line="254"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does not own all of the land on which its facilities are located, which could result in disruption to its operations. The Company’s use and enjoyment of real property rights for its facilities may be adversely affected by the rights of lienholders and leaseholders that are superior to those of the grantors of those real property rights to the Company.</w:t>
      </w:r>
    </w:p>
    <w:p>
      <w:pPr>
        <w:spacing w:after="0" w:line="6" w:lineRule="exact"/>
        <w:rPr>
          <w:rFonts w:ascii="Arial" w:cs="Arial" w:eastAsia="Arial" w:hAnsi="Arial"/>
          <w:sz w:val="20"/>
          <w:szCs w:val="20"/>
          <w:color w:val="auto"/>
        </w:rPr>
      </w:pPr>
    </w:p>
    <w:p>
      <w:pPr>
        <w:ind w:left="700" w:hanging="355"/>
        <w:spacing w:after="0" w:line="265"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Company’s businesses are subject to physical, market and economic risks relating to potential effects of climate change and public and governmental initiatives to address climate change.</w:t>
      </w:r>
    </w:p>
    <w:p>
      <w:pPr>
        <w:spacing w:after="0" w:line="1" w:lineRule="exact"/>
        <w:rPr>
          <w:rFonts w:ascii="Arial" w:cs="Arial" w:eastAsia="Arial" w:hAnsi="Arial"/>
          <w:sz w:val="20"/>
          <w:szCs w:val="20"/>
          <w:color w:val="auto"/>
        </w:rPr>
      </w:pPr>
    </w:p>
    <w:p>
      <w:pPr>
        <w:jc w:val="both"/>
        <w:ind w:left="700" w:hanging="355"/>
        <w:spacing w:after="0" w:line="269" w:lineRule="auto"/>
        <w:tabs>
          <w:tab w:leader="none" w:pos="700" w:val="left"/>
        </w:tabs>
        <w:numPr>
          <w:ilvl w:val="0"/>
          <w:numId w:val="6"/>
        </w:numPr>
        <w:rPr>
          <w:rFonts w:ascii="Arial" w:cs="Arial" w:eastAsia="Arial" w:hAnsi="Arial"/>
          <w:sz w:val="19"/>
          <w:szCs w:val="19"/>
          <w:color w:val="auto"/>
        </w:rPr>
      </w:pPr>
      <w:r>
        <w:rPr>
          <w:rFonts w:ascii="Arial" w:cs="Arial" w:eastAsia="Arial" w:hAnsi="Arial"/>
          <w:sz w:val="19"/>
          <w:szCs w:val="19"/>
          <w:color w:val="auto"/>
        </w:rPr>
        <w:t>Risks that are beyond the Company’s control, including but not limited to acts of terrorism or related acts of war, natural disasters, severe weather, changes in weather patterns, flooding, wildfires, pandemics, inflation, supply chain disruptions, hostile cyber intrusions or other catastrophic events, could have a material adverse effect on the Company’s business, financial condition, results of operations and cash flows.</w:t>
      </w:r>
    </w:p>
    <w:p>
      <w:pPr>
        <w:ind w:left="700" w:hanging="355"/>
        <w:spacing w:after="0"/>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operation of the Company’s businesses is subject to cyber-based security and integrity risk.</w:t>
      </w:r>
    </w:p>
    <w:p>
      <w:pPr>
        <w:spacing w:after="0" w:line="44" w:lineRule="exact"/>
        <w:rPr>
          <w:rFonts w:ascii="Arial" w:cs="Arial" w:eastAsia="Arial" w:hAnsi="Arial"/>
          <w:sz w:val="20"/>
          <w:szCs w:val="20"/>
          <w:color w:val="auto"/>
        </w:rPr>
      </w:pPr>
    </w:p>
    <w:p>
      <w:pPr>
        <w:jc w:val="both"/>
        <w:ind w:left="700" w:hanging="355"/>
        <w:spacing w:after="0" w:line="254"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6" w:lineRule="exact"/>
        <w:rPr>
          <w:rFonts w:ascii="Arial" w:cs="Arial" w:eastAsia="Arial" w:hAnsi="Arial"/>
          <w:sz w:val="20"/>
          <w:szCs w:val="20"/>
          <w:color w:val="auto"/>
        </w:rPr>
      </w:pPr>
    </w:p>
    <w:p>
      <w:pPr>
        <w:ind w:left="700" w:hanging="355"/>
        <w:spacing w:after="0" w:line="312"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Company’s costs, results of operations, financial condition and cash flows could be adversely impacted by the disruption of the fuel supplies necessary to generate power at its facilities in the Flexible Generation segment.</w:t>
      </w:r>
    </w:p>
    <w:p>
      <w:pPr>
        <w:spacing w:after="0" w:line="1" w:lineRule="exact"/>
        <w:rPr>
          <w:rFonts w:ascii="Arial" w:cs="Arial" w:eastAsia="Arial" w:hAnsi="Arial"/>
          <w:sz w:val="17"/>
          <w:szCs w:val="17"/>
          <w:color w:val="auto"/>
        </w:rPr>
      </w:pPr>
    </w:p>
    <w:p>
      <w:pPr>
        <w:jc w:val="both"/>
        <w:ind w:left="700" w:hanging="355"/>
        <w:spacing w:after="0" w:line="258"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depends on key personnel and its and CEG’s ability to attract and retain additional skilled management and other personnel, the loss of any of which could have a material adverse effect on the Company’s financial condition and results of operations.</w:t>
      </w:r>
    </w:p>
    <w:p>
      <w:pPr>
        <w:spacing w:after="0" w:line="3" w:lineRule="exact"/>
        <w:rPr>
          <w:rFonts w:ascii="Arial" w:cs="Arial" w:eastAsia="Arial" w:hAnsi="Arial"/>
          <w:sz w:val="20"/>
          <w:szCs w:val="20"/>
          <w:color w:val="auto"/>
        </w:rPr>
      </w:pPr>
    </w:p>
    <w:p>
      <w:pPr>
        <w:ind w:left="700" w:hanging="355"/>
        <w:spacing w:after="0" w:line="265"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may potentially be adversely affected by emerging technologies that may over time impact capacity markets and the energy industry overall.</w:t>
      </w:r>
    </w:p>
    <w:p>
      <w:pPr>
        <w:spacing w:after="0" w:line="1" w:lineRule="exact"/>
        <w:rPr>
          <w:rFonts w:ascii="Arial" w:cs="Arial" w:eastAsia="Arial" w:hAnsi="Arial"/>
          <w:sz w:val="20"/>
          <w:szCs w:val="20"/>
          <w:color w:val="auto"/>
        </w:rPr>
      </w:pPr>
    </w:p>
    <w:p>
      <w:pPr>
        <w:jc w:val="both"/>
        <w:ind w:left="700" w:hanging="355"/>
        <w:spacing w:after="0" w:line="258"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has identified a material weakness in its internal control over financial reporting related to hypothetical liquidation at book value (HLBV) accounting that, if not properly remediated, could adversely affect its business and results of operations.</w:t>
      </w:r>
    </w:p>
    <w:p>
      <w:pPr>
        <w:sectPr>
          <w:pgSz w:w="11880" w:h="15480" w:orient="portrait"/>
          <w:cols w:equalWidth="0" w:num="1">
            <w:col w:w="10040"/>
          </w:cols>
          <w:pgMar w:left="920" w:top="577" w:right="920" w:bottom="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040"/>
          </w:cols>
          <w:pgMar w:left="920" w:top="577" w:right="920" w:bottom="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Risks Related to the Company’s Relationship with CEG</w:t>
      </w:r>
    </w:p>
    <w:p>
      <w:pPr>
        <w:spacing w:after="0" w:line="130" w:lineRule="exact"/>
        <w:rPr>
          <w:sz w:val="20"/>
          <w:szCs w:val="20"/>
          <w:color w:val="auto"/>
        </w:rPr>
      </w:pPr>
    </w:p>
    <w:p>
      <w:pPr>
        <w:ind w:left="700" w:hanging="355"/>
        <w:spacing w:after="0"/>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CEG exercises substantial influence over the Company, and the Company is highly dependent on CEG.</w:t>
      </w:r>
    </w:p>
    <w:p>
      <w:pPr>
        <w:spacing w:after="0" w:line="44" w:lineRule="exact"/>
        <w:rPr>
          <w:rFonts w:ascii="Arial" w:cs="Arial" w:eastAsia="Arial" w:hAnsi="Arial"/>
          <w:sz w:val="20"/>
          <w:szCs w:val="20"/>
          <w:color w:val="auto"/>
        </w:rPr>
      </w:pPr>
    </w:p>
    <w:p>
      <w:pPr>
        <w:ind w:left="700" w:hanging="355"/>
        <w:spacing w:after="0" w:line="249" w:lineRule="auto"/>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CEG controls the Company and has the ability to designate a majority of the members of the Company’s Board of Directors.</w:t>
      </w:r>
    </w:p>
    <w:p>
      <w:pPr>
        <w:spacing w:after="0" w:line="1" w:lineRule="exact"/>
        <w:rPr>
          <w:rFonts w:ascii="Arial" w:cs="Arial" w:eastAsia="Arial" w:hAnsi="Arial"/>
          <w:sz w:val="20"/>
          <w:szCs w:val="20"/>
          <w:color w:val="auto"/>
        </w:rPr>
      </w:pPr>
    </w:p>
    <w:p>
      <w:pPr>
        <w:ind w:left="700" w:hanging="355"/>
        <w:spacing w:after="0"/>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may not be able to consummate future acquisitions from CEG.</w:t>
      </w:r>
    </w:p>
    <w:p>
      <w:pPr>
        <w:spacing w:after="0" w:line="44" w:lineRule="exact"/>
        <w:rPr>
          <w:rFonts w:ascii="Arial" w:cs="Arial" w:eastAsia="Arial" w:hAnsi="Arial"/>
          <w:sz w:val="20"/>
          <w:szCs w:val="20"/>
          <w:color w:val="auto"/>
        </w:rPr>
      </w:pPr>
    </w:p>
    <w:p>
      <w:pPr>
        <w:ind w:left="700" w:hanging="355"/>
        <w:spacing w:after="0"/>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Company may be unable to terminate the CEG Master Services Agreement, in certain circumstances.</w:t>
      </w:r>
    </w:p>
    <w:p>
      <w:pPr>
        <w:spacing w:after="0" w:line="55" w:lineRule="exact"/>
        <w:rPr>
          <w:rFonts w:ascii="Arial" w:cs="Arial" w:eastAsia="Arial" w:hAnsi="Arial"/>
          <w:sz w:val="19"/>
          <w:szCs w:val="19"/>
          <w:color w:val="auto"/>
        </w:rPr>
      </w:pPr>
    </w:p>
    <w:p>
      <w:pPr>
        <w:ind w:left="700" w:hanging="355"/>
        <w:spacing w:after="0" w:line="312" w:lineRule="auto"/>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1" w:lineRule="exact"/>
        <w:rPr>
          <w:rFonts w:ascii="Arial" w:cs="Arial" w:eastAsia="Arial" w:hAnsi="Arial"/>
          <w:sz w:val="17"/>
          <w:szCs w:val="17"/>
          <w:color w:val="auto"/>
        </w:rPr>
      </w:pPr>
    </w:p>
    <w:p>
      <w:pPr>
        <w:jc w:val="both"/>
        <w:ind w:left="700" w:hanging="355"/>
        <w:spacing w:after="0" w:line="258" w:lineRule="auto"/>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is a “controlled company”, controlled by CEG, and as a result, is exempt from certain corporate governance requirements that are designed to provide protection to stockholders of companies that are not controlled companies.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Regulation</w:t>
      </w:r>
    </w:p>
    <w:p>
      <w:pPr>
        <w:spacing w:after="0" w:line="130" w:lineRule="exact"/>
        <w:rPr>
          <w:sz w:val="20"/>
          <w:szCs w:val="20"/>
          <w:color w:val="auto"/>
        </w:rPr>
      </w:pPr>
    </w:p>
    <w:p>
      <w:pPr>
        <w:ind w:left="700" w:hanging="355"/>
        <w:spacing w:after="0"/>
        <w:tabs>
          <w:tab w:leader="none" w:pos="70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Company’s business is subject to restrictions resulting from environmental, health and safety laws and regulations.</w:t>
      </w:r>
    </w:p>
    <w:p>
      <w:pPr>
        <w:spacing w:after="0" w:line="78" w:lineRule="exact"/>
        <w:rPr>
          <w:rFonts w:ascii="Arial" w:cs="Arial" w:eastAsia="Arial" w:hAnsi="Arial"/>
          <w:sz w:val="17"/>
          <w:szCs w:val="17"/>
          <w:b w:val="1"/>
          <w:bCs w:val="1"/>
          <w:color w:val="auto"/>
        </w:rPr>
      </w:pPr>
    </w:p>
    <w:p>
      <w:pPr>
        <w:jc w:val="both"/>
        <w:ind w:left="700" w:hanging="355"/>
        <w:spacing w:after="0" w:line="258"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spacing w:after="0" w:line="3" w:lineRule="exact"/>
        <w:rPr>
          <w:rFonts w:ascii="Arial" w:cs="Arial" w:eastAsia="Arial" w:hAnsi="Arial"/>
          <w:sz w:val="20"/>
          <w:szCs w:val="20"/>
          <w:color w:val="auto"/>
        </w:rPr>
      </w:pPr>
    </w:p>
    <w:p>
      <w:pPr>
        <w:ind w:left="700" w:hanging="355"/>
        <w:spacing w:after="0" w:line="265"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Company’s business is subject to complex and evolving U.S. laws and regulations regarding privacy and data protection.</w:t>
      </w:r>
    </w:p>
    <w:p>
      <w:pPr>
        <w:spacing w:after="0" w:line="1" w:lineRule="exact"/>
        <w:rPr>
          <w:rFonts w:ascii="Arial" w:cs="Arial" w:eastAsia="Arial" w:hAnsi="Arial"/>
          <w:sz w:val="20"/>
          <w:szCs w:val="20"/>
          <w:color w:val="auto"/>
        </w:rPr>
      </w:pPr>
    </w:p>
    <w:p>
      <w:pPr>
        <w:ind w:left="700" w:hanging="355"/>
        <w:spacing w:after="0" w:line="265"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Government regulations providing incentives for renewable power generation and battery energy storage could change at any time and such changes may negatively impact the Company’s growth strategy.</w:t>
      </w:r>
    </w:p>
    <w:p>
      <w:pPr>
        <w:spacing w:after="0" w:line="1" w:lineRule="exact"/>
        <w:rPr>
          <w:rFonts w:ascii="Arial" w:cs="Arial" w:eastAsia="Arial" w:hAnsi="Arial"/>
          <w:sz w:val="20"/>
          <w:szCs w:val="20"/>
          <w:color w:val="auto"/>
        </w:rPr>
      </w:pPr>
    </w:p>
    <w:p>
      <w:pPr>
        <w:ind w:left="700" w:hanging="355"/>
        <w:spacing w:after="0" w:line="254"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U.S. foreign trade policies may have a material adverse effect on the Company’s business, operations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Company’s Common Stock</w:t>
      </w:r>
    </w:p>
    <w:p>
      <w:pPr>
        <w:spacing w:after="0" w:line="130" w:lineRule="exact"/>
        <w:rPr>
          <w:sz w:val="20"/>
          <w:szCs w:val="20"/>
          <w:color w:val="auto"/>
        </w:rPr>
      </w:pPr>
    </w:p>
    <w:p>
      <w:pPr>
        <w:jc w:val="both"/>
        <w:ind w:left="700" w:hanging="355"/>
        <w:spacing w:after="0" w:line="254" w:lineRule="auto"/>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Company may not be able to continue paying comparable or growing cash dividends to holders of its common stock in the future. The Company is a holding company and its primary asset is its interest in Clearway Energy LLC, and the Company is accordingly dependent upon distributions from Clearway Energy LLC and its subsidiaries to pay dividends and taxes and other expenses.</w:t>
      </w:r>
    </w:p>
    <w:p>
      <w:pPr>
        <w:spacing w:after="0" w:line="6" w:lineRule="exact"/>
        <w:rPr>
          <w:rFonts w:ascii="Arial" w:cs="Arial" w:eastAsia="Arial" w:hAnsi="Arial"/>
          <w:sz w:val="20"/>
          <w:szCs w:val="20"/>
          <w:color w:val="auto"/>
        </w:rPr>
      </w:pPr>
    </w:p>
    <w:p>
      <w:pPr>
        <w:ind w:left="700" w:hanging="355"/>
        <w:spacing w:after="0"/>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Market interest rates may have an effect on the value of the Company’s Class A and Class C common stock.</w:t>
      </w:r>
    </w:p>
    <w:p>
      <w:pPr>
        <w:spacing w:after="0" w:line="55" w:lineRule="exact"/>
        <w:rPr>
          <w:rFonts w:ascii="Arial" w:cs="Arial" w:eastAsia="Arial" w:hAnsi="Arial"/>
          <w:sz w:val="19"/>
          <w:szCs w:val="19"/>
          <w:color w:val="auto"/>
        </w:rPr>
      </w:pPr>
    </w:p>
    <w:p>
      <w:pPr>
        <w:jc w:val="both"/>
        <w:ind w:left="700" w:hanging="355"/>
        <w:spacing w:after="0" w:line="254" w:lineRule="auto"/>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Market volatility and reports by securities and industry analysts may affect the price of the Company’s Class A and Class C common stock, and the future issuance of additional shares of common stock or sales of common stock by CEG may cause dilution of investors’ ownership interest or cause the price of the Company’s Class A or Class C common stock to fall.</w:t>
      </w:r>
    </w:p>
    <w:p>
      <w:pPr>
        <w:spacing w:after="0" w:line="6" w:lineRule="exact"/>
        <w:rPr>
          <w:rFonts w:ascii="Arial" w:cs="Arial" w:eastAsia="Arial" w:hAnsi="Arial"/>
          <w:sz w:val="20"/>
          <w:szCs w:val="20"/>
          <w:color w:val="auto"/>
        </w:rPr>
      </w:pPr>
    </w:p>
    <w:p>
      <w:pPr>
        <w:jc w:val="both"/>
        <w:ind w:left="700" w:hanging="355"/>
        <w:spacing w:after="0" w:line="258" w:lineRule="auto"/>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Taxation</w:t>
      </w:r>
    </w:p>
    <w:p>
      <w:pPr>
        <w:spacing w:after="0" w:line="130" w:lineRule="exact"/>
        <w:rPr>
          <w:sz w:val="20"/>
          <w:szCs w:val="20"/>
          <w:color w:val="auto"/>
        </w:rPr>
      </w:pPr>
    </w:p>
    <w:p>
      <w:pPr>
        <w:jc w:val="both"/>
        <w:ind w:left="700" w:hanging="355"/>
        <w:spacing w:after="0" w:line="298"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 The Company may incur contractual obligations from the indemnification of third parties if tax authorities challenge the amount or availability of ITCs, PTCs or related tax benefits that the Company is obligated to provide to such third parties under such contractual arrangements.</w:t>
      </w:r>
    </w:p>
    <w:p>
      <w:pPr>
        <w:spacing w:after="0" w:line="1" w:lineRule="exact"/>
        <w:rPr>
          <w:rFonts w:ascii="Arial" w:cs="Arial" w:eastAsia="Arial" w:hAnsi="Arial"/>
          <w:sz w:val="17"/>
          <w:szCs w:val="17"/>
          <w:color w:val="auto"/>
        </w:rPr>
      </w:pPr>
    </w:p>
    <w:p>
      <w:pPr>
        <w:ind w:left="700" w:hanging="355"/>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Company’s ability to use NOLs to offset future income may be limited.</w:t>
      </w:r>
    </w:p>
    <w:p>
      <w:pPr>
        <w:spacing w:after="0" w:line="44" w:lineRule="exact"/>
        <w:rPr>
          <w:rFonts w:ascii="Arial" w:cs="Arial" w:eastAsia="Arial" w:hAnsi="Arial"/>
          <w:sz w:val="20"/>
          <w:szCs w:val="20"/>
          <w:color w:val="auto"/>
        </w:rPr>
      </w:pPr>
    </w:p>
    <w:p>
      <w:pPr>
        <w:ind w:left="700" w:hanging="355"/>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valuation allowance may be required for the Company’s deferred tax assets.</w:t>
      </w:r>
    </w:p>
    <w:p>
      <w:pPr>
        <w:spacing w:after="0" w:line="44" w:lineRule="exact"/>
        <w:rPr>
          <w:rFonts w:ascii="Arial" w:cs="Arial" w:eastAsia="Arial" w:hAnsi="Arial"/>
          <w:sz w:val="20"/>
          <w:szCs w:val="20"/>
          <w:color w:val="auto"/>
        </w:rPr>
      </w:pPr>
    </w:p>
    <w:p>
      <w:pPr>
        <w:ind w:left="700" w:hanging="355"/>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Distributions to holders of the Company’s Class A and Class C common stock may be taxable.</w:t>
      </w:r>
    </w:p>
    <w:p>
      <w:pPr>
        <w:spacing w:after="0" w:line="44" w:lineRule="exact"/>
        <w:rPr>
          <w:rFonts w:ascii="Arial" w:cs="Arial" w:eastAsia="Arial" w:hAnsi="Arial"/>
          <w:sz w:val="20"/>
          <w:szCs w:val="20"/>
          <w:color w:val="auto"/>
        </w:rPr>
      </w:pPr>
    </w:p>
    <w:p>
      <w:pPr>
        <w:jc w:val="both"/>
        <w:ind w:left="700" w:hanging="355"/>
        <w:spacing w:after="0" w:line="272" w:lineRule="auto"/>
        <w:tabs>
          <w:tab w:leader="none" w:pos="7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Changes in tax laws or policies, including but not limited to changes in corporate income tax rates, as well as judgments and estimates used in the determination of tax-related asset and liability amounts, could have a material adverse effect on the Company’s business, financial condition, results of operations and prospects.</w:t>
      </w:r>
    </w:p>
    <w:p>
      <w:pPr>
        <w:spacing w:after="0" w:line="1" w:lineRule="exact"/>
        <w:rPr>
          <w:rFonts w:ascii="Arial" w:cs="Arial" w:eastAsia="Arial" w:hAnsi="Arial"/>
          <w:sz w:val="19"/>
          <w:szCs w:val="19"/>
          <w:color w:val="auto"/>
        </w:rPr>
      </w:pPr>
    </w:p>
    <w:p>
      <w:pPr>
        <w:ind w:left="700" w:hanging="355"/>
        <w:spacing w:after="0" w:line="271" w:lineRule="auto"/>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Company’s ability to comply with tax laws and policies may depend on its contractual arrangements and information provided by third parties and may require significant resources.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040"/>
          </w:cols>
          <w:pgMar w:left="920" w:top="577" w:right="920" w:bottom="0"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Risks Related to the Company’s Business</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Pursuant to the Company’s cash dividend policy, the Company intends to distribute a significant amount of the CAFD through regular quarterly distributions and dividends, and the Company’s ability to grow and make investments and acquisitions through cash on hand is limited.</w:t>
      </w:r>
    </w:p>
    <w:p>
      <w:pPr>
        <w:spacing w:after="0" w:line="142"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9"/>
          <w:szCs w:val="19"/>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investments, acquisitions and growth capital expenditures. The Company may be precluded from pursuing otherwise attractive investments or acquisitions if the projected short-term cash flow from the investment or acquisition is not adequate to service the capital raised to fund the investment or acquisition, after giving effect to the Company’s available cash reserves. To the extent the Company issues additional equity securities in connection with any investments, acquisitions or growth capital expenditures, the payment of dividends on these additional equity securities may increase the risk that the Company will be unable to maintain or increase its per share dividend. The incurrence of bank borrowings or other debt by Clearway Energy Operating LLC or by the Company’s operating subsidiaries to finance the Company’s growth strategy will result in increased interest expense and the imposition of additional or more restrictive covenants, which, in turn, may impact the cash distributions the Company receives to distribute to holders of the Company’s common stock.</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The Company may not be able to effectively identify or consummate any future investments or acquisitions on favorable terms, or at all, and future investments or acquisitions may not be accretive as a result of incorrect assumptions in the Company’s evaluation of such investments or acquisitions, unforeseen consequences or other external events beyond the Company’s control.</w:t>
      </w:r>
    </w:p>
    <w:p>
      <w:pPr>
        <w:spacing w:after="0" w:line="147"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The Company’s business strategy includes growth through investments in, and acquisitions of, additional generation assets (including through corporate acquisitions). This strategy depends on the Company’s ability to successfully identify and evaluate investment and acquisition opportunities and consummate investments and acquisitions on favorable terms. However, the number of investment and acquisition opportunities is limited. In addition, the Company will compete with other companies for these limited investment and acquisition opportunities, which may increase the Company’s cost of making investments or acquisitions or cause the Company to refrain from making investments or acquisitions at all. Some of the Company’s competitors for investments and acquisitions are much larger than the Company with substantially greater financial or human resources. These companies may be able to pay more for investments or acquisitions and may be able to identify, evaluate, bid for and purchase a greater number of assets than the Company’s financial or human resources permit. If the Company is unable to identify and consummate future investments or acquisitions, its ability to execute its growth strategy and increase the amount of dividends paid to holders of the Company’s common stock may be limited.</w:t>
      </w:r>
    </w:p>
    <w:p>
      <w:pPr>
        <w:spacing w:after="0" w:line="112"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color w:val="auto"/>
        </w:rPr>
        <w:t>The Company’s ability to invest in or acquire future renewable facilities may also depend on the financial viability of renewable energy assets generally. The financial viability of these assets may, from time to time, be impacted by public policy mechanisms, including PTCs, ITCs, cash grants, loan guarantees, accelerated depreciation, RPS and carbon trading plans. These mechanisms have been implemented at the state and federal levels to support the development and ongoing viability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40" w:lineRule="exact"/>
        <w:rPr>
          <w:sz w:val="20"/>
          <w:szCs w:val="20"/>
          <w:color w:val="auto"/>
        </w:rPr>
      </w:pPr>
    </w:p>
    <w:p>
      <w:pPr>
        <w:jc w:val="both"/>
        <w:ind w:firstLine="441"/>
        <w:spacing w:after="0" w:line="294" w:lineRule="auto"/>
        <w:rPr>
          <w:sz w:val="20"/>
          <w:szCs w:val="20"/>
          <w:color w:val="auto"/>
        </w:rPr>
      </w:pPr>
      <w:r>
        <w:rPr>
          <w:rFonts w:ascii="Arial" w:cs="Arial" w:eastAsia="Arial" w:hAnsi="Arial"/>
          <w:sz w:val="17"/>
          <w:szCs w:val="17"/>
          <w:color w:val="auto"/>
        </w:rPr>
        <w:t>The investment in, or acquisition of, companies and assets are subject to substantial risks, including the failure to identify material problems during due diligence (for which the Company may not be indemnified post-closing) and the risk of overpaying for assets (or not making investments or acquisitions on an accretive basis). The integration and consolidation of acquisitions requires substantial human, financial and other resources and, ultimately, the Company’s acquisitions may divert management’s attention from the Company’s existing business operations, disrupt the Company’s ongoing business or not be successfully integrated. There can be no assurances that any future investments or acquisitions will perform as expected or that the returns from such investments or acquisitions will support the financing utilized to invest in, acquire or maintain them. A failure to achieve the financial returns the Company expects when it invests in or acquires generation assets could have a material adverse effect on the Company’s ability to grow its business and make cash distributions to its stockholders. Any failure of the Company’s acquired generation assets to be accretive or difficulty in integrating such acquisition into the Company’s business could have a material adverse effect on the Company’s ability to grow its business and make cash distributions to its stockholders. As a result, the consummation of acquisitions could have a material adverse effect on the Company’s business, financial condition, results of operations, cash flows and ability to pay dividends to holders of the Company’s common stock.</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040"/>
          </w:cols>
          <w:pgMar w:left="920" w:top="577" w:right="920" w:bottom="0" w:gutter="0" w:footer="0" w:header="0"/>
          <w:type w:val="continuous"/>
        </w:sectPr>
      </w:pPr>
    </w:p>
    <w:bookmarkStart w:id="19" w:name="page20"/>
    <w:bookmarkEnd w:id="19"/>
    <w:p>
      <w:pPr>
        <w:jc w:val="both"/>
        <w:spacing w:after="0" w:line="302" w:lineRule="auto"/>
        <w:rPr>
          <w:sz w:val="20"/>
          <w:szCs w:val="20"/>
          <w:color w:val="auto"/>
        </w:rPr>
      </w:pPr>
      <w:r>
        <w:rPr>
          <w:rFonts w:ascii="Arial" w:cs="Arial" w:eastAsia="Arial" w:hAnsi="Arial"/>
          <w:sz w:val="19"/>
          <w:szCs w:val="19"/>
          <w:b w:val="1"/>
          <w:bCs w:val="1"/>
          <w:i w:val="1"/>
          <w:iCs w:val="1"/>
          <w:color w:val="auto"/>
        </w:rPr>
        <w:t>Counterparties to the Company’s offtake agreements may not fulfill their obligations and, as the contracts expire or terminate, the Company may not be able to replace them with agreements on similar terms, or at all.</w:t>
      </w:r>
    </w:p>
    <w:p>
      <w:pPr>
        <w:spacing w:after="0" w:line="104"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The majority of the electric power the Company generates within the Renewables &amp; Storage segment is sold under long-term offtake agreements with public utilities or industrial or commercial end-users, with a weighted average remaining duration, based on CAFD, of approximately 12 years. As of December 31, 2025, the largest customers of the Company’s power generation and BESS assets, including assets in which the Company has less than a 100% membership interest, were SCE and PG&amp;E, which represented 22% and 16%, respectively, of total consolidated revenues generated by the Company during the year ended December 31, 2025.</w:t>
      </w:r>
    </w:p>
    <w:p>
      <w:pPr>
        <w:spacing w:after="0" w:line="150"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135" w:lineRule="exact"/>
        <w:rPr>
          <w:sz w:val="20"/>
          <w:szCs w:val="20"/>
          <w:color w:val="auto"/>
        </w:rPr>
      </w:pPr>
    </w:p>
    <w:p>
      <w:pPr>
        <w:jc w:val="both"/>
        <w:ind w:firstLine="441"/>
        <w:spacing w:after="0" w:line="295" w:lineRule="auto"/>
        <w:rPr>
          <w:sz w:val="20"/>
          <w:szCs w:val="20"/>
          <w:color w:val="auto"/>
        </w:rPr>
      </w:pPr>
      <w:r>
        <w:rPr>
          <w:rFonts w:ascii="Arial" w:cs="Arial" w:eastAsia="Arial" w:hAnsi="Arial"/>
          <w:sz w:val="17"/>
          <w:szCs w:val="17"/>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increasing competition among generators for offtake agreements has contributed to variability in electricity prices in certain markets. As a result, when an existing offtake agreement expires or is terminated, the Company may not be able to secure a replacement agreement on comparable terms and conditions, and the pricing under any such replacement agreement may vary significantly from the expired or terminated agreement, potentially impacting the profitability of the related facility. In addition, the Company’s competitors may be able to respond more quickly to evolving standards or customer requirements or adopt more advanced technology that reduces their production costs, resulting in their ability to compete for, or secure favorable terms in,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16"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The Company’s ability to effectively consummate future investments or acquisitions will also depend on the Company’s ability to arrange the required or desired financing for such transactions.</w:t>
      </w:r>
    </w:p>
    <w:p>
      <w:pPr>
        <w:spacing w:after="0" w:line="127" w:lineRule="exact"/>
        <w:rPr>
          <w:sz w:val="20"/>
          <w:szCs w:val="20"/>
          <w:color w:val="auto"/>
        </w:rPr>
      </w:pPr>
    </w:p>
    <w:p>
      <w:pPr>
        <w:jc w:val="both"/>
        <w:ind w:firstLine="441"/>
        <w:spacing w:after="0" w:line="262" w:lineRule="auto"/>
        <w:rPr>
          <w:sz w:val="20"/>
          <w:szCs w:val="20"/>
          <w:color w:val="auto"/>
        </w:rPr>
      </w:pPr>
      <w:r>
        <w:rPr>
          <w:rFonts w:ascii="Arial" w:cs="Arial" w:eastAsia="Arial" w:hAnsi="Arial"/>
          <w:sz w:val="19"/>
          <w:szCs w:val="19"/>
          <w:color w:val="auto"/>
        </w:rPr>
        <w:t>The Company may not have sufficient credit availability under the Company’s financing arrangements or have access to facility-level financing on commercially reasonable terms when investment or acquisition opportunities arise. An inability to obtain the necessary or desired financing could significantly limit the Company’s ability to consummate future investments or acquisitions and effectuate the Company’s growth strategy. If financing is available, utilization of the Company’s credit available under its financing arrangements or facility-level financing for all or a portion of the purchase price of an investment or acquisition could significantly increase the Company’s interest expense, impose additional or more restrictive covenants and reduce CAFD. Similarly, the Company’s issuance of additional equity securities as consideration for investments or acquisitions could cause significant stockholder dilution and reduce the Company’s per share dividends, particularly if the investments or acquisitions are not sufficiently accretive. The Company’s ability to consummate future investments or acquisitions may also depend on the Company’s ability to obtain any required regulatory approvals or other third-party approvals for such investments or acquisitions.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The Company’s indebtedness could adversely affect its ability to raise additional capital to fund the Company’s operations or pay dividends.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147"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9"/>
          <w:szCs w:val="19"/>
          <w:color w:val="auto"/>
        </w:rPr>
        <w:t>As of December 31, 2025, the Company had approximately $8,674 million of total consolidated indebtedness, $6,188 million of which was incurred by the Company’s non-guarantor subsidiaries. In addition, the Company’s share of its unconsolidated affiliates’ total indebtedness and letters of credit outstanding as of December 31, 2025 totaled approximately $259 million and $42 million, respectively (calculated as the Company’s unconsolidated affiliates’ total indebtedness as of such date multiplied by the Company’s percentage membership interest in such assets).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040"/>
          </w:cols>
          <w:pgMar w:left="920" w:top="577" w:right="920" w:bottom="0" w:gutter="0" w:footer="0" w:header="0"/>
          <w:type w:val="continuous"/>
        </w:sectPr>
      </w:pPr>
    </w:p>
    <w:bookmarkStart w:id="20" w:name="page21"/>
    <w:bookmarkEnd w:id="20"/>
    <w:p>
      <w:pPr>
        <w:ind w:firstLine="441"/>
        <w:spacing w:after="0" w:line="271" w:lineRule="auto"/>
        <w:rPr>
          <w:sz w:val="20"/>
          <w:szCs w:val="20"/>
          <w:color w:val="auto"/>
        </w:rPr>
      </w:pPr>
      <w:r>
        <w:rPr>
          <w:rFonts w:ascii="Arial" w:cs="Arial" w:eastAsia="Arial" w:hAnsi="Arial"/>
          <w:sz w:val="20"/>
          <w:szCs w:val="20"/>
          <w:color w:val="auto"/>
        </w:rPr>
        <w:t>The Company’s substantial debt could have important negative consequences on the Company’s financial condition, including:</w:t>
      </w:r>
    </w:p>
    <w:p>
      <w:pPr>
        <w:spacing w:after="0" w:line="69" w:lineRule="exact"/>
        <w:rPr>
          <w:sz w:val="20"/>
          <w:szCs w:val="20"/>
          <w:color w:val="auto"/>
        </w:rPr>
      </w:pPr>
    </w:p>
    <w:p>
      <w:pPr>
        <w:ind w:left="700" w:hanging="355"/>
        <w:spacing w:after="0"/>
        <w:tabs>
          <w:tab w:leader="none" w:pos="7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increasing the Company’s vulnerability to general economic and industry conditions;</w:t>
      </w:r>
    </w:p>
    <w:p>
      <w:pPr>
        <w:spacing w:after="0" w:line="64" w:lineRule="exact"/>
        <w:rPr>
          <w:rFonts w:ascii="Arial" w:cs="Arial" w:eastAsia="Arial" w:hAnsi="Arial"/>
          <w:sz w:val="20"/>
          <w:szCs w:val="20"/>
          <w:color w:val="auto"/>
        </w:rPr>
      </w:pPr>
    </w:p>
    <w:p>
      <w:pPr>
        <w:jc w:val="both"/>
        <w:ind w:left="700" w:hanging="355"/>
        <w:spacing w:after="0" w:line="271" w:lineRule="auto"/>
        <w:tabs>
          <w:tab w:leader="none" w:pos="7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requiring a substantial portion of the Company’s cash flow from operations to be dedicated to the payment of principal and interest on the Company’s indebtedness, therefore reducing the Company’s ability to pay dividends to holders of the Company’s capital stock (including the Class A and Class C common stock) or to use the Company’s cash flow to fund its operations, capital expenditures and future business opportunities;</w:t>
      </w:r>
    </w:p>
    <w:p>
      <w:pPr>
        <w:spacing w:after="0" w:line="12" w:lineRule="exact"/>
        <w:rPr>
          <w:rFonts w:ascii="Arial" w:cs="Arial" w:eastAsia="Arial" w:hAnsi="Arial"/>
          <w:sz w:val="19"/>
          <w:szCs w:val="19"/>
          <w:color w:val="auto"/>
        </w:rPr>
      </w:pPr>
    </w:p>
    <w:p>
      <w:pPr>
        <w:ind w:left="700" w:hanging="35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limiting the Company’s ability to enter into long-term power sales or fuel purchases which require credit support;</w:t>
      </w:r>
    </w:p>
    <w:p>
      <w:pPr>
        <w:spacing w:after="0" w:line="98" w:lineRule="exact"/>
        <w:rPr>
          <w:rFonts w:ascii="Arial" w:cs="Arial" w:eastAsia="Arial" w:hAnsi="Arial"/>
          <w:sz w:val="17"/>
          <w:szCs w:val="17"/>
          <w:color w:val="auto"/>
        </w:rPr>
      </w:pPr>
    </w:p>
    <w:p>
      <w:pPr>
        <w:ind w:left="700" w:hanging="355"/>
        <w:spacing w:after="0"/>
        <w:tabs>
          <w:tab w:leader="none" w:pos="7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limiting the Company’s ability to fund operations or future investments or acquisitions;</w:t>
      </w:r>
    </w:p>
    <w:p>
      <w:pPr>
        <w:spacing w:after="0" w:line="64" w:lineRule="exact"/>
        <w:rPr>
          <w:rFonts w:ascii="Arial" w:cs="Arial" w:eastAsia="Arial" w:hAnsi="Arial"/>
          <w:sz w:val="20"/>
          <w:szCs w:val="20"/>
          <w:color w:val="auto"/>
        </w:rPr>
      </w:pPr>
    </w:p>
    <w:p>
      <w:pPr>
        <w:jc w:val="both"/>
        <w:ind w:left="700" w:hanging="355"/>
        <w:spacing w:after="0" w:line="254" w:lineRule="auto"/>
        <w:tabs>
          <w:tab w:leader="none" w:pos="7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restricting the Company’s ability to make certain distributions with respect to the Company’s capital stock (including the Class A and Class C common stock) and the ability of the Company’s subsidiaries to make certain distributions to it, in light of restricted payment and other financial covenants in the Company’s credit facilities and other financing agreements;</w:t>
      </w:r>
    </w:p>
    <w:p>
      <w:pPr>
        <w:spacing w:after="0" w:line="26" w:lineRule="exact"/>
        <w:rPr>
          <w:rFonts w:ascii="Arial" w:cs="Arial" w:eastAsia="Arial" w:hAnsi="Arial"/>
          <w:sz w:val="20"/>
          <w:szCs w:val="20"/>
          <w:color w:val="auto"/>
        </w:rPr>
      </w:pPr>
    </w:p>
    <w:p>
      <w:pPr>
        <w:ind w:left="700" w:hanging="355"/>
        <w:spacing w:after="0" w:line="290" w:lineRule="auto"/>
        <w:tabs>
          <w:tab w:leader="none" w:pos="7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exposing the Company to the risk of increased interest rates because certain of the Company’s borrowings, which may include borrowings under the Company’s revolving credit facility, are at variable rates of interest;</w:t>
      </w:r>
    </w:p>
    <w:p>
      <w:pPr>
        <w:spacing w:after="0" w:line="1" w:lineRule="exact"/>
        <w:rPr>
          <w:rFonts w:ascii="Arial" w:cs="Arial" w:eastAsia="Arial" w:hAnsi="Arial"/>
          <w:sz w:val="19"/>
          <w:szCs w:val="19"/>
          <w:color w:val="auto"/>
        </w:rPr>
      </w:pPr>
    </w:p>
    <w:p>
      <w:pPr>
        <w:ind w:left="700" w:hanging="355"/>
        <w:spacing w:after="0" w:line="324"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limiting the Company’s ability to obtain additional financing for working capital including collateral postings, capital expenditures, debt service requirements, investments, acquisitions and general corporate or other purposes; and</w:t>
      </w:r>
    </w:p>
    <w:p>
      <w:pPr>
        <w:spacing w:after="0" w:line="1" w:lineRule="exact"/>
        <w:rPr>
          <w:rFonts w:ascii="Arial" w:cs="Arial" w:eastAsia="Arial" w:hAnsi="Arial"/>
          <w:sz w:val="17"/>
          <w:szCs w:val="17"/>
          <w:color w:val="auto"/>
        </w:rPr>
      </w:pPr>
    </w:p>
    <w:p>
      <w:pPr>
        <w:ind w:left="700" w:hanging="355"/>
        <w:spacing w:after="0" w:line="271" w:lineRule="auto"/>
        <w:tabs>
          <w:tab w:leader="none" w:pos="7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limiting the Company’s ability to adjust to changing market conditions and placing it at a competitive disadvantage compared to the Company’s competitors who have less debt.</w:t>
      </w:r>
    </w:p>
    <w:p>
      <w:pPr>
        <w:spacing w:after="0" w:line="127"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dividends,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12"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The agreements governing the Company’s facility-level financing contain financial and other restrictive covenants that limit the Company’s operating subsidiaries’ ability to make distributions to the Company or otherwise engage in activities that may be in the Company’s long-term best interests. The facility-level financing agreements generally prohibit distributions from the operating subsidiaries to the Company unless certain specific conditions are met, including the satisfaction of certain financial ratios. The Company’s inability to satisfy certain financial covenants may prevent cash distributions by the particular operating subsidiary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operating subsidiaries, it would likely have a material adverse effect on the Company’s ability to pay dividends to holders of the Company’s common stock.</w:t>
      </w:r>
    </w:p>
    <w:p>
      <w:pPr>
        <w:spacing w:after="0" w:line="112"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Letter of credit facilities to support contractual obligations of operating subsidiaries generally have a limited term that may require future renewal, at which time the Company or relevant operating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facility-level financing arrangements, restrict the ability of the operating subsidiary to make distributions to it and/or reduce the amount of cash available at such subsidiary to make distributions to the Company.</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040"/>
          </w:cols>
          <w:pgMar w:left="920" w:top="584" w:right="920" w:bottom="0" w:gutter="0" w:footer="0" w:header="0"/>
          <w:type w:val="continuous"/>
        </w:sectPr>
      </w:pPr>
    </w:p>
    <w:bookmarkStart w:id="21" w:name="page22"/>
    <w:bookmarkEnd w:id="21"/>
    <w:p>
      <w:pPr>
        <w:ind w:firstLine="441"/>
        <w:spacing w:after="0" w:line="271" w:lineRule="auto"/>
        <w:rPr>
          <w:sz w:val="20"/>
          <w:szCs w:val="20"/>
          <w:color w:val="auto"/>
        </w:rPr>
      </w:pPr>
      <w:r>
        <w:rPr>
          <w:rFonts w:ascii="Arial" w:cs="Arial" w:eastAsia="Arial" w:hAnsi="Arial"/>
          <w:sz w:val="20"/>
          <w:szCs w:val="20"/>
          <w:color w:val="auto"/>
        </w:rPr>
        <w:t>In addition, the Company’s ability to arrange financing, either at the corporate level or at a non-recourse operating subsidiary, and the costs of such capital, are dependent on numerous factors, including:</w:t>
      </w:r>
    </w:p>
    <w:p>
      <w:pPr>
        <w:spacing w:after="0" w:line="69" w:lineRule="exact"/>
        <w:rPr>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general economic and capital market conditions;</w:t>
      </w:r>
    </w:p>
    <w:p>
      <w:pPr>
        <w:spacing w:after="0" w:line="64"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credit availability from banks and other financial institutions;</w:t>
      </w:r>
    </w:p>
    <w:p>
      <w:pPr>
        <w:spacing w:after="0" w:line="64"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investor confidence in the Company and CEG, the Company’s sole managing member and its principal stockholder;</w:t>
      </w:r>
    </w:p>
    <w:p>
      <w:pPr>
        <w:spacing w:after="0" w:line="98" w:lineRule="exact"/>
        <w:rPr>
          <w:rFonts w:ascii="Arial" w:cs="Arial" w:eastAsia="Arial" w:hAnsi="Arial"/>
          <w:sz w:val="17"/>
          <w:szCs w:val="17"/>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investor confidence in the regional wholesale power markets;</w:t>
      </w:r>
    </w:p>
    <w:p>
      <w:pPr>
        <w:spacing w:after="0" w:line="64"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Company’s financial performance and the financial performance of the Company subsidiaries;</w:t>
      </w:r>
    </w:p>
    <w:p>
      <w:pPr>
        <w:spacing w:after="0" w:line="64"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Company’s level of indebtedness and compliance with covenants in debt agreements;</w:t>
      </w:r>
    </w:p>
    <w:p>
      <w:pPr>
        <w:spacing w:after="0" w:line="64"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maintenance of acceptable credit ratings or credit quality;</w:t>
      </w:r>
    </w:p>
    <w:p>
      <w:pPr>
        <w:spacing w:after="0" w:line="64"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cash flow; and</w:t>
      </w:r>
    </w:p>
    <w:p>
      <w:pPr>
        <w:spacing w:after="0" w:line="64" w:lineRule="exact"/>
        <w:rPr>
          <w:rFonts w:ascii="Arial" w:cs="Arial" w:eastAsia="Arial" w:hAnsi="Arial"/>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provisions of tax and securities laws that may impact raising capital.</w:t>
      </w:r>
    </w:p>
    <w:p>
      <w:pPr>
        <w:spacing w:after="0" w:line="182"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The Company may not be successful in obtaining additional capital for these or other reasons. Furthermore, the Company may be unable to refinance or replace facility-level financing arrangements or other credit facilities on favorable terms or at all upon the expiration or termination thereof. The Company’s failure, or the failure of any of the Company’s facilities,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Certain of the Company’s long-term bilateral contracts result from state-mandated procurements and could be declared invalid by a court of competent jurisdiction.</w:t>
      </w:r>
    </w:p>
    <w:p>
      <w:pPr>
        <w:spacing w:after="0" w:line="12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The generation of electric energy from solar and wind energy sources depends heavily on suitable meteorological conditions.</w:t>
      </w:r>
    </w:p>
    <w:p>
      <w:pPr>
        <w:spacing w:after="0" w:line="127" w:lineRule="exact"/>
        <w:rPr>
          <w:sz w:val="20"/>
          <w:szCs w:val="20"/>
          <w:color w:val="auto"/>
        </w:rPr>
      </w:pPr>
    </w:p>
    <w:p>
      <w:pPr>
        <w:jc w:val="both"/>
        <w:ind w:firstLine="441"/>
        <w:spacing w:after="0" w:line="292" w:lineRule="auto"/>
        <w:rPr>
          <w:sz w:val="20"/>
          <w:szCs w:val="20"/>
          <w:color w:val="auto"/>
        </w:rPr>
      </w:pPr>
      <w:r>
        <w:rPr>
          <w:rFonts w:ascii="Arial" w:cs="Arial" w:eastAsia="Arial" w:hAnsi="Arial"/>
          <w:sz w:val="17"/>
          <w:szCs w:val="17"/>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Disruption in the generation of solar or wind energy could limit a facility’s ability to generate electricity at its desired level. Should a generation facility fail to perform at the required levels, or other unplanned disruptions occur, the facility may be forced to fulfill an underlying contractual obligation by purchasing electricity at higher prices. In addition, the Company’s facilities may be exposed, based on specific contractual terms, to a locational basis risk resulting from a difference in the price received for generation sold at the location where the power is generated and the price paid for generation purchased at the contracted delivery point, which could lead to potential lower revenues in circumstances where the price received is lower than the price that is paid. Furthermore, components of the Company’s systems, such as solar panels and inverters, could be damaged by severe weather, such as wildfires, hailstorms, lightning, tornadoes, floods or freezing temperatures and other winter weather conditions. Unfavorable weather and atmospheric conditions could impair the effectiveness of the Company’s assets or reduce their output beneath their rated capacity or require shutdown of key equipment, impeding operation of the Company’s renewable energy assets. For example, in February 2021, many electricity generating assets, including the Company’s wind facilities in Texas, were unable to operate and experienced outages for a few days as a result of the extreme winter weather conditions. In addition, climate change may have the long-term effect of changing wind patterns at the Company’s facilities. Changing wind patterns could cause changes in expected electricity generation. These events could also degrade equipment or components and the interconnection and transmission facilities’ lives or maintenance costs.</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040"/>
          </w:cols>
          <w:pgMar w:left="920" w:top="584" w:right="920" w:bottom="0" w:gutter="0" w:footer="0" w:header="0"/>
          <w:type w:val="continuous"/>
        </w:sectPr>
      </w:pPr>
    </w:p>
    <w:bookmarkStart w:id="22" w:name="page23"/>
    <w:bookmarkEnd w:id="22"/>
    <w:p>
      <w:pPr>
        <w:jc w:val="both"/>
        <w:ind w:firstLine="441"/>
        <w:spacing w:after="0" w:line="249" w:lineRule="auto"/>
        <w:rPr>
          <w:sz w:val="20"/>
          <w:szCs w:val="20"/>
          <w:color w:val="auto"/>
        </w:rPr>
      </w:pPr>
      <w:r>
        <w:rPr>
          <w:rFonts w:ascii="Arial" w:cs="Arial" w:eastAsia="Arial" w:hAnsi="Arial"/>
          <w:sz w:val="20"/>
          <w:szCs w:val="20"/>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have a material adverse effect on the Company’s business, financial condition, results of operations and cash flows.</w:t>
      </w:r>
    </w:p>
    <w:p>
      <w:pPr>
        <w:spacing w:after="0" w:line="145" w:lineRule="exact"/>
        <w:rPr>
          <w:sz w:val="20"/>
          <w:szCs w:val="20"/>
          <w:color w:val="auto"/>
        </w:rPr>
      </w:pPr>
    </w:p>
    <w:p>
      <w:pPr>
        <w:jc w:val="both"/>
        <w:spacing w:after="0" w:line="366" w:lineRule="auto"/>
        <w:rPr>
          <w:sz w:val="20"/>
          <w:szCs w:val="20"/>
          <w:color w:val="auto"/>
        </w:rPr>
      </w:pPr>
      <w:r>
        <w:rPr>
          <w:rFonts w:ascii="Arial" w:cs="Arial" w:eastAsia="Arial" w:hAnsi="Arial"/>
          <w:sz w:val="17"/>
          <w:szCs w:val="17"/>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58"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7"/>
          <w:szCs w:val="17"/>
          <w:color w:val="auto"/>
        </w:rPr>
        <w:t>The ongoing operation of the Company’s facilities involves risks that include the breakdown or failure of equipment or processes or performance below expected levels of output or efficiency due to wear and tear, latent defect, design error, operator error or force majeure events, among other things. The Company’s facilities are subject to the risks inherent with power generation facilities, including, but not limited to, degradation of equipment in excess of the Company’s expectations, system failures and outages, which could impair the ability of the facilities to meet the Company’s performance expectations. In addition, replacement and spare parts for key components may be difficult or costly to acquire or may be unavailable.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substitute RA or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Additionally, the proceeds of any such insurance, warranties or performance guarantees may not be received in a timely manner.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securing adequate insurance coverage has become more difficult in recent years, and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363"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earthquakes, floods, lightning, hurricanes, wildfires and strong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Company’s facilities may operate, wholly or partially, without long-term power sales agreements.</w:t>
      </w:r>
    </w:p>
    <w:p>
      <w:pPr>
        <w:spacing w:after="0" w:line="189"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20"/>
          <w:szCs w:val="20"/>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economic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040"/>
          </w:cols>
          <w:pgMar w:left="920" w:top="584" w:right="920" w:bottom="0" w:gutter="0" w:footer="0" w:header="0"/>
          <w:type w:val="continuous"/>
        </w:sectPr>
      </w:pPr>
    </w:p>
    <w:bookmarkStart w:id="23" w:name="page24"/>
    <w:bookmarkEnd w:id="23"/>
    <w:p>
      <w:pPr>
        <w:jc w:val="both"/>
        <w:spacing w:after="0" w:line="275" w:lineRule="auto"/>
        <w:rPr>
          <w:sz w:val="20"/>
          <w:szCs w:val="20"/>
          <w:color w:val="auto"/>
        </w:rPr>
      </w:pPr>
      <w:r>
        <w:rPr>
          <w:rFonts w:ascii="Arial" w:cs="Arial" w:eastAsia="Arial" w:hAnsi="Arial"/>
          <w:sz w:val="20"/>
          <w:szCs w:val="20"/>
          <w:b w:val="1"/>
          <w:bCs w:val="1"/>
          <w:i w:val="1"/>
          <w:iCs w:val="1"/>
          <w:color w:val="auto"/>
        </w:rPr>
        <w:t>Maintenance, expansion and refurbishment of electric generation facilities involve significant risks that could result in unplanned power outages or reduced output.</w:t>
      </w:r>
    </w:p>
    <w:p>
      <w:pPr>
        <w:spacing w:after="0" w:line="127"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dividends to holders of its common stock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0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9"/>
          <w:szCs w:val="19"/>
          <w:color w:val="auto"/>
        </w:rPr>
        <w:t>If the Company makes any major modifications to its facilities in the Flexible Generation segment, it may be required to install the best available control technology or to achieve the lowest achievable emission rates as such terms are defined under the new source review provisions of the Clean Air Act in the future. Any such modifications could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Supplier concentration at certain of the Company’s facilities and the inability of suppliers to meet their obligations may expose the Company to significant financial credit or performance risks.</w:t>
      </w:r>
    </w:p>
    <w:p>
      <w:pPr>
        <w:spacing w:after="0" w:line="127" w:lineRule="exact"/>
        <w:rPr>
          <w:sz w:val="20"/>
          <w:szCs w:val="20"/>
          <w:color w:val="auto"/>
        </w:rPr>
      </w:pPr>
    </w:p>
    <w:p>
      <w:pPr>
        <w:jc w:val="both"/>
        <w:ind w:firstLine="441"/>
        <w:spacing w:after="0" w:line="295" w:lineRule="auto"/>
        <w:rPr>
          <w:sz w:val="20"/>
          <w:szCs w:val="20"/>
          <w:color w:val="auto"/>
        </w:rPr>
      </w:pPr>
      <w:r>
        <w:rPr>
          <w:rFonts w:ascii="Arial" w:cs="Arial" w:eastAsia="Arial" w:hAnsi="Arial"/>
          <w:sz w:val="17"/>
          <w:szCs w:val="17"/>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Company’s business, financial condition, results of operations, credit support terms and cash flows.</w:t>
      </w:r>
    </w:p>
    <w:p>
      <w:pPr>
        <w:spacing w:after="0" w:line="116"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failure of any supplier to fulfill its contractual obligations to the Company could have a material adverse effect on its financial results. Consequently, the financial performance of the Company’s facilities is dependent on the credit quality of, and continued performance by, the Company’s suppliers and vendors.</w:t>
      </w:r>
    </w:p>
    <w:p>
      <w:pPr>
        <w:spacing w:after="0" w:line="133" w:lineRule="exact"/>
        <w:rPr>
          <w:sz w:val="20"/>
          <w:szCs w:val="20"/>
          <w:color w:val="auto"/>
        </w:rPr>
      </w:pPr>
    </w:p>
    <w:p>
      <w:pPr>
        <w:jc w:val="both"/>
        <w:spacing w:after="0" w:line="366" w:lineRule="auto"/>
        <w:rPr>
          <w:sz w:val="20"/>
          <w:szCs w:val="20"/>
          <w:color w:val="auto"/>
        </w:rPr>
      </w:pPr>
      <w:r>
        <w:rPr>
          <w:rFonts w:ascii="Arial" w:cs="Arial" w:eastAsia="Arial" w:hAnsi="Arial"/>
          <w:sz w:val="17"/>
          <w:szCs w:val="17"/>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56" w:lineRule="exact"/>
        <w:rPr>
          <w:sz w:val="20"/>
          <w:szCs w:val="20"/>
          <w:color w:val="auto"/>
        </w:rPr>
      </w:pPr>
    </w:p>
    <w:p>
      <w:pPr>
        <w:jc w:val="both"/>
        <w:ind w:firstLine="441"/>
        <w:spacing w:after="0" w:line="294" w:lineRule="auto"/>
        <w:rPr>
          <w:sz w:val="20"/>
          <w:szCs w:val="20"/>
          <w:color w:val="auto"/>
        </w:rPr>
      </w:pPr>
      <w:r>
        <w:rPr>
          <w:rFonts w:ascii="Arial" w:cs="Arial" w:eastAsia="Arial" w:hAnsi="Arial"/>
          <w:sz w:val="17"/>
          <w:szCs w:val="17"/>
          <w:color w:val="auto"/>
        </w:rPr>
        <w:t xml:space="preserve">As described in Item 15 — Note 5, </w:t>
      </w:r>
      <w:r>
        <w:rPr>
          <w:rFonts w:ascii="Arial" w:cs="Arial" w:eastAsia="Arial" w:hAnsi="Arial"/>
          <w:sz w:val="17"/>
          <w:szCs w:val="17"/>
          <w:b w:val="1"/>
          <w:bCs w:val="1"/>
          <w:i w:val="1"/>
          <w:iCs w:val="1"/>
          <w:color w:val="auto"/>
        </w:rPr>
        <w:t>Investments Accounted for by the Equity Method and Variable Interest Entities</w:t>
      </w:r>
      <w:r>
        <w:rPr>
          <w:rFonts w:ascii="Arial" w:cs="Arial" w:eastAsia="Arial" w:hAnsi="Arial"/>
          <w:sz w:val="17"/>
          <w:szCs w:val="17"/>
          <w:color w:val="auto"/>
        </w:rPr>
        <w:t>, the Company has limited control over the management and operation of certain of its assets, because the Company does not beneficially own all of the membership interests in such assets. The Company may seek to acquire additional assets in which it owns less than all of the related membership interests in the future. In these investments, the Company will seek to exert a degree of influence with respect to the management and operation of assets in which it owns less than all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040"/>
          </w:cols>
          <w:pgMar w:left="920" w:top="577" w:right="920" w:bottom="0" w:gutter="0" w:footer="0" w:header="0"/>
          <w:type w:val="continuous"/>
        </w:sectPr>
      </w:pPr>
    </w:p>
    <w:bookmarkStart w:id="24" w:name="page25"/>
    <w:bookmarkEnd w:id="24"/>
    <w:p>
      <w:pPr>
        <w:jc w:val="both"/>
        <w:ind w:firstLine="441"/>
        <w:spacing w:after="0" w:line="306" w:lineRule="auto"/>
        <w:rPr>
          <w:sz w:val="20"/>
          <w:szCs w:val="20"/>
          <w:color w:val="auto"/>
        </w:rPr>
      </w:pPr>
      <w:r>
        <w:rPr>
          <w:rFonts w:ascii="Arial" w:cs="Arial" w:eastAsia="Arial" w:hAnsi="Arial"/>
          <w:sz w:val="17"/>
          <w:szCs w:val="17"/>
          <w:color w:val="auto"/>
        </w:rPr>
        <w:t>The approval of co-venturers may also be required for the Company to receive distributions of funds from assets or to sell, pledge, transfer, assign or otherwise convey its interest in such assets, or for the Company to acquire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106"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133" w:lineRule="exact"/>
        <w:rPr>
          <w:sz w:val="20"/>
          <w:szCs w:val="20"/>
          <w:color w:val="auto"/>
        </w:rPr>
      </w:pPr>
    </w:p>
    <w:p>
      <w:pPr>
        <w:jc w:val="both"/>
        <w:spacing w:after="0" w:line="366" w:lineRule="auto"/>
        <w:rPr>
          <w:sz w:val="20"/>
          <w:szCs w:val="20"/>
          <w:color w:val="auto"/>
        </w:rPr>
      </w:pPr>
      <w:r>
        <w:rPr>
          <w:rFonts w:ascii="Arial" w:cs="Arial" w:eastAsia="Arial" w:hAnsi="Arial"/>
          <w:sz w:val="17"/>
          <w:szCs w:val="17"/>
          <w:b w:val="1"/>
          <w:bCs w:val="1"/>
          <w:i w:val="1"/>
          <w:iCs w:val="1"/>
          <w:color w:val="auto"/>
        </w:rPr>
        <w:t>The Company is exposed to risks inherent in the use of interest rate swaps and energy-related financial instruments. The Company may be exposed to additional risks in the future if it utilizes other derivative instruments.</w:t>
      </w:r>
    </w:p>
    <w:p>
      <w:pPr>
        <w:spacing w:after="0" w:line="58"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The Company uses interest rate swaps to manage interest rate risk and uses energy-related financial instruments to manage variability in earnings due to fluctuations in market prices.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Company’s business, financial condition, results of operations and cash flows.</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The Company does not own all of the land on which its facilities are located, which could result in disruption to its operations.</w:t>
      </w:r>
    </w:p>
    <w:p>
      <w:pPr>
        <w:spacing w:after="0" w:line="127"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20"/>
          <w:szCs w:val="20"/>
          <w:color w:val="auto"/>
        </w:rPr>
        <w:t>The Company does not own all of the land on which its facilities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assets.</w:t>
      </w:r>
    </w:p>
    <w:p>
      <w:pPr>
        <w:spacing w:after="0" w:line="145" w:lineRule="exact"/>
        <w:rPr>
          <w:sz w:val="20"/>
          <w:szCs w:val="20"/>
          <w:color w:val="auto"/>
        </w:rPr>
      </w:pPr>
    </w:p>
    <w:p>
      <w:pPr>
        <w:jc w:val="both"/>
        <w:spacing w:after="0" w:line="366" w:lineRule="auto"/>
        <w:rPr>
          <w:sz w:val="20"/>
          <w:szCs w:val="20"/>
          <w:color w:val="auto"/>
        </w:rPr>
      </w:pPr>
      <w:r>
        <w:rPr>
          <w:rFonts w:ascii="Arial" w:cs="Arial" w:eastAsia="Arial" w:hAnsi="Arial"/>
          <w:sz w:val="17"/>
          <w:szCs w:val="17"/>
          <w:b w:val="1"/>
          <w:bCs w:val="1"/>
          <w:i w:val="1"/>
          <w:iCs w:val="1"/>
          <w:color w:val="auto"/>
        </w:rPr>
        <w:t>The Company’s use and enjoyment of real property rights for its facilities may be adversely affected by the rights of lienholders and leaseholders that are superior to those of the grantors of those real property rights to the Company.</w:t>
      </w:r>
    </w:p>
    <w:p>
      <w:pPr>
        <w:spacing w:after="0" w:line="58"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Generation facilities generally are, and are likely to be, located on land occupied by the facility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facility’s easements and leases. As a result, the facility’s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facilities are located, which could have a material adverse effect on the Company’s business, financial condition and results of operations.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The Company’s businesses are subject to physical, market and economic risks relating to potential effects of climate change and public and governmental initiatives to address climate change.</w:t>
      </w:r>
    </w:p>
    <w:p>
      <w:pPr>
        <w:spacing w:after="0" w:line="127"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20"/>
          <w:szCs w:val="20"/>
          <w:color w:val="auto"/>
        </w:rPr>
        <w:t>Climate change creates uncertainty in weather and other environmental conditions, including temperature and precipitation levels, and thus may affect consumer demand for electricity. For example, deviations from normal weather may reduce demand or availability of electricity and gas distribution services. In addition, the potential physical effects of climate change, such as increased frequency and severity of storms, cloud coverage, precipitation, floods, wildfires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153"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Furthermore, governmental, scientific and public concern over the threat of climate change arising from GHG emissions may limit the Company’s access to natural gas or decrease demand for energy generated by the Company’s assets in the Flexible Generation segment.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040"/>
          </w:cols>
          <w:pgMar w:left="920" w:top="584" w:right="920" w:bottom="0" w:gutter="0" w:footer="0" w:header="0"/>
          <w:type w:val="continuous"/>
        </w:sectPr>
      </w:pPr>
    </w:p>
    <w:bookmarkStart w:id="25" w:name="page26"/>
    <w:bookmarkEnd w:id="25"/>
    <w:p>
      <w:pPr>
        <w:jc w:val="both"/>
        <w:spacing w:after="0" w:line="273" w:lineRule="auto"/>
        <w:rPr>
          <w:sz w:val="20"/>
          <w:szCs w:val="20"/>
          <w:color w:val="auto"/>
        </w:rPr>
      </w:pPr>
      <w:r>
        <w:rPr>
          <w:rFonts w:ascii="Arial" w:cs="Arial" w:eastAsia="Arial" w:hAnsi="Arial"/>
          <w:sz w:val="19"/>
          <w:szCs w:val="19"/>
          <w:b w:val="1"/>
          <w:bCs w:val="1"/>
          <w:i w:val="1"/>
          <w:iCs w:val="1"/>
          <w:color w:val="auto"/>
        </w:rPr>
        <w:t>Risks that are beyond the Company’s control, including but not limited to acts of terrorism or related acts of war, natural disasters, severe weather, changes in weather patterns, flooding, wildfires, pandemics, inflation, supply chain disruptions, hostile cyber intrusions or other catastrophic events, could have a material adverse effect on the Company’s business, financial condition, results of operations and cash flows.</w:t>
      </w:r>
    </w:p>
    <w:p>
      <w:pPr>
        <w:spacing w:after="0" w:line="130"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have a material adverse effect on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18"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7"/>
          <w:szCs w:val="17"/>
          <w:color w:val="auto"/>
        </w:rPr>
        <w:t>Furthermore, certain of the Company’s assets are located in active earthquake zones in California and Arizona, and certain facilities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Catastrophic events, such as an earthquake, wildfire, drought, flood, pandemics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The Company relies on a limited number of highly skilled personnel for some of its operations, as well as certain independent contractors and other service providers. If a large proportion of the Company’s or CEG’s personnel in those critical positions, or independent contractors or other service providers to the Company or its customers, were to be negatively impacted by a catastrophic event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personnel, independent contractors or service providers.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Company’s business, financial condition, results of operations and cash flows.</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operation of the Company’s businesses is subject to cyber-based security and integrity risk.</w:t>
      </w:r>
    </w:p>
    <w:p>
      <w:pPr>
        <w:spacing w:after="0" w:line="189"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In addition, the Company is dependent upon the computer systems of third-party providers to process certain data necessary to conduct its business, including sensitive employee information, credit card transaction information and other sensitive data.</w:t>
      </w:r>
    </w:p>
    <w:p>
      <w:pPr>
        <w:spacing w:after="0" w:line="150"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9"/>
          <w:szCs w:val="19"/>
          <w:color w:val="auto"/>
        </w:rPr>
        <w:t>From time to time, the Company engages a range of third parties as a part of its cybersecurity risk management. While such engagements are aimed at bolstering the effectiveness of the Company’s risk management processes, they introduce inherent risks and complexities that warrant careful consideration. Any oversight or failure on the part of these third parties could compromise the security of the Company’s sensitive data, proprietary information and critical business processes, leading to potential data breaches or unauthorized access. Additionally, the reliance on external entities introduces complexities in coordinating risk management efforts, data sharing and maintaining confidentiality. Any mismanagement or inadequate coordination between the Company’s internal teams and third-party vendors could result in delays in responding to cybersecurity threats or gaps in its risk mitigation strategies. In addition, while the Company and its third-party service providers commit resources to the design, implementation and monitoring of the Company’s computer systems, there is no guarantee that these security measures will provide absolute security. Despite these security measures, the Company may not be able to anticipate, detect or prevent cyberattacks, particularly because the methodologies used by attackers change frequently or may not be recognized until launch, and because attackers are increasingly using technologies designed to circumvent controls and avoid detection.</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040"/>
          </w:cols>
          <w:pgMar w:left="920" w:top="577" w:right="920" w:bottom="0" w:gutter="0" w:footer="0" w:header="0"/>
          <w:type w:val="continuous"/>
        </w:sectPr>
      </w:pPr>
    </w:p>
    <w:bookmarkStart w:id="26" w:name="page27"/>
    <w:bookmarkEnd w:id="26"/>
    <w:p>
      <w:pPr>
        <w:jc w:val="both"/>
        <w:ind w:firstLine="441"/>
        <w:spacing w:after="0" w:line="262" w:lineRule="auto"/>
        <w:rPr>
          <w:sz w:val="20"/>
          <w:szCs w:val="20"/>
          <w:color w:val="auto"/>
        </w:rPr>
      </w:pPr>
      <w:r>
        <w:rPr>
          <w:rFonts w:ascii="Arial" w:cs="Arial" w:eastAsia="Arial" w:hAnsi="Arial"/>
          <w:sz w:val="19"/>
          <w:szCs w:val="19"/>
          <w:color w:val="auto"/>
        </w:rPr>
        <w:t>Potential disruptive actions could result from cyberspace breaches, ransomware or other malware, phishing or social engineering schemes or attacks or other cybersecurity threats, attacks or intrusions, including by computer hackers, foreign governments and cyber terrorists, or otherwise be compromised by unintentional events with respect to the Company or any of its contractors or customers. If the Company or any of its third-party providers’ systems for protecting against such cybersecurity threats prove to be insufficient, current or planned business operations could be interrupted, property could be damaged and confidential, proprietary or other sensitive information, including employee, customer or supplier information, could be lost, stolen or corrupted, which may cause the Company to incur significant losses of revenues, other substantial liabilities and damages, costs to replace or repair damaged equipment and damage to the Company’s reputation. The Company’s insurance may not fully protect it against such losses, and costs for insurance may also increase as a result of cybersecurity threats. In addition, the Company may experience increased capital and operating costs to implement increased security for its cyber systems and generating assets.</w:t>
      </w:r>
    </w:p>
    <w:p>
      <w:pPr>
        <w:spacing w:after="0" w:line="140"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0"/>
          <w:szCs w:val="20"/>
          <w:color w:val="auto"/>
        </w:rPr>
        <w:t>In addition, cyberattacks against the Company or others in its industry could result in additional regulations, which could lead to increased regulatory compliance costs, insurance coverage cost or capital expenditures. Any failure by the Company to comply with these additional regulations could subject it to regulatory investigations or litigation and could result in significant penalties and liability. The Company cannot predict the potential impact to its business or the energy industry resulting from such additional regulations.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147"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7"/>
          <w:szCs w:val="17"/>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facilities under construction. Additionally, such failures, delays or increased costs could have a material adverse effect on the Company’s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Company’s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349" w:lineRule="exact"/>
        <w:rPr>
          <w:sz w:val="20"/>
          <w:szCs w:val="20"/>
          <w:color w:val="auto"/>
        </w:rPr>
      </w:pPr>
    </w:p>
    <w:p>
      <w:pPr>
        <w:jc w:val="both"/>
        <w:spacing w:after="0" w:line="366" w:lineRule="auto"/>
        <w:rPr>
          <w:sz w:val="20"/>
          <w:szCs w:val="20"/>
          <w:color w:val="auto"/>
        </w:rPr>
      </w:pPr>
      <w:r>
        <w:rPr>
          <w:rFonts w:ascii="Arial" w:cs="Arial" w:eastAsia="Arial" w:hAnsi="Arial"/>
          <w:sz w:val="17"/>
          <w:szCs w:val="17"/>
          <w:b w:val="1"/>
          <w:bCs w:val="1"/>
          <w:i w:val="1"/>
          <w:iCs w:val="1"/>
          <w:color w:val="auto"/>
        </w:rPr>
        <w:t>The Company’s costs, results of operations, financial condition and cash flows could be adversely impacted by the disruption of the fuel supplies necessary to generate power at its facilities in the Flexible Generation segment.</w:t>
      </w:r>
    </w:p>
    <w:p>
      <w:pPr>
        <w:spacing w:after="0" w:line="58"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0"/>
          <w:szCs w:val="20"/>
          <w:color w:val="auto"/>
        </w:rPr>
        <w:t>Delivery of fuel supplies to the Company’s facilities in the Flexible Generation segment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040"/>
          </w:cols>
          <w:pgMar w:left="920" w:top="584" w:right="920" w:bottom="0" w:gutter="0" w:footer="0" w:header="0"/>
          <w:type w:val="continuous"/>
        </w:sectPr>
      </w:pPr>
    </w:p>
    <w:bookmarkStart w:id="27" w:name="page28"/>
    <w:bookmarkEnd w:id="27"/>
    <w:p>
      <w:pPr>
        <w:jc w:val="both"/>
        <w:spacing w:after="0" w:line="260" w:lineRule="auto"/>
        <w:rPr>
          <w:sz w:val="20"/>
          <w:szCs w:val="20"/>
          <w:color w:val="auto"/>
        </w:rPr>
      </w:pPr>
      <w:r>
        <w:rPr>
          <w:rFonts w:ascii="Arial" w:cs="Arial" w:eastAsia="Arial" w:hAnsi="Arial"/>
          <w:sz w:val="20"/>
          <w:szCs w:val="20"/>
          <w:b w:val="1"/>
          <w:bCs w:val="1"/>
          <w:i w:val="1"/>
          <w:iCs w:val="1"/>
          <w:color w:val="auto"/>
        </w:rPr>
        <w:t>The Company depends on key personnel and its and CEG’s ability to attract and retain additional skilled management and other personnel, the loss of any of which could have a material adverse effect on the Company’s financial condition and results of operations.</w:t>
      </w:r>
    </w:p>
    <w:p>
      <w:pPr>
        <w:spacing w:after="0" w:line="142"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7"/>
          <w:szCs w:val="17"/>
          <w:color w:val="auto"/>
        </w:rPr>
        <w:t>The Company does not have employees of its own and instead depends solely on the services provided by or under the direction of CEG under the CEG Master Services Agreement to carry out its operations. The Company therefore believes its current operations and future success depend largely on the continued services of key personnel employed by CEG, including those individuals who provide management, operational, technical and other services to the Company under the CEG Master Services Agreement. The expertise, industry knowledge and experience of these individuals are critical to the Company’s ability to operate its business, execute its growth strategy and maintain effective internal controls and compliance. Although the Company currently has access to the resources of CEG, the loss of one or more key personnel of the Company or CEG, or the inability of the Company or CEG to attract, retain or adequately replace qualified individuals in a timely manner, could disrupt the Company’s operations, delay or impair the execution of its business plans and negatively impact its relationships with customers, suppliers and other third parties. In addition, because CEG personnel and support staff that provide services to the Company under the CEG Master Services Agreement are not solely responsible for the management and administration of the Company, and the CEG Master Services Agreement does not require any specific individuals to be provided by CEG, there can be no assurance that the Company will have continued access to the same level of expertise or attention from CEG personnel in the future. Any significant reduction in the quality or quantity of services provided by CEG personnel could have a material adverse effect on the Company’s business, financial condition and results of operations.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The Company may potentially be adversely affected by emerging technologies that may over time impact capacity markets and the energy industry overall.</w:t>
      </w:r>
    </w:p>
    <w:p>
      <w:pPr>
        <w:spacing w:after="0" w:line="127"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0"/>
          <w:szCs w:val="20"/>
          <w:color w:val="auto"/>
        </w:rPr>
        <w:t>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w:t>
      </w:r>
    </w:p>
    <w:p>
      <w:pPr>
        <w:spacing w:after="0" w:line="150"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Company has identified a material weakness in its internal control over financial reporting related to hypothetical liquidation at book value (HLBV) accounting that, if not properly remediated, could adversely affect its business and results of operations.</w:t>
      </w:r>
    </w:p>
    <w:p>
      <w:pPr>
        <w:spacing w:after="0" w:line="142"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 xml:space="preserve">A material weakness is a deficiency, or combination of deficiencies, in internal control over financial reporting such that there is a reasonable possibility that a material misstatement of the Company’s annual or interim consolidated financial statements may not be prevented or detected on a timely basis. As described in Item 9A, </w:t>
      </w:r>
      <w:r>
        <w:rPr>
          <w:rFonts w:ascii="Arial" w:cs="Arial" w:eastAsia="Arial" w:hAnsi="Arial"/>
          <w:sz w:val="17"/>
          <w:szCs w:val="17"/>
          <w:b w:val="1"/>
          <w:bCs w:val="1"/>
          <w:i w:val="1"/>
          <w:iCs w:val="1"/>
          <w:color w:val="auto"/>
        </w:rPr>
        <w:t>Controls and Procedures</w:t>
      </w:r>
      <w:r>
        <w:rPr>
          <w:rFonts w:ascii="Arial" w:cs="Arial" w:eastAsia="Arial" w:hAnsi="Arial"/>
          <w:sz w:val="17"/>
          <w:szCs w:val="17"/>
          <w:color w:val="auto"/>
        </w:rPr>
        <w:t>, during the fourth quarter of 2025, the Company’s management identified a material weakness in its internal control over financial reporting due to ineffective controls over the review of certain calculations of HLBV accounting used to allocate net income (loss) to the Company’s redeemable noncontrolling interests and noncontrolling interests in tax equity partnerships.</w:t>
      </w:r>
    </w:p>
    <w:p>
      <w:pPr>
        <w:spacing w:after="0" w:line="107"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color w:val="auto"/>
        </w:rPr>
        <w:t>Although the Company is in the process of remediating the material weakness and believes, based on its evaluation to date, that the material weakness will be remediated in a timely fashion, it cannot provide assurance that this will occur within a specific timeframe. The material weakness will not be remediated until all necessary internal controls have been tested and determined to be operating effectively. In addition, the Company may need to take additional measures to address the material weakness or modify the planned remediation steps, and the Company cannot be certain that the measures it has taken, and expect to take, to improve its internal controls will be sufficient to address the issues identified, to ensure that its internal controls are effective or to ensure that the identified material weakness will not result in a material misstatement of the Company’s consolidated financial statements. Moreover, the Company cannot provide assurance that it will not identify additional material weaknesses in its internal control over financial reporting in the future.</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040"/>
          </w:cols>
          <w:pgMar w:left="920" w:top="577" w:right="920" w:bottom="0" w:gutter="0" w:footer="0" w:header="0"/>
          <w:type w:val="continuous"/>
        </w:sectPr>
      </w:pPr>
    </w:p>
    <w:bookmarkStart w:id="28" w:name="page29"/>
    <w:bookmarkEnd w:id="28"/>
    <w:p>
      <w:pPr>
        <w:jc w:val="both"/>
        <w:ind w:firstLine="441"/>
        <w:spacing w:after="0" w:line="300" w:lineRule="auto"/>
        <w:rPr>
          <w:sz w:val="20"/>
          <w:szCs w:val="20"/>
          <w:color w:val="auto"/>
        </w:rPr>
      </w:pPr>
      <w:r>
        <w:rPr>
          <w:rFonts w:ascii="Arial" w:cs="Arial" w:eastAsia="Arial" w:hAnsi="Arial"/>
          <w:sz w:val="17"/>
          <w:szCs w:val="17"/>
          <w:color w:val="auto"/>
        </w:rPr>
        <w:t>Implementing any further changes to the Company’s internal controls may distract its officers and employees and entail material costs to implement new processes and/or modify its existing processes. Moreover, until the Company successfully remediates the material weakness, its ability to record, process and report financial information accurately, and to prepare financial statements within the time periods specified by the rules and forms of the SEC, could be adversely affected. This failure could negatively affect the market price and trading liquidity of the Company’s common stock, cause investors to lose confidence in the Company’s reported financial information, impair the Company’s ability to access the capital markets on acceptable terms and generally materially and adversely impact the Company’s business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Company’s Relationships with CEG</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CEG exercises substantial influence over the Company, and the Company is highly dependent on CEG.</w:t>
      </w:r>
    </w:p>
    <w:p>
      <w:pPr>
        <w:spacing w:after="0" w:line="18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CEG owns all of the Company’s outstanding Class B and Class D common stock. The Company’s outstanding Class B and Class D common stock is entitled to one vote per share and 1/100th of a vote per share, respectively. As a result of its ownership of the Class B and Class D common stock, CEG owns 54.89% of the combined voting power of the Company’s common stock as of December 31, 2025.</w:t>
      </w:r>
    </w:p>
    <w:p>
      <w:pPr>
        <w:spacing w:after="0" w:line="144"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As a result of this ownership, CEG has substantial influence on the Company’s affairs and CEG’s voting power will constitute a large percentage of any quorum of the Company’s stockholders voting on any matter requiring the approval of the Company’s stockholders. Such matters include the election of directors, the adoption of amendments to the Company’s amended and restated certificate of incorporation and fourth amended and restated bylaws and approval of mergers or sale of all or substantially all of its assets. This concentration of ownership may also have the effect of delaying or preventing a change in control of the Company or discouraging others from making tender offers for the Company’s shares. In addition, CEG has the right to elect all of the Company’s directors. CEG may cause corporate actions to be taken that do not fully align with the interests of the Company’s other stockholders (including holders of the Company’s Class A and Class C common stock).</w:t>
      </w:r>
    </w:p>
    <w:p>
      <w:pPr>
        <w:spacing w:after="0" w:line="110"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Furthermore, effective January 1, 2025, the Company effected a reorganization pursuant to which all of the employees of the Company transferred to CEG. As a result, the Company does not have employees of its own and instead depends solely on the services provided by or under the direction of CEG under the CEG Master Services Agreement to carry out its operations. CEG personnel and support staff that provide services to the Company under the CEG Master Services Agreement are not solely responsible for the management and administration of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Company’s business, financial condition, results of operations and cash flows. The CEG Master Services Agreement will continue in perpetuity, until terminated in accordance with its terms.</w:t>
      </w:r>
    </w:p>
    <w:p>
      <w:pPr>
        <w:spacing w:after="0" w:line="118"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9"/>
          <w:szCs w:val="19"/>
          <w:color w:val="auto"/>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Company’s business, financial condition, results of operations and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CEG controls the Company and has the ability to designate a majority of the members of the Company’s Board of Directors.</w:t>
      </w:r>
    </w:p>
    <w:p>
      <w:pPr>
        <w:spacing w:after="0" w:line="223"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Due to CEG’s approximate 54.89% combined voting power in the Company, the ability of other holders of the Company’s Class A and Class C common stock to exercise control over the corporate governance of the Company is limited. CEG has a substantial influence on the Company’s affairs and CEG’s voting power constitutes a large percentage of any quorum of the Company’s stockholders voting on any matter requiring the approval of the Company’s stockholders. It is possible that the interests of CEG and its affiliates may in certain circumstances differ from the interests of the Company or other holders of the Company’s Class A and Class C common stock.</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040"/>
          </w:cols>
          <w:pgMar w:left="920" w:top="584" w:right="920" w:bottom="0"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b w:val="1"/>
          <w:bCs w:val="1"/>
          <w:i w:val="1"/>
          <w:iCs w:val="1"/>
          <w:color w:val="auto"/>
        </w:rPr>
        <w:t>The Company may not be able to consummate future acquisitions from CEG.</w:t>
      </w:r>
    </w:p>
    <w:p>
      <w:pPr>
        <w:spacing w:after="0" w:line="18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color w:val="auto"/>
        </w:rPr>
        <w:t>The Company’s ability to grow through acquisitions depends, in part, on CEG’s ability to identify and present the Company with acquisition opportunities. There are a number of factors that could materially and adversely impact the extent to which suitable acquisition opportunities are made available from CEG. For example, due to factors inside or outside the Company’s control, CEG may be unable to develop or construct facilities that are ultimately compatible with the Company’s operational requirements or that otherwise result in suitable acquisition opportunities for the Company, or CEG may not be able to develop facilities that provide cash flows that would support the Company’s investment requirements due to numerous factors impacting the economics of the facilities, including negotiation of engineering, procurement and construction and offtake contracts, as well as securing long-term financing for the facilities.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Company may be unable to terminate the CEG Master Services Agreement, in certain circumstances.</w:t>
      </w:r>
    </w:p>
    <w:p>
      <w:pPr>
        <w:spacing w:after="0" w:line="189" w:lineRule="exact"/>
        <w:rPr>
          <w:sz w:val="20"/>
          <w:szCs w:val="20"/>
          <w:color w:val="auto"/>
        </w:rPr>
      </w:pPr>
    </w:p>
    <w:p>
      <w:pPr>
        <w:jc w:val="both"/>
        <w:ind w:firstLine="441"/>
        <w:spacing w:after="0" w:line="294" w:lineRule="auto"/>
        <w:rPr>
          <w:sz w:val="20"/>
          <w:szCs w:val="20"/>
          <w:color w:val="auto"/>
        </w:rPr>
      </w:pPr>
      <w:r>
        <w:rPr>
          <w:rFonts w:ascii="Arial" w:cs="Arial" w:eastAsia="Arial" w:hAnsi="Arial"/>
          <w:sz w:val="17"/>
          <w:szCs w:val="17"/>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gross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90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349" w:lineRule="exact"/>
        <w:rPr>
          <w:sz w:val="20"/>
          <w:szCs w:val="20"/>
          <w:color w:val="auto"/>
        </w:rPr>
      </w:pPr>
    </w:p>
    <w:p>
      <w:pPr>
        <w:jc w:val="both"/>
        <w:spacing w:after="0" w:line="366" w:lineRule="auto"/>
        <w:rPr>
          <w:sz w:val="20"/>
          <w:szCs w:val="20"/>
          <w:color w:val="auto"/>
        </w:rPr>
      </w:pPr>
      <w:r>
        <w:rPr>
          <w:rFonts w:ascii="Arial" w:cs="Arial" w:eastAsia="Arial" w:hAnsi="Arial"/>
          <w:sz w:val="17"/>
          <w:szCs w:val="17"/>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58"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7"/>
          <w:szCs w:val="17"/>
          <w:color w:val="auto"/>
        </w:rPr>
        <w:t>The Company relies on CEG to provide certain services under the CEG Master Services Agreement, including the provision of information technology services. The CEG Master Services Agreement provides that CEG may terminate the agreement upon 180 days prior written notice of termination to the Company (i) if the Company defaults in the performance or observance of any material term, condition or covenant contained in the agreement in a manner that results in material harm to CEG and the default continues unremedied for a period of 30 days after written notice of the breach is given; or (ii) upon the happening of certain events relating to the bankruptcy or insolvency of the Company. If CEG terminates the CEG Master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 In connection with the provision of services under the CEG Master Services Agreement, during January 2026, CEG began the use of a new enterprise resource planning, or ERP, application to support its core business processes and data. The implementation of the new ERP application will continue to require significant human resources, which could impact CEG’s ability to provide services to the Company under the CEG Master Services Agreement. CEG expects the new ERP application to be fully implemented by the end of the first quarter of 2026. In addition, the Company is relying on CEG’s new ERP application to support its core business processes, data, financial accounting, financial reporting and internal controls. If CEG is unable to complete an effective implementation of its ERP application in a timely manner during the first quarter of 2026, it could adversely impact the Company and its ability to meet its financial reporting and internal control requirements.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040"/>
          </w:cols>
          <w:pgMar w:left="920" w:top="577" w:right="920" w:bottom="0" w:gutter="0" w:footer="0" w:header="0"/>
          <w:type w:val="continuous"/>
        </w:sectPr>
      </w:pPr>
    </w:p>
    <w:bookmarkStart w:id="30" w:name="page31"/>
    <w:bookmarkEnd w:id="30"/>
    <w:p>
      <w:pPr>
        <w:jc w:val="both"/>
        <w:ind w:left="7"/>
        <w:spacing w:after="0" w:line="260" w:lineRule="auto"/>
        <w:rPr>
          <w:sz w:val="20"/>
          <w:szCs w:val="20"/>
          <w:color w:val="auto"/>
        </w:rPr>
      </w:pPr>
      <w:r>
        <w:rPr>
          <w:rFonts w:ascii="Arial" w:cs="Arial" w:eastAsia="Arial" w:hAnsi="Arial"/>
          <w:sz w:val="20"/>
          <w:szCs w:val="20"/>
          <w:b w:val="1"/>
          <w:bCs w:val="1"/>
          <w:i w:val="1"/>
          <w:iCs w:val="1"/>
          <w:color w:val="auto"/>
        </w:rPr>
        <w:t>The liability of CEG is limited under the Company’s arrangements with it, and the Company has agreed to indemnify CEG against claims that it may face in connection with such arrangements, which require the Company to satisfy significant indemnification obligations.</w:t>
      </w:r>
    </w:p>
    <w:p>
      <w:pPr>
        <w:spacing w:after="0" w:line="142" w:lineRule="exact"/>
        <w:rPr>
          <w:sz w:val="20"/>
          <w:szCs w:val="20"/>
          <w:color w:val="auto"/>
        </w:rPr>
      </w:pPr>
    </w:p>
    <w:p>
      <w:pPr>
        <w:jc w:val="both"/>
        <w:ind w:left="7" w:firstLine="441"/>
        <w:spacing w:after="0" w:line="295" w:lineRule="auto"/>
        <w:rPr>
          <w:sz w:val="20"/>
          <w:szCs w:val="20"/>
          <w:color w:val="auto"/>
        </w:rPr>
      </w:pPr>
      <w:r>
        <w:rPr>
          <w:rFonts w:ascii="Arial" w:cs="Arial" w:eastAsia="Arial" w:hAnsi="Arial"/>
          <w:sz w:val="17"/>
          <w:szCs w:val="17"/>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the Company assuming greater risks when CEG makes decisions relating to the Company. The indemnification arrangements may give rise to legal claims for indemnification that are adverse to the Company and holders of its common stock, and, depending on the scope and magnitude of these claims, the Company may incur significant expenses and other financial obligations to cover such claims.</w:t>
      </w:r>
    </w:p>
    <w:p>
      <w:pPr>
        <w:spacing w:after="0" w:line="344" w:lineRule="exact"/>
        <w:rPr>
          <w:sz w:val="20"/>
          <w:szCs w:val="20"/>
          <w:color w:val="auto"/>
        </w:rPr>
      </w:pPr>
    </w:p>
    <w:p>
      <w:pPr>
        <w:jc w:val="both"/>
        <w:ind w:left="7"/>
        <w:spacing w:after="0" w:line="260" w:lineRule="auto"/>
        <w:rPr>
          <w:sz w:val="20"/>
          <w:szCs w:val="20"/>
          <w:color w:val="auto"/>
        </w:rPr>
      </w:pPr>
      <w:r>
        <w:rPr>
          <w:rFonts w:ascii="Arial" w:cs="Arial" w:eastAsia="Arial" w:hAnsi="Arial"/>
          <w:sz w:val="20"/>
          <w:szCs w:val="20"/>
          <w:b w:val="1"/>
          <w:bCs w:val="1"/>
          <w:i w:val="1"/>
          <w:iCs w:val="1"/>
          <w:color w:val="auto"/>
        </w:rPr>
        <w:t>Certain of the Company’s PPAs and facility-level financing arrangements include provisions that would permit the counterparty to terminate the contract or accelerate maturity in the event CEG ceases to control or own, directly or indirectly, a majority of the voting power of the Company.</w:t>
      </w:r>
    </w:p>
    <w:p>
      <w:pPr>
        <w:spacing w:after="0" w:line="142" w:lineRule="exact"/>
        <w:rPr>
          <w:sz w:val="20"/>
          <w:szCs w:val="20"/>
          <w:color w:val="auto"/>
        </w:rPr>
      </w:pPr>
    </w:p>
    <w:p>
      <w:pPr>
        <w:jc w:val="both"/>
        <w:ind w:left="7" w:firstLine="441"/>
        <w:spacing w:after="0" w:line="297" w:lineRule="auto"/>
        <w:rPr>
          <w:sz w:val="20"/>
          <w:szCs w:val="20"/>
          <w:color w:val="auto"/>
        </w:rPr>
      </w:pPr>
      <w:r>
        <w:rPr>
          <w:rFonts w:ascii="Arial" w:cs="Arial" w:eastAsia="Arial" w:hAnsi="Arial"/>
          <w:sz w:val="17"/>
          <w:szCs w:val="17"/>
          <w:color w:val="auto"/>
        </w:rPr>
        <w:t>Certain of the Company’s PPAs and facility-level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CEG ceases to own, directly or indirectly, capital stock representing more than 50% of the voting power of the Company’s capital stock outstanding on such date, or, in some cases, if CEG ceases to be the majority owner, directly or indirectly, of the applicable facility. As a result, if CEG ceases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facility-level financing could have a material adverse effect on the Company’s business, financial condition, results of operations and cash flow.</w:t>
      </w:r>
    </w:p>
    <w:p>
      <w:pPr>
        <w:spacing w:after="0" w:line="109" w:lineRule="exact"/>
        <w:rPr>
          <w:sz w:val="20"/>
          <w:szCs w:val="20"/>
          <w:color w:val="auto"/>
        </w:rPr>
      </w:pPr>
    </w:p>
    <w:p>
      <w:pPr>
        <w:jc w:val="both"/>
        <w:ind w:left="7"/>
        <w:spacing w:after="0" w:line="366" w:lineRule="auto"/>
        <w:rPr>
          <w:sz w:val="20"/>
          <w:szCs w:val="20"/>
          <w:color w:val="auto"/>
        </w:rPr>
      </w:pPr>
      <w:r>
        <w:rPr>
          <w:rFonts w:ascii="Arial" w:cs="Arial" w:eastAsia="Arial" w:hAnsi="Arial"/>
          <w:sz w:val="17"/>
          <w:szCs w:val="17"/>
          <w:b w:val="1"/>
          <w:bCs w:val="1"/>
          <w:i w:val="1"/>
          <w:iCs w:val="1"/>
          <w:color w:val="auto"/>
        </w:rPr>
        <w:t>The Company is a “controlled company”, controlled by CEG, and as a result, is exempt from certain corporate governance requirements that are designed to provide protection to stockholders of companies that are not controlled companies.</w:t>
      </w:r>
    </w:p>
    <w:p>
      <w:pPr>
        <w:spacing w:after="0" w:line="58" w:lineRule="exact"/>
        <w:rPr>
          <w:sz w:val="20"/>
          <w:szCs w:val="20"/>
          <w:color w:val="auto"/>
        </w:rPr>
      </w:pPr>
    </w:p>
    <w:p>
      <w:pPr>
        <w:jc w:val="both"/>
        <w:ind w:left="7" w:firstLine="441"/>
        <w:spacing w:after="0" w:line="294" w:lineRule="auto"/>
        <w:rPr>
          <w:sz w:val="20"/>
          <w:szCs w:val="20"/>
          <w:color w:val="auto"/>
        </w:rPr>
      </w:pPr>
      <w:r>
        <w:rPr>
          <w:rFonts w:ascii="Arial" w:cs="Arial" w:eastAsia="Arial" w:hAnsi="Arial"/>
          <w:sz w:val="17"/>
          <w:szCs w:val="17"/>
          <w:color w:val="auto"/>
        </w:rPr>
        <w:t>As of December 31, 2025, CEG controls 54.89% of the Company’s combined voting power and is able to elect all of the Company’s Board of Directors. As a result, the Company is considered a “controlled company” for the purposes of the NYSE listing requirements. As a “controlled company,” the Company is permitted to, and the Company may, take advantage of certain exemptions from corporate governance provisions in the NYSE listing requirements, including provisions that would require</w:t>
      </w:r>
    </w:p>
    <w:p>
      <w:pPr>
        <w:spacing w:after="0" w:line="2" w:lineRule="exact"/>
        <w:rPr>
          <w:sz w:val="20"/>
          <w:szCs w:val="20"/>
          <w:color w:val="auto"/>
        </w:rPr>
      </w:pPr>
    </w:p>
    <w:p>
      <w:pPr>
        <w:jc w:val="both"/>
        <w:ind w:left="7" w:hanging="7"/>
        <w:spacing w:after="0" w:line="260" w:lineRule="auto"/>
        <w:tabs>
          <w:tab w:leader="none" w:pos="276" w:val="left"/>
        </w:tabs>
        <w:numPr>
          <w:ilvl w:val="0"/>
          <w:numId w:val="13"/>
        </w:numPr>
        <w:rPr>
          <w:rFonts w:ascii="Arial" w:cs="Arial" w:eastAsia="Arial" w:hAnsi="Arial"/>
          <w:sz w:val="19"/>
          <w:szCs w:val="19"/>
          <w:color w:val="auto"/>
        </w:rPr>
      </w:pPr>
      <w:r>
        <w:rPr>
          <w:rFonts w:ascii="Arial" w:cs="Arial" w:eastAsia="Arial" w:hAnsi="Arial"/>
          <w:sz w:val="19"/>
          <w:szCs w:val="19"/>
          <w:color w:val="auto"/>
        </w:rPr>
        <w:t>a majority of the members of the Company’s Board of Directors to be independent, (ii) that the Company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the Company has elected to have a Corporate Governance, Conflicts and Nominating Committee consisting entirely of independent directors and to conduct an annual performance evaluation of this committee, the majority of the members of the Company’s Board of Directors are not considered independent and the Company’s compensation committee is not comprised entirely of independent directors. Therefore, the Company’s stockholders may not have the same protections afforded to stockholders of companies that are subject to all of the applicable NYSE listing requirements.</w:t>
      </w:r>
    </w:p>
    <w:p>
      <w:pPr>
        <w:sectPr>
          <w:pgSz w:w="11880" w:h="15480" w:orient="portrait"/>
          <w:cols w:equalWidth="0" w:num="1">
            <w:col w:w="10047"/>
          </w:cols>
          <w:pgMar w:left="913"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047"/>
          </w:cols>
          <w:pgMar w:left="913" w:top="577" w:right="920" w:bottom="0"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Risks Related to Regulation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Company’s business is subject to restrictions resulting from environmental, health and safety laws and regulations.</w:t>
      </w:r>
    </w:p>
    <w:p>
      <w:pPr>
        <w:spacing w:after="0" w:line="223"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indemnify it for environmental liabilities the operators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12"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color w:val="auto"/>
        </w:rPr>
        <w:t>Local, state and federal regulations may focus on areas such as monitoring and restricting GHG emissions, which could prove unfavorable to the Company’s segments depending on their form. Alternatively, local, state and federal regulations may also target restricting the development of renewable energy capacity through restrictions on land use, interconnection and removal of government incentives for renewable energy. Significant changes to local, state and federal regulations may have material impacts on the Company’s cost of compliance with these regulations on the Company’s ability to operate its existing assets economically. In addition, the Company may be adversely affected by changes to regulations that restrict the Company’s ability to acquire or invest in new facilities. The effect on the Company of any new legislative or regulatory measures will depend on the particular provisions that are ultimately adopted. In addition, sudden changes to local, state or federal regulations may result in the Company’s inability to quickly react and respond to these changes.</w:t>
      </w:r>
    </w:p>
    <w:p>
      <w:pPr>
        <w:spacing w:after="0" w:line="116"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7"/>
          <w:szCs w:val="17"/>
          <w:color w:val="auto"/>
        </w:rPr>
        <w:t>Companies across all industries may face increased scrutiny from the public, stakeholders and government agencies related to their environmental, social, and governance, or ESG, practices and commitments to address climate change. For example, in March 2024, the SEC adopted a new set of rules that would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 registrants when those emissions are material and the filing of an attestation report covering the same and disclosure of the financial statement effects of severe weather events and other natural conditions, including costs and losses. Litigation challenging the rules was filed by multiple parties in multiple jurisdictions, which was consolidated and assigned to the U.S. Court of Appeals for the Eighth Circuit. On April 4, 2024, the SEC announced that it was voluntarily delaying the implementation of the climate disclosure rules while the U.S. Court of Appeals considered the litigation. On March 27, 2025, the SEC voted to end the defense of the rules in the litigation. On September 12, 2025, the U.S. Court of Appeals denied the SEC’s request to proceed with the case and indicated that the case would be held in abeyance until the SEC either renews its defense of the rules or revises the rules through notice-and-comment rulemaking. Additionally, in September 2023, California passed climate-related disclosure mandates, which are broader than the SEC’s proposed rules. In the event the SEC’s climate disclosure rules go into effect or states in which the Company operates or does business adopt climate disclosure requirements, the Company could incur significant additional costs relating to the assessment and disclosure of climate-related risks.</w:t>
      </w:r>
    </w:p>
    <w:p>
      <w:pPr>
        <w:spacing w:after="0" w:line="121"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9"/>
          <w:szCs w:val="19"/>
          <w:color w:val="auto"/>
        </w:rPr>
        <w:t>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assets in the Flexible Generation segment or decrease the demand for the energy generated by these assets. In addition, the additional disclosure requirements involve a significant recordkeeping requirement, which could result in the need for additional resources to support compliance. The Company will also be reliant upon its vendors in providing the necessary information for compliance, which may provide additional challenges in meeting compliance requirements. Further, failure or a perception of failure to implement the Company’s ESG practices or achieve sustainability goals and targets it has set could damage the Company’s reputation, causing investors or customers to lose confidence in the Company, and negatively impact the business.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040"/>
          </w:cols>
          <w:pgMar w:left="920" w:top="577" w:right="920" w:bottom="0" w:gutter="0" w:footer="0" w:header="0"/>
          <w:type w:val="continuous"/>
        </w:sectPr>
      </w:pPr>
    </w:p>
    <w:bookmarkStart w:id="32" w:name="page33"/>
    <w:bookmarkEnd w:id="32"/>
    <w:p>
      <w:pPr>
        <w:jc w:val="both"/>
        <w:spacing w:after="0" w:line="260" w:lineRule="auto"/>
        <w:rPr>
          <w:sz w:val="20"/>
          <w:szCs w:val="20"/>
          <w:color w:val="auto"/>
        </w:rPr>
      </w:pPr>
      <w:r>
        <w:rPr>
          <w:rFonts w:ascii="Arial" w:cs="Arial" w:eastAsia="Arial" w:hAnsi="Arial"/>
          <w:sz w:val="20"/>
          <w:szCs w:val="20"/>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142"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in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12"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12"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All of the Company’s generating assets are operating either as EWGs as defined under the PUHCA, or as QFs as defined under the PURPA, as amended, and are not required to comply with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135" w:lineRule="exact"/>
        <w:rPr>
          <w:sz w:val="20"/>
          <w:szCs w:val="20"/>
          <w:color w:val="auto"/>
        </w:rPr>
      </w:pPr>
    </w:p>
    <w:p>
      <w:pPr>
        <w:jc w:val="both"/>
        <w:ind w:firstLine="441"/>
        <w:spacing w:after="0" w:line="292" w:lineRule="auto"/>
        <w:rPr>
          <w:sz w:val="20"/>
          <w:szCs w:val="20"/>
          <w:color w:val="auto"/>
        </w:rPr>
      </w:pPr>
      <w:r>
        <w:rPr>
          <w:rFonts w:ascii="Arial" w:cs="Arial" w:eastAsia="Arial" w:hAnsi="Arial"/>
          <w:sz w:val="17"/>
          <w:szCs w:val="17"/>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must-offer rules,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362"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Furthermore, revenues related to GenConn are established each year by the Connecticut Public Utilities Regulatory Authority. While such regulatory oversight is generally premised on the recovery of prudently incurred costs and a reasonable rate of return on invested capital, there can be no assurance that the applicable regulatory authorities approve rates or revenues that fully recover costs or provide an adequate return on the Company’s capital investments. This risk of inadequate cost recovery could have a material adverse effect on the Company’s business, financial condition, results of operations and cash flows.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040"/>
          </w:cols>
          <w:pgMar w:left="920" w:top="577" w:right="920" w:bottom="0" w:gutter="0" w:footer="0" w:header="0"/>
          <w:type w:val="continuous"/>
        </w:sectPr>
      </w:pPr>
    </w:p>
    <w:bookmarkStart w:id="33" w:name="page34"/>
    <w:bookmarkEnd w:id="33"/>
    <w:p>
      <w:pPr>
        <w:jc w:val="both"/>
        <w:spacing w:after="0" w:line="366" w:lineRule="auto"/>
        <w:rPr>
          <w:sz w:val="20"/>
          <w:szCs w:val="20"/>
          <w:color w:val="auto"/>
        </w:rPr>
      </w:pPr>
      <w:r>
        <w:rPr>
          <w:rFonts w:ascii="Arial" w:cs="Arial" w:eastAsia="Arial" w:hAnsi="Arial"/>
          <w:sz w:val="17"/>
          <w:szCs w:val="17"/>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58" w:lineRule="exact"/>
        <w:rPr>
          <w:sz w:val="20"/>
          <w:szCs w:val="20"/>
          <w:color w:val="auto"/>
        </w:rPr>
      </w:pPr>
    </w:p>
    <w:p>
      <w:pPr>
        <w:jc w:val="both"/>
        <w:ind w:firstLine="441"/>
        <w:spacing w:after="0" w:line="292" w:lineRule="auto"/>
        <w:rPr>
          <w:sz w:val="20"/>
          <w:szCs w:val="20"/>
          <w:color w:val="auto"/>
        </w:rPr>
      </w:pPr>
      <w:r>
        <w:rPr>
          <w:rFonts w:ascii="Arial" w:cs="Arial" w:eastAsia="Arial" w:hAnsi="Arial"/>
          <w:sz w:val="17"/>
          <w:szCs w:val="17"/>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Company’s business, financial condition, results of operations and cash flows.</w:t>
      </w:r>
    </w:p>
    <w:p>
      <w:pPr>
        <w:spacing w:after="0" w:line="352"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i w:val="1"/>
          <w:iCs w:val="1"/>
          <w:color w:val="auto"/>
        </w:rPr>
        <w:t>The Company’s business is subject to complex and evolving U.S. laws and regulations regarding privacy and data protection. Many of these laws and regulations are subject to change and uncertain interpretation, and could result in claims, increased cost of operations, or otherwise harm the Company’s business.</w:t>
      </w:r>
    </w:p>
    <w:p>
      <w:pPr>
        <w:spacing w:after="0" w:line="124"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The regulatory environment surrounding data privacy and protection is constantly evolving, and new or amended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private parties, subject the Company to significant fines, penalties, judgments, and negative publicity, require the Company to change its business practices, and increase the costs and complexity of compliance, any of which could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Government regulations providing incentives for renewable power generation and battery energy storage could change at any time and such changes may negatively impact the Company’s growth strategy.</w:t>
      </w:r>
    </w:p>
    <w:p>
      <w:pPr>
        <w:spacing w:after="0" w:line="127"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The Company’s growth strategy depends in part on government policies that support renewable generation and energy storage and enhance the economic viability of owning renewable power generation assets. Renewable power generation assets currently benefit from various federal, state and local governmental incentives such as ITCs, PTCs, loan guarantee programs, RPS programs and accelerated depreciation for tax purposes. These laws, regulations and policies have had a significant impact on the development of renewable power generation facilities and they could be changed, reduced or eliminated at any time. These incentives make the development of renewable power generation facilities more competitive by providing tax credits or grants and accelerated depreciation for a portion of the development costs, decreasing the costs and risks associated with developing such facilities or creating demand for renewable power assets through RPS programs.</w:t>
      </w:r>
    </w:p>
    <w:p>
      <w:pPr>
        <w:spacing w:after="0" w:line="110"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The elimination or loss of, or reduction in, such incentives as a result of future legislation or regulation could (i) decrease the attractiveness of renewable power generation or BESS facilities to developers, including, but not limited to, CEG, which could reduce the Company’s acquisition opportunities, (ii) reduce the Company’s willingness to pursue or develop certain renewable power facilities due to higher operating costs or decreased revenues under its PPAs, (iii) cause the market for future renewable energy PPAs to be smaller and the prices for future renewable energy PPAs to be lower and/or (iv) result in increased financing costs and difficulty in obtaining financing on acceptable terms.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040"/>
          </w:cols>
          <w:pgMar w:left="920" w:top="577" w:right="920" w:bottom="0" w:gutter="0" w:footer="0" w:header="0"/>
          <w:type w:val="continuous"/>
        </w:sectPr>
      </w:pPr>
    </w:p>
    <w:bookmarkStart w:id="34" w:name="page35"/>
    <w:bookmarkEnd w:id="34"/>
    <w:p>
      <w:pPr>
        <w:jc w:val="both"/>
        <w:ind w:firstLine="441"/>
        <w:spacing w:after="0" w:line="271" w:lineRule="auto"/>
        <w:rPr>
          <w:sz w:val="20"/>
          <w:szCs w:val="20"/>
          <w:color w:val="auto"/>
        </w:rPr>
      </w:pPr>
      <w:r>
        <w:rPr>
          <w:rFonts w:ascii="Arial" w:cs="Arial" w:eastAsia="Arial" w:hAnsi="Arial"/>
          <w:sz w:val="20"/>
          <w:szCs w:val="20"/>
          <w:color w:val="auto"/>
        </w:rPr>
        <w:t>Any of the foregoing could have a material adverse effect on the Company’s business, financial condition, results of operations and ability to grow its business and make cash distributions.</w:t>
      </w:r>
    </w:p>
    <w:p>
      <w:pPr>
        <w:spacing w:after="0" w:line="127"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color w:val="auto"/>
        </w:rPr>
        <w:t>On August 15, 2025, the U.S. Treasury Department issued new guidance regarding the interpretation of “begin construction” requirements for wind, solar and BESS facilities that claim “technology neutral credits” under sections 45Y or 48E of the Internal Revenue Code. The guidance requires developers of wind and solar projects with a maximum net output of greater than 1.5 megawatts to perform physical work of a significant nature to qualify a project as having started, and then meet a continuity test. Under the continuity test, developers must place a project in service within four years after the end of the year in which construction starts or show that construction has been continuous from and after the start. The new guidance applies only to wind and solar projects that seek to qualify for “technology neutral credits” under Sections 45Y and 48E of the Internal Revenue Code and applies only for purposes of determining whether projects began construction before July 4, 2026. It does not apply to projects that began construction prior to September 2, 2025.</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Changes in U.S. foreign trade policies, including the imposition of additional tariffs and other trade barriers, and efforts to withdraw from or materially modify international trade agreements, may have a material adverse effect on the Company’s business, operations and financial condition.</w:t>
      </w:r>
    </w:p>
    <w:p>
      <w:pPr>
        <w:spacing w:after="0" w:line="142" w:lineRule="exact"/>
        <w:rPr>
          <w:sz w:val="20"/>
          <w:szCs w:val="20"/>
          <w:color w:val="auto"/>
        </w:rPr>
      </w:pPr>
    </w:p>
    <w:p>
      <w:pPr>
        <w:jc w:val="both"/>
        <w:ind w:firstLine="441"/>
        <w:spacing w:after="0" w:line="292" w:lineRule="auto"/>
        <w:rPr>
          <w:sz w:val="20"/>
          <w:szCs w:val="20"/>
          <w:color w:val="auto"/>
        </w:rPr>
      </w:pPr>
      <w:r>
        <w:rPr>
          <w:rFonts w:ascii="Arial" w:cs="Arial" w:eastAsia="Arial" w:hAnsi="Arial"/>
          <w:sz w:val="17"/>
          <w:szCs w:val="17"/>
          <w:color w:val="auto"/>
        </w:rPr>
        <w:t>U.S. foreign trade policy continues to evolve, and recent actions have resulted in the imposition of new and increased tariffs, as well as other trade barriers, on the foreign import of certain materials and products. For example, effective February 4, 2025, the U.S. government implemented an additional tariff on goods imported into the U.S. from China and announced additional tariffs on goods imported into the U.S. from Mexico and Canada beginning in March 2025. Additionally, the U.S. government announced and rescinded multiple tariffs on several foreign jurisdictions, which increased uncertainty regarding the ultimate effect on the tariffs on economic conditions. In August 2025, however, the U.S. Court of Appeals for the Federal Circuit ruled that the tariffs imposed by the current administration exceed presidential authority and therefore are invalid, and in February 2026, the U.S. Supreme Court affirmed such decision. Following the ruling, the current administration signed an executive order imposing a 10% “global tariff” and later indicated an intention to increase such “global tariff” to 15%, effective immediately, using presidential powers under certain U.S. trade laws. If implemented, such tariffs can remain in effect for up to 150 days, which may be extended by the U.S. Congress. The current administration may continue to impose additional tariffs under other U.S. trade laws. The Company cannot predict what additional changes to trade policy will be made by the presidential administration or Congress, including whether existing tariff policies will be maintained or modified, what materials or products may be subject to such policies or whether the entry into new bilateral or multilateral trade agreements, or the amendment or termination of existing trade agreements, will occur, nor can the Company predict the effects that any such changes would have on its business. However, such steps, if adopted, could increase the Company’s costs, disrupt supply chains, delay project timelines or otherwise adversely impact its business and operations. In addition, changes in U.S. trade policy have resulted, and could again result, in reactions from U.S. trading partners, including adopting responsive trade policies. For example, in response to the U.S. government’s additional tariff on imports from China, on February 4, 2025, the Chinese government announced that it would implement tariffs on certain goods being imported into China from the U.S. Similar responsive measures have been announced or implemented by other countries affected by U.S. trade actions. There can be no assurance that such changes in U.S. or foreign trade policy or in laws and policies governing foreign trade, and any resulting negative sentiments or retaliatory trade practices towards the U.S. as a result of such changes, would not have a material adverse effect on the Company’s business, financial condition, results of operations and liquidity.</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040"/>
          </w:cols>
          <w:pgMar w:left="920" w:top="584" w:right="920" w:bottom="0"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Risks Related to the Company’s Common Stock</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20"/>
          <w:szCs w:val="20"/>
          <w:b w:val="1"/>
          <w:bCs w:val="1"/>
          <w:i w:val="1"/>
          <w:iCs w:val="1"/>
          <w:color w:val="auto"/>
        </w:rPr>
        <w:t>The Company may not be able to continue paying comparable or growing cash dividends to holders of its common stock in the future.</w:t>
      </w:r>
    </w:p>
    <w:p>
      <w:pPr>
        <w:spacing w:after="0" w:line="127" w:lineRule="exact"/>
        <w:rPr>
          <w:sz w:val="20"/>
          <w:szCs w:val="20"/>
          <w:color w:val="auto"/>
        </w:rPr>
      </w:pPr>
    </w:p>
    <w:p>
      <w:pPr>
        <w:ind w:firstLine="441"/>
        <w:spacing w:after="0" w:line="271" w:lineRule="auto"/>
        <w:rPr>
          <w:sz w:val="20"/>
          <w:szCs w:val="20"/>
          <w:color w:val="auto"/>
        </w:rPr>
      </w:pPr>
      <w:r>
        <w:rPr>
          <w:rFonts w:ascii="Arial" w:cs="Arial" w:eastAsia="Arial" w:hAnsi="Arial"/>
          <w:sz w:val="20"/>
          <w:szCs w:val="20"/>
          <w:color w:val="auto"/>
        </w:rPr>
        <w:t>The amount of CAFD principally depends upon the amount of cash the Company generates from its operations, which will fluctuate from quarter to quarter based on, among other things:</w:t>
      </w:r>
    </w:p>
    <w:p>
      <w:pPr>
        <w:spacing w:after="0" w:line="10" w:lineRule="exact"/>
        <w:rPr>
          <w:sz w:val="20"/>
          <w:szCs w:val="20"/>
          <w:color w:val="auto"/>
        </w:rPr>
      </w:pPr>
    </w:p>
    <w:p>
      <w:pPr>
        <w:ind w:left="700" w:hanging="355"/>
        <w:spacing w:after="0" w:line="271" w:lineRule="auto"/>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variations in revenues generated by the business, due to seasonality, weather, unplanned plant outages, contractual pricing structures or otherwise;</w:t>
      </w:r>
    </w:p>
    <w:p>
      <w:pPr>
        <w:spacing w:after="0" w:line="9" w:lineRule="exact"/>
        <w:rPr>
          <w:rFonts w:ascii="Arial" w:cs="Arial" w:eastAsia="Arial" w:hAnsi="Arial"/>
          <w:sz w:val="20"/>
          <w:szCs w:val="20"/>
          <w:color w:val="auto"/>
        </w:rPr>
      </w:pPr>
    </w:p>
    <w:p>
      <w:pPr>
        <w:ind w:left="700" w:hanging="355"/>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level and timing of capital expenditures the Company makes;</w:t>
      </w:r>
    </w:p>
    <w:p>
      <w:pPr>
        <w:spacing w:after="0" w:line="64"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level of operating and general and administrative expenses, including reimbursements to CEG for services provided to the Company in accordance with the CEG Master Services Agreement;</w:t>
      </w:r>
    </w:p>
    <w:p>
      <w:pPr>
        <w:spacing w:after="0" w:line="9" w:lineRule="exact"/>
        <w:rPr>
          <w:rFonts w:ascii="Arial" w:cs="Arial" w:eastAsia="Arial" w:hAnsi="Arial"/>
          <w:sz w:val="20"/>
          <w:szCs w:val="20"/>
          <w:color w:val="auto"/>
        </w:rPr>
      </w:pPr>
    </w:p>
    <w:p>
      <w:pPr>
        <w:ind w:left="700" w:hanging="355"/>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debt service requirements and other liabilities;</w:t>
      </w:r>
    </w:p>
    <w:p>
      <w:pPr>
        <w:spacing w:after="0" w:line="64" w:lineRule="exact"/>
        <w:rPr>
          <w:rFonts w:ascii="Arial" w:cs="Arial" w:eastAsia="Arial" w:hAnsi="Arial"/>
          <w:sz w:val="20"/>
          <w:szCs w:val="20"/>
          <w:color w:val="auto"/>
        </w:rPr>
      </w:pPr>
    </w:p>
    <w:p>
      <w:pPr>
        <w:ind w:left="700" w:hanging="355"/>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Company’s ability to borrow funds and access capital markets;</w:t>
      </w:r>
    </w:p>
    <w:p>
      <w:pPr>
        <w:spacing w:after="0" w:line="64"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restrictions contained in the Company’s debt agreements (including facility-level financing and, if applicable, corporate debt); and</w:t>
      </w:r>
    </w:p>
    <w:p>
      <w:pPr>
        <w:spacing w:after="0" w:line="9" w:lineRule="exact"/>
        <w:rPr>
          <w:rFonts w:ascii="Arial" w:cs="Arial" w:eastAsia="Arial" w:hAnsi="Arial"/>
          <w:sz w:val="20"/>
          <w:szCs w:val="20"/>
          <w:color w:val="auto"/>
        </w:rPr>
      </w:pPr>
    </w:p>
    <w:p>
      <w:pPr>
        <w:ind w:left="700" w:hanging="355"/>
        <w:spacing w:after="0"/>
        <w:tabs>
          <w:tab w:leader="none" w:pos="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other business risks affecting cash levels.</w:t>
      </w:r>
    </w:p>
    <w:p>
      <w:pPr>
        <w:spacing w:after="0" w:line="18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As a result of all these factors, the Company cannot guarantee that it will have sufficient cash generated from operations to pay a specific level of cash dividends to holders of its Class A or Class C common stock. Furthermore, holders of the Company’s Class A or Class C common stock should be aware that the amount of CAFD depends primarily on operating cash flow, and is not solely a function of profitability, which can be affected by non-cash items.</w:t>
      </w:r>
    </w:p>
    <w:p>
      <w:pPr>
        <w:spacing w:after="0" w:line="130" w:lineRule="exact"/>
        <w:rPr>
          <w:sz w:val="20"/>
          <w:szCs w:val="20"/>
          <w:color w:val="auto"/>
        </w:rPr>
      </w:pPr>
    </w:p>
    <w:p>
      <w:pPr>
        <w:jc w:val="both"/>
        <w:ind w:firstLine="441"/>
        <w:spacing w:after="0" w:line="262" w:lineRule="auto"/>
        <w:rPr>
          <w:sz w:val="20"/>
          <w:szCs w:val="20"/>
          <w:color w:val="auto"/>
        </w:rPr>
      </w:pPr>
      <w:r>
        <w:rPr>
          <w:rFonts w:ascii="Arial" w:cs="Arial" w:eastAsia="Arial" w:hAnsi="Arial"/>
          <w:sz w:val="19"/>
          <w:szCs w:val="19"/>
          <w:color w:val="auto"/>
        </w:rPr>
        <w:t>The Company may incur other expenses or liabilities during a period that could significantly reduce or eliminate its CAFD and, in turn, impair its ability to pay dividends to holders of the Company’s Class A or Class C common stock during the period. Because the Company is a holding company, its ability to pay dividends on the Company’s Class A or Class C common stock is restricted and further limited by the ability of the Company’s subsidiaries to make distributions to the Company, including restrictions under the terms of the agreements governing the Company’s corporate debt and facility-level financing. For example, as a result of the bankruptcy of PG&amp;E, between early 2019 and mid-2020, certain of the Company’s assets and investments were unable to make distributions to the Company. The facility-level financing agreements generally prohibit distributions from the operating subsidiaries prior to COD and thereafter prohibit distributions to the Company unless certain specific conditions are met, including the satisfaction of financial ratios. The Company’s revolving credit facility also restricts the Company’s ability to declare and pay dividends if an event of default has occurred and is continuing or if the payment of the dividend would result in an event of default.</w:t>
      </w:r>
    </w:p>
    <w:p>
      <w:pPr>
        <w:spacing w:after="0" w:line="140"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Clearway Energy LLC’s cash flow will likely fluctuate from quarter to quarter, in some cases significantly, due to seasonality, weather volatility and other factors. As a result, the Company may cause Clearway Energy LLC to reduce the amount of cash it distributes to its members in a particular quarter to establish reserves to fund distributions to its members in future periods for which the cash distributions the Company would otherwise receive from Clearway Energy LLC would be insufficient to fund its quarterly dividend. If the Company fails to cause Clearway Energy LLC to establish sufficient reserves, the Company may not be able to maintain its quarterly dividend with respect to a quarter adversely affected by seasonality.</w:t>
      </w:r>
    </w:p>
    <w:p>
      <w:pPr>
        <w:spacing w:after="0" w:line="107"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Finally, dividends to holders of the Company’s Class A or Class C common stock will be paid at the discretion of the Company’s Board of Directors. The Company’s Board of Directors may decrease the level, or entirely discontinue payment, of dividends.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040"/>
          </w:cols>
          <w:pgMar w:left="920" w:top="577" w:right="920" w:bottom="0" w:gutter="0" w:footer="0" w:header="0"/>
          <w:type w:val="continuous"/>
        </w:sectPr>
      </w:pPr>
    </w:p>
    <w:bookmarkStart w:id="36" w:name="page37"/>
    <w:bookmarkEnd w:id="36"/>
    <w:p>
      <w:pPr>
        <w:jc w:val="both"/>
        <w:spacing w:after="0" w:line="260" w:lineRule="auto"/>
        <w:rPr>
          <w:sz w:val="20"/>
          <w:szCs w:val="20"/>
          <w:color w:val="auto"/>
        </w:rPr>
      </w:pPr>
      <w:r>
        <w:rPr>
          <w:rFonts w:ascii="Arial" w:cs="Arial" w:eastAsia="Arial" w:hAnsi="Arial"/>
          <w:sz w:val="20"/>
          <w:szCs w:val="20"/>
          <w:b w:val="1"/>
          <w:bCs w:val="1"/>
          <w:i w:val="1"/>
          <w:iCs w:val="1"/>
          <w:color w:val="auto"/>
        </w:rPr>
        <w:t>The Company is a holding company and its primary asset is its interest in Clearway Energy LLC, and the Company is accordingly dependent upon distributions from Clearway Energy LLC and its subsidiaries to pay dividends and taxes and other expenses.</w:t>
      </w:r>
    </w:p>
    <w:p>
      <w:pPr>
        <w:spacing w:after="0" w:line="142" w:lineRule="exact"/>
        <w:rPr>
          <w:sz w:val="20"/>
          <w:szCs w:val="20"/>
          <w:color w:val="auto"/>
        </w:rPr>
      </w:pPr>
    </w:p>
    <w:p>
      <w:pPr>
        <w:jc w:val="both"/>
        <w:ind w:firstLine="441"/>
        <w:spacing w:after="0" w:line="295" w:lineRule="auto"/>
        <w:rPr>
          <w:sz w:val="20"/>
          <w:szCs w:val="20"/>
          <w:color w:val="auto"/>
        </w:rPr>
      </w:pPr>
      <w:r>
        <w:rPr>
          <w:rFonts w:ascii="Arial" w:cs="Arial" w:eastAsia="Arial" w:hAnsi="Arial"/>
          <w:sz w:val="17"/>
          <w:szCs w:val="17"/>
          <w:color w:val="auto"/>
        </w:rPr>
        <w:t>The Company is a holding company and its primary asset is its ownership of membership interests in Clearway Energy LLC, a holding company that has no material assets other than its interest in Clearway Energy Operating LLC, whose sole material assets are the operating subsidiaries. Neither Clearway Energy LLC nor Clearway Energy Operating LLC has any independent means of generating revenue. The Company intends to continue to cause Clearway Energy Operating LLC’s subsidiaries to make distributions to Clearway Energy Operating LLC and, in turn, make distributions to Clearway Energy LLC, and, in turn, to make distributions to the Company in an amount sufficient to cover all applicable taxes payable and dividends, if any, declared by the Company. To the extent that the Company needs funds for a quarterly cash dividend to holders of the Company’s Class A and Class C common stock or otherwise, and Clearway Energy Operating LLC or Clearway Energy LLC is restricted from making such distributions under applicable law or regulation or is otherwise unable to provide such funds (including as a result of Clearway Energy Operating LLC’s operating subsidiaries being unable to make distributions), it could have a material adverse effect on the Company’s liquidity and financial condition and limit the Company’s ability to pay dividends to holders of the Company’s Class A and Class C common stock.</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 interest rates may have an effect on the value of the Company’s Class A and Class C common stock.</w:t>
      </w:r>
    </w:p>
    <w:p>
      <w:pPr>
        <w:spacing w:after="0" w:line="200"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One of the factors that influences the price of shares of the Company’s Class A and Class C common stock is the effective dividend yield of such shares (i.e., the yield as a percentage of the then market price of the Company’s shares) relative to market interest rates. An increase in market interest rates may lead investors of shares of the Company’s Class A and Class C common stock to expect a higher dividend yield. If the Company is unable to increase its dividend as a result of higher borrowing costs, insufficient CAFD or otherwise, this could result in selling pressure and a decrease in the market prices of the Company’s Class A and Class C common stock as investors seek alternative investments with higher yields.</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Market volatility and reports by securities or industry analysts may affect the price of the Company’s Class A and Class C common stock.</w:t>
      </w:r>
    </w:p>
    <w:p>
      <w:pPr>
        <w:spacing w:after="0" w:line="127" w:lineRule="exact"/>
        <w:rPr>
          <w:sz w:val="20"/>
          <w:szCs w:val="20"/>
          <w:color w:val="auto"/>
        </w:rPr>
      </w:pPr>
    </w:p>
    <w:p>
      <w:pPr>
        <w:jc w:val="both"/>
        <w:ind w:firstLine="441"/>
        <w:spacing w:after="0" w:line="262" w:lineRule="auto"/>
        <w:rPr>
          <w:sz w:val="20"/>
          <w:szCs w:val="20"/>
          <w:color w:val="auto"/>
        </w:rPr>
      </w:pPr>
      <w:r>
        <w:rPr>
          <w:rFonts w:ascii="Arial" w:cs="Arial" w:eastAsia="Arial" w:hAnsi="Arial"/>
          <w:sz w:val="19"/>
          <w:szCs w:val="19"/>
          <w:color w:val="auto"/>
        </w:rPr>
        <w:t xml:space="preserve">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its quarterly operating results or dividends; natural disasters, wildfires and other weather-related events; changes in the Company’s investments or asset composition; write-downs or perceived credit or liquidity issues affecting the Company’s assets; market perception of CEG or its owners, the Company’s business and the Company’s assets; the Company’s level of indebtedness and/ or adverse market reaction to any indebtedness that the Company may incur in the future; the Company’s ability to raise capital on favorable terms or at all; loss of any major funding source; additions or departures of the Company’s executive officers or key personnel; changes in market valuations of similar power generation companies; and speculation in the press or investment community regarding the Company or CEG (or its owners); and other factors described or referenced in this Item 1A — </w:t>
      </w:r>
      <w:r>
        <w:rPr>
          <w:rFonts w:ascii="Arial" w:cs="Arial" w:eastAsia="Arial" w:hAnsi="Arial"/>
          <w:sz w:val="19"/>
          <w:szCs w:val="19"/>
          <w:b w:val="1"/>
          <w:bCs w:val="1"/>
          <w:i w:val="1"/>
          <w:iCs w:val="1"/>
          <w:color w:val="auto"/>
        </w:rPr>
        <w:t>Risk</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Factors</w:t>
      </w:r>
      <w:r>
        <w:rPr>
          <w:rFonts w:ascii="Arial" w:cs="Arial" w:eastAsia="Arial" w:hAnsi="Arial"/>
          <w:sz w:val="19"/>
          <w:szCs w:val="19"/>
          <w:color w:val="auto"/>
        </w:rPr>
        <w:t>.</w:t>
      </w:r>
    </w:p>
    <w:p>
      <w:pPr>
        <w:spacing w:after="0" w:line="140"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spacing w:after="0" w:line="140"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Furthermore, any significant disruption to the Company’s ability to access the capital markets, or a significant increase in interest rates, could make it difficult for the Company to successfully acquire attractive facilities from third parties and may also limit the Company’s ability to obtain debt or equity financing to complete such acquisitions. If the Company is unable to raise adequate proceeds when needed to fund such acquisitions, the ability to grow the Company’s operating portfolio may be limited, which could have a material adverse effect on the Company’s ability to implement its growth strategy and, ultimately, its business, financial condition, results of operations and cash flows.</w:t>
      </w:r>
    </w:p>
    <w:p>
      <w:pPr>
        <w:spacing w:after="0" w:line="13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color w:val="auto"/>
        </w:rPr>
        <w:t>The trading market for the Company’s Class A and Class C common stock is influenced by the research and reports that industry or securities analysts may publish about the Company, the Company’s business, the Company’s market or the Company’s competitors. If any of the analysts who may cover the Company change their recommendation regarding the Company’s Class A and/or Class C common stock adversely or provide more favorable relative recommendations about the Company’s competitors, the price of the Company’s Class A and/or Class C common stock could decline. If any analyst who covers the Company were to cease coverage of the Company or fail to regularly publish reports on the Company, the Company could lose visibility in the financial markets, which in turn could cause the stock price or trading volume of the Company’s Class A and/or Class C common stock to decline.</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040"/>
          </w:cols>
          <w:pgMar w:left="920" w:top="577" w:right="920" w:bottom="0" w:gutter="0" w:footer="0" w:header="0"/>
          <w:type w:val="continuous"/>
        </w:sectPr>
      </w:pPr>
    </w:p>
    <w:bookmarkStart w:id="37" w:name="page38"/>
    <w:bookmarkEnd w:id="37"/>
    <w:p>
      <w:pPr>
        <w:jc w:val="both"/>
        <w:spacing w:after="0" w:line="260" w:lineRule="auto"/>
        <w:rPr>
          <w:sz w:val="20"/>
          <w:szCs w:val="20"/>
          <w:color w:val="auto"/>
        </w:rPr>
      </w:pPr>
      <w:r>
        <w:rPr>
          <w:rFonts w:ascii="Arial" w:cs="Arial" w:eastAsia="Arial" w:hAnsi="Arial"/>
          <w:sz w:val="20"/>
          <w:szCs w:val="20"/>
          <w:b w:val="1"/>
          <w:bCs w:val="1"/>
          <w:i w:val="1"/>
          <w:iCs w:val="1"/>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142"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Provisions of the Company’s amended and restated certificate of incorporation and fourth amended and restated bylaws may discourage, delay or prevent a merger, acquisition or other change in control that holders of the Company’s Class A and Class C common stock may consider favorable, including transactions in which such stockholders might otherwise receive a premium for their shares. This is because these provisions may prevent or frustrate attempts by stockholders to replace or remove members of the Company’s management. These provisions include:</w:t>
      </w:r>
    </w:p>
    <w:p>
      <w:pPr>
        <w:spacing w:after="0" w:line="106" w:lineRule="exact"/>
        <w:rPr>
          <w:sz w:val="20"/>
          <w:szCs w:val="20"/>
          <w:color w:val="auto"/>
        </w:rPr>
      </w:pPr>
    </w:p>
    <w:p>
      <w:pPr>
        <w:ind w:left="700" w:hanging="355"/>
        <w:spacing w:after="0"/>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prohibition on stockholder action through written consent;</w:t>
      </w:r>
    </w:p>
    <w:p>
      <w:pPr>
        <w:spacing w:after="0" w:line="64"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requirement that special meetings of stockholders be called upon a resolution approved by a majority of the Company’s directors then in office;</w:t>
      </w:r>
    </w:p>
    <w:p>
      <w:pPr>
        <w:spacing w:after="0" w:line="9" w:lineRule="exact"/>
        <w:rPr>
          <w:rFonts w:ascii="Arial" w:cs="Arial" w:eastAsia="Arial" w:hAnsi="Arial"/>
          <w:sz w:val="20"/>
          <w:szCs w:val="20"/>
          <w:color w:val="auto"/>
        </w:rPr>
      </w:pPr>
    </w:p>
    <w:p>
      <w:pPr>
        <w:ind w:left="700" w:hanging="355"/>
        <w:spacing w:after="0"/>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advance notice requirements for stockholder proposals and nominations; and</w:t>
      </w:r>
    </w:p>
    <w:p>
      <w:pPr>
        <w:spacing w:after="0" w:line="64"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authority of the Board of Directors to issue preferred stock with such terms as the Board of Directors may determine.</w:t>
      </w:r>
    </w:p>
    <w:p>
      <w:pPr>
        <w:spacing w:after="0" w:line="127" w:lineRule="exact"/>
        <w:rPr>
          <w:sz w:val="20"/>
          <w:szCs w:val="20"/>
          <w:color w:val="auto"/>
        </w:rPr>
      </w:pPr>
    </w:p>
    <w:p>
      <w:pPr>
        <w:jc w:val="both"/>
        <w:ind w:firstLine="441"/>
        <w:spacing w:after="0" w:line="295" w:lineRule="auto"/>
        <w:rPr>
          <w:sz w:val="20"/>
          <w:szCs w:val="20"/>
          <w:color w:val="auto"/>
        </w:rPr>
      </w:pPr>
      <w:r>
        <w:rPr>
          <w:rFonts w:ascii="Arial" w:cs="Arial" w:eastAsia="Arial" w:hAnsi="Arial"/>
          <w:sz w:val="17"/>
          <w:szCs w:val="17"/>
          <w:color w:val="auto"/>
        </w:rPr>
        <w:t>Section 203 of the Delaware General Corporation Law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Additionally, the Company’s restated certificate of incorporation prohibits any person and any of its associate or affiliate companies in the aggregate, public utility or holding company from acquiring, other than secondary market transactions, an amount of the Company’s Class A or Class C common stock sufficient to result in a transfer of control without the prior written consent of the Company’s Board of Directors. Any such change of control, in addition to prior approval from the Company’s Board of Directors, would require prior authorization from FERC. Similar restrictions may apply to certain purchasers of the Company’s securities which are holding companies regardless of whether the Company’s securities are purchased in offerings by the Company, in open market transactions or otherwise. A purchaser of the Company’s securities which is a holding company will need to determine whether a given purchase of the Company’s securities may require prior FERC approval.</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Investors may experience dilution of their ownership interest due to the future issuance of additional shares of the Company’s Class A or Class C common stock.</w:t>
      </w:r>
    </w:p>
    <w:p>
      <w:pPr>
        <w:spacing w:after="0" w:line="127"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7"/>
          <w:szCs w:val="17"/>
          <w:color w:val="auto"/>
        </w:rPr>
        <w:t>The Company is in a capital intensive business and may not have sufficient funds to finance the growth of the Company’s business, future acquisitions or to support the Company’s projected capital expenditures. As a result, the Company may require additional funds from further equity or debt financings, including tax equity financing transactions, sales under the ATM Program or the DSPP or sales of preferred shares or convertible debt, to complete future acquisitions, expansions and capital expenditures and pay the general and administrative costs of the Company’s business. In the future, the Company may issue its previously authorized and unissued securities, including shares under its ATM Program or the DRIP/DSPP, resulting in the dilution of the ownership interests of purchasers of the Company’s Class A and Class C common stock. Under the Company’s restated certificate of incorporation, the Company is authorized to issue 500,000,000 shares of Class A common stock, 500,000,000 shares of Class B common stock, 1,000,000,000 shares of Class C common stock, 1,000,000,000 shares of Class D common stock and 10,000,000 shares of preferred stock with preferences and rights as determined by the Company’s Board of Directors. The potential issuance of additional shares of common stock or preferred stock or convertible debt may create downward pressure on the trading price of the Company’s Class A and Class C common stock. The Company may also issue additional shares of the Company’s Class A or Class C common stock or other securities that are convertible into or exercisable for the Company’s Class A or Class C common stock in future public offerings or private placements for capital raising purposes or for other business purposes, potentially at an offering price, conversion price or exercise price that is below the current trading price of the Company’s Class A or Class C common stock. The Company cannot predict the effect that issuances or sales of its Class A or Class C common stock, including pursuant to the ATM Program or the DRIP/DSPP, may have on the market prices for its Class A and Class C common stock.</w:t>
      </w:r>
    </w:p>
    <w:p>
      <w:pPr>
        <w:spacing w:after="0" w:line="34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i w:val="1"/>
          <w:iCs w:val="1"/>
          <w:color w:val="auto"/>
        </w:rPr>
        <w:t>Future sales of the Company’s Class A or Class C common stock by CEG may cause the price of the Company’s Class A or Class C common stock to fall.</w:t>
      </w:r>
    </w:p>
    <w:p>
      <w:pPr>
        <w:spacing w:after="0" w:line="127"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market price of the Company’s Class A or Class C common stock could decline as a result of sales by CEG of such shares (issuable to CEG upon the exchange of some or all of its Clearway Energy LLC Class B or Class D units, respectively) in the market, or the perception that these sales could occur.</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040"/>
          </w:cols>
          <w:pgMar w:left="920" w:top="577" w:right="920" w:bottom="0" w:gutter="0" w:footer="0" w:header="0"/>
          <w:type w:val="continuous"/>
        </w:sectPr>
      </w:pPr>
    </w:p>
    <w:bookmarkStart w:id="38" w:name="page39"/>
    <w:bookmarkEnd w:id="38"/>
    <w:p>
      <w:pPr>
        <w:jc w:val="both"/>
        <w:ind w:firstLine="441"/>
        <w:spacing w:after="0" w:line="263" w:lineRule="auto"/>
        <w:rPr>
          <w:sz w:val="20"/>
          <w:szCs w:val="20"/>
          <w:color w:val="auto"/>
        </w:rPr>
      </w:pPr>
      <w:r>
        <w:rPr>
          <w:rFonts w:ascii="Arial" w:cs="Arial" w:eastAsia="Arial" w:hAnsi="Arial"/>
          <w:sz w:val="19"/>
          <w:szCs w:val="19"/>
          <w:color w:val="auto"/>
        </w:rPr>
        <w:t>The market price of the Company’s Class A or Class C common stock may also decline as a result of CEG disposing or transferring some or all of the Company’s outstanding Class B or Class D common stock, which disposals or transfers would reduce CEG’s ownership interest in, and voting control over, the Company. These sales might also make it more difficult for the Company to sell equity securities at a time and price that the Company deems appropriate. CEG and certain of its affiliates have certain demand and piggyback registration rights with respect to shares of the Company’s Class A common stock issuable upon the exchange of Clearway Energy LLC’s Class B units and/or Class C common stock issuable upon the exchange of Clearway Energy LLC’s Class D units. The presence of additional shares of the Company’s Class A and/or Class C common stock trading in the public market, as a result of the exercise of such registration rights, could have a material adverse effect on the market price of the Company’s securities.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Taxation</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 The Company may incur contractual obligations from the indemnification of third parties if tax authorities challenge the amount or availability of ITCs, PTCs or related tax benefits that the Company is obligated to provide to such third parties under such contractual arrangements.</w:t>
      </w:r>
    </w:p>
    <w:p>
      <w:pPr>
        <w:spacing w:after="0" w:line="105"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The Company expects to (i) carryforward prior year NOL balances to offset future taxable income and (ii) generate tax credits and carryforward prior year tax credits to offset future income tax liabilities. Based on the Company’s current portfolio of assets, which include renewable energy assets that benefit from accelerated tax depreciation deductions and federal tax credits, the Company estimates it will not pay material income tax payments through 2030.</w:t>
      </w:r>
    </w:p>
    <w:p>
      <w:pPr>
        <w:spacing w:after="0" w:line="130"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color w:val="auto"/>
        </w:rPr>
        <w:t>While the Company expects its NOLs and tax credits will be available as a future benefit, in the event that they are not generated as expected, successfully challenged by the IRS or state and local jurisdictions (in a tax audit or otherwise) or subject to future limitations from a potential change in ownership, the Company’s ability to realize these benefits may be limited. In addition, the Company’s ability to realize state and local tax exemptions, including property or sales and use tax exemptions, is subject to various tax law requirements. If these exemptions are successfully challenged by state and local jurisdictions or if a change in tax law occurs, the Company’s ability to realize these exemptions could be affected. A reduction in the Company’s expected NOLs or tax credits, a limitation on the Company’s ability to use such losses or tax credits and challenges by tax authorities to the Company’s tax positions may result in a material increase in the Company’s estimated future income, sales/ use and property tax liability and may negatively impact the Company’s liquidity and financial condition.</w:t>
      </w:r>
    </w:p>
    <w:p>
      <w:pPr>
        <w:spacing w:after="0" w:line="116"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color w:val="auto"/>
        </w:rPr>
        <w:t>In addition, the Company routinely enters into arrangements with third parties that provide tax equity financing to, or acquire tax credits, including ITCs or PTCs, from, the Company where tax credits and related tax benefits represent a material portion of the economic benefit of the arrangement to such other party. In certain circumstances, as is customary in the industry, the Company has guaranteed and may have to guarantee the economic benefit of such tax credits and other tax benefits to such party. A reduction in expected tax credits or tax benefits resulting from successful challenges by the IRS could result in an obligation under the Company’s contractual arrangements that could have a material impact on the Company’s financial condition, results of operations and liquidity.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Company’s ability to use NOLs to offset future income may be limited.</w:t>
      </w:r>
    </w:p>
    <w:p>
      <w:pPr>
        <w:spacing w:after="0" w:line="18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9"/>
          <w:szCs w:val="19"/>
          <w:color w:val="auto"/>
        </w:rPr>
        <w:t>The Company’s ability to use NOLs could be substantially limited if the Company is unable to generate future taxable income or were to experience an “ownership change” as defined under Section 382 of the Code. In general, an “ownership change” would occur if the Company’s “5-percent shareholders,” as defined under Section 382 of the Code, collectively increased their ownership in the Company by more than 50 percentage points over a rolling three-year period. A corporation that experiences an ownership change will generally be subject to an annual limitation on the use of its pre-ownership change NOLs equal to the equity value of the corporation immediately before the ownership change, multiplied by the long-term tax-exempt rate for the month in which the ownership change occurs, increased by certain adjustments for built-in gains at the time of the ownership change. Future sales of any class of the Company’s common stock by CEG, as well as future issuances by the Company, could contribute to a potential ownership change.</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040"/>
          </w:cols>
          <w:pgMar w:left="920" w:top="584" w:right="920" w:bottom="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b w:val="1"/>
          <w:bCs w:val="1"/>
          <w:i w:val="1"/>
          <w:iCs w:val="1"/>
          <w:color w:val="auto"/>
        </w:rPr>
        <w:t>A valuation allowance may be required for the Company’s deferred tax assets.</w:t>
      </w:r>
    </w:p>
    <w:p>
      <w:pPr>
        <w:spacing w:after="0" w:line="189"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The Company’s expected NOLs and tax credits will be reflected as a deferred tax asset as they are generated until utilized to offset income. Valuation allowances may need to be maintained for deferred tax assets that the Company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Company was to determine that it would not be able to realize all or a portion of its net deferred tax assets in the future, the Company would reduce such amounts through a charge to income tax expense in the period in which that determination was made, which could have a material adverse effect on the Company’s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Distributions to holders of the Company’s Class A and Class C common stock may be taxable.</w:t>
      </w:r>
    </w:p>
    <w:p>
      <w:pPr>
        <w:spacing w:after="0" w:line="189"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color w:val="auto"/>
        </w:rPr>
        <w:t>The amount of distributions to holders of the Company’s Class A and Class C common stock that will be treated as taxable for U.S. federal income tax purposes to such holders will depend on the amount of the Company’s current and accumulated earnings and profits. It is difficult to predict whether the Company will generate earnings and profits as computed for federal income tax purposes in any given tax year. Generally, a corporation’s earnings and profits are computed based upon taxable income, with certain specified adjustments. Distributions will constitute ordinary dividend income to the extent paid from the Company’s current or accumulated earnings and profits. Distributions in excess of the Company’s current and accumulated earnings and profits will constitute a nontaxable return of capital to the extent of a stockholder’s basis in his or her Class A or Class C common stock. Distributions in excess of the Company’s current and accumulated earnings and profits and in excess of a stockholder’s basis will be treated as gain from the sale of the common stock.</w:t>
      </w:r>
    </w:p>
    <w:p>
      <w:pPr>
        <w:spacing w:after="0" w:line="116"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The Company was in a cumulative earnings and profits deficit position as of the end of 2024 and did not generate any current earnings and profits during 2025. As a result, distributions made to holders of the Company’s Class A and Class C Common stock in 2025 were treated for U.S. tax purposes as a nontaxable return of capital and reduction of a U.S. stockholder’s tax basis in each of the Company’s common shares, with any remaining amount being taxed as a capital gain. The classification of distributions made after 2025 will depend upon a number of factors, including but not limited to, the Company’s overall performance and the gross amount of any distributions made to stockholders in 2026 and beyond.</w:t>
      </w:r>
    </w:p>
    <w:p>
      <w:pPr>
        <w:spacing w:after="0" w:line="100"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i w:val="1"/>
          <w:iCs w:val="1"/>
          <w:color w:val="auto"/>
        </w:rPr>
        <w:t>Changes in tax laws or policies, including but not limited to changes in corporate income tax rates, as well as judgments and estimates used in the determination of tax-related asset and liability amounts, could have a material adverse effect on the Company’s business, financial condition, results of operations and prospects.</w:t>
      </w:r>
    </w:p>
    <w:p>
      <w:pPr>
        <w:spacing w:after="0" w:line="124"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color w:val="auto"/>
        </w:rPr>
        <w:t>The Company’s provision for income taxes and reporting of tax-related assets and liabilities require significant judgments and the use of estimates. Amounts of tax-related assets and liabilities involve judgments and estimates of the timing and probability of recognition of income, deductions and tax credits, including, but not limited to, estimates for potential adverse outcomes regarding tax positions that have been taken and the ability to utilize tax benefit carryforwards, such as NOL and tax credit carryforwards. Actual income taxes could vary significantly from estimated amounts due to the future impacts of, among other things, changes in tax laws, guidance or policies, including changes in corporate income tax rates, the financial conditions and results of operations of the Company, and the resolution of audit issues raised by taxing authorities. These factors, including the ultimate resolution of income tax matters, may result in material adjustments to tax-related assets and liabilities, which could have a material adverse effect on the Company’s business, financial condition, results of operations and prospects.</w:t>
      </w:r>
    </w:p>
    <w:p>
      <w:pPr>
        <w:spacing w:after="0" w:line="116" w:lineRule="exact"/>
        <w:rPr>
          <w:sz w:val="20"/>
          <w:szCs w:val="20"/>
          <w:color w:val="auto"/>
        </w:rPr>
      </w:pPr>
    </w:p>
    <w:p>
      <w:pPr>
        <w:jc w:val="both"/>
        <w:ind w:firstLine="441"/>
        <w:spacing w:after="0" w:line="295" w:lineRule="auto"/>
        <w:rPr>
          <w:sz w:val="20"/>
          <w:szCs w:val="20"/>
          <w:color w:val="auto"/>
        </w:rPr>
      </w:pPr>
      <w:r>
        <w:rPr>
          <w:rFonts w:ascii="Arial" w:cs="Arial" w:eastAsia="Arial" w:hAnsi="Arial"/>
          <w:sz w:val="17"/>
          <w:szCs w:val="17"/>
          <w:color w:val="auto"/>
        </w:rPr>
        <w:t>Federal tax legislation was enacted on July 4, 2025. Notable provisions include the restoration of 100% bonus depreciation, the reinstatement of immediate deductibility of certain domestic research and experimental (R&amp;E) expenditures, taxpayer favorable modifications to certain interest deductibility limitations and the phase out, repeal, and/or addition of stricter eligibility requirements for business tax credits and incentives for the development of clean energy facilities and production of clean energy, including wind, solar and BESS facilities. Among other things, (i) wind and solar facilities that begin construction after July 4, 2026 must be placed in service by December 31, 2027 in order to qualify for PTCs or ITCs, (ii) BESS facilities that begin construction by December 31, 2033 receive full ITC value, stepping down to 75% for BESS facilities that begin construction in 2034, 50% for BESS facilities that begin construction in 2035 and 0% for BESS facilities that begin construction after 2035 and (iii) for facilities that begin construction after 2025, new foreign entity of concern requirements will restrict availability of the credits to wind, solar and BESS facilities if the entity that owns the facility has certain relationships with or makes certain payments to foreign entities of concern and, for facilities that begin construction after 2025, if the percentage of components in the facility manufactured by foreign entities of concern exceeds a specified percentage.</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040"/>
          </w:cols>
          <w:pgMar w:left="920" w:top="577" w:right="920" w:bottom="0" w:gutter="0" w:footer="0" w:header="0"/>
          <w:type w:val="continuous"/>
        </w:sectPr>
      </w:pPr>
    </w:p>
    <w:bookmarkStart w:id="40" w:name="page41"/>
    <w:bookmarkEnd w:id="40"/>
    <w:p>
      <w:pPr>
        <w:jc w:val="both"/>
        <w:spacing w:after="0" w:line="275" w:lineRule="auto"/>
        <w:rPr>
          <w:sz w:val="20"/>
          <w:szCs w:val="20"/>
          <w:color w:val="auto"/>
        </w:rPr>
      </w:pPr>
      <w:r>
        <w:rPr>
          <w:rFonts w:ascii="Arial" w:cs="Arial" w:eastAsia="Arial" w:hAnsi="Arial"/>
          <w:sz w:val="20"/>
          <w:szCs w:val="20"/>
          <w:b w:val="1"/>
          <w:bCs w:val="1"/>
          <w:i w:val="1"/>
          <w:iCs w:val="1"/>
          <w:color w:val="auto"/>
        </w:rPr>
        <w:t>The Company’s ability to comply with tax laws and policies may depend on its contractual arrangements and information provided by third parties and may require significant resources.</w:t>
      </w:r>
    </w:p>
    <w:p>
      <w:pPr>
        <w:spacing w:after="0" w:line="127"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In order to qualify for tax credits and incentives available for the development of clean energy facilities and the production of clean energy, the Company must satisfy stringent compliance, recordkeeping and certification requirements. Additionally, in order to qualify for the full amount of available credits, the Company must comply with prevailing wage and apprenticeship requirements applicable to facilities on which construction began on or after January 28, 2023. Applicable tax rules permit certain defects in meeting the requirements to be timely cured under certain conditions rather than causing a loss of the tax credits.</w:t>
      </w:r>
    </w:p>
    <w:p>
      <w:pPr>
        <w:spacing w:after="0" w:line="150"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Moreover, the documentation required for this compliance will come from third-party vendors, including equipment manufacturers and engineering, procurement and construction contractors and subcontractors as well as the Company’s internal sources. In addition, if there are defects in compliance with the prevailing wages and apprenticeship requirements, the payments to cure such deficiencies will need to be made by these third parties to their employees. The conduct of these third parties can also impact the right to claim tax credits and/or the exposure to penalties if they fail to adequately comply with the tax laws.</w:t>
      </w:r>
    </w:p>
    <w:p>
      <w:pPr>
        <w:spacing w:after="0" w:line="106"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While the Company has secured and will continue to attempt to secure the necessary access to the information required to meet its compliance and certification requirements under the tax law and has included and will continue to include in contracts with third parties rights to have third parties make cure payments if necessary, the Company may not be able to control whether appropriate documentation is actually available or provided in a timely manner and/or whether cure actions are taken by a third party in a timely fashion. This may result in the incurrence of penalties and loss of tax credits. It is also possible that the terms negotiated with third parties fail to meet the requirements of tax law either with respect to compliance requirements, documentation or conduct of third-parties. The impact of such noncompliance could have a material adverse effect on the Company’s business, financial condition and results of operations.</w:t>
      </w:r>
    </w:p>
    <w:p>
      <w:pPr>
        <w:spacing w:after="0" w:line="110" w:lineRule="exact"/>
        <w:rPr>
          <w:sz w:val="20"/>
          <w:szCs w:val="20"/>
          <w:color w:val="auto"/>
        </w:rPr>
      </w:pPr>
    </w:p>
    <w:p>
      <w:pPr>
        <w:jc w:val="both"/>
        <w:ind w:firstLine="441"/>
        <w:spacing w:after="0" w:line="361" w:lineRule="auto"/>
        <w:rPr>
          <w:sz w:val="20"/>
          <w:szCs w:val="20"/>
          <w:color w:val="auto"/>
        </w:rPr>
      </w:pPr>
      <w:r>
        <w:rPr>
          <w:rFonts w:ascii="Arial" w:cs="Arial" w:eastAsia="Arial" w:hAnsi="Arial"/>
          <w:sz w:val="17"/>
          <w:szCs w:val="17"/>
          <w:color w:val="auto"/>
        </w:rPr>
        <w:t>Moreover, the costs and resources required to adequately comply with the aforementioned requirements and to monitor the activities of third parties are still to be determined as the Company puts in place its compliance and documentation program.</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040"/>
          </w:cols>
          <w:pgMar w:left="920" w:top="577" w:right="920" w:bottom="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20"/>
          <w:szCs w:val="20"/>
          <w:b w:val="1"/>
          <w:bCs w:val="1"/>
          <w:color w:val="auto"/>
        </w:rPr>
        <w:t>CAUTIONARY STATEMENT REGARDING FORWARD-LOOKING INFORMATION</w:t>
      </w:r>
    </w:p>
    <w:p>
      <w:pPr>
        <w:spacing w:after="0" w:line="189"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 xml:space="preserve">This Annual Report on Form 10-K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7"/>
          <w:szCs w:val="17"/>
          <w:b w:val="1"/>
          <w:bCs w:val="1"/>
          <w:i w:val="1"/>
          <w:iCs w:val="1"/>
          <w:color w:val="auto"/>
        </w:rPr>
        <w:t>Risk Factors</w:t>
      </w:r>
      <w:r>
        <w:rPr>
          <w:rFonts w:ascii="Arial" w:cs="Arial" w:eastAsia="Arial" w:hAnsi="Arial"/>
          <w:sz w:val="17"/>
          <w:szCs w:val="17"/>
          <w:color w:val="auto"/>
        </w:rPr>
        <w:t xml:space="preserve"> and the following:</w:t>
      </w:r>
    </w:p>
    <w:p>
      <w:pPr>
        <w:spacing w:after="0" w:line="110" w:lineRule="exact"/>
        <w:rPr>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maintain and grow its quarterly dividend;</w:t>
      </w:r>
    </w:p>
    <w:p>
      <w:pPr>
        <w:spacing w:after="0" w:line="64"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Potential risks related to the Company’s relationships with CEG and its owners;</w:t>
      </w:r>
    </w:p>
    <w:p>
      <w:pPr>
        <w:spacing w:after="0" w:line="64"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successfully identify, evaluate and consummate investment opportunities, as well as acquisitions from, and dispositions to, third parties;</w:t>
      </w:r>
    </w:p>
    <w:p>
      <w:pPr>
        <w:spacing w:after="0" w:line="9"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acquire assets from CEG;</w:t>
      </w:r>
    </w:p>
    <w:p>
      <w:pPr>
        <w:spacing w:after="0" w:line="64" w:lineRule="exact"/>
        <w:rPr>
          <w:rFonts w:ascii="Arial" w:cs="Arial" w:eastAsia="Arial" w:hAnsi="Arial"/>
          <w:sz w:val="20"/>
          <w:szCs w:val="20"/>
          <w:color w:val="auto"/>
        </w:rPr>
      </w:pPr>
    </w:p>
    <w:p>
      <w:pPr>
        <w:ind w:left="700" w:hanging="355"/>
        <w:spacing w:after="0" w:line="324"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ability to borrow additional funds and access capital markets, as well as the Company’s substantial indebtedness and the possibility that the Company may incur additional indebtedness going forward;</w:t>
      </w:r>
    </w:p>
    <w:p>
      <w:pPr>
        <w:spacing w:after="0" w:line="1" w:lineRule="exact"/>
        <w:rPr>
          <w:rFonts w:ascii="Arial" w:cs="Arial" w:eastAsia="Arial" w:hAnsi="Arial"/>
          <w:sz w:val="17"/>
          <w:szCs w:val="17"/>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Changes in law, including judicial decisions;</w:t>
      </w:r>
    </w:p>
    <w:p>
      <w:pPr>
        <w:spacing w:after="0" w:line="64" w:lineRule="exact"/>
        <w:rPr>
          <w:rFonts w:ascii="Arial" w:cs="Arial" w:eastAsia="Arial" w:hAnsi="Arial"/>
          <w:sz w:val="20"/>
          <w:szCs w:val="20"/>
          <w:color w:val="auto"/>
        </w:rPr>
      </w:pPr>
    </w:p>
    <w:p>
      <w:pPr>
        <w:jc w:val="both"/>
        <w:ind w:left="700" w:hanging="355"/>
        <w:spacing w:after="0" w:line="300"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3" w:lineRule="exact"/>
        <w:rPr>
          <w:rFonts w:ascii="Arial" w:cs="Arial" w:eastAsia="Arial" w:hAnsi="Arial"/>
          <w:sz w:val="17"/>
          <w:szCs w:val="17"/>
          <w:color w:val="auto"/>
        </w:rPr>
      </w:pPr>
    </w:p>
    <w:p>
      <w:pPr>
        <w:jc w:val="both"/>
        <w:ind w:left="700" w:hanging="355"/>
        <w:spacing w:after="0" w:line="258"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22" w:lineRule="exact"/>
        <w:rPr>
          <w:rFonts w:ascii="Arial" w:cs="Arial" w:eastAsia="Arial" w:hAnsi="Arial"/>
          <w:sz w:val="20"/>
          <w:szCs w:val="20"/>
          <w:color w:val="auto"/>
        </w:rPr>
      </w:pPr>
    </w:p>
    <w:p>
      <w:pPr>
        <w:ind w:left="700" w:hanging="355"/>
        <w:spacing w:after="0" w:line="271"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willingness and ability of counterparties to the Company’s offtake agreements to fulfill their obligations under such agreements;</w:t>
      </w:r>
    </w:p>
    <w:p>
      <w:pPr>
        <w:spacing w:after="0" w:line="9"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Company’s ability to enter into contracts to sell power and procure fuel on acceptable terms and prices;</w:t>
      </w:r>
    </w:p>
    <w:p>
      <w:pPr>
        <w:spacing w:after="0" w:line="75" w:lineRule="exact"/>
        <w:rPr>
          <w:rFonts w:ascii="Arial" w:cs="Arial" w:eastAsia="Arial" w:hAnsi="Arial"/>
          <w:sz w:val="19"/>
          <w:szCs w:val="19"/>
          <w:color w:val="auto"/>
        </w:rPr>
      </w:pPr>
    </w:p>
    <w:p>
      <w:pPr>
        <w:ind w:left="700" w:hanging="355"/>
        <w:spacing w:after="0" w:line="271"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Government regulation, including compliance with regulatory requirements and changes in market rules, rates, tariffs and environmental laws;</w:t>
      </w:r>
    </w:p>
    <w:p>
      <w:pPr>
        <w:spacing w:after="0" w:line="9" w:lineRule="exact"/>
        <w:rPr>
          <w:rFonts w:ascii="Arial" w:cs="Arial" w:eastAsia="Arial" w:hAnsi="Arial"/>
          <w:sz w:val="20"/>
          <w:szCs w:val="20"/>
          <w:color w:val="auto"/>
        </w:rPr>
      </w:pPr>
    </w:p>
    <w:p>
      <w:pPr>
        <w:jc w:val="both"/>
        <w:ind w:left="700" w:hanging="355"/>
        <w:spacing w:after="0" w:line="312"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spacing w:after="0" w:line="2" w:lineRule="exact"/>
        <w:rPr>
          <w:rFonts w:ascii="Arial" w:cs="Arial" w:eastAsia="Arial" w:hAnsi="Arial"/>
          <w:sz w:val="17"/>
          <w:szCs w:val="17"/>
          <w:color w:val="auto"/>
        </w:rPr>
      </w:pPr>
    </w:p>
    <w:p>
      <w:pPr>
        <w:jc w:val="both"/>
        <w:ind w:left="700" w:hanging="355"/>
        <w:spacing w:after="0" w:line="258"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140"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7"/>
          <w:szCs w:val="17"/>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 Unresolved Staff Comments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040"/>
          </w:cols>
          <w:pgMar w:left="920" w:top="577" w:right="920" w:bottom="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Item 1C — Cybersecurity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189" w:lineRule="exact"/>
        <w:rPr>
          <w:sz w:val="20"/>
          <w:szCs w:val="20"/>
          <w:color w:val="auto"/>
        </w:rPr>
      </w:pPr>
    </w:p>
    <w:p>
      <w:pPr>
        <w:jc w:val="both"/>
        <w:ind w:firstLine="441"/>
        <w:spacing w:after="0" w:line="361" w:lineRule="auto"/>
        <w:rPr>
          <w:sz w:val="20"/>
          <w:szCs w:val="20"/>
          <w:color w:val="auto"/>
        </w:rPr>
      </w:pPr>
      <w:r>
        <w:rPr>
          <w:rFonts w:ascii="Arial" w:cs="Arial" w:eastAsia="Arial" w:hAnsi="Arial"/>
          <w:sz w:val="17"/>
          <w:szCs w:val="17"/>
          <w:color w:val="auto"/>
        </w:rPr>
        <w:t>The Company recognizes the critical importance of developing, implementing and maintaining robust cybersecurity measures to safeguard information systems and protect the confidentiality, integrity and availability of data.</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Managing Material Risks &amp; Integrated Overall Risk Management</w:t>
      </w:r>
    </w:p>
    <w:p>
      <w:pPr>
        <w:spacing w:after="0" w:line="189"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0"/>
          <w:szCs w:val="20"/>
          <w:color w:val="auto"/>
        </w:rPr>
        <w:t>The Company has strategically integrated cybersecurity risk management into its broader risk management framework to promote a company-wide culture of cybersecurity risk management. The Company’s risk management team works closely with the IT department to continuously evaluate and address cybersecurity risks in alignment with business objectives and operational needs. In addition, the Company follows the National Institute of Standards and Technology (NIST) Cybersecurity Framework (CSF).</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Engage Third Parties on Risk Management</w:t>
      </w:r>
    </w:p>
    <w:p>
      <w:pPr>
        <w:spacing w:after="0" w:line="18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Recognizing the complexity and evolving nature of cybersecurity threats, the Company engages with a range of external experts, including cybersecurity consultants in evaluating and testing its cybersecurity systems. The Company’s collaboration with these third parties includes regular audits; threat and vulnerability assessments; incident response plan testing; company-wide monitoring of cybersecurity risks; and consultation on security enhancements.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Oversee Third-Party Risk</w:t>
      </w:r>
    </w:p>
    <w:p>
      <w:pPr>
        <w:spacing w:after="0" w:line="189"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Due to the risks associated with the engagement of third-party vendors, service providers and business partners, the Company applies processes to manage these risks. Thorough security assessments of third-party vendors with access to internal protected data or information systems occurs before engagement, as well as ongoing monitoring to ensure compliance with relevant cybersecurity standards. The monitoring includes annual assessments by CEG’s Vice President of Information Technology and its Director of Cybersecurity and assessments on an ongoing basis by the internal cybersecurity team. These services are provided to the Company pursuant to the CEG Master Services Agreement. This approach is designed to mitigate risks related to potential data breaches or other security incidents originating from third parties.</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Risks from Cybersecurity Threats</w:t>
      </w:r>
    </w:p>
    <w:p>
      <w:pPr>
        <w:spacing w:after="0" w:line="189"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 xml:space="preserve">As of February 24, 2026, the Company was not aware of any cybersecurity threats or incidents that have materially affected, or are reasonably likely to materially affect the Company, including its business strategy, results of operations or financial standing. However, there can be no assurance that the Company’s cybersecurity processes will prevent or mitigate cybersecurity incidents or threats or that the Company’s efforts will always be successful. For further discussion regarding the Company’s cybersecurity risks, see Item 1A — Risk Factors, </w:t>
      </w:r>
      <w:r>
        <w:rPr>
          <w:rFonts w:ascii="Arial" w:cs="Arial" w:eastAsia="Arial" w:hAnsi="Arial"/>
          <w:sz w:val="17"/>
          <w:szCs w:val="17"/>
          <w:b w:val="1"/>
          <w:bCs w:val="1"/>
          <w:i w:val="1"/>
          <w:iCs w:val="1"/>
          <w:color w:val="auto"/>
        </w:rPr>
        <w:t>Risks Related to the Company’s Business</w:t>
      </w:r>
      <w:r>
        <w:rPr>
          <w:rFonts w:ascii="Arial" w:cs="Arial" w:eastAsia="Arial" w:hAnsi="Arial"/>
          <w:sz w:val="17"/>
          <w:szCs w:val="17"/>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Board of Directors Oversight</w:t>
      </w:r>
    </w:p>
    <w:p>
      <w:pPr>
        <w:spacing w:after="0" w:line="189"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0"/>
          <w:szCs w:val="20"/>
          <w:color w:val="auto"/>
        </w:rPr>
        <w:t>The Company’s Board of Directors has oversight of cybersecurity risks and is well informed with respect to the nature and scope of such risks. The Board of Directors is acutely aware of the critical nature of managing risks associated with cybersecurity threats. The Board of Directors has established oversight mechanisms to ensure effective governance in managing risks associated with cybersecurity as they recognize the significance of these risks and threats to operational integrity and stakeholder confidence.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Reporting to Board of Directors</w:t>
      </w:r>
    </w:p>
    <w:p>
      <w:pPr>
        <w:spacing w:after="0" w:line="189" w:lineRule="exact"/>
        <w:rPr>
          <w:sz w:val="20"/>
          <w:szCs w:val="20"/>
          <w:color w:val="auto"/>
        </w:rPr>
      </w:pPr>
    </w:p>
    <w:p>
      <w:pPr>
        <w:jc w:val="both"/>
        <w:ind w:firstLine="441"/>
        <w:spacing w:after="0" w:line="278" w:lineRule="auto"/>
        <w:rPr>
          <w:sz w:val="20"/>
          <w:szCs w:val="20"/>
          <w:color w:val="auto"/>
        </w:rPr>
      </w:pPr>
      <w:r>
        <w:rPr>
          <w:rFonts w:ascii="Arial" w:cs="Arial" w:eastAsia="Arial" w:hAnsi="Arial"/>
          <w:sz w:val="19"/>
          <w:szCs w:val="19"/>
          <w:color w:val="auto"/>
        </w:rPr>
        <w:t>The Vice President of Information Technology and Director of Cybersecurity each play a pivotal role in informing the Board of Directors on cybersecurity risks. They provide briefings to the Board of Directors on a regular basis, with a minimum frequency of once per year. These briefings encompass a broad range of topics, including:</w:t>
      </w:r>
    </w:p>
    <w:p>
      <w:pPr>
        <w:spacing w:after="0" w:line="123" w:lineRule="exact"/>
        <w:rPr>
          <w:sz w:val="20"/>
          <w:szCs w:val="20"/>
          <w:color w:val="auto"/>
        </w:rPr>
      </w:pPr>
    </w:p>
    <w:p>
      <w:pPr>
        <w:ind w:left="700" w:hanging="355"/>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Current cybersecurity threat landscape and emerging threats;</w:t>
      </w:r>
    </w:p>
    <w:p>
      <w:pPr>
        <w:spacing w:after="0" w:line="181" w:lineRule="exact"/>
        <w:rPr>
          <w:rFonts w:ascii="Arial" w:cs="Arial" w:eastAsia="Arial" w:hAnsi="Arial"/>
          <w:sz w:val="20"/>
          <w:szCs w:val="20"/>
          <w:color w:val="auto"/>
        </w:rPr>
      </w:pPr>
    </w:p>
    <w:p>
      <w:pPr>
        <w:ind w:left="700" w:hanging="355"/>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Status of ongoing cybersecurity initiatives and strategies;</w:t>
      </w:r>
    </w:p>
    <w:p>
      <w:pPr>
        <w:spacing w:after="0" w:line="181" w:lineRule="exact"/>
        <w:rPr>
          <w:rFonts w:ascii="Arial" w:cs="Arial" w:eastAsia="Arial" w:hAnsi="Arial"/>
          <w:sz w:val="20"/>
          <w:szCs w:val="20"/>
          <w:color w:val="auto"/>
        </w:rPr>
      </w:pPr>
    </w:p>
    <w:p>
      <w:pPr>
        <w:ind w:left="700" w:hanging="355"/>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Incident reports and learnings from any meaningful cybersecurity events; and</w:t>
      </w:r>
    </w:p>
    <w:p>
      <w:pPr>
        <w:spacing w:after="0" w:line="181" w:lineRule="exact"/>
        <w:rPr>
          <w:rFonts w:ascii="Arial" w:cs="Arial" w:eastAsia="Arial" w:hAnsi="Arial"/>
          <w:sz w:val="20"/>
          <w:szCs w:val="20"/>
          <w:color w:val="auto"/>
        </w:rPr>
      </w:pPr>
    </w:p>
    <w:p>
      <w:pPr>
        <w:ind w:left="700" w:hanging="355"/>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Compliance status and efforts with regulatory requirements and industry standards.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040"/>
          </w:cols>
          <w:pgMar w:left="920" w:top="577" w:right="920" w:bottom="0" w:gutter="0" w:footer="0" w:header="0"/>
          <w:type w:val="continuous"/>
        </w:sectPr>
      </w:pPr>
    </w:p>
    <w:bookmarkStart w:id="43" w:name="page44"/>
    <w:bookmarkEnd w:id="43"/>
    <w:p>
      <w:pPr>
        <w:jc w:val="both"/>
        <w:ind w:firstLine="441"/>
        <w:spacing w:after="0" w:line="297" w:lineRule="auto"/>
        <w:rPr>
          <w:sz w:val="20"/>
          <w:szCs w:val="20"/>
          <w:color w:val="auto"/>
        </w:rPr>
      </w:pPr>
      <w:r>
        <w:rPr>
          <w:rFonts w:ascii="Arial" w:cs="Arial" w:eastAsia="Arial" w:hAnsi="Arial"/>
          <w:sz w:val="17"/>
          <w:szCs w:val="17"/>
          <w:color w:val="auto"/>
        </w:rPr>
        <w:t>In addition to scheduled meetings, the Board of Directors, the Vice President of Information Technology and the Director of Cybersecurity maintain an ongoing dialogue regarding emerging cybersecurity risks. Together, they receive updates on significant developments in the cybersecurity domain. The Board of Directors actively participates in strategic decisions related to cybersecurity, offering guidance and approval for major strategic decisions and initiatives. This involvement advances the Company’s overall strategy that cybersecurity considerations are integrated into its broader strategic objectives. The Board of Directors conducts an annual review of the Company’s cybersecurity posture and the effectiveness of its risk management strategies through the information, findings and recommendations from the Company’s internal cybersecurity team as well as third-party audits, penetration tests and incident response plan testing outcomes. This review helps identify areas for improvement and helps align cybersecurity efforts with the overall risk management framework.</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Cybersecurity Risk Management Personnel</w:t>
      </w:r>
    </w:p>
    <w:p>
      <w:pPr>
        <w:spacing w:after="0" w:line="189"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20"/>
          <w:szCs w:val="20"/>
          <w:color w:val="auto"/>
        </w:rPr>
        <w:t>Primary responsibility for assessing, monitoring and managing cybersecurity risks is overseen by the Vice President of Information Technology and Director of Cybersecurity, whose services are provided to the Company under the CEG Master Services Agreement.</w:t>
      </w:r>
    </w:p>
    <w:p>
      <w:pPr>
        <w:spacing w:after="0" w:line="14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With over 20 years of experience in the field of cybersecurity, the current Vice President of Information Technology’s background includes in-depth knowledge and experience in developing and executing the Company’s cybersecurity strategies. They oversee the Company’s IT governance programs; test compliance with internal, industry and regulatory standards; remediate known risks; and lead the Company’s employee training program.</w:t>
      </w:r>
    </w:p>
    <w:p>
      <w:pPr>
        <w:spacing w:after="0" w:line="130"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current Director of Cybersecurity has over 30 years of experience in information technology across a variety of industries and compliance programs. The Director of Cybersecurity has been heavily focused on cybersecurity in regulated industries for over 10 years.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Management’s Role Managing Cybersecurity Risk</w:t>
      </w:r>
    </w:p>
    <w:p>
      <w:pPr>
        <w:spacing w:after="0" w:line="18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9"/>
          <w:szCs w:val="19"/>
          <w:color w:val="auto"/>
        </w:rPr>
        <w:t>The Vice President of Information Technology and Director of Cybersecurity regularly inform the Company’s management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the Board of Directors, ensuring that the Board of Directors have insight and can provide guidance on critical cybersecurity issues.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Monitor Cybersecurity Incidents</w:t>
      </w:r>
    </w:p>
    <w:p>
      <w:pPr>
        <w:spacing w:after="0" w:line="18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color w:val="auto"/>
        </w:rPr>
        <w:t>The Vice President of Information Technology and Director of Cybersecurity are kept informed about the latest developments in cybersecurity, including emerging threats and innovative risk management techniques. They implement and oversee processes for the regular monitoring of the Company’s information systems. This includes the deployment of advanced security measures and regular system audits to identify potential vulnerabilities. In the event of a cybersecurity incident, the Company is equipped with a defined and practiced incident response plan, which includes incident response retainers from respected third parties. This plan includes immediate actions to mitigate the impact of the incident, long-term strategies for remediation and the prevention of future incidents.</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040"/>
          </w:cols>
          <w:pgMar w:left="920" w:top="584" w:right="92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Item 2 — Properties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Listed below are descriptions of the Company’s interests in operating facilities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8"/>
                <w:szCs w:val="18"/>
                <w:b w:val="1"/>
                <w:bCs w:val="1"/>
                <w:color w:val="auto"/>
              </w:rPr>
              <w:t>Capacity</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Rated</w:t>
            </w:r>
          </w:p>
        </w:tc>
        <w:tc>
          <w:tcPr>
            <w:tcW w:w="80" w:type="dxa"/>
            <w:vAlign w:val="bottom"/>
          </w:tcPr>
          <w:p>
            <w:pPr>
              <w:spacing w:after="0"/>
              <w:rPr>
                <w:sz w:val="23"/>
                <w:szCs w:val="23"/>
                <w:color w:val="auto"/>
              </w:rPr>
            </w:pPr>
          </w:p>
        </w:tc>
        <w:tc>
          <w:tcPr>
            <w:tcW w:w="600" w:type="dxa"/>
            <w:vAlign w:val="bottom"/>
            <w:vMerge w:val="restart"/>
          </w:tcPr>
          <w:p>
            <w:pPr>
              <w:jc w:val="right"/>
              <w:ind w:right="86"/>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8"/>
              </w:rPr>
              <w:t>Percentage</w:t>
            </w: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8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Contract</w:t>
            </w:r>
          </w:p>
        </w:tc>
        <w:tc>
          <w:tcPr>
            <w:tcW w:w="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1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Facilities</w:t>
            </w:r>
          </w:p>
        </w:tc>
        <w:tc>
          <w:tcPr>
            <w:tcW w:w="80" w:type="dxa"/>
            <w:vAlign w:val="bottom"/>
          </w:tcPr>
          <w:p>
            <w:pPr>
              <w:spacing w:after="0"/>
              <w:rPr>
                <w:sz w:val="2"/>
                <w:szCs w:val="2"/>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Location</w:t>
            </w:r>
          </w:p>
        </w:tc>
        <w:tc>
          <w:tcPr>
            <w:tcW w:w="5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COD</w:t>
            </w:r>
          </w:p>
        </w:tc>
        <w:tc>
          <w:tcPr>
            <w:tcW w:w="18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Counterparty</w:t>
            </w:r>
          </w:p>
        </w:tc>
        <w:tc>
          <w:tcPr>
            <w:tcW w:w="6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Expiration</w:t>
            </w:r>
          </w:p>
        </w:tc>
        <w:tc>
          <w:tcPr>
            <w:tcW w:w="0" w:type="dxa"/>
            <w:vAlign w:val="bottom"/>
          </w:tcPr>
          <w:p>
            <w:pPr>
              <w:spacing w:after="0" w:line="20" w:lineRule="exact"/>
              <w:rPr>
                <w:sz w:val="1"/>
                <w:szCs w:val="1"/>
                <w:color w:val="auto"/>
              </w:rPr>
            </w:pPr>
          </w:p>
        </w:tc>
      </w:tr>
      <w:tr>
        <w:trPr>
          <w:trHeight w:val="234"/>
        </w:trPr>
        <w:tc>
          <w:tcPr>
            <w:tcW w:w="1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560" w:type="dxa"/>
            <w:vAlign w:val="bottom"/>
          </w:tcPr>
          <w:p>
            <w:pPr>
              <w:jc w:val="right"/>
              <w:ind w:right="41"/>
              <w:spacing w:after="0"/>
              <w:rPr>
                <w:sz w:val="20"/>
                <w:szCs w:val="20"/>
                <w:color w:val="auto"/>
              </w:rPr>
            </w:pPr>
            <w:r>
              <w:rPr>
                <w:rFonts w:ascii="Arial" w:cs="Arial" w:eastAsia="Arial" w:hAnsi="Arial"/>
                <w:sz w:val="18"/>
                <w:szCs w:val="18"/>
                <w:b w:val="1"/>
                <w:bCs w:val="1"/>
                <w:color w:val="auto"/>
              </w:rPr>
              <w:t>MW</w:t>
            </w:r>
          </w:p>
        </w:tc>
        <w:tc>
          <w:tcPr>
            <w:tcW w:w="80" w:type="dxa"/>
            <w:vAlign w:val="bottom"/>
          </w:tcPr>
          <w:p>
            <w:pPr>
              <w:spacing w:after="0"/>
              <w:rPr>
                <w:sz w:val="20"/>
                <w:szCs w:val="20"/>
                <w:color w:val="auto"/>
              </w:rPr>
            </w:pPr>
          </w:p>
        </w:tc>
        <w:tc>
          <w:tcPr>
            <w:tcW w:w="600" w:type="dxa"/>
            <w:vAlign w:val="bottom"/>
          </w:tcPr>
          <w:p>
            <w:pPr>
              <w:jc w:val="right"/>
              <w:spacing w:after="0" w:line="233" w:lineRule="exact"/>
              <w:rPr>
                <w:sz w:val="20"/>
                <w:szCs w:val="20"/>
                <w:color w:val="auto"/>
              </w:rPr>
            </w:pPr>
            <w:r>
              <w:rPr>
                <w:rFonts w:ascii="Arial" w:cs="Arial" w:eastAsia="Arial" w:hAnsi="Arial"/>
                <w:sz w:val="27"/>
                <w:szCs w:val="27"/>
                <w:b w:val="1"/>
                <w:bCs w:val="1"/>
                <w:color w:val="auto"/>
                <w:vertAlign w:val="subscript"/>
              </w:rPr>
              <w:t>MW</w:t>
            </w:r>
            <w:r>
              <w:rPr>
                <w:rFonts w:ascii="Arial" w:cs="Arial" w:eastAsia="Arial" w:hAnsi="Arial"/>
                <w:sz w:val="10"/>
                <w:szCs w:val="10"/>
                <w:b w:val="1"/>
                <w:bCs w:val="1"/>
                <w:color w:val="auto"/>
              </w:rPr>
              <w:t>(a)</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2"/>
              </w:rPr>
              <w:t>Ownership</w:t>
            </w:r>
          </w:p>
        </w:tc>
        <w:tc>
          <w:tcPr>
            <w:tcW w:w="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Flexible Generation</w:t>
            </w:r>
          </w:p>
        </w:tc>
        <w:tc>
          <w:tcPr>
            <w:tcW w:w="8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Carlsbad </w:t>
            </w:r>
            <w:r>
              <w:rPr>
                <w:rFonts w:ascii="Arial" w:cs="Arial" w:eastAsia="Arial" w:hAnsi="Arial"/>
                <w:sz w:val="20"/>
                <w:szCs w:val="20"/>
                <w:color w:val="auto"/>
                <w:vertAlign w:val="superscript"/>
              </w:rPr>
              <w:t>(b)</w:t>
            </w:r>
          </w:p>
        </w:tc>
        <w:tc>
          <w:tcPr>
            <w:tcW w:w="8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Carlsbad, CA</w:t>
            </w:r>
          </w:p>
        </w:tc>
        <w:tc>
          <w:tcPr>
            <w:tcW w:w="560" w:type="dxa"/>
            <w:vAlign w:val="bottom"/>
          </w:tcPr>
          <w:p>
            <w:pPr>
              <w:jc w:val="right"/>
              <w:spacing w:after="0"/>
              <w:rPr>
                <w:sz w:val="20"/>
                <w:szCs w:val="20"/>
                <w:color w:val="auto"/>
              </w:rPr>
            </w:pPr>
            <w:r>
              <w:rPr>
                <w:rFonts w:ascii="Arial" w:cs="Arial" w:eastAsia="Arial" w:hAnsi="Arial"/>
                <w:sz w:val="16"/>
                <w:szCs w:val="16"/>
                <w:color w:val="auto"/>
              </w:rPr>
              <w:t>523</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2018</w:t>
            </w:r>
          </w:p>
        </w:tc>
        <w:tc>
          <w:tcPr>
            <w:tcW w:w="1880" w:type="dxa"/>
            <w:vAlign w:val="bottom"/>
          </w:tcPr>
          <w:p>
            <w:pPr>
              <w:ind w:left="40"/>
              <w:spacing w:after="0"/>
              <w:rPr>
                <w:sz w:val="20"/>
                <w:szCs w:val="20"/>
                <w:color w:val="auto"/>
              </w:rPr>
            </w:pPr>
            <w:r>
              <w:rPr>
                <w:rFonts w:ascii="Arial" w:cs="Arial" w:eastAsia="Arial" w:hAnsi="Arial"/>
                <w:sz w:val="16"/>
                <w:szCs w:val="16"/>
                <w:color w:val="auto"/>
              </w:rPr>
              <w:t>SDG&amp;E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El Segundo </w:t>
            </w:r>
            <w:r>
              <w:rPr>
                <w:rFonts w:ascii="Arial" w:cs="Arial" w:eastAsia="Arial" w:hAnsi="Arial"/>
                <w:sz w:val="20"/>
                <w:szCs w:val="20"/>
                <w:color w:val="auto"/>
                <w:vertAlign w:val="superscript"/>
              </w:rPr>
              <w:t>(b)</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El Segundo, CA</w:t>
            </w:r>
          </w:p>
        </w:tc>
        <w:tc>
          <w:tcPr>
            <w:tcW w:w="560" w:type="dxa"/>
            <w:vAlign w:val="bottom"/>
          </w:tcPr>
          <w:p>
            <w:pPr>
              <w:jc w:val="right"/>
              <w:spacing w:after="0"/>
              <w:rPr>
                <w:sz w:val="20"/>
                <w:szCs w:val="20"/>
                <w:color w:val="auto"/>
              </w:rPr>
            </w:pPr>
            <w:r>
              <w:rPr>
                <w:rFonts w:ascii="Arial" w:cs="Arial" w:eastAsia="Arial" w:hAnsi="Arial"/>
                <w:sz w:val="16"/>
                <w:szCs w:val="16"/>
                <w:color w:val="auto"/>
              </w:rPr>
              <w:t>546</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546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August 2013</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2027 - 2029</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GenConn Devon </w:t>
            </w:r>
            <w:r>
              <w:rPr>
                <w:rFonts w:ascii="Arial" w:cs="Arial" w:eastAsia="Arial" w:hAnsi="Arial"/>
                <w:sz w:val="20"/>
                <w:szCs w:val="20"/>
                <w:color w:val="auto"/>
                <w:vertAlign w:val="superscript"/>
              </w:rPr>
              <w:t>(b)</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Milford, CT</w:t>
            </w:r>
          </w:p>
        </w:tc>
        <w:tc>
          <w:tcPr>
            <w:tcW w:w="560" w:type="dxa"/>
            <w:vAlign w:val="bottom"/>
          </w:tcPr>
          <w:p>
            <w:pPr>
              <w:jc w:val="right"/>
              <w:spacing w:after="0"/>
              <w:rPr>
                <w:sz w:val="20"/>
                <w:szCs w:val="20"/>
                <w:color w:val="auto"/>
              </w:rPr>
            </w:pPr>
            <w:r>
              <w:rPr>
                <w:rFonts w:ascii="Arial" w:cs="Arial" w:eastAsia="Arial" w:hAnsi="Arial"/>
                <w:sz w:val="16"/>
                <w:szCs w:val="16"/>
                <w:color w:val="auto"/>
              </w:rPr>
              <w:t>190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June 2010</w:t>
            </w:r>
          </w:p>
        </w:tc>
        <w:tc>
          <w:tcPr>
            <w:tcW w:w="1880" w:type="dxa"/>
            <w:vAlign w:val="bottom"/>
          </w:tcPr>
          <w:p>
            <w:pPr>
              <w:ind w:left="40"/>
              <w:spacing w:after="0"/>
              <w:rPr>
                <w:sz w:val="20"/>
                <w:szCs w:val="20"/>
                <w:color w:val="auto"/>
              </w:rPr>
            </w:pPr>
            <w:r>
              <w:rPr>
                <w:rFonts w:ascii="Arial" w:cs="Arial" w:eastAsia="Arial" w:hAnsi="Arial"/>
                <w:sz w:val="16"/>
                <w:szCs w:val="16"/>
                <w:color w:val="auto"/>
                <w:w w:val="96"/>
              </w:rPr>
              <w:t>Connecticut Light &amp; Power</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GenConn Middletown </w:t>
            </w:r>
            <w:r>
              <w:rPr>
                <w:rFonts w:ascii="Arial" w:cs="Arial" w:eastAsia="Arial" w:hAnsi="Arial"/>
                <w:sz w:val="20"/>
                <w:szCs w:val="20"/>
                <w:color w:val="auto"/>
                <w:vertAlign w:val="superscript"/>
              </w:rPr>
              <w:t>(b)</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Middletown, CT</w:t>
            </w:r>
          </w:p>
        </w:tc>
        <w:tc>
          <w:tcPr>
            <w:tcW w:w="560" w:type="dxa"/>
            <w:vAlign w:val="bottom"/>
          </w:tcPr>
          <w:p>
            <w:pPr>
              <w:jc w:val="right"/>
              <w:spacing w:after="0"/>
              <w:rPr>
                <w:sz w:val="20"/>
                <w:szCs w:val="20"/>
                <w:color w:val="auto"/>
              </w:rPr>
            </w:pPr>
            <w:r>
              <w:rPr>
                <w:rFonts w:ascii="Arial" w:cs="Arial" w:eastAsia="Arial" w:hAnsi="Arial"/>
                <w:sz w:val="16"/>
                <w:szCs w:val="16"/>
                <w:color w:val="auto"/>
              </w:rPr>
              <w:t>190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June 2011</w:t>
            </w:r>
          </w:p>
        </w:tc>
        <w:tc>
          <w:tcPr>
            <w:tcW w:w="1880" w:type="dxa"/>
            <w:vAlign w:val="bottom"/>
          </w:tcPr>
          <w:p>
            <w:pPr>
              <w:ind w:left="40"/>
              <w:spacing w:after="0"/>
              <w:rPr>
                <w:sz w:val="20"/>
                <w:szCs w:val="20"/>
                <w:color w:val="auto"/>
              </w:rPr>
            </w:pPr>
            <w:r>
              <w:rPr>
                <w:rFonts w:ascii="Arial" w:cs="Arial" w:eastAsia="Arial" w:hAnsi="Arial"/>
                <w:sz w:val="16"/>
                <w:szCs w:val="16"/>
                <w:color w:val="auto"/>
                <w:w w:val="96"/>
              </w:rPr>
              <w:t>Connecticut Light &amp; Power</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Marsh Landing </w:t>
            </w:r>
            <w:r>
              <w:rPr>
                <w:rFonts w:ascii="Arial" w:cs="Arial" w:eastAsia="Arial" w:hAnsi="Arial"/>
                <w:sz w:val="20"/>
                <w:szCs w:val="20"/>
                <w:color w:val="auto"/>
                <w:vertAlign w:val="superscript"/>
              </w:rPr>
              <w:t>(b)</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Antioch, CA</w:t>
            </w:r>
          </w:p>
        </w:tc>
        <w:tc>
          <w:tcPr>
            <w:tcW w:w="560" w:type="dxa"/>
            <w:vAlign w:val="bottom"/>
          </w:tcPr>
          <w:p>
            <w:pPr>
              <w:jc w:val="right"/>
              <w:spacing w:after="0"/>
              <w:rPr>
                <w:sz w:val="20"/>
                <w:szCs w:val="20"/>
                <w:color w:val="auto"/>
              </w:rPr>
            </w:pPr>
            <w:r>
              <w:rPr>
                <w:rFonts w:ascii="Arial" w:cs="Arial" w:eastAsia="Arial" w:hAnsi="Arial"/>
                <w:sz w:val="16"/>
                <w:szCs w:val="16"/>
                <w:color w:val="auto"/>
              </w:rPr>
              <w:t>820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820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May 2013</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2026 - 2030</w:t>
            </w:r>
          </w:p>
        </w:tc>
        <w:tc>
          <w:tcPr>
            <w:tcW w:w="0" w:type="dxa"/>
            <w:vAlign w:val="bottom"/>
          </w:tcPr>
          <w:p>
            <w:pPr>
              <w:spacing w:after="0"/>
              <w:rPr>
                <w:sz w:val="1"/>
                <w:szCs w:val="1"/>
                <w:color w:val="auto"/>
              </w:rPr>
            </w:pPr>
          </w:p>
        </w:tc>
      </w:tr>
      <w:tr>
        <w:trPr>
          <w:trHeight w:val="211"/>
        </w:trPr>
        <w:tc>
          <w:tcPr>
            <w:tcW w:w="1940" w:type="dxa"/>
            <w:vAlign w:val="bottom"/>
          </w:tcPr>
          <w:p>
            <w:pPr>
              <w:ind w:left="40"/>
              <w:spacing w:after="0" w:line="211" w:lineRule="exact"/>
              <w:rPr>
                <w:sz w:val="20"/>
                <w:szCs w:val="20"/>
                <w:color w:val="auto"/>
              </w:rPr>
            </w:pPr>
            <w:r>
              <w:rPr>
                <w:rFonts w:ascii="Arial" w:cs="Arial" w:eastAsia="Arial" w:hAnsi="Arial"/>
                <w:sz w:val="16"/>
                <w:szCs w:val="16"/>
                <w:color w:val="auto"/>
              </w:rPr>
              <w:t xml:space="preserve">Walnut Creek </w:t>
            </w:r>
            <w:r>
              <w:rPr>
                <w:rFonts w:ascii="Arial" w:cs="Arial" w:eastAsia="Arial" w:hAnsi="Arial"/>
                <w:sz w:val="20"/>
                <w:szCs w:val="20"/>
                <w:color w:val="auto"/>
                <w:vertAlign w:val="superscript"/>
              </w:rPr>
              <w:t>(b)</w:t>
            </w:r>
          </w:p>
        </w:tc>
        <w:tc>
          <w:tcPr>
            <w:tcW w:w="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City of Industry, CA</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May 2013</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2026 - 2027</w:t>
            </w:r>
          </w:p>
        </w:tc>
        <w:tc>
          <w:tcPr>
            <w:tcW w:w="0" w:type="dxa"/>
            <w:vAlign w:val="bottom"/>
          </w:tcPr>
          <w:p>
            <w:pPr>
              <w:spacing w:after="0"/>
              <w:rPr>
                <w:sz w:val="1"/>
                <w:szCs w:val="1"/>
                <w:color w:val="auto"/>
              </w:rPr>
            </w:pPr>
          </w:p>
        </w:tc>
      </w:tr>
      <w:tr>
        <w:trPr>
          <w:trHeight w:val="254"/>
        </w:trPr>
        <w:tc>
          <w:tcPr>
            <w:tcW w:w="3560" w:type="dxa"/>
            <w:vAlign w:val="bottom"/>
            <w:gridSpan w:val="4"/>
          </w:tcPr>
          <w:p>
            <w:pPr>
              <w:ind w:left="400"/>
              <w:spacing w:after="0"/>
              <w:rPr>
                <w:sz w:val="20"/>
                <w:szCs w:val="20"/>
                <w:color w:val="auto"/>
              </w:rPr>
            </w:pPr>
            <w:r>
              <w:rPr>
                <w:rFonts w:ascii="Arial" w:cs="Arial" w:eastAsia="Arial" w:hAnsi="Arial"/>
                <w:sz w:val="18"/>
                <w:szCs w:val="18"/>
                <w:b w:val="1"/>
                <w:bCs w:val="1"/>
                <w:i w:val="1"/>
                <w:iCs w:val="1"/>
                <w:color w:val="auto"/>
              </w:rPr>
              <w:t>Total Flexible Generation</w:t>
            </w:r>
          </w:p>
        </w:tc>
        <w:tc>
          <w:tcPr>
            <w:tcW w:w="560" w:type="dxa"/>
            <w:vAlign w:val="bottom"/>
          </w:tcPr>
          <w:p>
            <w:pPr>
              <w:jc w:val="right"/>
              <w:spacing w:after="0"/>
              <w:rPr>
                <w:sz w:val="20"/>
                <w:szCs w:val="20"/>
                <w:color w:val="auto"/>
              </w:rPr>
            </w:pPr>
            <w:r>
              <w:rPr>
                <w:rFonts w:ascii="Arial" w:cs="Arial" w:eastAsia="Arial" w:hAnsi="Arial"/>
                <w:sz w:val="16"/>
                <w:szCs w:val="16"/>
                <w:color w:val="auto"/>
              </w:rPr>
              <w:t>2,770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2,580</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Utility Scale Solar</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940" w:type="dxa"/>
            <w:vAlign w:val="bottom"/>
          </w:tcPr>
          <w:p>
            <w:pPr>
              <w:ind w:left="40"/>
              <w:spacing w:after="0"/>
              <w:rPr>
                <w:sz w:val="20"/>
                <w:szCs w:val="20"/>
                <w:color w:val="auto"/>
              </w:rPr>
            </w:pPr>
            <w:r>
              <w:rPr>
                <w:rFonts w:ascii="Arial" w:cs="Arial" w:eastAsia="Arial" w:hAnsi="Arial"/>
                <w:sz w:val="16"/>
                <w:szCs w:val="16"/>
                <w:color w:val="auto"/>
              </w:rPr>
              <w:t>Agua Caliente</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Dateland, AZ</w:t>
            </w:r>
          </w:p>
        </w:tc>
        <w:tc>
          <w:tcPr>
            <w:tcW w:w="560" w:type="dxa"/>
            <w:vAlign w:val="bottom"/>
          </w:tcPr>
          <w:p>
            <w:pPr>
              <w:jc w:val="right"/>
              <w:spacing w:after="0"/>
              <w:rPr>
                <w:sz w:val="20"/>
                <w:szCs w:val="20"/>
                <w:color w:val="auto"/>
              </w:rPr>
            </w:pPr>
            <w:r>
              <w:rPr>
                <w:rFonts w:ascii="Arial" w:cs="Arial" w:eastAsia="Arial" w:hAnsi="Arial"/>
                <w:sz w:val="16"/>
                <w:szCs w:val="16"/>
                <w:color w:val="auto"/>
              </w:rPr>
              <w:t>290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148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51 %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June 2014</w:t>
            </w:r>
          </w:p>
        </w:tc>
        <w:tc>
          <w:tcPr>
            <w:tcW w:w="1880" w:type="dxa"/>
            <w:vAlign w:val="bottom"/>
          </w:tcPr>
          <w:p>
            <w:pPr>
              <w:ind w:left="40"/>
              <w:spacing w:after="0"/>
              <w:rPr>
                <w:sz w:val="20"/>
                <w:szCs w:val="20"/>
                <w:color w:val="auto"/>
              </w:rPr>
            </w:pPr>
            <w:r>
              <w:rPr>
                <w:rFonts w:ascii="Arial" w:cs="Arial" w:eastAsia="Arial" w:hAnsi="Arial"/>
                <w:sz w:val="16"/>
                <w:szCs w:val="16"/>
                <w:color w:val="auto"/>
              </w:rPr>
              <w:t>PG&amp;E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Alpine</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Lancaster, CA</w:t>
            </w:r>
          </w:p>
        </w:tc>
        <w:tc>
          <w:tcPr>
            <w:tcW w:w="560" w:type="dxa"/>
            <w:vAlign w:val="bottom"/>
          </w:tcPr>
          <w:p>
            <w:pPr>
              <w:jc w:val="right"/>
              <w:spacing w:after="0"/>
              <w:rPr>
                <w:sz w:val="20"/>
                <w:szCs w:val="20"/>
                <w:color w:val="auto"/>
              </w:rPr>
            </w:pPr>
            <w:r>
              <w:rPr>
                <w:rFonts w:ascii="Arial" w:cs="Arial" w:eastAsia="Arial" w:hAnsi="Arial"/>
                <w:sz w:val="16"/>
                <w:szCs w:val="16"/>
                <w:color w:val="auto"/>
              </w:rPr>
              <w:t>66</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January 2013</w:t>
            </w:r>
          </w:p>
        </w:tc>
        <w:tc>
          <w:tcPr>
            <w:tcW w:w="1880" w:type="dxa"/>
            <w:vAlign w:val="bottom"/>
          </w:tcPr>
          <w:p>
            <w:pPr>
              <w:ind w:left="40"/>
              <w:spacing w:after="0"/>
              <w:rPr>
                <w:sz w:val="20"/>
                <w:szCs w:val="20"/>
                <w:color w:val="auto"/>
              </w:rPr>
            </w:pPr>
            <w:r>
              <w:rPr>
                <w:rFonts w:ascii="Arial" w:cs="Arial" w:eastAsia="Arial" w:hAnsi="Arial"/>
                <w:sz w:val="16"/>
                <w:szCs w:val="16"/>
                <w:color w:val="auto"/>
              </w:rPr>
              <w:t>PG&amp;E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165"/>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 xml:space="preserve">Arica </w:t>
            </w:r>
            <w:r>
              <w:rPr>
                <w:rFonts w:ascii="Arial" w:cs="Arial" w:eastAsia="Arial" w:hAnsi="Arial"/>
                <w:sz w:val="20"/>
                <w:szCs w:val="20"/>
                <w:color w:val="auto"/>
                <w:vertAlign w:val="superscript"/>
              </w:rPr>
              <w:t>(c)</w:t>
            </w:r>
          </w:p>
        </w:tc>
        <w:tc>
          <w:tcPr>
            <w:tcW w:w="8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color w:val="auto"/>
              </w:rPr>
              <w:t>Riverside, CA</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263</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105</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4"/>
                <w:szCs w:val="14"/>
                <w:color w:val="auto"/>
              </w:rPr>
            </w:pPr>
          </w:p>
        </w:tc>
        <w:tc>
          <w:tcPr>
            <w:tcW w:w="1260" w:type="dxa"/>
            <w:vAlign w:val="bottom"/>
            <w:gridSpan w:val="2"/>
          </w:tcPr>
          <w:p>
            <w:pPr>
              <w:ind w:left="60"/>
              <w:spacing w:after="0" w:line="165" w:lineRule="exact"/>
              <w:rPr>
                <w:sz w:val="20"/>
                <w:szCs w:val="20"/>
                <w:color w:val="auto"/>
              </w:rPr>
            </w:pPr>
            <w:r>
              <w:rPr>
                <w:rFonts w:ascii="Arial" w:cs="Arial" w:eastAsia="Arial" w:hAnsi="Arial"/>
                <w:sz w:val="16"/>
                <w:szCs w:val="16"/>
                <w:color w:val="auto"/>
              </w:rPr>
              <w:t>March - June</w:t>
            </w:r>
          </w:p>
        </w:tc>
        <w:tc>
          <w:tcPr>
            <w:tcW w:w="1880" w:type="dxa"/>
            <w:vAlign w:val="bottom"/>
            <w:vMerge w:val="restart"/>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2026 - 2041</w:t>
            </w:r>
          </w:p>
        </w:tc>
        <w:tc>
          <w:tcPr>
            <w:tcW w:w="0" w:type="dxa"/>
            <w:vAlign w:val="bottom"/>
          </w:tcPr>
          <w:p>
            <w:pPr>
              <w:spacing w:after="0"/>
              <w:rPr>
                <w:sz w:val="1"/>
                <w:szCs w:val="1"/>
                <w:color w:val="auto"/>
              </w:rPr>
            </w:pPr>
          </w:p>
        </w:tc>
      </w:tr>
      <w:tr>
        <w:trPr>
          <w:trHeight w:val="249"/>
        </w:trPr>
        <w:tc>
          <w:tcPr>
            <w:tcW w:w="1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940" w:type="dxa"/>
            <w:vAlign w:val="bottom"/>
          </w:tcPr>
          <w:p>
            <w:pPr>
              <w:ind w:left="40"/>
              <w:spacing w:after="0"/>
              <w:rPr>
                <w:sz w:val="20"/>
                <w:szCs w:val="20"/>
                <w:color w:val="auto"/>
              </w:rPr>
            </w:pPr>
            <w:r>
              <w:rPr>
                <w:rFonts w:ascii="Arial" w:cs="Arial" w:eastAsia="Arial" w:hAnsi="Arial"/>
                <w:sz w:val="16"/>
                <w:szCs w:val="16"/>
                <w:color w:val="auto"/>
              </w:rPr>
              <w:t>Avenal</w:t>
            </w:r>
          </w:p>
        </w:tc>
        <w:tc>
          <w:tcPr>
            <w:tcW w:w="8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Avenal, CA</w:t>
            </w:r>
          </w:p>
        </w:tc>
        <w:tc>
          <w:tcPr>
            <w:tcW w:w="560" w:type="dxa"/>
            <w:vAlign w:val="bottom"/>
          </w:tcPr>
          <w:p>
            <w:pPr>
              <w:jc w:val="right"/>
              <w:spacing w:after="0"/>
              <w:rPr>
                <w:sz w:val="20"/>
                <w:szCs w:val="20"/>
                <w:color w:val="auto"/>
              </w:rPr>
            </w:pPr>
            <w:r>
              <w:rPr>
                <w:rFonts w:ascii="Arial" w:cs="Arial" w:eastAsia="Arial" w:hAnsi="Arial"/>
                <w:sz w:val="16"/>
                <w:szCs w:val="16"/>
                <w:color w:val="auto"/>
              </w:rPr>
              <w:t>45</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August 2011</w:t>
            </w:r>
          </w:p>
        </w:tc>
        <w:tc>
          <w:tcPr>
            <w:tcW w:w="1880" w:type="dxa"/>
            <w:vAlign w:val="bottom"/>
          </w:tcPr>
          <w:p>
            <w:pPr>
              <w:ind w:left="40"/>
              <w:spacing w:after="0"/>
              <w:rPr>
                <w:sz w:val="20"/>
                <w:szCs w:val="20"/>
                <w:color w:val="auto"/>
              </w:rPr>
            </w:pPr>
            <w:r>
              <w:rPr>
                <w:rFonts w:ascii="Arial" w:cs="Arial" w:eastAsia="Arial" w:hAnsi="Arial"/>
                <w:sz w:val="16"/>
                <w:szCs w:val="16"/>
                <w:color w:val="auto"/>
              </w:rPr>
              <w:t>PG&amp;E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Avra Valley</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Pima County, AZ</w:t>
            </w: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2012</w:t>
            </w:r>
          </w:p>
        </w:tc>
        <w:tc>
          <w:tcPr>
            <w:tcW w:w="1880" w:type="dxa"/>
            <w:vAlign w:val="bottom"/>
          </w:tcPr>
          <w:p>
            <w:pPr>
              <w:ind w:left="40"/>
              <w:spacing w:after="0"/>
              <w:rPr>
                <w:sz w:val="20"/>
                <w:szCs w:val="20"/>
                <w:color w:val="auto"/>
              </w:rPr>
            </w:pPr>
            <w:r>
              <w:rPr>
                <w:rFonts w:ascii="Arial" w:cs="Arial" w:eastAsia="Arial" w:hAnsi="Arial"/>
                <w:sz w:val="16"/>
                <w:szCs w:val="16"/>
                <w:color w:val="auto"/>
              </w:rPr>
              <w:t>Tucson Electric Power</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Blythe</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Blythe, CA</w:t>
            </w:r>
          </w:p>
        </w:tc>
        <w:tc>
          <w:tcPr>
            <w:tcW w:w="560" w:type="dxa"/>
            <w:vAlign w:val="bottom"/>
          </w:tcPr>
          <w:p>
            <w:pPr>
              <w:jc w:val="right"/>
              <w:spacing w:after="0"/>
              <w:rPr>
                <w:sz w:val="20"/>
                <w:szCs w:val="20"/>
                <w:color w:val="auto"/>
              </w:rPr>
            </w:pPr>
            <w:r>
              <w:rPr>
                <w:rFonts w:ascii="Arial" w:cs="Arial" w:eastAsia="Arial" w:hAnsi="Arial"/>
                <w:sz w:val="16"/>
                <w:szCs w:val="16"/>
                <w:color w:val="auto"/>
              </w:rPr>
              <w:t>21</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2009</w:t>
            </w:r>
          </w:p>
        </w:tc>
        <w:tc>
          <w:tcPr>
            <w:tcW w:w="1880" w:type="dxa"/>
            <w:vAlign w:val="bottom"/>
          </w:tcPr>
          <w:p>
            <w:pPr>
              <w:ind w:left="40"/>
              <w:spacing w:after="0"/>
              <w:rPr>
                <w:sz w:val="20"/>
                <w:szCs w:val="20"/>
                <w:color w:val="auto"/>
              </w:rPr>
            </w:pPr>
            <w:r>
              <w:rPr>
                <w:rFonts w:ascii="Arial" w:cs="Arial" w:eastAsia="Arial" w:hAnsi="Arial"/>
                <w:sz w:val="16"/>
                <w:szCs w:val="16"/>
                <w:color w:val="auto"/>
              </w:rPr>
              <w:t>SCE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Borrego</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w w:val="99"/>
              </w:rPr>
              <w:t>Borrego Springs, CA</w:t>
            </w:r>
          </w:p>
        </w:tc>
        <w:tc>
          <w:tcPr>
            <w:tcW w:w="560" w:type="dxa"/>
            <w:vAlign w:val="bottom"/>
          </w:tcPr>
          <w:p>
            <w:pPr>
              <w:jc w:val="right"/>
              <w:spacing w:after="0"/>
              <w:rPr>
                <w:sz w:val="20"/>
                <w:szCs w:val="20"/>
                <w:color w:val="auto"/>
              </w:rPr>
            </w:pPr>
            <w:r>
              <w:rPr>
                <w:rFonts w:ascii="Arial" w:cs="Arial" w:eastAsia="Arial" w:hAnsi="Arial"/>
                <w:sz w:val="16"/>
                <w:szCs w:val="16"/>
                <w:color w:val="auto"/>
              </w:rPr>
              <w:t>26</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February 2013</w:t>
            </w:r>
          </w:p>
        </w:tc>
        <w:tc>
          <w:tcPr>
            <w:tcW w:w="1880" w:type="dxa"/>
            <w:vAlign w:val="bottom"/>
          </w:tcPr>
          <w:p>
            <w:pPr>
              <w:ind w:left="40"/>
              <w:spacing w:after="0"/>
              <w:rPr>
                <w:sz w:val="20"/>
                <w:szCs w:val="20"/>
                <w:color w:val="auto"/>
              </w:rPr>
            </w:pPr>
            <w:r>
              <w:rPr>
                <w:rFonts w:ascii="Arial" w:cs="Arial" w:eastAsia="Arial" w:hAnsi="Arial"/>
                <w:sz w:val="16"/>
                <w:szCs w:val="16"/>
                <w:color w:val="auto"/>
              </w:rPr>
              <w:t>SDG&amp;E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96"/>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Buckthorn Solar </w:t>
            </w:r>
            <w:r>
              <w:rPr>
                <w:rFonts w:ascii="Arial" w:cs="Arial" w:eastAsia="Arial" w:hAnsi="Arial"/>
                <w:sz w:val="20"/>
                <w:szCs w:val="20"/>
                <w:color w:val="auto"/>
                <w:vertAlign w:val="superscript"/>
              </w:rPr>
              <w:t>(c)</w:t>
            </w:r>
          </w:p>
        </w:tc>
        <w:tc>
          <w:tcPr>
            <w:tcW w:w="8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Fort Stockton, TX</w:t>
            </w:r>
          </w:p>
        </w:tc>
        <w:tc>
          <w:tcPr>
            <w:tcW w:w="560" w:type="dxa"/>
            <w:vAlign w:val="bottom"/>
          </w:tcPr>
          <w:p>
            <w:pPr>
              <w:jc w:val="right"/>
              <w:spacing w:after="0"/>
              <w:rPr>
                <w:sz w:val="20"/>
                <w:szCs w:val="20"/>
                <w:color w:val="auto"/>
              </w:rPr>
            </w:pPr>
            <w:r>
              <w:rPr>
                <w:rFonts w:ascii="Arial" w:cs="Arial" w:eastAsia="Arial" w:hAnsi="Arial"/>
                <w:sz w:val="16"/>
                <w:szCs w:val="16"/>
                <w:color w:val="auto"/>
              </w:rPr>
              <w:t>150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July 2018</w:t>
            </w:r>
          </w:p>
        </w:tc>
        <w:tc>
          <w:tcPr>
            <w:tcW w:w="1880" w:type="dxa"/>
            <w:vAlign w:val="bottom"/>
          </w:tcPr>
          <w:p>
            <w:pPr>
              <w:ind w:left="40"/>
              <w:spacing w:after="0"/>
              <w:rPr>
                <w:sz w:val="20"/>
                <w:szCs w:val="20"/>
                <w:color w:val="auto"/>
              </w:rPr>
            </w:pPr>
            <w:r>
              <w:rPr>
                <w:rFonts w:ascii="Arial" w:cs="Arial" w:eastAsia="Arial" w:hAnsi="Arial"/>
                <w:sz w:val="16"/>
                <w:szCs w:val="16"/>
                <w:color w:val="auto"/>
              </w:rPr>
              <w:t>City of Georgetown, TX</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Catalina</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Kern County, CA</w:t>
            </w:r>
          </w:p>
        </w:tc>
        <w:tc>
          <w:tcPr>
            <w:tcW w:w="560" w:type="dxa"/>
            <w:vAlign w:val="bottom"/>
          </w:tcPr>
          <w:p>
            <w:pPr>
              <w:jc w:val="right"/>
              <w:spacing w:after="0"/>
              <w:rPr>
                <w:sz w:val="20"/>
                <w:szCs w:val="20"/>
                <w:color w:val="auto"/>
              </w:rPr>
            </w:pPr>
            <w:r>
              <w:rPr>
                <w:rFonts w:ascii="Arial" w:cs="Arial" w:eastAsia="Arial" w:hAnsi="Arial"/>
                <w:sz w:val="16"/>
                <w:szCs w:val="16"/>
                <w:color w:val="auto"/>
              </w:rPr>
              <w:t>109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21"/>
                <w:szCs w:val="21"/>
                <w:color w:val="auto"/>
              </w:rPr>
            </w:pPr>
          </w:p>
        </w:tc>
        <w:tc>
          <w:tcPr>
            <w:tcW w:w="940" w:type="dxa"/>
            <w:vAlign w:val="bottom"/>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0"/>
                <w:szCs w:val="10"/>
                <w:color w:val="auto"/>
              </w:rPr>
              <w:t xml:space="preserve"> (d)</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November 2013</w:t>
            </w:r>
          </w:p>
        </w:tc>
        <w:tc>
          <w:tcPr>
            <w:tcW w:w="1880" w:type="dxa"/>
            <w:vAlign w:val="bottom"/>
          </w:tcPr>
          <w:p>
            <w:pPr>
              <w:ind w:left="40"/>
              <w:spacing w:after="0"/>
              <w:rPr>
                <w:sz w:val="20"/>
                <w:szCs w:val="20"/>
                <w:color w:val="auto"/>
              </w:rPr>
            </w:pPr>
            <w:r>
              <w:rPr>
                <w:rFonts w:ascii="Arial" w:cs="Arial" w:eastAsia="Arial" w:hAnsi="Arial"/>
                <w:sz w:val="16"/>
                <w:szCs w:val="16"/>
                <w:color w:val="auto"/>
              </w:rPr>
              <w:t>SDG&amp;E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04"/>
        </w:trPr>
        <w:tc>
          <w:tcPr>
            <w:tcW w:w="1940" w:type="dxa"/>
            <w:vAlign w:val="bottom"/>
          </w:tcPr>
          <w:p>
            <w:pPr>
              <w:ind w:left="40"/>
              <w:spacing w:after="0"/>
              <w:rPr>
                <w:sz w:val="20"/>
                <w:szCs w:val="20"/>
                <w:color w:val="auto"/>
              </w:rPr>
            </w:pPr>
            <w:r>
              <w:rPr>
                <w:rFonts w:ascii="Arial" w:cs="Arial" w:eastAsia="Arial" w:hAnsi="Arial"/>
                <w:sz w:val="16"/>
                <w:szCs w:val="16"/>
                <w:color w:val="auto"/>
              </w:rPr>
              <w:t>CVSR</w:t>
            </w:r>
          </w:p>
        </w:tc>
        <w:tc>
          <w:tcPr>
            <w:tcW w:w="8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w w:val="98"/>
              </w:rPr>
              <w:t>San Luis Obispo, CA</w:t>
            </w:r>
          </w:p>
        </w:tc>
        <w:tc>
          <w:tcPr>
            <w:tcW w:w="560" w:type="dxa"/>
            <w:vAlign w:val="bottom"/>
          </w:tcPr>
          <w:p>
            <w:pPr>
              <w:jc w:val="right"/>
              <w:spacing w:after="0"/>
              <w:rPr>
                <w:sz w:val="20"/>
                <w:szCs w:val="20"/>
                <w:color w:val="auto"/>
              </w:rPr>
            </w:pPr>
            <w:r>
              <w:rPr>
                <w:rFonts w:ascii="Arial" w:cs="Arial" w:eastAsia="Arial" w:hAnsi="Arial"/>
                <w:sz w:val="16"/>
                <w:szCs w:val="16"/>
                <w:color w:val="auto"/>
              </w:rPr>
              <w:t>250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October 2013</w:t>
            </w:r>
          </w:p>
        </w:tc>
        <w:tc>
          <w:tcPr>
            <w:tcW w:w="1880" w:type="dxa"/>
            <w:vAlign w:val="bottom"/>
          </w:tcPr>
          <w:p>
            <w:pPr>
              <w:ind w:left="40"/>
              <w:spacing w:after="0"/>
              <w:rPr>
                <w:sz w:val="20"/>
                <w:szCs w:val="20"/>
                <w:color w:val="auto"/>
              </w:rPr>
            </w:pPr>
            <w:r>
              <w:rPr>
                <w:rFonts w:ascii="Arial" w:cs="Arial" w:eastAsia="Arial" w:hAnsi="Arial"/>
                <w:sz w:val="16"/>
                <w:szCs w:val="16"/>
                <w:color w:val="auto"/>
              </w:rPr>
              <w:t>PG&amp;E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301"/>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Daggett 2 </w:t>
            </w:r>
            <w:r>
              <w:rPr>
                <w:rFonts w:ascii="Arial" w:cs="Arial" w:eastAsia="Arial" w:hAnsi="Arial"/>
                <w:sz w:val="20"/>
                <w:szCs w:val="20"/>
                <w:color w:val="auto"/>
                <w:vertAlign w:val="superscript"/>
              </w:rPr>
              <w:t>(c)</w:t>
            </w:r>
          </w:p>
        </w:tc>
        <w:tc>
          <w:tcPr>
            <w:tcW w:w="8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San Bernardino, CA</w:t>
            </w:r>
          </w:p>
        </w:tc>
        <w:tc>
          <w:tcPr>
            <w:tcW w:w="560" w:type="dxa"/>
            <w:vAlign w:val="bottom"/>
          </w:tcPr>
          <w:p>
            <w:pPr>
              <w:jc w:val="right"/>
              <w:spacing w:after="0"/>
              <w:rPr>
                <w:sz w:val="20"/>
                <w:szCs w:val="20"/>
                <w:color w:val="auto"/>
              </w:rPr>
            </w:pPr>
            <w:r>
              <w:rPr>
                <w:rFonts w:ascii="Arial" w:cs="Arial" w:eastAsia="Arial" w:hAnsi="Arial"/>
                <w:sz w:val="16"/>
                <w:szCs w:val="16"/>
                <w:color w:val="auto"/>
              </w:rPr>
              <w:t>182</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2023</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158"/>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 xml:space="preserve">Daggett 3 </w:t>
            </w:r>
            <w:r>
              <w:rPr>
                <w:rFonts w:ascii="Arial" w:cs="Arial" w:eastAsia="Arial" w:hAnsi="Arial"/>
                <w:sz w:val="20"/>
                <w:szCs w:val="20"/>
                <w:color w:val="auto"/>
                <w:vertAlign w:val="superscript"/>
              </w:rPr>
              <w:t>(c)</w:t>
            </w:r>
          </w:p>
        </w:tc>
        <w:tc>
          <w:tcPr>
            <w:tcW w:w="80" w:type="dxa"/>
            <w:vAlign w:val="bottom"/>
          </w:tcPr>
          <w:p>
            <w:pPr>
              <w:spacing w:after="0"/>
              <w:rPr>
                <w:sz w:val="13"/>
                <w:szCs w:val="13"/>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color w:val="auto"/>
              </w:rPr>
              <w:t>San Bernardino, CA</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75</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3"/>
                <w:szCs w:val="13"/>
                <w:color w:val="auto"/>
              </w:rPr>
            </w:pPr>
          </w:p>
        </w:tc>
        <w:tc>
          <w:tcPr>
            <w:tcW w:w="1260" w:type="dxa"/>
            <w:vAlign w:val="bottom"/>
            <w:gridSpan w:val="2"/>
          </w:tcPr>
          <w:p>
            <w:pPr>
              <w:ind w:left="60"/>
              <w:spacing w:after="0" w:line="158" w:lineRule="exact"/>
              <w:rPr>
                <w:sz w:val="20"/>
                <w:szCs w:val="20"/>
                <w:color w:val="auto"/>
              </w:rPr>
            </w:pPr>
            <w:r>
              <w:rPr>
                <w:rFonts w:ascii="Arial" w:cs="Arial" w:eastAsia="Arial" w:hAnsi="Arial"/>
                <w:sz w:val="16"/>
                <w:szCs w:val="16"/>
                <w:color w:val="auto"/>
              </w:rPr>
              <w:t>July - November</w:t>
            </w:r>
          </w:p>
        </w:tc>
        <w:tc>
          <w:tcPr>
            <w:tcW w:w="1880" w:type="dxa"/>
            <w:vAlign w:val="bottom"/>
            <w:vMerge w:val="restart"/>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2033 - 2038</w:t>
            </w:r>
          </w:p>
        </w:tc>
        <w:tc>
          <w:tcPr>
            <w:tcW w:w="0" w:type="dxa"/>
            <w:vAlign w:val="bottom"/>
          </w:tcPr>
          <w:p>
            <w:pPr>
              <w:spacing w:after="0"/>
              <w:rPr>
                <w:sz w:val="1"/>
                <w:szCs w:val="1"/>
                <w:color w:val="auto"/>
              </w:rPr>
            </w:pPr>
          </w:p>
        </w:tc>
      </w:tr>
      <w:tr>
        <w:trPr>
          <w:trHeight w:val="249"/>
        </w:trPr>
        <w:tc>
          <w:tcPr>
            <w:tcW w:w="1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940" w:type="dxa"/>
            <w:vAlign w:val="bottom"/>
          </w:tcPr>
          <w:p>
            <w:pPr>
              <w:ind w:left="40"/>
              <w:spacing w:after="0"/>
              <w:rPr>
                <w:sz w:val="20"/>
                <w:szCs w:val="20"/>
                <w:color w:val="auto"/>
              </w:rPr>
            </w:pPr>
            <w:r>
              <w:rPr>
                <w:rFonts w:ascii="Arial" w:cs="Arial" w:eastAsia="Arial" w:hAnsi="Arial"/>
                <w:sz w:val="16"/>
                <w:szCs w:val="16"/>
                <w:color w:val="auto"/>
              </w:rPr>
              <w:t>Desert Sunlight 250</w:t>
            </w:r>
          </w:p>
        </w:tc>
        <w:tc>
          <w:tcPr>
            <w:tcW w:w="8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Desert Center, CA</w:t>
            </w:r>
          </w:p>
        </w:tc>
        <w:tc>
          <w:tcPr>
            <w:tcW w:w="560" w:type="dxa"/>
            <w:vAlign w:val="bottom"/>
          </w:tcPr>
          <w:p>
            <w:pPr>
              <w:jc w:val="right"/>
              <w:spacing w:after="0"/>
              <w:rPr>
                <w:sz w:val="20"/>
                <w:szCs w:val="20"/>
                <w:color w:val="auto"/>
              </w:rPr>
            </w:pPr>
            <w:r>
              <w:rPr>
                <w:rFonts w:ascii="Arial" w:cs="Arial" w:eastAsia="Arial" w:hAnsi="Arial"/>
                <w:sz w:val="16"/>
                <w:szCs w:val="16"/>
                <w:color w:val="auto"/>
              </w:rPr>
              <w:t>250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2014</w:t>
            </w:r>
          </w:p>
        </w:tc>
        <w:tc>
          <w:tcPr>
            <w:tcW w:w="1880" w:type="dxa"/>
            <w:vAlign w:val="bottom"/>
          </w:tcPr>
          <w:p>
            <w:pPr>
              <w:ind w:left="40"/>
              <w:spacing w:after="0"/>
              <w:rPr>
                <w:sz w:val="20"/>
                <w:szCs w:val="20"/>
                <w:color w:val="auto"/>
              </w:rPr>
            </w:pPr>
            <w:r>
              <w:rPr>
                <w:rFonts w:ascii="Arial" w:cs="Arial" w:eastAsia="Arial" w:hAnsi="Arial"/>
                <w:sz w:val="16"/>
                <w:szCs w:val="16"/>
                <w:color w:val="auto"/>
              </w:rPr>
              <w:t>SCE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Desert Sunlight 300</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Desert Center, CA</w:t>
            </w:r>
          </w:p>
        </w:tc>
        <w:tc>
          <w:tcPr>
            <w:tcW w:w="560" w:type="dxa"/>
            <w:vAlign w:val="bottom"/>
          </w:tcPr>
          <w:p>
            <w:pPr>
              <w:jc w:val="right"/>
              <w:spacing w:after="0"/>
              <w:rPr>
                <w:sz w:val="20"/>
                <w:szCs w:val="20"/>
                <w:color w:val="auto"/>
              </w:rPr>
            </w:pPr>
            <w:r>
              <w:rPr>
                <w:rFonts w:ascii="Arial" w:cs="Arial" w:eastAsia="Arial" w:hAnsi="Arial"/>
                <w:sz w:val="16"/>
                <w:szCs w:val="16"/>
                <w:color w:val="auto"/>
              </w:rPr>
              <w:t>300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2014</w:t>
            </w:r>
          </w:p>
        </w:tc>
        <w:tc>
          <w:tcPr>
            <w:tcW w:w="1880" w:type="dxa"/>
            <w:vAlign w:val="bottom"/>
          </w:tcPr>
          <w:p>
            <w:pPr>
              <w:ind w:left="40"/>
              <w:spacing w:after="0"/>
              <w:rPr>
                <w:sz w:val="20"/>
                <w:szCs w:val="20"/>
                <w:color w:val="auto"/>
              </w:rPr>
            </w:pPr>
            <w:r>
              <w:rPr>
                <w:rFonts w:ascii="Arial" w:cs="Arial" w:eastAsia="Arial" w:hAnsi="Arial"/>
                <w:sz w:val="16"/>
                <w:szCs w:val="16"/>
                <w:color w:val="auto"/>
              </w:rPr>
              <w:t>PG&amp;E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Enterprise</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Iron County, UT</w:t>
            </w: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July 2016</w:t>
            </w:r>
          </w:p>
        </w:tc>
        <w:tc>
          <w:tcPr>
            <w:tcW w:w="188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Escalante I</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Beaver County, UT</w:t>
            </w: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August 2016</w:t>
            </w:r>
          </w:p>
        </w:tc>
        <w:tc>
          <w:tcPr>
            <w:tcW w:w="188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Escalante II</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Beaver County, UT</w:t>
            </w: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August 2016</w:t>
            </w:r>
          </w:p>
        </w:tc>
        <w:tc>
          <w:tcPr>
            <w:tcW w:w="188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Escalante III</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Beaver County, UT</w:t>
            </w: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August 2016</w:t>
            </w:r>
          </w:p>
        </w:tc>
        <w:tc>
          <w:tcPr>
            <w:tcW w:w="188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Granite Mountain East</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Iron County, UT</w:t>
            </w: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w w:val="99"/>
              </w:rPr>
              <w:t>September 2016</w:t>
            </w:r>
          </w:p>
        </w:tc>
        <w:tc>
          <w:tcPr>
            <w:tcW w:w="188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Granite Mountain West</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Iron County, UT</w:t>
            </w: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w w:val="99"/>
              </w:rPr>
              <w:t>September 2016</w:t>
            </w:r>
          </w:p>
        </w:tc>
        <w:tc>
          <w:tcPr>
            <w:tcW w:w="188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Iron Springs</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Iron County, UT</w:t>
            </w: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August 2016</w:t>
            </w:r>
          </w:p>
        </w:tc>
        <w:tc>
          <w:tcPr>
            <w:tcW w:w="188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Kansas South</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Lemoore, CA</w:t>
            </w: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June 2013</w:t>
            </w:r>
          </w:p>
        </w:tc>
        <w:tc>
          <w:tcPr>
            <w:tcW w:w="1880" w:type="dxa"/>
            <w:vAlign w:val="bottom"/>
          </w:tcPr>
          <w:p>
            <w:pPr>
              <w:ind w:left="40"/>
              <w:spacing w:after="0"/>
              <w:rPr>
                <w:sz w:val="20"/>
                <w:szCs w:val="20"/>
                <w:color w:val="auto"/>
              </w:rPr>
            </w:pPr>
            <w:r>
              <w:rPr>
                <w:rFonts w:ascii="Arial" w:cs="Arial" w:eastAsia="Arial" w:hAnsi="Arial"/>
                <w:sz w:val="16"/>
                <w:szCs w:val="16"/>
                <w:color w:val="auto"/>
              </w:rPr>
              <w:t>PG&amp;E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96"/>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Luna Valley </w:t>
            </w:r>
            <w:r>
              <w:rPr>
                <w:rFonts w:ascii="Arial" w:cs="Arial" w:eastAsia="Arial" w:hAnsi="Arial"/>
                <w:sz w:val="20"/>
                <w:szCs w:val="20"/>
                <w:color w:val="auto"/>
                <w:vertAlign w:val="superscript"/>
              </w:rPr>
              <w:t>(c)</w:t>
            </w:r>
          </w:p>
        </w:tc>
        <w:tc>
          <w:tcPr>
            <w:tcW w:w="8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Fresno County, CA</w:t>
            </w: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August 2025</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2040 - 2045</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Mililani I </w:t>
            </w:r>
            <w:r>
              <w:rPr>
                <w:rFonts w:ascii="Arial" w:cs="Arial" w:eastAsia="Arial" w:hAnsi="Arial"/>
                <w:sz w:val="20"/>
                <w:szCs w:val="20"/>
                <w:color w:val="auto"/>
                <w:vertAlign w:val="superscript"/>
              </w:rPr>
              <w:t>(c)</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Honolulu, HI</w:t>
            </w: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July 2022</w:t>
            </w:r>
          </w:p>
        </w:tc>
        <w:tc>
          <w:tcPr>
            <w:tcW w:w="1880" w:type="dxa"/>
            <w:vAlign w:val="bottom"/>
          </w:tcPr>
          <w:p>
            <w:pPr>
              <w:ind w:left="40"/>
              <w:spacing w:after="0"/>
              <w:rPr>
                <w:sz w:val="20"/>
                <w:szCs w:val="20"/>
                <w:color w:val="auto"/>
              </w:rPr>
            </w:pPr>
            <w:r>
              <w:rPr>
                <w:rFonts w:ascii="Arial" w:cs="Arial" w:eastAsia="Arial" w:hAnsi="Arial"/>
                <w:sz w:val="16"/>
                <w:szCs w:val="16"/>
                <w:color w:val="auto"/>
                <w:w w:val="93"/>
              </w:rPr>
              <w:t>Hawaiian Electric Company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Oahu Solar </w:t>
            </w:r>
            <w:r>
              <w:rPr>
                <w:rFonts w:ascii="Arial" w:cs="Arial" w:eastAsia="Arial" w:hAnsi="Arial"/>
                <w:sz w:val="20"/>
                <w:szCs w:val="20"/>
                <w:color w:val="auto"/>
                <w:vertAlign w:val="superscript"/>
              </w:rPr>
              <w:t>(c)</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Oahu, HI</w:t>
            </w: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w w:val="99"/>
              </w:rPr>
              <w:t>September 2019</w:t>
            </w:r>
          </w:p>
        </w:tc>
        <w:tc>
          <w:tcPr>
            <w:tcW w:w="1880" w:type="dxa"/>
            <w:vAlign w:val="bottom"/>
          </w:tcPr>
          <w:p>
            <w:pPr>
              <w:ind w:left="40"/>
              <w:spacing w:after="0"/>
              <w:rPr>
                <w:sz w:val="20"/>
                <w:szCs w:val="20"/>
                <w:color w:val="auto"/>
              </w:rPr>
            </w:pPr>
            <w:r>
              <w:rPr>
                <w:rFonts w:ascii="Arial" w:cs="Arial" w:eastAsia="Arial" w:hAnsi="Arial"/>
                <w:sz w:val="16"/>
                <w:szCs w:val="16"/>
                <w:color w:val="auto"/>
                <w:w w:val="93"/>
              </w:rPr>
              <w:t>Hawaiian Electric Company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Pine Forest </w:t>
            </w:r>
            <w:r>
              <w:rPr>
                <w:rFonts w:ascii="Arial" w:cs="Arial" w:eastAsia="Arial" w:hAnsi="Arial"/>
                <w:sz w:val="20"/>
                <w:szCs w:val="20"/>
                <w:color w:val="auto"/>
                <w:vertAlign w:val="superscript"/>
              </w:rPr>
              <w:t>(c)</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Hopkins County, TX</w:t>
            </w:r>
          </w:p>
        </w:tc>
        <w:tc>
          <w:tcPr>
            <w:tcW w:w="560" w:type="dxa"/>
            <w:vAlign w:val="bottom"/>
          </w:tcPr>
          <w:p>
            <w:pPr>
              <w:jc w:val="right"/>
              <w:spacing w:after="0"/>
              <w:rPr>
                <w:sz w:val="20"/>
                <w:szCs w:val="20"/>
                <w:color w:val="auto"/>
              </w:rPr>
            </w:pPr>
            <w:r>
              <w:rPr>
                <w:rFonts w:ascii="Arial" w:cs="Arial" w:eastAsia="Arial" w:hAnsi="Arial"/>
                <w:sz w:val="16"/>
                <w:szCs w:val="16"/>
                <w:color w:val="auto"/>
              </w:rPr>
              <w:t>300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2025</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2040 - 2045</w:t>
            </w:r>
          </w:p>
        </w:tc>
        <w:tc>
          <w:tcPr>
            <w:tcW w:w="0" w:type="dxa"/>
            <w:vAlign w:val="bottom"/>
          </w:tcPr>
          <w:p>
            <w:pPr>
              <w:spacing w:after="0"/>
              <w:rPr>
                <w:sz w:val="1"/>
                <w:szCs w:val="1"/>
                <w:color w:val="auto"/>
              </w:rPr>
            </w:pPr>
          </w:p>
        </w:tc>
      </w:tr>
      <w:tr>
        <w:trPr>
          <w:trHeight w:val="204"/>
        </w:trPr>
        <w:tc>
          <w:tcPr>
            <w:tcW w:w="1940" w:type="dxa"/>
            <w:vAlign w:val="bottom"/>
          </w:tcPr>
          <w:p>
            <w:pPr>
              <w:ind w:left="40"/>
              <w:spacing w:after="0"/>
              <w:rPr>
                <w:sz w:val="20"/>
                <w:szCs w:val="20"/>
                <w:color w:val="auto"/>
              </w:rPr>
            </w:pPr>
            <w:r>
              <w:rPr>
                <w:rFonts w:ascii="Arial" w:cs="Arial" w:eastAsia="Arial" w:hAnsi="Arial"/>
                <w:sz w:val="16"/>
                <w:szCs w:val="16"/>
                <w:color w:val="auto"/>
              </w:rPr>
              <w:t>Roadrunner</w:t>
            </w:r>
          </w:p>
        </w:tc>
        <w:tc>
          <w:tcPr>
            <w:tcW w:w="8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Santa Teresa, NM</w:t>
            </w: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August 2011</w:t>
            </w:r>
          </w:p>
        </w:tc>
        <w:tc>
          <w:tcPr>
            <w:tcW w:w="1880" w:type="dxa"/>
            <w:vAlign w:val="bottom"/>
          </w:tcPr>
          <w:p>
            <w:pPr>
              <w:ind w:left="40"/>
              <w:spacing w:after="0"/>
              <w:rPr>
                <w:sz w:val="20"/>
                <w:szCs w:val="20"/>
                <w:color w:val="auto"/>
              </w:rPr>
            </w:pPr>
            <w:r>
              <w:rPr>
                <w:rFonts w:ascii="Arial" w:cs="Arial" w:eastAsia="Arial" w:hAnsi="Arial"/>
                <w:sz w:val="16"/>
                <w:szCs w:val="16"/>
                <w:color w:val="auto"/>
              </w:rPr>
              <w:t>El Paso Electric</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96"/>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Rosamond Central </w:t>
            </w:r>
            <w:r>
              <w:rPr>
                <w:rFonts w:ascii="Arial" w:cs="Arial" w:eastAsia="Arial" w:hAnsi="Arial"/>
                <w:sz w:val="20"/>
                <w:szCs w:val="20"/>
                <w:color w:val="auto"/>
                <w:vertAlign w:val="superscript"/>
              </w:rPr>
              <w:t>(c)</w:t>
            </w:r>
          </w:p>
        </w:tc>
        <w:tc>
          <w:tcPr>
            <w:tcW w:w="8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Rosamond, CA</w:t>
            </w:r>
          </w:p>
        </w:tc>
        <w:tc>
          <w:tcPr>
            <w:tcW w:w="560" w:type="dxa"/>
            <w:vAlign w:val="bottom"/>
          </w:tcPr>
          <w:p>
            <w:pPr>
              <w:jc w:val="right"/>
              <w:spacing w:after="0"/>
              <w:rPr>
                <w:sz w:val="20"/>
                <w:szCs w:val="20"/>
                <w:color w:val="auto"/>
              </w:rPr>
            </w:pPr>
            <w:r>
              <w:rPr>
                <w:rFonts w:ascii="Arial" w:cs="Arial" w:eastAsia="Arial" w:hAnsi="Arial"/>
                <w:sz w:val="16"/>
                <w:szCs w:val="16"/>
                <w:color w:val="auto"/>
              </w:rPr>
              <w:t>192</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2020</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2035 - 2047</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Rosamond South I </w:t>
            </w:r>
            <w:r>
              <w:rPr>
                <w:rFonts w:ascii="Arial" w:cs="Arial" w:eastAsia="Arial" w:hAnsi="Arial"/>
                <w:sz w:val="20"/>
                <w:szCs w:val="20"/>
                <w:color w:val="auto"/>
                <w:vertAlign w:val="superscript"/>
              </w:rPr>
              <w:t>(c)</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Rosamond, CA</w:t>
            </w:r>
          </w:p>
        </w:tc>
        <w:tc>
          <w:tcPr>
            <w:tcW w:w="560" w:type="dxa"/>
            <w:vAlign w:val="bottom"/>
          </w:tcPr>
          <w:p>
            <w:pPr>
              <w:jc w:val="right"/>
              <w:spacing w:after="0"/>
              <w:rPr>
                <w:sz w:val="20"/>
                <w:szCs w:val="20"/>
                <w:color w:val="auto"/>
              </w:rPr>
            </w:pPr>
            <w:r>
              <w:rPr>
                <w:rFonts w:ascii="Arial" w:cs="Arial" w:eastAsia="Arial" w:hAnsi="Arial"/>
                <w:sz w:val="16"/>
                <w:szCs w:val="16"/>
                <w:color w:val="auto"/>
              </w:rPr>
              <w:t>140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August 2025</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04"/>
        </w:trPr>
        <w:tc>
          <w:tcPr>
            <w:tcW w:w="1940" w:type="dxa"/>
            <w:vAlign w:val="bottom"/>
          </w:tcPr>
          <w:p>
            <w:pPr>
              <w:ind w:left="40"/>
              <w:spacing w:after="0"/>
              <w:rPr>
                <w:sz w:val="20"/>
                <w:szCs w:val="20"/>
                <w:color w:val="auto"/>
              </w:rPr>
            </w:pPr>
            <w:r>
              <w:rPr>
                <w:rFonts w:ascii="Arial" w:cs="Arial" w:eastAsia="Arial" w:hAnsi="Arial"/>
                <w:sz w:val="16"/>
                <w:szCs w:val="16"/>
                <w:color w:val="auto"/>
              </w:rPr>
              <w:t>TA High Desert</w:t>
            </w:r>
          </w:p>
        </w:tc>
        <w:tc>
          <w:tcPr>
            <w:tcW w:w="8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Lancaster, CA</w:t>
            </w: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March 2013</w:t>
            </w:r>
          </w:p>
        </w:tc>
        <w:tc>
          <w:tcPr>
            <w:tcW w:w="1880" w:type="dxa"/>
            <w:vAlign w:val="bottom"/>
          </w:tcPr>
          <w:p>
            <w:pPr>
              <w:ind w:left="40"/>
              <w:spacing w:after="0"/>
              <w:rPr>
                <w:sz w:val="20"/>
                <w:szCs w:val="20"/>
                <w:color w:val="auto"/>
              </w:rPr>
            </w:pPr>
            <w:r>
              <w:rPr>
                <w:rFonts w:ascii="Arial" w:cs="Arial" w:eastAsia="Arial" w:hAnsi="Arial"/>
                <w:sz w:val="16"/>
                <w:szCs w:val="16"/>
                <w:color w:val="auto"/>
              </w:rPr>
              <w:t>SCE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96"/>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Texas Solar Nova 1 </w:t>
            </w:r>
            <w:r>
              <w:rPr>
                <w:rFonts w:ascii="Arial" w:cs="Arial" w:eastAsia="Arial" w:hAnsi="Arial"/>
                <w:sz w:val="20"/>
                <w:szCs w:val="20"/>
                <w:color w:val="auto"/>
                <w:vertAlign w:val="superscript"/>
              </w:rPr>
              <w:t>(c)</w:t>
            </w:r>
          </w:p>
        </w:tc>
        <w:tc>
          <w:tcPr>
            <w:tcW w:w="8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Kent County, TX</w:t>
            </w:r>
          </w:p>
        </w:tc>
        <w:tc>
          <w:tcPr>
            <w:tcW w:w="560" w:type="dxa"/>
            <w:vAlign w:val="bottom"/>
          </w:tcPr>
          <w:p>
            <w:pPr>
              <w:jc w:val="right"/>
              <w:spacing w:after="0"/>
              <w:rPr>
                <w:sz w:val="20"/>
                <w:szCs w:val="20"/>
                <w:color w:val="auto"/>
              </w:rPr>
            </w:pPr>
            <w:r>
              <w:rPr>
                <w:rFonts w:ascii="Arial" w:cs="Arial" w:eastAsia="Arial" w:hAnsi="Arial"/>
                <w:sz w:val="16"/>
                <w:szCs w:val="16"/>
                <w:color w:val="auto"/>
              </w:rPr>
              <w:t>252</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126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2023</w:t>
            </w:r>
          </w:p>
        </w:tc>
        <w:tc>
          <w:tcPr>
            <w:tcW w:w="1880" w:type="dxa"/>
            <w:vAlign w:val="bottom"/>
          </w:tcPr>
          <w:p>
            <w:pPr>
              <w:ind w:left="40"/>
              <w:spacing w:after="0"/>
              <w:rPr>
                <w:sz w:val="20"/>
                <w:szCs w:val="20"/>
                <w:color w:val="auto"/>
              </w:rPr>
            </w:pPr>
            <w:r>
              <w:rPr>
                <w:rFonts w:ascii="Arial" w:cs="Arial" w:eastAsia="Arial" w:hAnsi="Arial"/>
                <w:sz w:val="16"/>
                <w:szCs w:val="16"/>
                <w:color w:val="auto"/>
              </w:rPr>
              <w:t>Verizon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Texas Solar Nova 2 </w:t>
            </w:r>
            <w:r>
              <w:rPr>
                <w:rFonts w:ascii="Arial" w:cs="Arial" w:eastAsia="Arial" w:hAnsi="Arial"/>
                <w:sz w:val="20"/>
                <w:szCs w:val="20"/>
                <w:color w:val="auto"/>
                <w:vertAlign w:val="superscript"/>
              </w:rPr>
              <w:t>(c)</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Kent County, TX</w:t>
            </w: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February 2024</w:t>
            </w:r>
          </w:p>
        </w:tc>
        <w:tc>
          <w:tcPr>
            <w:tcW w:w="1880" w:type="dxa"/>
            <w:vAlign w:val="bottom"/>
          </w:tcPr>
          <w:p>
            <w:pPr>
              <w:ind w:left="40"/>
              <w:spacing w:after="0"/>
              <w:rPr>
                <w:sz w:val="20"/>
                <w:szCs w:val="20"/>
                <w:color w:val="auto"/>
              </w:rPr>
            </w:pPr>
            <w:r>
              <w:rPr>
                <w:rFonts w:ascii="Arial" w:cs="Arial" w:eastAsia="Arial" w:hAnsi="Arial"/>
                <w:sz w:val="16"/>
                <w:szCs w:val="16"/>
                <w:color w:val="auto"/>
              </w:rPr>
              <w:t>Verizon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Victory Pass </w:t>
            </w:r>
            <w:r>
              <w:rPr>
                <w:rFonts w:ascii="Arial" w:cs="Arial" w:eastAsia="Arial" w:hAnsi="Arial"/>
                <w:sz w:val="20"/>
                <w:szCs w:val="20"/>
                <w:color w:val="auto"/>
                <w:vertAlign w:val="superscript"/>
              </w:rPr>
              <w:t>(c)</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Riverside, CA</w:t>
            </w: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March 2024</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11"/>
        </w:trPr>
        <w:tc>
          <w:tcPr>
            <w:tcW w:w="1940" w:type="dxa"/>
            <w:vAlign w:val="bottom"/>
          </w:tcPr>
          <w:p>
            <w:pPr>
              <w:ind w:left="40"/>
              <w:spacing w:after="0" w:line="211" w:lineRule="exact"/>
              <w:rPr>
                <w:sz w:val="20"/>
                <w:szCs w:val="20"/>
                <w:color w:val="auto"/>
              </w:rPr>
            </w:pPr>
            <w:r>
              <w:rPr>
                <w:rFonts w:ascii="Arial" w:cs="Arial" w:eastAsia="Arial" w:hAnsi="Arial"/>
                <w:sz w:val="16"/>
                <w:szCs w:val="16"/>
                <w:color w:val="auto"/>
              </w:rPr>
              <w:t xml:space="preserve">Waiawa </w:t>
            </w:r>
            <w:r>
              <w:rPr>
                <w:rFonts w:ascii="Arial" w:cs="Arial" w:eastAsia="Arial" w:hAnsi="Arial"/>
                <w:sz w:val="20"/>
                <w:szCs w:val="20"/>
                <w:color w:val="auto"/>
                <w:vertAlign w:val="superscript"/>
              </w:rPr>
              <w:t>(c)</w:t>
            </w:r>
          </w:p>
        </w:tc>
        <w:tc>
          <w:tcPr>
            <w:tcW w:w="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Honolulu, HI</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January 2023</w:t>
            </w:r>
          </w:p>
        </w:tc>
        <w:tc>
          <w:tcPr>
            <w:tcW w:w="1880" w:type="dxa"/>
            <w:vAlign w:val="bottom"/>
          </w:tcPr>
          <w:p>
            <w:pPr>
              <w:ind w:left="40"/>
              <w:spacing w:after="0"/>
              <w:rPr>
                <w:sz w:val="20"/>
                <w:szCs w:val="20"/>
                <w:color w:val="auto"/>
              </w:rPr>
            </w:pPr>
            <w:r>
              <w:rPr>
                <w:rFonts w:ascii="Arial" w:cs="Arial" w:eastAsia="Arial" w:hAnsi="Arial"/>
                <w:sz w:val="16"/>
                <w:szCs w:val="16"/>
                <w:color w:val="auto"/>
                <w:w w:val="93"/>
              </w:rPr>
              <w:t>Hawaiian Electric Company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254"/>
        </w:trPr>
        <w:tc>
          <w:tcPr>
            <w:tcW w:w="3560" w:type="dxa"/>
            <w:vAlign w:val="bottom"/>
            <w:gridSpan w:val="4"/>
          </w:tcPr>
          <w:p>
            <w:pPr>
              <w:ind w:left="400"/>
              <w:spacing w:after="0"/>
              <w:rPr>
                <w:sz w:val="20"/>
                <w:szCs w:val="20"/>
                <w:color w:val="auto"/>
              </w:rPr>
            </w:pPr>
            <w:r>
              <w:rPr>
                <w:rFonts w:ascii="Arial" w:cs="Arial" w:eastAsia="Arial" w:hAnsi="Arial"/>
                <w:sz w:val="18"/>
                <w:szCs w:val="18"/>
                <w:b w:val="1"/>
                <w:bCs w:val="1"/>
                <w:i w:val="1"/>
                <w:iCs w:val="1"/>
                <w:color w:val="auto"/>
              </w:rPr>
              <w:t>Total Utility Scale Solar</w:t>
            </w:r>
          </w:p>
        </w:tc>
        <w:tc>
          <w:tcPr>
            <w:tcW w:w="560" w:type="dxa"/>
            <w:vAlign w:val="bottom"/>
          </w:tcPr>
          <w:p>
            <w:pPr>
              <w:jc w:val="right"/>
              <w:spacing w:after="0"/>
              <w:rPr>
                <w:sz w:val="20"/>
                <w:szCs w:val="20"/>
                <w:color w:val="auto"/>
              </w:rPr>
            </w:pPr>
            <w:r>
              <w:rPr>
                <w:rFonts w:ascii="Arial" w:cs="Arial" w:eastAsia="Arial" w:hAnsi="Arial"/>
                <w:sz w:val="16"/>
                <w:szCs w:val="16"/>
                <w:color w:val="auto"/>
              </w:rPr>
              <w:t>4,489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2,695</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Utility Scale BESS</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 xml:space="preserve">Arica </w:t>
            </w:r>
            <w:r>
              <w:rPr>
                <w:rFonts w:ascii="Arial" w:cs="Arial" w:eastAsia="Arial" w:hAnsi="Arial"/>
                <w:sz w:val="20"/>
                <w:szCs w:val="20"/>
                <w:color w:val="auto"/>
                <w:vertAlign w:val="superscript"/>
              </w:rPr>
              <w:t>(c)</w:t>
            </w:r>
          </w:p>
        </w:tc>
        <w:tc>
          <w:tcPr>
            <w:tcW w:w="8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color w:val="auto"/>
              </w:rPr>
              <w:t>Riverside, CA</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136</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54</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March - June</w:t>
            </w:r>
          </w:p>
        </w:tc>
        <w:tc>
          <w:tcPr>
            <w:tcW w:w="1880" w:type="dxa"/>
            <w:vAlign w:val="bottom"/>
            <w:vMerge w:val="restart"/>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2039 - 2041</w:t>
            </w:r>
          </w:p>
        </w:tc>
        <w:tc>
          <w:tcPr>
            <w:tcW w:w="0" w:type="dxa"/>
            <w:vAlign w:val="bottom"/>
          </w:tcPr>
          <w:p>
            <w:pPr>
              <w:spacing w:after="0"/>
              <w:rPr>
                <w:sz w:val="1"/>
                <w:szCs w:val="1"/>
                <w:color w:val="auto"/>
              </w:rPr>
            </w:pPr>
          </w:p>
        </w:tc>
      </w:tr>
      <w:tr>
        <w:trPr>
          <w:trHeight w:val="274"/>
        </w:trPr>
        <w:tc>
          <w:tcPr>
            <w:tcW w:w="19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gridSpan w:val="2"/>
            <w:vMerge w:val="continue"/>
          </w:tcPr>
          <w:p>
            <w:pPr>
              <w:spacing w:after="0"/>
              <w:rPr>
                <w:sz w:val="23"/>
                <w:szCs w:val="23"/>
                <w:color w:val="auto"/>
              </w:rPr>
            </w:pPr>
          </w:p>
        </w:tc>
        <w:tc>
          <w:tcPr>
            <w:tcW w:w="560" w:type="dxa"/>
            <w:vAlign w:val="bottom"/>
            <w:vMerge w:val="continue"/>
          </w:tcPr>
          <w:p>
            <w:pPr>
              <w:spacing w:after="0"/>
              <w:rPr>
                <w:sz w:val="23"/>
                <w:szCs w:val="23"/>
                <w:color w:val="auto"/>
              </w:rPr>
            </w:pPr>
          </w:p>
        </w:tc>
        <w:tc>
          <w:tcPr>
            <w:tcW w:w="680" w:type="dxa"/>
            <w:vAlign w:val="bottom"/>
            <w:gridSpan w:val="2"/>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23"/>
                <w:szCs w:val="23"/>
                <w:color w:val="auto"/>
              </w:rPr>
            </w:pPr>
          </w:p>
        </w:tc>
        <w:tc>
          <w:tcPr>
            <w:tcW w:w="1880" w:type="dxa"/>
            <w:vAlign w:val="bottom"/>
            <w:vMerge w:val="continue"/>
          </w:tcPr>
          <w:p>
            <w:pPr>
              <w:spacing w:after="0"/>
              <w:rPr>
                <w:sz w:val="23"/>
                <w:szCs w:val="23"/>
                <w:color w:val="auto"/>
              </w:rPr>
            </w:pPr>
          </w:p>
        </w:tc>
        <w:tc>
          <w:tcPr>
            <w:tcW w:w="10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-7719695</wp:posOffset>
            </wp:positionV>
            <wp:extent cx="6410325" cy="7698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6410325" cy="7698105"/>
                    </a:xfrm>
                    <a:prstGeom prst="rect">
                      <a:avLst/>
                    </a:prstGeom>
                    <a:noFill/>
                  </pic:spPr>
                </pic:pic>
              </a:graphicData>
            </a:graphic>
          </wp:anchor>
        </w:drawing>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040"/>
          </w:cols>
          <w:pgMar w:left="920" w:top="577" w:right="920" w:bottom="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7"/>
        </w:trPr>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8"/>
                <w:szCs w:val="18"/>
                <w:b w:val="1"/>
                <w:bCs w:val="1"/>
                <w:color w:val="auto"/>
              </w:rPr>
              <w:t>Capacity</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Rated</w:t>
            </w:r>
          </w:p>
        </w:tc>
        <w:tc>
          <w:tcPr>
            <w:tcW w:w="80" w:type="dxa"/>
            <w:vAlign w:val="bottom"/>
          </w:tcPr>
          <w:p>
            <w:pPr>
              <w:spacing w:after="0"/>
              <w:rPr>
                <w:sz w:val="23"/>
                <w:szCs w:val="23"/>
                <w:color w:val="auto"/>
              </w:rPr>
            </w:pPr>
          </w:p>
        </w:tc>
        <w:tc>
          <w:tcPr>
            <w:tcW w:w="600" w:type="dxa"/>
            <w:vAlign w:val="bottom"/>
            <w:vMerge w:val="restart"/>
          </w:tcPr>
          <w:p>
            <w:pPr>
              <w:jc w:val="right"/>
              <w:ind w:right="86"/>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8"/>
              </w:rPr>
              <w:t>Percentage</w:t>
            </w: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8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Contract</w:t>
            </w:r>
          </w:p>
        </w:tc>
        <w:tc>
          <w:tcPr>
            <w:tcW w:w="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1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Facilities</w:t>
            </w:r>
          </w:p>
        </w:tc>
        <w:tc>
          <w:tcPr>
            <w:tcW w:w="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40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Location</w:t>
            </w:r>
          </w:p>
        </w:tc>
        <w:tc>
          <w:tcPr>
            <w:tcW w:w="80" w:type="dxa"/>
            <w:vAlign w:val="bottom"/>
            <w:vMerge w:val="restart"/>
          </w:tcPr>
          <w:p>
            <w:pPr>
              <w:spacing w:after="0"/>
              <w:rPr>
                <w:sz w:val="2"/>
                <w:szCs w:val="2"/>
                <w:color w:val="auto"/>
              </w:rPr>
            </w:pPr>
          </w:p>
        </w:tc>
        <w:tc>
          <w:tcPr>
            <w:tcW w:w="5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COD</w:t>
            </w:r>
          </w:p>
        </w:tc>
        <w:tc>
          <w:tcPr>
            <w:tcW w:w="80" w:type="dxa"/>
            <w:vAlign w:val="bottom"/>
            <w:vMerge w:val="restart"/>
          </w:tcPr>
          <w:p>
            <w:pPr>
              <w:spacing w:after="0"/>
              <w:rPr>
                <w:sz w:val="2"/>
                <w:szCs w:val="2"/>
                <w:color w:val="auto"/>
              </w:rPr>
            </w:pPr>
          </w:p>
        </w:tc>
        <w:tc>
          <w:tcPr>
            <w:tcW w:w="18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Counterparty</w:t>
            </w:r>
          </w:p>
        </w:tc>
        <w:tc>
          <w:tcPr>
            <w:tcW w:w="6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Expiration</w:t>
            </w:r>
          </w:p>
        </w:tc>
        <w:tc>
          <w:tcPr>
            <w:tcW w:w="0" w:type="dxa"/>
            <w:vAlign w:val="bottom"/>
          </w:tcPr>
          <w:p>
            <w:pPr>
              <w:spacing w:after="0" w:line="20" w:lineRule="exact"/>
              <w:rPr>
                <w:sz w:val="1"/>
                <w:szCs w:val="1"/>
                <w:color w:val="auto"/>
              </w:rPr>
            </w:pPr>
          </w:p>
        </w:tc>
      </w:tr>
      <w:tr>
        <w:trPr>
          <w:trHeight w:val="234"/>
        </w:trPr>
        <w:tc>
          <w:tcPr>
            <w:tcW w:w="19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MW</w:t>
            </w: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spacing w:after="0" w:line="233" w:lineRule="exact"/>
              <w:rPr>
                <w:sz w:val="20"/>
                <w:szCs w:val="20"/>
                <w:color w:val="auto"/>
              </w:rPr>
            </w:pPr>
            <w:r>
              <w:rPr>
                <w:rFonts w:ascii="Arial" w:cs="Arial" w:eastAsia="Arial" w:hAnsi="Arial"/>
                <w:sz w:val="27"/>
                <w:szCs w:val="27"/>
                <w:b w:val="1"/>
                <w:bCs w:val="1"/>
                <w:color w:val="auto"/>
                <w:vertAlign w:val="subscript"/>
              </w:rPr>
              <w:t>MW</w:t>
            </w:r>
            <w:r>
              <w:rPr>
                <w:rFonts w:ascii="Arial" w:cs="Arial" w:eastAsia="Arial" w:hAnsi="Arial"/>
                <w:sz w:val="10"/>
                <w:szCs w:val="10"/>
                <w:b w:val="1"/>
                <w:bCs w:val="1"/>
                <w:color w:val="auto"/>
              </w:rPr>
              <w:t>(a)</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Ownership</w:t>
            </w:r>
          </w:p>
        </w:tc>
        <w:tc>
          <w:tcPr>
            <w:tcW w:w="80" w:type="dxa"/>
            <w:vAlign w:val="bottom"/>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 xml:space="preserve">Daggett 1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San Bernardino, CA</w:t>
            </w:r>
          </w:p>
        </w:tc>
        <w:tc>
          <w:tcPr>
            <w:tcW w:w="560" w:type="dxa"/>
            <w:vAlign w:val="bottom"/>
          </w:tcPr>
          <w:p>
            <w:pPr>
              <w:jc w:val="right"/>
              <w:spacing w:after="0"/>
              <w:rPr>
                <w:sz w:val="20"/>
                <w:szCs w:val="20"/>
                <w:color w:val="auto"/>
              </w:rPr>
            </w:pPr>
            <w:r>
              <w:rPr>
                <w:rFonts w:ascii="Arial" w:cs="Arial" w:eastAsia="Arial" w:hAnsi="Arial"/>
                <w:sz w:val="16"/>
                <w:szCs w:val="16"/>
                <w:color w:val="auto"/>
              </w:rPr>
              <w:t>114</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114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w w:val="99"/>
              </w:rPr>
              <w:t>September 2025</w:t>
            </w:r>
          </w:p>
        </w:tc>
        <w:tc>
          <w:tcPr>
            <w:tcW w:w="1880" w:type="dxa"/>
            <w:vAlign w:val="bottom"/>
          </w:tcPr>
          <w:p>
            <w:pPr>
              <w:ind w:left="40"/>
              <w:spacing w:after="0"/>
              <w:rPr>
                <w:sz w:val="20"/>
                <w:szCs w:val="20"/>
                <w:color w:val="auto"/>
              </w:rPr>
            </w:pPr>
            <w:r>
              <w:rPr>
                <w:rFonts w:ascii="Arial" w:cs="Arial" w:eastAsia="Arial" w:hAnsi="Arial"/>
                <w:sz w:val="16"/>
                <w:szCs w:val="16"/>
                <w:color w:val="auto"/>
              </w:rPr>
              <w:t>SDG&amp;E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55"/>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 xml:space="preserve">Daggett 2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San Bernardino, CA</w:t>
            </w:r>
          </w:p>
        </w:tc>
        <w:tc>
          <w:tcPr>
            <w:tcW w:w="560" w:type="dxa"/>
            <w:vAlign w:val="bottom"/>
          </w:tcPr>
          <w:p>
            <w:pPr>
              <w:jc w:val="right"/>
              <w:spacing w:after="0"/>
              <w:rPr>
                <w:sz w:val="20"/>
                <w:szCs w:val="20"/>
                <w:color w:val="auto"/>
              </w:rPr>
            </w:pPr>
            <w:r>
              <w:rPr>
                <w:rFonts w:ascii="Arial" w:cs="Arial" w:eastAsia="Arial" w:hAnsi="Arial"/>
                <w:sz w:val="16"/>
                <w:szCs w:val="16"/>
                <w:color w:val="auto"/>
              </w:rPr>
              <w:t>131</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2023</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158"/>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 xml:space="preserve">Daggett 3 </w:t>
            </w:r>
            <w:r>
              <w:rPr>
                <w:rFonts w:ascii="Arial" w:cs="Arial" w:eastAsia="Arial" w:hAnsi="Arial"/>
                <w:sz w:val="20"/>
                <w:szCs w:val="20"/>
                <w:color w:val="auto"/>
                <w:vertAlign w:val="superscript"/>
              </w:rPr>
              <w:t>(c)</w:t>
            </w:r>
          </w:p>
        </w:tc>
        <w:tc>
          <w:tcPr>
            <w:tcW w:w="1480" w:type="dxa"/>
            <w:vAlign w:val="bottom"/>
            <w:gridSpan w:val="2"/>
            <w:vMerge w:val="restart"/>
          </w:tcPr>
          <w:p>
            <w:pPr>
              <w:spacing w:after="0"/>
              <w:rPr>
                <w:sz w:val="20"/>
                <w:szCs w:val="20"/>
                <w:color w:val="auto"/>
              </w:rPr>
            </w:pPr>
            <w:r>
              <w:rPr>
                <w:rFonts w:ascii="Arial" w:cs="Arial" w:eastAsia="Arial" w:hAnsi="Arial"/>
                <w:sz w:val="16"/>
                <w:szCs w:val="16"/>
                <w:color w:val="auto"/>
              </w:rPr>
              <w:t>San Bernardino, CA</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149</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37</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3"/>
                <w:szCs w:val="13"/>
                <w:color w:val="auto"/>
              </w:rPr>
            </w:pPr>
          </w:p>
        </w:tc>
        <w:tc>
          <w:tcPr>
            <w:tcW w:w="1260" w:type="dxa"/>
            <w:vAlign w:val="bottom"/>
            <w:gridSpan w:val="2"/>
          </w:tcPr>
          <w:p>
            <w:pPr>
              <w:ind w:left="60"/>
              <w:spacing w:after="0" w:line="158" w:lineRule="exact"/>
              <w:rPr>
                <w:sz w:val="20"/>
                <w:szCs w:val="20"/>
                <w:color w:val="auto"/>
              </w:rPr>
            </w:pPr>
            <w:r>
              <w:rPr>
                <w:rFonts w:ascii="Arial" w:cs="Arial" w:eastAsia="Arial" w:hAnsi="Arial"/>
                <w:sz w:val="16"/>
                <w:szCs w:val="16"/>
                <w:color w:val="auto"/>
              </w:rPr>
              <w:t>July - November</w:t>
            </w:r>
          </w:p>
        </w:tc>
        <w:tc>
          <w:tcPr>
            <w:tcW w:w="1880" w:type="dxa"/>
            <w:vAlign w:val="bottom"/>
            <w:vMerge w:val="restart"/>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2033 - 2038</w:t>
            </w:r>
          </w:p>
        </w:tc>
        <w:tc>
          <w:tcPr>
            <w:tcW w:w="0" w:type="dxa"/>
            <w:vAlign w:val="bottom"/>
          </w:tcPr>
          <w:p>
            <w:pPr>
              <w:spacing w:after="0"/>
              <w:rPr>
                <w:sz w:val="1"/>
                <w:szCs w:val="1"/>
                <w:color w:val="auto"/>
              </w:rPr>
            </w:pPr>
          </w:p>
        </w:tc>
      </w:tr>
      <w:tr>
        <w:trPr>
          <w:trHeight w:val="249"/>
        </w:trPr>
        <w:tc>
          <w:tcPr>
            <w:tcW w:w="2080" w:type="dxa"/>
            <w:vAlign w:val="bottom"/>
            <w:gridSpan w:val="3"/>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 xml:space="preserve">Mililani I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Honolulu, HI</w:t>
            </w:r>
          </w:p>
        </w:tc>
        <w:tc>
          <w:tcPr>
            <w:tcW w:w="560" w:type="dxa"/>
            <w:vAlign w:val="bottom"/>
          </w:tcPr>
          <w:p>
            <w:pPr>
              <w:jc w:val="right"/>
              <w:spacing w:after="0"/>
              <w:rPr>
                <w:sz w:val="20"/>
                <w:szCs w:val="20"/>
                <w:color w:val="auto"/>
              </w:rPr>
            </w:pPr>
            <w:r>
              <w:rPr>
                <w:rFonts w:ascii="Arial" w:cs="Arial" w:eastAsia="Arial" w:hAnsi="Arial"/>
                <w:sz w:val="16"/>
                <w:szCs w:val="16"/>
                <w:color w:val="auto"/>
              </w:rPr>
              <w:t>39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July 2022</w:t>
            </w:r>
          </w:p>
        </w:tc>
        <w:tc>
          <w:tcPr>
            <w:tcW w:w="1880" w:type="dxa"/>
            <w:vAlign w:val="bottom"/>
          </w:tcPr>
          <w:p>
            <w:pPr>
              <w:ind w:left="40"/>
              <w:spacing w:after="0"/>
              <w:rPr>
                <w:sz w:val="20"/>
                <w:szCs w:val="20"/>
                <w:color w:val="auto"/>
              </w:rPr>
            </w:pPr>
            <w:r>
              <w:rPr>
                <w:rFonts w:ascii="Arial" w:cs="Arial" w:eastAsia="Arial" w:hAnsi="Arial"/>
                <w:sz w:val="16"/>
                <w:szCs w:val="16"/>
                <w:color w:val="auto"/>
                <w:w w:val="93"/>
              </w:rPr>
              <w:t>Hawaiian Electric Company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 xml:space="preserve">Pine Forest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Hopkins County, TX</w:t>
            </w: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October 2025</w:t>
            </w:r>
          </w:p>
        </w:tc>
        <w:tc>
          <w:tcPr>
            <w:tcW w:w="1880" w:type="dxa"/>
            <w:vAlign w:val="bottom"/>
          </w:tcPr>
          <w:p>
            <w:pPr>
              <w:ind w:left="40"/>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 xml:space="preserve">Rosamond Central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Rosamond, CA</w:t>
            </w:r>
          </w:p>
        </w:tc>
        <w:tc>
          <w:tcPr>
            <w:tcW w:w="560" w:type="dxa"/>
            <w:vAlign w:val="bottom"/>
          </w:tcPr>
          <w:p>
            <w:pPr>
              <w:jc w:val="right"/>
              <w:spacing w:after="0"/>
              <w:rPr>
                <w:sz w:val="20"/>
                <w:szCs w:val="20"/>
                <w:color w:val="auto"/>
              </w:rPr>
            </w:pPr>
            <w:r>
              <w:rPr>
                <w:rFonts w:ascii="Arial" w:cs="Arial" w:eastAsia="Arial" w:hAnsi="Arial"/>
                <w:sz w:val="16"/>
                <w:szCs w:val="16"/>
                <w:color w:val="auto"/>
              </w:rPr>
              <w:t>147</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June 2024</w:t>
            </w:r>
          </w:p>
        </w:tc>
        <w:tc>
          <w:tcPr>
            <w:tcW w:w="1880" w:type="dxa"/>
            <w:vAlign w:val="bottom"/>
          </w:tcPr>
          <w:p>
            <w:pPr>
              <w:ind w:left="40"/>
              <w:spacing w:after="0"/>
              <w:rPr>
                <w:sz w:val="20"/>
                <w:szCs w:val="20"/>
                <w:color w:val="auto"/>
              </w:rPr>
            </w:pPr>
            <w:r>
              <w:rPr>
                <w:rFonts w:ascii="Arial" w:cs="Arial" w:eastAsia="Arial" w:hAnsi="Arial"/>
                <w:sz w:val="16"/>
                <w:szCs w:val="16"/>
                <w:color w:val="auto"/>
              </w:rPr>
              <w:t>SCE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 xml:space="preserve">Rosamond South I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Rosamond, CA</w:t>
            </w:r>
          </w:p>
        </w:tc>
        <w:tc>
          <w:tcPr>
            <w:tcW w:w="560" w:type="dxa"/>
            <w:vAlign w:val="bottom"/>
          </w:tcPr>
          <w:p>
            <w:pPr>
              <w:jc w:val="right"/>
              <w:spacing w:after="0"/>
              <w:rPr>
                <w:sz w:val="20"/>
                <w:szCs w:val="20"/>
                <w:color w:val="auto"/>
              </w:rPr>
            </w:pPr>
            <w:r>
              <w:rPr>
                <w:rFonts w:ascii="Arial" w:cs="Arial" w:eastAsia="Arial" w:hAnsi="Arial"/>
                <w:sz w:val="16"/>
                <w:szCs w:val="16"/>
                <w:color w:val="auto"/>
              </w:rPr>
              <w:t>117</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August 2025</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2035 - 2040</w:t>
            </w: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 xml:space="preserve">Victory Pass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Riverside, CA</w:t>
            </w: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March 2024</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11"/>
        </w:trPr>
        <w:tc>
          <w:tcPr>
            <w:tcW w:w="2080" w:type="dxa"/>
            <w:vAlign w:val="bottom"/>
            <w:gridSpan w:val="3"/>
          </w:tcPr>
          <w:p>
            <w:pPr>
              <w:ind w:left="40"/>
              <w:spacing w:after="0" w:line="211" w:lineRule="exact"/>
              <w:rPr>
                <w:sz w:val="20"/>
                <w:szCs w:val="20"/>
                <w:color w:val="auto"/>
              </w:rPr>
            </w:pPr>
            <w:r>
              <w:rPr>
                <w:rFonts w:ascii="Arial" w:cs="Arial" w:eastAsia="Arial" w:hAnsi="Arial"/>
                <w:sz w:val="16"/>
                <w:szCs w:val="16"/>
                <w:color w:val="auto"/>
              </w:rPr>
              <w:t xml:space="preserve">Waiawa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Honolulu, HI</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January 2023</w:t>
            </w:r>
          </w:p>
        </w:tc>
        <w:tc>
          <w:tcPr>
            <w:tcW w:w="1880" w:type="dxa"/>
            <w:vAlign w:val="bottom"/>
          </w:tcPr>
          <w:p>
            <w:pPr>
              <w:ind w:left="40"/>
              <w:spacing w:after="0"/>
              <w:rPr>
                <w:sz w:val="20"/>
                <w:szCs w:val="20"/>
                <w:color w:val="auto"/>
              </w:rPr>
            </w:pPr>
            <w:r>
              <w:rPr>
                <w:rFonts w:ascii="Arial" w:cs="Arial" w:eastAsia="Arial" w:hAnsi="Arial"/>
                <w:sz w:val="16"/>
                <w:szCs w:val="16"/>
                <w:color w:val="auto"/>
                <w:w w:val="93"/>
              </w:rPr>
              <w:t>Hawaiian Electric Company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254"/>
        </w:trPr>
        <w:tc>
          <w:tcPr>
            <w:tcW w:w="3560" w:type="dxa"/>
            <w:vAlign w:val="bottom"/>
            <w:gridSpan w:val="5"/>
          </w:tcPr>
          <w:p>
            <w:pPr>
              <w:ind w:left="400"/>
              <w:spacing w:after="0"/>
              <w:rPr>
                <w:sz w:val="20"/>
                <w:szCs w:val="20"/>
                <w:color w:val="auto"/>
              </w:rPr>
            </w:pPr>
            <w:r>
              <w:rPr>
                <w:rFonts w:ascii="Arial" w:cs="Arial" w:eastAsia="Arial" w:hAnsi="Arial"/>
                <w:sz w:val="18"/>
                <w:szCs w:val="18"/>
                <w:b w:val="1"/>
                <w:bCs w:val="1"/>
                <w:i w:val="1"/>
                <w:iCs w:val="1"/>
                <w:color w:val="auto"/>
              </w:rPr>
              <w:t>Total Utility Scale BESS</w:t>
            </w:r>
          </w:p>
        </w:tc>
        <w:tc>
          <w:tcPr>
            <w:tcW w:w="560" w:type="dxa"/>
            <w:vAlign w:val="bottom"/>
          </w:tcPr>
          <w:p>
            <w:pPr>
              <w:jc w:val="right"/>
              <w:spacing w:after="0"/>
              <w:rPr>
                <w:sz w:val="20"/>
                <w:szCs w:val="20"/>
                <w:color w:val="auto"/>
              </w:rPr>
            </w:pPr>
            <w:r>
              <w:rPr>
                <w:rFonts w:ascii="Arial" w:cs="Arial" w:eastAsia="Arial" w:hAnsi="Arial"/>
                <w:sz w:val="16"/>
                <w:szCs w:val="16"/>
                <w:color w:val="auto"/>
              </w:rPr>
              <w:t>1,119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529</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0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Distributed Solar</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 xml:space="preserve">DGPV Funds </w:t>
            </w:r>
            <w:r>
              <w:rPr>
                <w:rFonts w:ascii="Arial" w:cs="Arial" w:eastAsia="Arial" w:hAnsi="Arial"/>
                <w:sz w:val="20"/>
                <w:szCs w:val="20"/>
                <w:color w:val="auto"/>
                <w:vertAlign w:val="superscript"/>
              </w:rPr>
              <w:t>(c)</w:t>
            </w:r>
          </w:p>
        </w:tc>
        <w:tc>
          <w:tcPr>
            <w:tcW w:w="1480" w:type="dxa"/>
            <w:vAlign w:val="bottom"/>
            <w:gridSpan w:val="2"/>
            <w:vMerge w:val="restart"/>
          </w:tcPr>
          <w:p>
            <w:pPr>
              <w:spacing w:after="0"/>
              <w:rPr>
                <w:sz w:val="20"/>
                <w:szCs w:val="20"/>
                <w:color w:val="auto"/>
              </w:rPr>
            </w:pPr>
            <w:r>
              <w:rPr>
                <w:rFonts w:ascii="Arial" w:cs="Arial" w:eastAsia="Arial" w:hAnsi="Arial"/>
                <w:sz w:val="16"/>
                <w:szCs w:val="16"/>
                <w:color w:val="auto"/>
              </w:rPr>
              <w:t>Various</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286</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286</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w w:val="99"/>
              </w:rPr>
              <w:t>September 2015</w:t>
            </w:r>
          </w:p>
        </w:tc>
        <w:tc>
          <w:tcPr>
            <w:tcW w:w="1880" w:type="dxa"/>
            <w:vAlign w:val="bottom"/>
            <w:vMerge w:val="restart"/>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2030 - 2044</w:t>
            </w:r>
          </w:p>
        </w:tc>
        <w:tc>
          <w:tcPr>
            <w:tcW w:w="0" w:type="dxa"/>
            <w:vAlign w:val="bottom"/>
          </w:tcPr>
          <w:p>
            <w:pPr>
              <w:spacing w:after="0"/>
              <w:rPr>
                <w:sz w:val="1"/>
                <w:szCs w:val="1"/>
                <w:color w:val="auto"/>
              </w:rPr>
            </w:pPr>
          </w:p>
        </w:tc>
      </w:tr>
      <w:tr>
        <w:trPr>
          <w:trHeight w:val="254"/>
        </w:trPr>
        <w:tc>
          <w:tcPr>
            <w:tcW w:w="2080" w:type="dxa"/>
            <w:vAlign w:val="bottom"/>
            <w:gridSpan w:val="3"/>
            <w:vMerge w:val="continue"/>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560" w:type="dxa"/>
            <w:vAlign w:val="bottom"/>
            <w:vMerge w:val="continue"/>
          </w:tcPr>
          <w:p>
            <w:pPr>
              <w:spacing w:after="0"/>
              <w:rPr>
                <w:sz w:val="22"/>
                <w:szCs w:val="22"/>
                <w:color w:val="auto"/>
              </w:rPr>
            </w:pPr>
          </w:p>
        </w:tc>
        <w:tc>
          <w:tcPr>
            <w:tcW w:w="68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 March 2019</w:t>
            </w:r>
          </w:p>
        </w:tc>
        <w:tc>
          <w:tcPr>
            <w:tcW w:w="188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Solar Power Partners (SPP)</w:t>
            </w:r>
          </w:p>
        </w:tc>
        <w:tc>
          <w:tcPr>
            <w:tcW w:w="1480" w:type="dxa"/>
            <w:vAlign w:val="bottom"/>
            <w:gridSpan w:val="2"/>
            <w:vMerge w:val="restart"/>
          </w:tcPr>
          <w:p>
            <w:pPr>
              <w:spacing w:after="0"/>
              <w:rPr>
                <w:sz w:val="20"/>
                <w:szCs w:val="20"/>
                <w:color w:val="auto"/>
              </w:rPr>
            </w:pPr>
            <w:r>
              <w:rPr>
                <w:rFonts w:ascii="Arial" w:cs="Arial" w:eastAsia="Arial" w:hAnsi="Arial"/>
                <w:sz w:val="16"/>
                <w:szCs w:val="16"/>
                <w:color w:val="auto"/>
              </w:rPr>
              <w:t>Various</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24</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3"/>
                <w:szCs w:val="13"/>
                <w:color w:val="auto"/>
              </w:rPr>
            </w:pPr>
          </w:p>
        </w:tc>
        <w:tc>
          <w:tcPr>
            <w:tcW w:w="1260" w:type="dxa"/>
            <w:vAlign w:val="bottom"/>
            <w:gridSpan w:val="2"/>
          </w:tcPr>
          <w:p>
            <w:pPr>
              <w:ind w:left="60"/>
              <w:spacing w:after="0" w:line="158" w:lineRule="exact"/>
              <w:rPr>
                <w:sz w:val="20"/>
                <w:szCs w:val="20"/>
                <w:color w:val="auto"/>
              </w:rPr>
            </w:pPr>
            <w:r>
              <w:rPr>
                <w:rFonts w:ascii="Arial" w:cs="Arial" w:eastAsia="Arial" w:hAnsi="Arial"/>
                <w:sz w:val="16"/>
                <w:szCs w:val="16"/>
                <w:color w:val="auto"/>
                <w:w w:val="95"/>
              </w:rPr>
              <w:t>June 2008 - June</w:t>
            </w:r>
          </w:p>
        </w:tc>
        <w:tc>
          <w:tcPr>
            <w:tcW w:w="1880" w:type="dxa"/>
            <w:vAlign w:val="bottom"/>
            <w:vMerge w:val="restart"/>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2026 - 2037</w:t>
            </w:r>
          </w:p>
        </w:tc>
        <w:tc>
          <w:tcPr>
            <w:tcW w:w="0" w:type="dxa"/>
            <w:vAlign w:val="bottom"/>
          </w:tcPr>
          <w:p>
            <w:pPr>
              <w:spacing w:after="0"/>
              <w:rPr>
                <w:sz w:val="1"/>
                <w:szCs w:val="1"/>
                <w:color w:val="auto"/>
              </w:rPr>
            </w:pPr>
          </w:p>
        </w:tc>
      </w:tr>
      <w:tr>
        <w:trPr>
          <w:trHeight w:val="204"/>
        </w:trPr>
        <w:tc>
          <w:tcPr>
            <w:tcW w:w="2080" w:type="dxa"/>
            <w:vAlign w:val="bottom"/>
            <w:gridSpan w:val="3"/>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color w:val="auto"/>
              </w:rPr>
              <w:t>2012</w:t>
            </w:r>
          </w:p>
        </w:tc>
        <w:tc>
          <w:tcPr>
            <w:tcW w:w="8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Other DG Facilities</w:t>
            </w:r>
          </w:p>
        </w:tc>
        <w:tc>
          <w:tcPr>
            <w:tcW w:w="1480" w:type="dxa"/>
            <w:vAlign w:val="bottom"/>
            <w:gridSpan w:val="2"/>
            <w:vMerge w:val="restart"/>
          </w:tcPr>
          <w:p>
            <w:pPr>
              <w:spacing w:after="0"/>
              <w:rPr>
                <w:sz w:val="20"/>
                <w:szCs w:val="20"/>
                <w:color w:val="auto"/>
              </w:rPr>
            </w:pPr>
            <w:r>
              <w:rPr>
                <w:rFonts w:ascii="Arial" w:cs="Arial" w:eastAsia="Arial" w:hAnsi="Arial"/>
                <w:sz w:val="16"/>
                <w:szCs w:val="16"/>
                <w:color w:val="auto"/>
              </w:rPr>
              <w:t>Various</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80" w:type="dxa"/>
            <w:vAlign w:val="bottom"/>
            <w:vMerge w:val="restart"/>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2010</w:t>
            </w:r>
          </w:p>
        </w:tc>
        <w:tc>
          <w:tcPr>
            <w:tcW w:w="1880" w:type="dxa"/>
            <w:vAlign w:val="bottom"/>
            <w:vMerge w:val="restart"/>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2026 - 2039</w:t>
            </w:r>
          </w:p>
        </w:tc>
        <w:tc>
          <w:tcPr>
            <w:tcW w:w="0" w:type="dxa"/>
            <w:vAlign w:val="bottom"/>
          </w:tcPr>
          <w:p>
            <w:pPr>
              <w:spacing w:after="0"/>
              <w:rPr>
                <w:sz w:val="1"/>
                <w:szCs w:val="1"/>
                <w:color w:val="auto"/>
              </w:rPr>
            </w:pPr>
          </w:p>
        </w:tc>
      </w:tr>
      <w:tr>
        <w:trPr>
          <w:trHeight w:val="215"/>
        </w:trPr>
        <w:tc>
          <w:tcPr>
            <w:tcW w:w="2080" w:type="dxa"/>
            <w:vAlign w:val="bottom"/>
            <w:gridSpan w:val="3"/>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 October 2015</w:t>
            </w:r>
          </w:p>
        </w:tc>
        <w:tc>
          <w:tcPr>
            <w:tcW w:w="188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80" w:type="dxa"/>
            <w:vAlign w:val="bottom"/>
            <w:gridSpan w:val="3"/>
          </w:tcPr>
          <w:p>
            <w:pPr>
              <w:ind w:left="400"/>
              <w:spacing w:after="0"/>
              <w:rPr>
                <w:sz w:val="20"/>
                <w:szCs w:val="20"/>
                <w:color w:val="auto"/>
              </w:rPr>
            </w:pPr>
            <w:r>
              <w:rPr>
                <w:rFonts w:ascii="Arial" w:cs="Arial" w:eastAsia="Arial" w:hAnsi="Arial"/>
                <w:sz w:val="18"/>
                <w:szCs w:val="18"/>
                <w:b w:val="1"/>
                <w:bCs w:val="1"/>
                <w:i w:val="1"/>
                <w:iCs w:val="1"/>
                <w:color w:val="auto"/>
                <w:w w:val="85"/>
              </w:rPr>
              <w:t>Total Distributed Solar</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0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Wind</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Alta I</w:t>
            </w:r>
          </w:p>
        </w:tc>
        <w:tc>
          <w:tcPr>
            <w:tcW w:w="1480" w:type="dxa"/>
            <w:vAlign w:val="bottom"/>
            <w:gridSpan w:val="2"/>
          </w:tcPr>
          <w:p>
            <w:pPr>
              <w:spacing w:after="0"/>
              <w:rPr>
                <w:sz w:val="20"/>
                <w:szCs w:val="20"/>
                <w:color w:val="auto"/>
              </w:rPr>
            </w:pPr>
            <w:r>
              <w:rPr>
                <w:rFonts w:ascii="Arial" w:cs="Arial" w:eastAsia="Arial" w:hAnsi="Arial"/>
                <w:sz w:val="16"/>
                <w:szCs w:val="16"/>
                <w:color w:val="auto"/>
              </w:rPr>
              <w:t>Tehachapi, CA</w:t>
            </w:r>
          </w:p>
        </w:tc>
        <w:tc>
          <w:tcPr>
            <w:tcW w:w="560" w:type="dxa"/>
            <w:vAlign w:val="bottom"/>
          </w:tcPr>
          <w:p>
            <w:pPr>
              <w:jc w:val="right"/>
              <w:spacing w:after="0"/>
              <w:rPr>
                <w:sz w:val="20"/>
                <w:szCs w:val="20"/>
                <w:color w:val="auto"/>
              </w:rPr>
            </w:pPr>
            <w:r>
              <w:rPr>
                <w:rFonts w:ascii="Arial" w:cs="Arial" w:eastAsia="Arial" w:hAnsi="Arial"/>
                <w:sz w:val="16"/>
                <w:szCs w:val="16"/>
                <w:color w:val="auto"/>
              </w:rPr>
              <w:t>150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2010</w:t>
            </w:r>
          </w:p>
        </w:tc>
        <w:tc>
          <w:tcPr>
            <w:tcW w:w="1880" w:type="dxa"/>
            <w:vAlign w:val="bottom"/>
          </w:tcPr>
          <w:p>
            <w:pPr>
              <w:ind w:left="40"/>
              <w:spacing w:after="0"/>
              <w:rPr>
                <w:sz w:val="20"/>
                <w:szCs w:val="20"/>
                <w:color w:val="auto"/>
              </w:rPr>
            </w:pPr>
            <w:r>
              <w:rPr>
                <w:rFonts w:ascii="Arial" w:cs="Arial" w:eastAsia="Arial" w:hAnsi="Arial"/>
                <w:sz w:val="16"/>
                <w:szCs w:val="16"/>
                <w:color w:val="auto"/>
              </w:rPr>
              <w:t>SCE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Alta II</w:t>
            </w:r>
          </w:p>
        </w:tc>
        <w:tc>
          <w:tcPr>
            <w:tcW w:w="1480" w:type="dxa"/>
            <w:vAlign w:val="bottom"/>
            <w:gridSpan w:val="2"/>
          </w:tcPr>
          <w:p>
            <w:pPr>
              <w:spacing w:after="0"/>
              <w:rPr>
                <w:sz w:val="20"/>
                <w:szCs w:val="20"/>
                <w:color w:val="auto"/>
              </w:rPr>
            </w:pPr>
            <w:r>
              <w:rPr>
                <w:rFonts w:ascii="Arial" w:cs="Arial" w:eastAsia="Arial" w:hAnsi="Arial"/>
                <w:sz w:val="16"/>
                <w:szCs w:val="16"/>
                <w:color w:val="auto"/>
              </w:rPr>
              <w:t>Tehachapi, CA</w:t>
            </w:r>
          </w:p>
        </w:tc>
        <w:tc>
          <w:tcPr>
            <w:tcW w:w="560" w:type="dxa"/>
            <w:vAlign w:val="bottom"/>
          </w:tcPr>
          <w:p>
            <w:pPr>
              <w:jc w:val="right"/>
              <w:spacing w:after="0"/>
              <w:rPr>
                <w:sz w:val="20"/>
                <w:szCs w:val="20"/>
                <w:color w:val="auto"/>
              </w:rPr>
            </w:pPr>
            <w:r>
              <w:rPr>
                <w:rFonts w:ascii="Arial" w:cs="Arial" w:eastAsia="Arial" w:hAnsi="Arial"/>
                <w:sz w:val="16"/>
                <w:szCs w:val="16"/>
                <w:color w:val="auto"/>
              </w:rPr>
              <w:t>150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2010</w:t>
            </w:r>
          </w:p>
        </w:tc>
        <w:tc>
          <w:tcPr>
            <w:tcW w:w="1880" w:type="dxa"/>
            <w:vAlign w:val="bottom"/>
          </w:tcPr>
          <w:p>
            <w:pPr>
              <w:ind w:left="40"/>
              <w:spacing w:after="0"/>
              <w:rPr>
                <w:sz w:val="20"/>
                <w:szCs w:val="20"/>
                <w:color w:val="auto"/>
              </w:rPr>
            </w:pPr>
            <w:r>
              <w:rPr>
                <w:rFonts w:ascii="Arial" w:cs="Arial" w:eastAsia="Arial" w:hAnsi="Arial"/>
                <w:sz w:val="16"/>
                <w:szCs w:val="16"/>
                <w:color w:val="auto"/>
              </w:rPr>
              <w:t>SCE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Alta III</w:t>
            </w:r>
          </w:p>
        </w:tc>
        <w:tc>
          <w:tcPr>
            <w:tcW w:w="1480" w:type="dxa"/>
            <w:vAlign w:val="bottom"/>
            <w:gridSpan w:val="2"/>
          </w:tcPr>
          <w:p>
            <w:pPr>
              <w:spacing w:after="0"/>
              <w:rPr>
                <w:sz w:val="20"/>
                <w:szCs w:val="20"/>
                <w:color w:val="auto"/>
              </w:rPr>
            </w:pPr>
            <w:r>
              <w:rPr>
                <w:rFonts w:ascii="Arial" w:cs="Arial" w:eastAsia="Arial" w:hAnsi="Arial"/>
                <w:sz w:val="16"/>
                <w:szCs w:val="16"/>
                <w:color w:val="auto"/>
              </w:rPr>
              <w:t>Tehachapi, CA</w:t>
            </w:r>
          </w:p>
        </w:tc>
        <w:tc>
          <w:tcPr>
            <w:tcW w:w="560" w:type="dxa"/>
            <w:vAlign w:val="bottom"/>
          </w:tcPr>
          <w:p>
            <w:pPr>
              <w:jc w:val="right"/>
              <w:spacing w:after="0"/>
              <w:rPr>
                <w:sz w:val="20"/>
                <w:szCs w:val="20"/>
                <w:color w:val="auto"/>
              </w:rPr>
            </w:pPr>
            <w:r>
              <w:rPr>
                <w:rFonts w:ascii="Arial" w:cs="Arial" w:eastAsia="Arial" w:hAnsi="Arial"/>
                <w:sz w:val="16"/>
                <w:szCs w:val="16"/>
                <w:color w:val="auto"/>
              </w:rPr>
              <w:t>150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February 2011</w:t>
            </w:r>
          </w:p>
        </w:tc>
        <w:tc>
          <w:tcPr>
            <w:tcW w:w="1880" w:type="dxa"/>
            <w:vAlign w:val="bottom"/>
          </w:tcPr>
          <w:p>
            <w:pPr>
              <w:ind w:left="40"/>
              <w:spacing w:after="0"/>
              <w:rPr>
                <w:sz w:val="20"/>
                <w:szCs w:val="20"/>
                <w:color w:val="auto"/>
              </w:rPr>
            </w:pPr>
            <w:r>
              <w:rPr>
                <w:rFonts w:ascii="Arial" w:cs="Arial" w:eastAsia="Arial" w:hAnsi="Arial"/>
                <w:sz w:val="16"/>
                <w:szCs w:val="16"/>
                <w:color w:val="auto"/>
              </w:rPr>
              <w:t>SCE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Alta IV</w:t>
            </w:r>
          </w:p>
        </w:tc>
        <w:tc>
          <w:tcPr>
            <w:tcW w:w="1480" w:type="dxa"/>
            <w:vAlign w:val="bottom"/>
            <w:gridSpan w:val="2"/>
          </w:tcPr>
          <w:p>
            <w:pPr>
              <w:spacing w:after="0"/>
              <w:rPr>
                <w:sz w:val="20"/>
                <w:szCs w:val="20"/>
                <w:color w:val="auto"/>
              </w:rPr>
            </w:pPr>
            <w:r>
              <w:rPr>
                <w:rFonts w:ascii="Arial" w:cs="Arial" w:eastAsia="Arial" w:hAnsi="Arial"/>
                <w:sz w:val="16"/>
                <w:szCs w:val="16"/>
                <w:color w:val="auto"/>
              </w:rPr>
              <w:t>Tehachapi, CA</w:t>
            </w:r>
          </w:p>
        </w:tc>
        <w:tc>
          <w:tcPr>
            <w:tcW w:w="560" w:type="dxa"/>
            <w:vAlign w:val="bottom"/>
          </w:tcPr>
          <w:p>
            <w:pPr>
              <w:jc w:val="right"/>
              <w:spacing w:after="0"/>
              <w:rPr>
                <w:sz w:val="20"/>
                <w:szCs w:val="20"/>
                <w:color w:val="auto"/>
              </w:rPr>
            </w:pPr>
            <w:r>
              <w:rPr>
                <w:rFonts w:ascii="Arial" w:cs="Arial" w:eastAsia="Arial" w:hAnsi="Arial"/>
                <w:sz w:val="16"/>
                <w:szCs w:val="16"/>
                <w:color w:val="auto"/>
              </w:rPr>
              <w:t>102</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March 2011</w:t>
            </w:r>
          </w:p>
        </w:tc>
        <w:tc>
          <w:tcPr>
            <w:tcW w:w="1880" w:type="dxa"/>
            <w:vAlign w:val="bottom"/>
          </w:tcPr>
          <w:p>
            <w:pPr>
              <w:ind w:left="40"/>
              <w:spacing w:after="0"/>
              <w:rPr>
                <w:sz w:val="20"/>
                <w:szCs w:val="20"/>
                <w:color w:val="auto"/>
              </w:rPr>
            </w:pPr>
            <w:r>
              <w:rPr>
                <w:rFonts w:ascii="Arial" w:cs="Arial" w:eastAsia="Arial" w:hAnsi="Arial"/>
                <w:sz w:val="16"/>
                <w:szCs w:val="16"/>
                <w:color w:val="auto"/>
              </w:rPr>
              <w:t>SCE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Alta V</w:t>
            </w:r>
          </w:p>
        </w:tc>
        <w:tc>
          <w:tcPr>
            <w:tcW w:w="1480" w:type="dxa"/>
            <w:vAlign w:val="bottom"/>
            <w:gridSpan w:val="2"/>
          </w:tcPr>
          <w:p>
            <w:pPr>
              <w:spacing w:after="0"/>
              <w:rPr>
                <w:sz w:val="20"/>
                <w:szCs w:val="20"/>
                <w:color w:val="auto"/>
              </w:rPr>
            </w:pPr>
            <w:r>
              <w:rPr>
                <w:rFonts w:ascii="Arial" w:cs="Arial" w:eastAsia="Arial" w:hAnsi="Arial"/>
                <w:sz w:val="16"/>
                <w:szCs w:val="16"/>
                <w:color w:val="auto"/>
              </w:rPr>
              <w:t>Tehachapi, CA</w:t>
            </w:r>
          </w:p>
        </w:tc>
        <w:tc>
          <w:tcPr>
            <w:tcW w:w="560" w:type="dxa"/>
            <w:vAlign w:val="bottom"/>
          </w:tcPr>
          <w:p>
            <w:pPr>
              <w:jc w:val="right"/>
              <w:spacing w:after="0"/>
              <w:rPr>
                <w:sz w:val="20"/>
                <w:szCs w:val="20"/>
                <w:color w:val="auto"/>
              </w:rPr>
            </w:pPr>
            <w:r>
              <w:rPr>
                <w:rFonts w:ascii="Arial" w:cs="Arial" w:eastAsia="Arial" w:hAnsi="Arial"/>
                <w:sz w:val="16"/>
                <w:szCs w:val="16"/>
                <w:color w:val="auto"/>
              </w:rPr>
              <w:t>168</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168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April 2011</w:t>
            </w:r>
          </w:p>
        </w:tc>
        <w:tc>
          <w:tcPr>
            <w:tcW w:w="1880" w:type="dxa"/>
            <w:vAlign w:val="bottom"/>
          </w:tcPr>
          <w:p>
            <w:pPr>
              <w:ind w:left="40"/>
              <w:spacing w:after="0"/>
              <w:rPr>
                <w:sz w:val="20"/>
                <w:szCs w:val="20"/>
                <w:color w:val="auto"/>
              </w:rPr>
            </w:pPr>
            <w:r>
              <w:rPr>
                <w:rFonts w:ascii="Arial" w:cs="Arial" w:eastAsia="Arial" w:hAnsi="Arial"/>
                <w:sz w:val="16"/>
                <w:szCs w:val="16"/>
                <w:color w:val="auto"/>
              </w:rPr>
              <w:t>SCE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Alta X</w:t>
            </w:r>
          </w:p>
        </w:tc>
        <w:tc>
          <w:tcPr>
            <w:tcW w:w="1480" w:type="dxa"/>
            <w:vAlign w:val="bottom"/>
            <w:gridSpan w:val="2"/>
          </w:tcPr>
          <w:p>
            <w:pPr>
              <w:spacing w:after="0"/>
              <w:rPr>
                <w:sz w:val="20"/>
                <w:szCs w:val="20"/>
                <w:color w:val="auto"/>
              </w:rPr>
            </w:pPr>
            <w:r>
              <w:rPr>
                <w:rFonts w:ascii="Arial" w:cs="Arial" w:eastAsia="Arial" w:hAnsi="Arial"/>
                <w:sz w:val="16"/>
                <w:szCs w:val="16"/>
                <w:color w:val="auto"/>
              </w:rPr>
              <w:t>Tehachapi, CA</w:t>
            </w:r>
          </w:p>
        </w:tc>
        <w:tc>
          <w:tcPr>
            <w:tcW w:w="560" w:type="dxa"/>
            <w:vAlign w:val="bottom"/>
          </w:tcPr>
          <w:p>
            <w:pPr>
              <w:jc w:val="right"/>
              <w:spacing w:after="0"/>
              <w:rPr>
                <w:sz w:val="20"/>
                <w:szCs w:val="20"/>
                <w:color w:val="auto"/>
              </w:rPr>
            </w:pPr>
            <w:r>
              <w:rPr>
                <w:rFonts w:ascii="Arial" w:cs="Arial" w:eastAsia="Arial" w:hAnsi="Arial"/>
                <w:sz w:val="16"/>
                <w:szCs w:val="16"/>
                <w:color w:val="auto"/>
              </w:rPr>
              <w:t>137</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137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February 2014</w:t>
            </w:r>
          </w:p>
        </w:tc>
        <w:tc>
          <w:tcPr>
            <w:tcW w:w="1880" w:type="dxa"/>
            <w:vAlign w:val="bottom"/>
          </w:tcPr>
          <w:p>
            <w:pPr>
              <w:ind w:left="40"/>
              <w:spacing w:after="0"/>
              <w:rPr>
                <w:sz w:val="20"/>
                <w:szCs w:val="20"/>
                <w:color w:val="auto"/>
              </w:rPr>
            </w:pPr>
            <w:r>
              <w:rPr>
                <w:rFonts w:ascii="Arial" w:cs="Arial" w:eastAsia="Arial" w:hAnsi="Arial"/>
                <w:sz w:val="16"/>
                <w:szCs w:val="16"/>
                <w:color w:val="auto"/>
              </w:rPr>
              <w:t>SCE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Alta XI</w:t>
            </w:r>
          </w:p>
        </w:tc>
        <w:tc>
          <w:tcPr>
            <w:tcW w:w="1480" w:type="dxa"/>
            <w:vAlign w:val="bottom"/>
            <w:gridSpan w:val="2"/>
          </w:tcPr>
          <w:p>
            <w:pPr>
              <w:spacing w:after="0"/>
              <w:rPr>
                <w:sz w:val="20"/>
                <w:szCs w:val="20"/>
                <w:color w:val="auto"/>
              </w:rPr>
            </w:pPr>
            <w:r>
              <w:rPr>
                <w:rFonts w:ascii="Arial" w:cs="Arial" w:eastAsia="Arial" w:hAnsi="Arial"/>
                <w:sz w:val="16"/>
                <w:szCs w:val="16"/>
                <w:color w:val="auto"/>
              </w:rPr>
              <w:t>Tehachapi, CA</w:t>
            </w:r>
          </w:p>
        </w:tc>
        <w:tc>
          <w:tcPr>
            <w:tcW w:w="560" w:type="dxa"/>
            <w:vAlign w:val="bottom"/>
          </w:tcPr>
          <w:p>
            <w:pPr>
              <w:jc w:val="right"/>
              <w:spacing w:after="0"/>
              <w:rPr>
                <w:sz w:val="20"/>
                <w:szCs w:val="20"/>
                <w:color w:val="auto"/>
              </w:rPr>
            </w:pPr>
            <w:r>
              <w:rPr>
                <w:rFonts w:ascii="Arial" w:cs="Arial" w:eastAsia="Arial" w:hAnsi="Arial"/>
                <w:sz w:val="16"/>
                <w:szCs w:val="16"/>
                <w:color w:val="auto"/>
              </w:rPr>
              <w:t>90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February 2014</w:t>
            </w:r>
          </w:p>
        </w:tc>
        <w:tc>
          <w:tcPr>
            <w:tcW w:w="1880" w:type="dxa"/>
            <w:vAlign w:val="bottom"/>
          </w:tcPr>
          <w:p>
            <w:pPr>
              <w:ind w:left="40"/>
              <w:spacing w:after="0"/>
              <w:rPr>
                <w:sz w:val="20"/>
                <w:szCs w:val="20"/>
                <w:color w:val="auto"/>
              </w:rPr>
            </w:pPr>
            <w:r>
              <w:rPr>
                <w:rFonts w:ascii="Arial" w:cs="Arial" w:eastAsia="Arial" w:hAnsi="Arial"/>
                <w:sz w:val="16"/>
                <w:szCs w:val="16"/>
                <w:color w:val="auto"/>
              </w:rPr>
              <w:t>SCE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09"/>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 xml:space="preserve">Black Rock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Mineral and Grant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58</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2021</w:t>
            </w:r>
          </w:p>
        </w:tc>
        <w:tc>
          <w:tcPr>
            <w:tcW w:w="1880" w:type="dxa"/>
            <w:vAlign w:val="bottom"/>
            <w:vMerge w:val="restart"/>
          </w:tcPr>
          <w:p>
            <w:pPr>
              <w:ind w:left="40"/>
              <w:spacing w:after="0"/>
              <w:rPr>
                <w:sz w:val="20"/>
                <w:szCs w:val="20"/>
                <w:color w:val="auto"/>
              </w:rPr>
            </w:pPr>
            <w:r>
              <w:rPr>
                <w:rFonts w:ascii="Arial" w:cs="Arial" w:eastAsia="Arial" w:hAnsi="Arial"/>
                <w:sz w:val="16"/>
                <w:szCs w:val="16"/>
                <w:color w:val="auto"/>
              </w:rPr>
              <w:t>Toyota and Google</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54"/>
        </w:trPr>
        <w:tc>
          <w:tcPr>
            <w:tcW w:w="2080" w:type="dxa"/>
            <w:vAlign w:val="bottom"/>
            <w:gridSpan w:val="3"/>
            <w:vMerge w:val="continue"/>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6"/>
                <w:szCs w:val="16"/>
                <w:color w:val="auto"/>
              </w:rPr>
              <w:t>Counties, WV</w:t>
            </w:r>
          </w:p>
        </w:tc>
        <w:tc>
          <w:tcPr>
            <w:tcW w:w="560" w:type="dxa"/>
            <w:vAlign w:val="bottom"/>
            <w:vMerge w:val="continue"/>
          </w:tcPr>
          <w:p>
            <w:pPr>
              <w:spacing w:after="0"/>
              <w:rPr>
                <w:sz w:val="22"/>
                <w:szCs w:val="22"/>
                <w:color w:val="auto"/>
              </w:rPr>
            </w:pPr>
          </w:p>
        </w:tc>
        <w:tc>
          <w:tcPr>
            <w:tcW w:w="68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188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Broken Bow</w:t>
            </w:r>
          </w:p>
        </w:tc>
        <w:tc>
          <w:tcPr>
            <w:tcW w:w="1480" w:type="dxa"/>
            <w:vAlign w:val="bottom"/>
            <w:gridSpan w:val="2"/>
            <w:vMerge w:val="restart"/>
          </w:tcPr>
          <w:p>
            <w:pPr>
              <w:spacing w:after="0"/>
              <w:rPr>
                <w:sz w:val="20"/>
                <w:szCs w:val="20"/>
                <w:color w:val="auto"/>
              </w:rPr>
            </w:pPr>
            <w:r>
              <w:rPr>
                <w:rFonts w:ascii="Arial" w:cs="Arial" w:eastAsia="Arial" w:hAnsi="Arial"/>
                <w:sz w:val="16"/>
                <w:szCs w:val="16"/>
                <w:color w:val="auto"/>
              </w:rPr>
              <w:t>Custer County, NE</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80</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2012</w:t>
            </w:r>
          </w:p>
        </w:tc>
        <w:tc>
          <w:tcPr>
            <w:tcW w:w="1880" w:type="dxa"/>
            <w:vAlign w:val="bottom"/>
          </w:tcPr>
          <w:p>
            <w:pPr>
              <w:ind w:left="40"/>
              <w:spacing w:after="0" w:line="158" w:lineRule="exact"/>
              <w:rPr>
                <w:sz w:val="20"/>
                <w:szCs w:val="20"/>
                <w:color w:val="auto"/>
              </w:rPr>
            </w:pPr>
            <w:r>
              <w:rPr>
                <w:rFonts w:ascii="Arial" w:cs="Arial" w:eastAsia="Arial" w:hAnsi="Arial"/>
                <w:sz w:val="16"/>
                <w:szCs w:val="16"/>
                <w:color w:val="auto"/>
              </w:rPr>
              <w:t>Nebraska Public Power</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04"/>
        </w:trPr>
        <w:tc>
          <w:tcPr>
            <w:tcW w:w="2080" w:type="dxa"/>
            <w:vAlign w:val="bottom"/>
            <w:gridSpan w:val="3"/>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District</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Buffalo Bear</w:t>
            </w:r>
          </w:p>
        </w:tc>
        <w:tc>
          <w:tcPr>
            <w:tcW w:w="1480" w:type="dxa"/>
            <w:vAlign w:val="bottom"/>
            <w:gridSpan w:val="2"/>
            <w:vMerge w:val="restart"/>
          </w:tcPr>
          <w:p>
            <w:pPr>
              <w:spacing w:after="0"/>
              <w:rPr>
                <w:sz w:val="20"/>
                <w:szCs w:val="20"/>
                <w:color w:val="auto"/>
              </w:rPr>
            </w:pPr>
            <w:r>
              <w:rPr>
                <w:rFonts w:ascii="Arial" w:cs="Arial" w:eastAsia="Arial" w:hAnsi="Arial"/>
                <w:sz w:val="16"/>
                <w:szCs w:val="16"/>
                <w:color w:val="auto"/>
              </w:rPr>
              <w:t>Buffalo, OK</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19</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2008</w:t>
            </w:r>
          </w:p>
        </w:tc>
        <w:tc>
          <w:tcPr>
            <w:tcW w:w="1880" w:type="dxa"/>
            <w:vAlign w:val="bottom"/>
          </w:tcPr>
          <w:p>
            <w:pPr>
              <w:ind w:left="40"/>
              <w:spacing w:after="0"/>
              <w:rPr>
                <w:sz w:val="20"/>
                <w:szCs w:val="20"/>
                <w:color w:val="auto"/>
              </w:rPr>
            </w:pPr>
            <w:r>
              <w:rPr>
                <w:rFonts w:ascii="Arial" w:cs="Arial" w:eastAsia="Arial" w:hAnsi="Arial"/>
                <w:sz w:val="16"/>
                <w:szCs w:val="16"/>
                <w:color w:val="auto"/>
              </w:rPr>
              <w:t>Western Farmers Electric</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04"/>
        </w:trPr>
        <w:tc>
          <w:tcPr>
            <w:tcW w:w="2080" w:type="dxa"/>
            <w:vAlign w:val="bottom"/>
            <w:gridSpan w:val="3"/>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Co-operative</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 xml:space="preserve">Cedar Creek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Bingham County, ID</w:t>
            </w:r>
          </w:p>
        </w:tc>
        <w:tc>
          <w:tcPr>
            <w:tcW w:w="560" w:type="dxa"/>
            <w:vAlign w:val="bottom"/>
          </w:tcPr>
          <w:p>
            <w:pPr>
              <w:jc w:val="right"/>
              <w:spacing w:after="0"/>
              <w:rPr>
                <w:sz w:val="20"/>
                <w:szCs w:val="20"/>
                <w:color w:val="auto"/>
              </w:rPr>
            </w:pPr>
            <w:r>
              <w:rPr>
                <w:rFonts w:ascii="Arial" w:cs="Arial" w:eastAsia="Arial" w:hAnsi="Arial"/>
                <w:sz w:val="16"/>
                <w:szCs w:val="16"/>
                <w:color w:val="auto"/>
              </w:rPr>
              <w:t>160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160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March 2024</w:t>
            </w:r>
          </w:p>
        </w:tc>
        <w:tc>
          <w:tcPr>
            <w:tcW w:w="188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158"/>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 xml:space="preserve">Cedro Hill </w:t>
            </w:r>
            <w:r>
              <w:rPr>
                <w:rFonts w:ascii="Arial" w:cs="Arial" w:eastAsia="Arial" w:hAnsi="Arial"/>
                <w:sz w:val="20"/>
                <w:szCs w:val="20"/>
                <w:color w:val="auto"/>
                <w:vertAlign w:val="superscript"/>
              </w:rPr>
              <w:t>(c)</w:t>
            </w:r>
          </w:p>
        </w:tc>
        <w:tc>
          <w:tcPr>
            <w:tcW w:w="1480" w:type="dxa"/>
            <w:vAlign w:val="bottom"/>
            <w:gridSpan w:val="2"/>
            <w:vMerge w:val="restart"/>
          </w:tcPr>
          <w:p>
            <w:pPr>
              <w:spacing w:after="0"/>
              <w:rPr>
                <w:sz w:val="20"/>
                <w:szCs w:val="20"/>
                <w:color w:val="auto"/>
              </w:rPr>
            </w:pPr>
            <w:r>
              <w:rPr>
                <w:rFonts w:ascii="Arial" w:cs="Arial" w:eastAsia="Arial" w:hAnsi="Arial"/>
                <w:sz w:val="16"/>
                <w:szCs w:val="16"/>
                <w:color w:val="auto"/>
              </w:rPr>
              <w:t>Webb County, TX</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160</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160</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3"/>
                <w:szCs w:val="13"/>
                <w:color w:val="auto"/>
              </w:rPr>
            </w:pPr>
          </w:p>
        </w:tc>
        <w:tc>
          <w:tcPr>
            <w:tcW w:w="1260" w:type="dxa"/>
            <w:vAlign w:val="bottom"/>
            <w:gridSpan w:val="2"/>
          </w:tcPr>
          <w:p>
            <w:pPr>
              <w:ind w:left="60"/>
              <w:spacing w:after="0" w:line="158" w:lineRule="exact"/>
              <w:rPr>
                <w:sz w:val="20"/>
                <w:szCs w:val="20"/>
                <w:color w:val="auto"/>
              </w:rPr>
            </w:pPr>
            <w:r>
              <w:rPr>
                <w:rFonts w:ascii="Arial" w:cs="Arial" w:eastAsia="Arial" w:hAnsi="Arial"/>
                <w:sz w:val="16"/>
                <w:szCs w:val="16"/>
                <w:color w:val="auto"/>
              </w:rPr>
              <w:t>October -</w:t>
            </w:r>
          </w:p>
        </w:tc>
        <w:tc>
          <w:tcPr>
            <w:tcW w:w="1880" w:type="dxa"/>
            <w:vAlign w:val="bottom"/>
            <w:vMerge w:val="restart"/>
          </w:tcPr>
          <w:p>
            <w:pPr>
              <w:ind w:left="40"/>
              <w:spacing w:after="0"/>
              <w:rPr>
                <w:sz w:val="20"/>
                <w:szCs w:val="20"/>
                <w:color w:val="auto"/>
              </w:rPr>
            </w:pPr>
            <w:r>
              <w:rPr>
                <w:rFonts w:ascii="Arial" w:cs="Arial" w:eastAsia="Arial" w:hAnsi="Arial"/>
                <w:sz w:val="16"/>
                <w:szCs w:val="16"/>
                <w:color w:val="auto"/>
              </w:rPr>
              <w:t>CPS Energy</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254"/>
        </w:trPr>
        <w:tc>
          <w:tcPr>
            <w:tcW w:w="2080" w:type="dxa"/>
            <w:vAlign w:val="bottom"/>
            <w:gridSpan w:val="3"/>
            <w:vMerge w:val="continue"/>
          </w:tcPr>
          <w:p>
            <w:pPr>
              <w:spacing w:after="0"/>
              <w:rPr>
                <w:sz w:val="22"/>
                <w:szCs w:val="22"/>
                <w:color w:val="auto"/>
              </w:rPr>
            </w:pPr>
          </w:p>
        </w:tc>
        <w:tc>
          <w:tcPr>
            <w:tcW w:w="1480" w:type="dxa"/>
            <w:vAlign w:val="bottom"/>
            <w:gridSpan w:val="2"/>
            <w:vMerge w:val="continue"/>
          </w:tcPr>
          <w:p>
            <w:pPr>
              <w:spacing w:after="0"/>
              <w:rPr>
                <w:sz w:val="22"/>
                <w:szCs w:val="22"/>
                <w:color w:val="auto"/>
              </w:rPr>
            </w:pPr>
          </w:p>
        </w:tc>
        <w:tc>
          <w:tcPr>
            <w:tcW w:w="560" w:type="dxa"/>
            <w:vAlign w:val="bottom"/>
            <w:vMerge w:val="continue"/>
          </w:tcPr>
          <w:p>
            <w:pPr>
              <w:spacing w:after="0"/>
              <w:rPr>
                <w:sz w:val="22"/>
                <w:szCs w:val="22"/>
                <w:color w:val="auto"/>
              </w:rPr>
            </w:pPr>
          </w:p>
        </w:tc>
        <w:tc>
          <w:tcPr>
            <w:tcW w:w="68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2024</w:t>
            </w:r>
          </w:p>
        </w:tc>
        <w:tc>
          <w:tcPr>
            <w:tcW w:w="188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Crofton Bluffs</w:t>
            </w:r>
          </w:p>
        </w:tc>
        <w:tc>
          <w:tcPr>
            <w:tcW w:w="1480" w:type="dxa"/>
            <w:vAlign w:val="bottom"/>
            <w:gridSpan w:val="2"/>
            <w:vMerge w:val="restart"/>
          </w:tcPr>
          <w:p>
            <w:pPr>
              <w:spacing w:after="0"/>
              <w:rPr>
                <w:sz w:val="20"/>
                <w:szCs w:val="20"/>
                <w:color w:val="auto"/>
              </w:rPr>
            </w:pPr>
            <w:r>
              <w:rPr>
                <w:rFonts w:ascii="Arial" w:cs="Arial" w:eastAsia="Arial" w:hAnsi="Arial"/>
                <w:sz w:val="16"/>
                <w:szCs w:val="16"/>
                <w:color w:val="auto"/>
              </w:rPr>
              <w:t>Knox County, NE</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42</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November 2012</w:t>
            </w:r>
          </w:p>
        </w:tc>
        <w:tc>
          <w:tcPr>
            <w:tcW w:w="1880" w:type="dxa"/>
            <w:vAlign w:val="bottom"/>
          </w:tcPr>
          <w:p>
            <w:pPr>
              <w:ind w:left="40"/>
              <w:spacing w:after="0" w:line="158" w:lineRule="exact"/>
              <w:rPr>
                <w:sz w:val="20"/>
                <w:szCs w:val="20"/>
                <w:color w:val="auto"/>
              </w:rPr>
            </w:pPr>
            <w:r>
              <w:rPr>
                <w:rFonts w:ascii="Arial" w:cs="Arial" w:eastAsia="Arial" w:hAnsi="Arial"/>
                <w:sz w:val="16"/>
                <w:szCs w:val="16"/>
                <w:color w:val="auto"/>
              </w:rPr>
              <w:t>Nebraska Public Power</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04"/>
        </w:trPr>
        <w:tc>
          <w:tcPr>
            <w:tcW w:w="2080" w:type="dxa"/>
            <w:vAlign w:val="bottom"/>
            <w:gridSpan w:val="3"/>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District</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 xml:space="preserve">Dan’s Mountain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Allegany County,</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28</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May 2025</w:t>
            </w:r>
          </w:p>
        </w:tc>
        <w:tc>
          <w:tcPr>
            <w:tcW w:w="1880" w:type="dxa"/>
            <w:vAlign w:val="bottom"/>
          </w:tcPr>
          <w:p>
            <w:pPr>
              <w:ind w:left="40"/>
              <w:spacing w:after="0"/>
              <w:rPr>
                <w:sz w:val="20"/>
                <w:szCs w:val="20"/>
                <w:color w:val="auto"/>
              </w:rPr>
            </w:pPr>
            <w:r>
              <w:rPr>
                <w:rFonts w:ascii="Arial" w:cs="Arial" w:eastAsia="Arial" w:hAnsi="Arial"/>
                <w:sz w:val="16"/>
                <w:szCs w:val="16"/>
                <w:color w:val="auto"/>
              </w:rPr>
              <w:t>Constellation Energy</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49"/>
        </w:trPr>
        <w:tc>
          <w:tcPr>
            <w:tcW w:w="2080" w:type="dxa"/>
            <w:vAlign w:val="bottom"/>
            <w:gridSpan w:val="3"/>
            <w:vMerge w:val="continue"/>
          </w:tcPr>
          <w:p>
            <w:pPr>
              <w:spacing w:after="0"/>
              <w:rPr>
                <w:sz w:val="21"/>
                <w:szCs w:val="21"/>
                <w:color w:val="auto"/>
              </w:rPr>
            </w:pPr>
          </w:p>
        </w:tc>
        <w:tc>
          <w:tcPr>
            <w:tcW w:w="1480" w:type="dxa"/>
            <w:vAlign w:val="bottom"/>
            <w:gridSpan w:val="2"/>
          </w:tcPr>
          <w:p>
            <w:pPr>
              <w:spacing w:after="0"/>
              <w:rPr>
                <w:sz w:val="20"/>
                <w:szCs w:val="20"/>
                <w:color w:val="auto"/>
              </w:rPr>
            </w:pPr>
            <w:r>
              <w:rPr>
                <w:rFonts w:ascii="Arial" w:cs="Arial" w:eastAsia="Arial" w:hAnsi="Arial"/>
                <w:sz w:val="16"/>
                <w:szCs w:val="16"/>
                <w:color w:val="auto"/>
              </w:rPr>
              <w:t>MD</w:t>
            </w:r>
          </w:p>
        </w:tc>
        <w:tc>
          <w:tcPr>
            <w:tcW w:w="560" w:type="dxa"/>
            <w:vAlign w:val="bottom"/>
            <w:vMerge w:val="continue"/>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Generation</w:t>
            </w:r>
          </w:p>
        </w:tc>
        <w:tc>
          <w:tcPr>
            <w:tcW w:w="1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 xml:space="preserve">Elbow Creek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Howard County, TX</w:t>
            </w:r>
          </w:p>
        </w:tc>
        <w:tc>
          <w:tcPr>
            <w:tcW w:w="560" w:type="dxa"/>
            <w:vAlign w:val="bottom"/>
          </w:tcPr>
          <w:p>
            <w:pPr>
              <w:jc w:val="right"/>
              <w:spacing w:after="0"/>
              <w:rPr>
                <w:sz w:val="20"/>
                <w:szCs w:val="20"/>
                <w:color w:val="auto"/>
              </w:rPr>
            </w:pPr>
            <w:r>
              <w:rPr>
                <w:rFonts w:ascii="Arial" w:cs="Arial" w:eastAsia="Arial" w:hAnsi="Arial"/>
                <w:sz w:val="16"/>
                <w:szCs w:val="16"/>
                <w:color w:val="auto"/>
              </w:rPr>
              <w:t>122</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122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November 2019</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158"/>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Elkhorn Ridge</w:t>
            </w:r>
          </w:p>
        </w:tc>
        <w:tc>
          <w:tcPr>
            <w:tcW w:w="1480" w:type="dxa"/>
            <w:vAlign w:val="bottom"/>
            <w:gridSpan w:val="2"/>
            <w:vMerge w:val="restart"/>
          </w:tcPr>
          <w:p>
            <w:pPr>
              <w:spacing w:after="0"/>
              <w:rPr>
                <w:sz w:val="20"/>
                <w:szCs w:val="20"/>
                <w:color w:val="auto"/>
              </w:rPr>
            </w:pPr>
            <w:r>
              <w:rPr>
                <w:rFonts w:ascii="Arial" w:cs="Arial" w:eastAsia="Arial" w:hAnsi="Arial"/>
                <w:sz w:val="16"/>
                <w:szCs w:val="16"/>
                <w:color w:val="auto"/>
              </w:rPr>
              <w:t>Bloomfield, NE</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54</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66.7 %</w:t>
            </w:r>
          </w:p>
        </w:tc>
        <w:tc>
          <w:tcPr>
            <w:tcW w:w="8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March 2009</w:t>
            </w:r>
          </w:p>
        </w:tc>
        <w:tc>
          <w:tcPr>
            <w:tcW w:w="1880" w:type="dxa"/>
            <w:vAlign w:val="bottom"/>
          </w:tcPr>
          <w:p>
            <w:pPr>
              <w:ind w:left="40"/>
              <w:spacing w:after="0" w:line="158" w:lineRule="exact"/>
              <w:rPr>
                <w:sz w:val="20"/>
                <w:szCs w:val="20"/>
                <w:color w:val="auto"/>
              </w:rPr>
            </w:pPr>
            <w:r>
              <w:rPr>
                <w:rFonts w:ascii="Arial" w:cs="Arial" w:eastAsia="Arial" w:hAnsi="Arial"/>
                <w:sz w:val="16"/>
                <w:szCs w:val="16"/>
                <w:color w:val="auto"/>
              </w:rPr>
              <w:t>Nebraska Public Power</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04"/>
        </w:trPr>
        <w:tc>
          <w:tcPr>
            <w:tcW w:w="2080" w:type="dxa"/>
            <w:vAlign w:val="bottom"/>
            <w:gridSpan w:val="3"/>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District</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Forward</w:t>
            </w:r>
          </w:p>
        </w:tc>
        <w:tc>
          <w:tcPr>
            <w:tcW w:w="1480" w:type="dxa"/>
            <w:vAlign w:val="bottom"/>
            <w:gridSpan w:val="2"/>
          </w:tcPr>
          <w:p>
            <w:pPr>
              <w:spacing w:after="0"/>
              <w:rPr>
                <w:sz w:val="20"/>
                <w:szCs w:val="20"/>
                <w:color w:val="auto"/>
              </w:rPr>
            </w:pPr>
            <w:r>
              <w:rPr>
                <w:rFonts w:ascii="Arial" w:cs="Arial" w:eastAsia="Arial" w:hAnsi="Arial"/>
                <w:sz w:val="16"/>
                <w:szCs w:val="16"/>
                <w:color w:val="auto"/>
              </w:rPr>
              <w:t>Berlin, PA</w:t>
            </w:r>
          </w:p>
        </w:tc>
        <w:tc>
          <w:tcPr>
            <w:tcW w:w="560" w:type="dxa"/>
            <w:vAlign w:val="bottom"/>
          </w:tcPr>
          <w:p>
            <w:pPr>
              <w:jc w:val="right"/>
              <w:spacing w:after="0"/>
              <w:rPr>
                <w:sz w:val="20"/>
                <w:szCs w:val="20"/>
                <w:color w:val="auto"/>
              </w:rPr>
            </w:pPr>
            <w:r>
              <w:rPr>
                <w:rFonts w:ascii="Arial" w:cs="Arial" w:eastAsia="Arial" w:hAnsi="Arial"/>
                <w:sz w:val="16"/>
                <w:szCs w:val="16"/>
                <w:color w:val="auto"/>
              </w:rPr>
              <w:t>29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April 2008</w:t>
            </w:r>
          </w:p>
        </w:tc>
        <w:tc>
          <w:tcPr>
            <w:tcW w:w="1880" w:type="dxa"/>
            <w:vAlign w:val="bottom"/>
          </w:tcPr>
          <w:p>
            <w:pPr>
              <w:ind w:left="40"/>
              <w:spacing w:after="0"/>
              <w:rPr>
                <w:sz w:val="20"/>
                <w:szCs w:val="20"/>
                <w:color w:val="auto"/>
              </w:rPr>
            </w:pPr>
            <w:r>
              <w:rPr>
                <w:rFonts w:ascii="Arial" w:cs="Arial" w:eastAsia="Arial" w:hAnsi="Arial"/>
                <w:sz w:val="16"/>
                <w:szCs w:val="16"/>
                <w:color w:val="auto"/>
              </w:rPr>
              <w:t>Axpo US LLC</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209"/>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Goat Mountain</w:t>
            </w:r>
          </w:p>
        </w:tc>
        <w:tc>
          <w:tcPr>
            <w:tcW w:w="1480" w:type="dxa"/>
            <w:vAlign w:val="bottom"/>
            <w:gridSpan w:val="2"/>
            <w:vMerge w:val="restart"/>
          </w:tcPr>
          <w:p>
            <w:pPr>
              <w:spacing w:after="0"/>
              <w:rPr>
                <w:sz w:val="20"/>
                <w:szCs w:val="20"/>
                <w:color w:val="auto"/>
              </w:rPr>
            </w:pPr>
            <w:r>
              <w:rPr>
                <w:rFonts w:ascii="Arial" w:cs="Arial" w:eastAsia="Arial" w:hAnsi="Arial"/>
                <w:sz w:val="16"/>
                <w:szCs w:val="16"/>
                <w:color w:val="auto"/>
              </w:rPr>
              <w:t>Sterling City, TX</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150</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April 2008 -</w:t>
            </w:r>
          </w:p>
        </w:tc>
        <w:tc>
          <w:tcPr>
            <w:tcW w:w="1880" w:type="dxa"/>
            <w:vAlign w:val="bottom"/>
            <w:vMerge w:val="restart"/>
          </w:tcPr>
          <w:p>
            <w:pPr>
              <w:ind w:left="40"/>
              <w:spacing w:after="0"/>
              <w:rPr>
                <w:sz w:val="20"/>
                <w:szCs w:val="20"/>
                <w:color w:val="auto"/>
              </w:rPr>
            </w:pPr>
            <w:r>
              <w:rPr>
                <w:rFonts w:ascii="Arial" w:cs="Arial" w:eastAsia="Arial" w:hAnsi="Arial"/>
                <w:sz w:val="16"/>
                <w:szCs w:val="16"/>
                <w:color w:val="auto"/>
              </w:rPr>
              <w:t>Dow Pipeline Company</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04"/>
        </w:trPr>
        <w:tc>
          <w:tcPr>
            <w:tcW w:w="2080" w:type="dxa"/>
            <w:vAlign w:val="bottom"/>
            <w:gridSpan w:val="3"/>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June 2009</w:t>
            </w:r>
          </w:p>
        </w:tc>
        <w:tc>
          <w:tcPr>
            <w:tcW w:w="188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 xml:space="preserve">Langford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Christoval, TX</w:t>
            </w:r>
          </w:p>
        </w:tc>
        <w:tc>
          <w:tcPr>
            <w:tcW w:w="560" w:type="dxa"/>
            <w:vAlign w:val="bottom"/>
          </w:tcPr>
          <w:p>
            <w:pPr>
              <w:jc w:val="right"/>
              <w:spacing w:after="0"/>
              <w:rPr>
                <w:sz w:val="20"/>
                <w:szCs w:val="20"/>
                <w:color w:val="auto"/>
              </w:rPr>
            </w:pPr>
            <w:r>
              <w:rPr>
                <w:rFonts w:ascii="Arial" w:cs="Arial" w:eastAsia="Arial" w:hAnsi="Arial"/>
                <w:sz w:val="16"/>
                <w:szCs w:val="16"/>
                <w:color w:val="auto"/>
              </w:rPr>
              <w:t>160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160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November 2020</w:t>
            </w:r>
          </w:p>
        </w:tc>
        <w:tc>
          <w:tcPr>
            <w:tcW w:w="1880" w:type="dxa"/>
            <w:vAlign w:val="bottom"/>
          </w:tcPr>
          <w:p>
            <w:pPr>
              <w:ind w:left="40"/>
              <w:spacing w:after="0"/>
              <w:rPr>
                <w:sz w:val="20"/>
                <w:szCs w:val="20"/>
                <w:color w:val="auto"/>
              </w:rPr>
            </w:pPr>
            <w:r>
              <w:rPr>
                <w:rFonts w:ascii="Arial" w:cs="Arial" w:eastAsia="Arial" w:hAnsi="Arial"/>
                <w:sz w:val="16"/>
                <w:szCs w:val="16"/>
                <w:color w:val="auto"/>
              </w:rPr>
              <w:t>Goldman Sachs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158"/>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Laredo Ridge</w:t>
            </w:r>
          </w:p>
        </w:tc>
        <w:tc>
          <w:tcPr>
            <w:tcW w:w="1480" w:type="dxa"/>
            <w:vAlign w:val="bottom"/>
            <w:gridSpan w:val="2"/>
            <w:vMerge w:val="restart"/>
          </w:tcPr>
          <w:p>
            <w:pPr>
              <w:spacing w:after="0"/>
              <w:rPr>
                <w:sz w:val="20"/>
                <w:szCs w:val="20"/>
                <w:color w:val="auto"/>
              </w:rPr>
            </w:pPr>
            <w:r>
              <w:rPr>
                <w:rFonts w:ascii="Arial" w:cs="Arial" w:eastAsia="Arial" w:hAnsi="Arial"/>
                <w:sz w:val="16"/>
                <w:szCs w:val="16"/>
                <w:color w:val="auto"/>
              </w:rPr>
              <w:t>Petersburg, NE</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81</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February 2011</w:t>
            </w:r>
          </w:p>
        </w:tc>
        <w:tc>
          <w:tcPr>
            <w:tcW w:w="1880" w:type="dxa"/>
            <w:vAlign w:val="bottom"/>
          </w:tcPr>
          <w:p>
            <w:pPr>
              <w:ind w:left="40"/>
              <w:spacing w:after="0" w:line="158" w:lineRule="exact"/>
              <w:rPr>
                <w:sz w:val="20"/>
                <w:szCs w:val="20"/>
                <w:color w:val="auto"/>
              </w:rPr>
            </w:pPr>
            <w:r>
              <w:rPr>
                <w:rFonts w:ascii="Arial" w:cs="Arial" w:eastAsia="Arial" w:hAnsi="Arial"/>
                <w:sz w:val="16"/>
                <w:szCs w:val="16"/>
                <w:color w:val="auto"/>
              </w:rPr>
              <w:t>Nebraska Public Power</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04"/>
        </w:trPr>
        <w:tc>
          <w:tcPr>
            <w:tcW w:w="2080" w:type="dxa"/>
            <w:vAlign w:val="bottom"/>
            <w:gridSpan w:val="3"/>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District</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80" w:type="dxa"/>
            <w:vAlign w:val="bottom"/>
            <w:gridSpan w:val="3"/>
            <w:vMerge w:val="restart"/>
          </w:tcPr>
          <w:p>
            <w:pPr>
              <w:ind w:left="40"/>
              <w:spacing w:after="0"/>
              <w:rPr>
                <w:sz w:val="20"/>
                <w:szCs w:val="20"/>
                <w:color w:val="auto"/>
              </w:rPr>
            </w:pPr>
            <w:r>
              <w:rPr>
                <w:rFonts w:ascii="Arial" w:cs="Arial" w:eastAsia="Arial" w:hAnsi="Arial"/>
                <w:sz w:val="16"/>
                <w:szCs w:val="16"/>
                <w:color w:val="auto"/>
              </w:rPr>
              <w:t>Lookout</w:t>
            </w:r>
          </w:p>
        </w:tc>
        <w:tc>
          <w:tcPr>
            <w:tcW w:w="1480" w:type="dxa"/>
            <w:vAlign w:val="bottom"/>
            <w:gridSpan w:val="2"/>
            <w:vMerge w:val="restart"/>
          </w:tcPr>
          <w:p>
            <w:pPr>
              <w:spacing w:after="0"/>
              <w:rPr>
                <w:sz w:val="20"/>
                <w:szCs w:val="20"/>
                <w:color w:val="auto"/>
              </w:rPr>
            </w:pPr>
            <w:r>
              <w:rPr>
                <w:rFonts w:ascii="Arial" w:cs="Arial" w:eastAsia="Arial" w:hAnsi="Arial"/>
                <w:sz w:val="16"/>
                <w:szCs w:val="16"/>
                <w:color w:val="auto"/>
              </w:rPr>
              <w:t>Berlin, PA</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38</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October 2008</w:t>
            </w:r>
          </w:p>
        </w:tc>
        <w:tc>
          <w:tcPr>
            <w:tcW w:w="1880" w:type="dxa"/>
            <w:vAlign w:val="bottom"/>
          </w:tcPr>
          <w:p>
            <w:pPr>
              <w:ind w:left="40"/>
              <w:spacing w:after="0"/>
              <w:rPr>
                <w:sz w:val="20"/>
                <w:szCs w:val="20"/>
                <w:color w:val="auto"/>
              </w:rPr>
            </w:pPr>
            <w:r>
              <w:rPr>
                <w:rFonts w:ascii="Arial" w:cs="Arial" w:eastAsia="Arial" w:hAnsi="Arial"/>
                <w:sz w:val="16"/>
                <w:szCs w:val="16"/>
                <w:color w:val="auto"/>
                <w:w w:val="94"/>
              </w:rPr>
              <w:t>Southern Maryland Electric</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04"/>
        </w:trPr>
        <w:tc>
          <w:tcPr>
            <w:tcW w:w="2080" w:type="dxa"/>
            <w:vAlign w:val="bottom"/>
            <w:gridSpan w:val="3"/>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Cooperative</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 xml:space="preserve">Mesquite Sky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w w:val="98"/>
              </w:rPr>
              <w:t>Callahan County, TX</w:t>
            </w:r>
          </w:p>
        </w:tc>
        <w:tc>
          <w:tcPr>
            <w:tcW w:w="560" w:type="dxa"/>
            <w:vAlign w:val="bottom"/>
          </w:tcPr>
          <w:p>
            <w:pPr>
              <w:jc w:val="right"/>
              <w:spacing w:after="0"/>
              <w:rPr>
                <w:sz w:val="20"/>
                <w:szCs w:val="20"/>
                <w:color w:val="auto"/>
              </w:rPr>
            </w:pPr>
            <w:r>
              <w:rPr>
                <w:rFonts w:ascii="Arial" w:cs="Arial" w:eastAsia="Arial" w:hAnsi="Arial"/>
                <w:sz w:val="16"/>
                <w:szCs w:val="16"/>
                <w:color w:val="auto"/>
              </w:rPr>
              <w:t>340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170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2021</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2033 - 2036</w:t>
            </w: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 xml:space="preserve">Mesquite Star </w:t>
            </w:r>
            <w:r>
              <w:rPr>
                <w:rFonts w:ascii="Arial" w:cs="Arial" w:eastAsia="Arial" w:hAnsi="Arial"/>
                <w:sz w:val="20"/>
                <w:szCs w:val="20"/>
                <w:color w:val="auto"/>
                <w:vertAlign w:val="superscript"/>
              </w:rPr>
              <w:t>(c)</w:t>
            </w:r>
          </w:p>
        </w:tc>
        <w:tc>
          <w:tcPr>
            <w:tcW w:w="1480" w:type="dxa"/>
            <w:vAlign w:val="bottom"/>
            <w:gridSpan w:val="2"/>
          </w:tcPr>
          <w:p>
            <w:pPr>
              <w:spacing w:after="0"/>
              <w:rPr>
                <w:sz w:val="20"/>
                <w:szCs w:val="20"/>
                <w:color w:val="auto"/>
              </w:rPr>
            </w:pPr>
            <w:r>
              <w:rPr>
                <w:rFonts w:ascii="Arial" w:cs="Arial" w:eastAsia="Arial" w:hAnsi="Arial"/>
                <w:sz w:val="16"/>
                <w:szCs w:val="16"/>
                <w:color w:val="auto"/>
              </w:rPr>
              <w:t>Fisher County, TX</w:t>
            </w:r>
          </w:p>
        </w:tc>
        <w:tc>
          <w:tcPr>
            <w:tcW w:w="560" w:type="dxa"/>
            <w:vAlign w:val="bottom"/>
          </w:tcPr>
          <w:p>
            <w:pPr>
              <w:jc w:val="right"/>
              <w:spacing w:after="0"/>
              <w:rPr>
                <w:sz w:val="20"/>
                <w:szCs w:val="20"/>
                <w:color w:val="auto"/>
              </w:rPr>
            </w:pPr>
            <w:r>
              <w:rPr>
                <w:rFonts w:ascii="Arial" w:cs="Arial" w:eastAsia="Arial" w:hAnsi="Arial"/>
                <w:sz w:val="16"/>
                <w:szCs w:val="16"/>
                <w:color w:val="auto"/>
              </w:rPr>
              <w:t>419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210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May 2020</w:t>
            </w:r>
          </w:p>
        </w:tc>
        <w:tc>
          <w:tcPr>
            <w:tcW w:w="1880" w:type="dxa"/>
            <w:vAlign w:val="bottom"/>
          </w:tcPr>
          <w:p>
            <w:pPr>
              <w:ind w:left="40"/>
              <w:spacing w:after="0"/>
              <w:rPr>
                <w:sz w:val="20"/>
                <w:szCs w:val="20"/>
                <w:color w:val="auto"/>
              </w:rPr>
            </w:pPr>
            <w:r>
              <w:rPr>
                <w:rFonts w:ascii="Arial" w:cs="Arial" w:eastAsia="Arial" w:hAnsi="Arial"/>
                <w:sz w:val="16"/>
                <w:szCs w:val="16"/>
                <w:color w:val="auto"/>
              </w:rPr>
              <w:t>Various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2032 - 2035</w:t>
            </w:r>
          </w:p>
        </w:tc>
        <w:tc>
          <w:tcPr>
            <w:tcW w:w="0" w:type="dxa"/>
            <w:vAlign w:val="bottom"/>
          </w:tcPr>
          <w:p>
            <w:pPr>
              <w:spacing w:after="0"/>
              <w:rPr>
                <w:sz w:val="1"/>
                <w:szCs w:val="1"/>
                <w:color w:val="auto"/>
              </w:rPr>
            </w:pPr>
          </w:p>
        </w:tc>
      </w:tr>
      <w:tr>
        <w:trPr>
          <w:trHeight w:val="204"/>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Mountain Wind 1</w:t>
            </w:r>
          </w:p>
        </w:tc>
        <w:tc>
          <w:tcPr>
            <w:tcW w:w="1480" w:type="dxa"/>
            <w:vAlign w:val="bottom"/>
            <w:gridSpan w:val="2"/>
          </w:tcPr>
          <w:p>
            <w:pPr>
              <w:spacing w:after="0"/>
              <w:rPr>
                <w:sz w:val="20"/>
                <w:szCs w:val="20"/>
                <w:color w:val="auto"/>
              </w:rPr>
            </w:pPr>
            <w:r>
              <w:rPr>
                <w:rFonts w:ascii="Arial" w:cs="Arial" w:eastAsia="Arial" w:hAnsi="Arial"/>
                <w:sz w:val="16"/>
                <w:szCs w:val="16"/>
                <w:color w:val="auto"/>
              </w:rPr>
              <w:t>Uinta County, WY</w:t>
            </w: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July 2008</w:t>
            </w:r>
          </w:p>
        </w:tc>
        <w:tc>
          <w:tcPr>
            <w:tcW w:w="188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r>
        <w:trPr>
          <w:trHeight w:val="250"/>
        </w:trPr>
        <w:tc>
          <w:tcPr>
            <w:tcW w:w="2080" w:type="dxa"/>
            <w:vAlign w:val="bottom"/>
            <w:gridSpan w:val="3"/>
          </w:tcPr>
          <w:p>
            <w:pPr>
              <w:ind w:left="40"/>
              <w:spacing w:after="0"/>
              <w:rPr>
                <w:sz w:val="20"/>
                <w:szCs w:val="20"/>
                <w:color w:val="auto"/>
              </w:rPr>
            </w:pPr>
            <w:r>
              <w:rPr>
                <w:rFonts w:ascii="Arial" w:cs="Arial" w:eastAsia="Arial" w:hAnsi="Arial"/>
                <w:sz w:val="16"/>
                <w:szCs w:val="16"/>
                <w:color w:val="auto"/>
              </w:rPr>
              <w:t>Mountain Wind 2</w:t>
            </w:r>
          </w:p>
        </w:tc>
        <w:tc>
          <w:tcPr>
            <w:tcW w:w="1480" w:type="dxa"/>
            <w:vAlign w:val="bottom"/>
            <w:gridSpan w:val="2"/>
          </w:tcPr>
          <w:p>
            <w:pPr>
              <w:spacing w:after="0"/>
              <w:rPr>
                <w:sz w:val="20"/>
                <w:szCs w:val="20"/>
                <w:color w:val="auto"/>
              </w:rPr>
            </w:pPr>
            <w:r>
              <w:rPr>
                <w:rFonts w:ascii="Arial" w:cs="Arial" w:eastAsia="Arial" w:hAnsi="Arial"/>
                <w:sz w:val="16"/>
                <w:szCs w:val="16"/>
                <w:color w:val="auto"/>
              </w:rPr>
              <w:t>Uinta County, WY</w:t>
            </w: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w w:val="99"/>
              </w:rPr>
              <w:t>September 2008</w:t>
            </w:r>
          </w:p>
        </w:tc>
        <w:tc>
          <w:tcPr>
            <w:tcW w:w="188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-8122285</wp:posOffset>
            </wp:positionV>
            <wp:extent cx="6410325" cy="8146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6410325" cy="8146415"/>
                    </a:xfrm>
                    <a:prstGeom prst="rect">
                      <a:avLst/>
                    </a:prstGeom>
                    <a:noFill/>
                  </pic:spPr>
                </pic:pic>
              </a:graphicData>
            </a:graphic>
          </wp:anchor>
        </w:drawing>
      </w:r>
    </w:p>
    <w:p>
      <w:pPr>
        <w:sectPr>
          <w:pgSz w:w="11880" w:h="15480" w:orient="portrait"/>
          <w:cols w:equalWidth="0" w:num="1">
            <w:col w:w="10040"/>
          </w:cols>
          <w:pgMar w:left="920" w:top="678" w:right="92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040"/>
          </w:cols>
          <w:pgMar w:left="920" w:top="678" w:right="920" w:bottom="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37"/>
        </w:trPr>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8"/>
                <w:szCs w:val="18"/>
                <w:b w:val="1"/>
                <w:bCs w:val="1"/>
                <w:color w:val="auto"/>
              </w:rPr>
              <w:t>Capacity</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Rated</w:t>
            </w:r>
          </w:p>
        </w:tc>
        <w:tc>
          <w:tcPr>
            <w:tcW w:w="80" w:type="dxa"/>
            <w:vAlign w:val="bottom"/>
          </w:tcPr>
          <w:p>
            <w:pPr>
              <w:spacing w:after="0"/>
              <w:rPr>
                <w:sz w:val="23"/>
                <w:szCs w:val="23"/>
                <w:color w:val="auto"/>
              </w:rPr>
            </w:pPr>
          </w:p>
        </w:tc>
        <w:tc>
          <w:tcPr>
            <w:tcW w:w="600" w:type="dxa"/>
            <w:vAlign w:val="bottom"/>
            <w:vMerge w:val="restart"/>
          </w:tcPr>
          <w:p>
            <w:pPr>
              <w:jc w:val="right"/>
              <w:ind w:right="86"/>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8"/>
              </w:rPr>
              <w:t>Percentage</w:t>
            </w: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8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Contract</w:t>
            </w:r>
          </w:p>
        </w:tc>
        <w:tc>
          <w:tcPr>
            <w:tcW w:w="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1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Facilities</w:t>
            </w:r>
          </w:p>
        </w:tc>
        <w:tc>
          <w:tcPr>
            <w:tcW w:w="80" w:type="dxa"/>
            <w:vAlign w:val="bottom"/>
          </w:tcPr>
          <w:p>
            <w:pPr>
              <w:spacing w:after="0"/>
              <w:rPr>
                <w:sz w:val="2"/>
                <w:szCs w:val="2"/>
                <w:color w:val="auto"/>
              </w:rPr>
            </w:pPr>
          </w:p>
        </w:tc>
        <w:tc>
          <w:tcPr>
            <w:tcW w:w="14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Location</w:t>
            </w:r>
          </w:p>
        </w:tc>
        <w:tc>
          <w:tcPr>
            <w:tcW w:w="80" w:type="dxa"/>
            <w:vAlign w:val="bottom"/>
            <w:vMerge w:val="restart"/>
          </w:tcPr>
          <w:p>
            <w:pPr>
              <w:spacing w:after="0"/>
              <w:rPr>
                <w:sz w:val="2"/>
                <w:szCs w:val="2"/>
                <w:color w:val="auto"/>
              </w:rPr>
            </w:pPr>
          </w:p>
        </w:tc>
        <w:tc>
          <w:tcPr>
            <w:tcW w:w="5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COD</w:t>
            </w:r>
          </w:p>
        </w:tc>
        <w:tc>
          <w:tcPr>
            <w:tcW w:w="80" w:type="dxa"/>
            <w:vAlign w:val="bottom"/>
            <w:vMerge w:val="restart"/>
          </w:tcPr>
          <w:p>
            <w:pPr>
              <w:spacing w:after="0"/>
              <w:rPr>
                <w:sz w:val="2"/>
                <w:szCs w:val="2"/>
                <w:color w:val="auto"/>
              </w:rPr>
            </w:pPr>
          </w:p>
        </w:tc>
        <w:tc>
          <w:tcPr>
            <w:tcW w:w="18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Counterparty</w:t>
            </w:r>
          </w:p>
        </w:tc>
        <w:tc>
          <w:tcPr>
            <w:tcW w:w="6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Expiration</w:t>
            </w:r>
          </w:p>
        </w:tc>
        <w:tc>
          <w:tcPr>
            <w:tcW w:w="0" w:type="dxa"/>
            <w:vAlign w:val="bottom"/>
          </w:tcPr>
          <w:p>
            <w:pPr>
              <w:spacing w:after="0" w:line="20" w:lineRule="exact"/>
              <w:rPr>
                <w:sz w:val="1"/>
                <w:szCs w:val="1"/>
                <w:color w:val="auto"/>
              </w:rPr>
            </w:pPr>
          </w:p>
        </w:tc>
      </w:tr>
      <w:tr>
        <w:trPr>
          <w:trHeight w:val="234"/>
        </w:trPr>
        <w:tc>
          <w:tcPr>
            <w:tcW w:w="19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MW</w:t>
            </w: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spacing w:after="0" w:line="233" w:lineRule="exact"/>
              <w:rPr>
                <w:sz w:val="20"/>
                <w:szCs w:val="20"/>
                <w:color w:val="auto"/>
              </w:rPr>
            </w:pPr>
            <w:r>
              <w:rPr>
                <w:rFonts w:ascii="Arial" w:cs="Arial" w:eastAsia="Arial" w:hAnsi="Arial"/>
                <w:sz w:val="27"/>
                <w:szCs w:val="27"/>
                <w:b w:val="1"/>
                <w:bCs w:val="1"/>
                <w:color w:val="auto"/>
                <w:vertAlign w:val="subscript"/>
              </w:rPr>
              <w:t>MW</w:t>
            </w:r>
            <w:r>
              <w:rPr>
                <w:rFonts w:ascii="Arial" w:cs="Arial" w:eastAsia="Arial" w:hAnsi="Arial"/>
                <w:sz w:val="10"/>
                <w:szCs w:val="10"/>
                <w:b w:val="1"/>
                <w:bCs w:val="1"/>
                <w:color w:val="auto"/>
              </w:rPr>
              <w:t>(a)</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Ownership</w:t>
            </w:r>
          </w:p>
        </w:tc>
        <w:tc>
          <w:tcPr>
            <w:tcW w:w="80" w:type="dxa"/>
            <w:vAlign w:val="bottom"/>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40" w:type="dxa"/>
            <w:vAlign w:val="bottom"/>
          </w:tcPr>
          <w:p>
            <w:pPr>
              <w:ind w:left="40"/>
              <w:spacing w:after="0"/>
              <w:rPr>
                <w:sz w:val="20"/>
                <w:szCs w:val="20"/>
                <w:color w:val="auto"/>
              </w:rPr>
            </w:pPr>
            <w:r>
              <w:rPr>
                <w:rFonts w:ascii="Arial" w:cs="Arial" w:eastAsia="Arial" w:hAnsi="Arial"/>
                <w:sz w:val="16"/>
                <w:szCs w:val="16"/>
                <w:color w:val="auto"/>
              </w:rPr>
              <w:t>Ocotillo</w:t>
            </w:r>
          </w:p>
        </w:tc>
        <w:tc>
          <w:tcPr>
            <w:tcW w:w="8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Forsan, TX</w:t>
            </w:r>
          </w:p>
        </w:tc>
        <w:tc>
          <w:tcPr>
            <w:tcW w:w="560" w:type="dxa"/>
            <w:vAlign w:val="bottom"/>
          </w:tcPr>
          <w:p>
            <w:pPr>
              <w:jc w:val="right"/>
              <w:spacing w:after="0"/>
              <w:rPr>
                <w:sz w:val="20"/>
                <w:szCs w:val="20"/>
                <w:color w:val="auto"/>
              </w:rPr>
            </w:pPr>
            <w:r>
              <w:rPr>
                <w:rFonts w:ascii="Arial" w:cs="Arial" w:eastAsia="Arial" w:hAnsi="Arial"/>
                <w:sz w:val="16"/>
                <w:szCs w:val="16"/>
                <w:color w:val="auto"/>
              </w:rPr>
              <w:t>55</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2023</w:t>
            </w:r>
          </w:p>
        </w:tc>
        <w:tc>
          <w:tcPr>
            <w:tcW w:w="1880" w:type="dxa"/>
            <w:vAlign w:val="bottom"/>
          </w:tcPr>
          <w:p>
            <w:pPr>
              <w:ind w:left="40"/>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Maryland Department of</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ind w:left="40"/>
              <w:spacing w:after="0" w:line="157" w:lineRule="exact"/>
              <w:rPr>
                <w:sz w:val="20"/>
                <w:szCs w:val="20"/>
                <w:color w:val="auto"/>
              </w:rPr>
            </w:pPr>
            <w:r>
              <w:rPr>
                <w:rFonts w:ascii="Arial" w:cs="Arial" w:eastAsia="Arial" w:hAnsi="Arial"/>
                <w:sz w:val="16"/>
                <w:szCs w:val="16"/>
                <w:color w:val="auto"/>
              </w:rPr>
              <w:t>General Services and</w:t>
            </w: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 xml:space="preserve">Pinnacle </w:t>
            </w:r>
            <w:r>
              <w:rPr>
                <w:rFonts w:ascii="Arial" w:cs="Arial" w:eastAsia="Arial" w:hAnsi="Arial"/>
                <w:sz w:val="20"/>
                <w:szCs w:val="20"/>
                <w:color w:val="auto"/>
                <w:vertAlign w:val="superscript"/>
              </w:rPr>
              <w:t>(c)</w:t>
            </w:r>
          </w:p>
        </w:tc>
        <w:tc>
          <w:tcPr>
            <w:tcW w:w="80" w:type="dxa"/>
            <w:vAlign w:val="bottom"/>
          </w:tcPr>
          <w:p>
            <w:pPr>
              <w:spacing w:after="0"/>
              <w:rPr>
                <w:sz w:val="13"/>
                <w:szCs w:val="13"/>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color w:val="auto"/>
              </w:rPr>
              <w:t>Keyser, WV</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54</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54</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2021</w:t>
            </w:r>
          </w:p>
        </w:tc>
        <w:tc>
          <w:tcPr>
            <w:tcW w:w="1880" w:type="dxa"/>
            <w:vAlign w:val="bottom"/>
          </w:tcPr>
          <w:p>
            <w:pPr>
              <w:ind w:left="40"/>
              <w:spacing w:after="0" w:line="157" w:lineRule="exact"/>
              <w:rPr>
                <w:sz w:val="20"/>
                <w:szCs w:val="20"/>
                <w:color w:val="auto"/>
              </w:rPr>
            </w:pPr>
            <w:r>
              <w:rPr>
                <w:rFonts w:ascii="Arial" w:cs="Arial" w:eastAsia="Arial" w:hAnsi="Arial"/>
                <w:sz w:val="16"/>
                <w:szCs w:val="16"/>
                <w:color w:val="auto"/>
              </w:rPr>
              <w:t>University System of</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49"/>
        </w:trPr>
        <w:tc>
          <w:tcPr>
            <w:tcW w:w="1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Maryland</w:t>
            </w:r>
          </w:p>
        </w:tc>
        <w:tc>
          <w:tcPr>
            <w:tcW w:w="1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940" w:type="dxa"/>
            <w:vAlign w:val="bottom"/>
          </w:tcPr>
          <w:p>
            <w:pPr>
              <w:ind w:left="40"/>
              <w:spacing w:after="0"/>
              <w:rPr>
                <w:sz w:val="20"/>
                <w:szCs w:val="20"/>
                <w:color w:val="auto"/>
              </w:rPr>
            </w:pPr>
            <w:r>
              <w:rPr>
                <w:rFonts w:ascii="Arial" w:cs="Arial" w:eastAsia="Arial" w:hAnsi="Arial"/>
                <w:sz w:val="16"/>
                <w:szCs w:val="16"/>
                <w:color w:val="auto"/>
              </w:rPr>
              <w:t xml:space="preserve">Rattlesnake </w:t>
            </w:r>
            <w:r>
              <w:rPr>
                <w:rFonts w:ascii="Arial" w:cs="Arial" w:eastAsia="Arial" w:hAnsi="Arial"/>
                <w:sz w:val="20"/>
                <w:szCs w:val="20"/>
                <w:color w:val="auto"/>
                <w:vertAlign w:val="superscript"/>
              </w:rPr>
              <w:t>(c) (e)</w:t>
            </w:r>
          </w:p>
        </w:tc>
        <w:tc>
          <w:tcPr>
            <w:tcW w:w="8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Ritzville, WA</w:t>
            </w:r>
          </w:p>
        </w:tc>
        <w:tc>
          <w:tcPr>
            <w:tcW w:w="560" w:type="dxa"/>
            <w:vAlign w:val="bottom"/>
          </w:tcPr>
          <w:p>
            <w:pPr>
              <w:jc w:val="right"/>
              <w:spacing w:after="0"/>
              <w:rPr>
                <w:sz w:val="20"/>
                <w:szCs w:val="20"/>
                <w:color w:val="auto"/>
              </w:rPr>
            </w:pPr>
            <w:r>
              <w:rPr>
                <w:rFonts w:ascii="Arial" w:cs="Arial" w:eastAsia="Arial" w:hAnsi="Arial"/>
                <w:sz w:val="16"/>
                <w:szCs w:val="16"/>
                <w:color w:val="auto"/>
              </w:rPr>
              <w:t>160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160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2020</w:t>
            </w:r>
          </w:p>
        </w:tc>
        <w:tc>
          <w:tcPr>
            <w:tcW w:w="1880" w:type="dxa"/>
            <w:vAlign w:val="bottom"/>
          </w:tcPr>
          <w:p>
            <w:pPr>
              <w:ind w:left="40"/>
              <w:spacing w:after="0"/>
              <w:rPr>
                <w:sz w:val="20"/>
                <w:szCs w:val="20"/>
                <w:color w:val="auto"/>
              </w:rPr>
            </w:pPr>
            <w:r>
              <w:rPr>
                <w:rFonts w:ascii="Arial" w:cs="Arial" w:eastAsia="Arial" w:hAnsi="Arial"/>
                <w:sz w:val="16"/>
                <w:szCs w:val="16"/>
                <w:color w:val="auto"/>
              </w:rPr>
              <w:t>Avista Corporation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158"/>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San Juan Mesa</w:t>
            </w:r>
          </w:p>
        </w:tc>
        <w:tc>
          <w:tcPr>
            <w:tcW w:w="80" w:type="dxa"/>
            <w:vAlign w:val="bottom"/>
          </w:tcPr>
          <w:p>
            <w:pPr>
              <w:spacing w:after="0"/>
              <w:rPr>
                <w:sz w:val="13"/>
                <w:szCs w:val="13"/>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color w:val="auto"/>
              </w:rPr>
              <w:t>Elida, NM</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90</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75 %</w:t>
            </w:r>
          </w:p>
        </w:tc>
        <w:tc>
          <w:tcPr>
            <w:tcW w:w="8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2005</w:t>
            </w:r>
          </w:p>
        </w:tc>
        <w:tc>
          <w:tcPr>
            <w:tcW w:w="1880" w:type="dxa"/>
            <w:vAlign w:val="bottom"/>
          </w:tcPr>
          <w:p>
            <w:pPr>
              <w:ind w:left="40"/>
              <w:spacing w:after="0" w:line="158" w:lineRule="exact"/>
              <w:rPr>
                <w:sz w:val="20"/>
                <w:szCs w:val="20"/>
                <w:color w:val="auto"/>
              </w:rPr>
            </w:pPr>
            <w:r>
              <w:rPr>
                <w:rFonts w:ascii="Arial" w:cs="Arial" w:eastAsia="Arial" w:hAnsi="Arial"/>
                <w:sz w:val="16"/>
                <w:szCs w:val="16"/>
                <w:color w:val="auto"/>
              </w:rPr>
              <w:t>Southwestern Public</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04"/>
        </w:trPr>
        <w:tc>
          <w:tcPr>
            <w:tcW w:w="1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Service Company</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Sleeping Bear</w:t>
            </w:r>
          </w:p>
        </w:tc>
        <w:tc>
          <w:tcPr>
            <w:tcW w:w="8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color w:val="auto"/>
              </w:rPr>
              <w:t>Woodward, OK</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95</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October 2007</w:t>
            </w:r>
          </w:p>
        </w:tc>
        <w:tc>
          <w:tcPr>
            <w:tcW w:w="1880" w:type="dxa"/>
            <w:vAlign w:val="bottom"/>
          </w:tcPr>
          <w:p>
            <w:pPr>
              <w:ind w:left="40"/>
              <w:spacing w:after="0"/>
              <w:rPr>
                <w:sz w:val="20"/>
                <w:szCs w:val="20"/>
                <w:color w:val="auto"/>
              </w:rPr>
            </w:pPr>
            <w:r>
              <w:rPr>
                <w:rFonts w:ascii="Arial" w:cs="Arial" w:eastAsia="Arial" w:hAnsi="Arial"/>
                <w:sz w:val="16"/>
                <w:szCs w:val="16"/>
                <w:color w:val="auto"/>
                <w:w w:val="94"/>
              </w:rPr>
              <w:t>Public Service Company of</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04"/>
        </w:trPr>
        <w:tc>
          <w:tcPr>
            <w:tcW w:w="1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Oklahoma</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940" w:type="dxa"/>
            <w:vAlign w:val="bottom"/>
          </w:tcPr>
          <w:p>
            <w:pPr>
              <w:ind w:left="40"/>
              <w:spacing w:after="0"/>
              <w:rPr>
                <w:sz w:val="20"/>
                <w:szCs w:val="20"/>
                <w:color w:val="auto"/>
              </w:rPr>
            </w:pPr>
            <w:r>
              <w:rPr>
                <w:rFonts w:ascii="Arial" w:cs="Arial" w:eastAsia="Arial" w:hAnsi="Arial"/>
                <w:sz w:val="16"/>
                <w:szCs w:val="16"/>
                <w:color w:val="auto"/>
              </w:rPr>
              <w:t>South Trent</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Sweetwater, TX</w:t>
            </w:r>
          </w:p>
        </w:tc>
        <w:tc>
          <w:tcPr>
            <w:tcW w:w="560" w:type="dxa"/>
            <w:vAlign w:val="bottom"/>
          </w:tcPr>
          <w:p>
            <w:pPr>
              <w:jc w:val="right"/>
              <w:spacing w:after="0"/>
              <w:rPr>
                <w:sz w:val="20"/>
                <w:szCs w:val="20"/>
                <w:color w:val="auto"/>
              </w:rPr>
            </w:pPr>
            <w:r>
              <w:rPr>
                <w:rFonts w:ascii="Arial" w:cs="Arial" w:eastAsia="Arial" w:hAnsi="Arial"/>
                <w:sz w:val="16"/>
                <w:szCs w:val="16"/>
                <w:color w:val="auto"/>
              </w:rPr>
              <w:t>101</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January 2009</w:t>
            </w:r>
          </w:p>
        </w:tc>
        <w:tc>
          <w:tcPr>
            <w:tcW w:w="1880" w:type="dxa"/>
            <w:vAlign w:val="bottom"/>
          </w:tcPr>
          <w:p>
            <w:pPr>
              <w:ind w:left="40"/>
              <w:spacing w:after="0"/>
              <w:rPr>
                <w:sz w:val="20"/>
                <w:szCs w:val="20"/>
                <w:color w:val="auto"/>
              </w:rPr>
            </w:pPr>
            <w:r>
              <w:rPr>
                <w:rFonts w:ascii="Arial" w:cs="Arial" w:eastAsia="Arial" w:hAnsi="Arial"/>
                <w:sz w:val="16"/>
                <w:szCs w:val="16"/>
                <w:color w:val="auto"/>
              </w:rPr>
              <w:t>AEP Energy Partners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50"/>
        </w:trPr>
        <w:tc>
          <w:tcPr>
            <w:tcW w:w="1940" w:type="dxa"/>
            <w:vAlign w:val="bottom"/>
          </w:tcPr>
          <w:p>
            <w:pPr>
              <w:ind w:left="40"/>
              <w:spacing w:after="0"/>
              <w:rPr>
                <w:sz w:val="20"/>
                <w:szCs w:val="20"/>
                <w:color w:val="auto"/>
              </w:rPr>
            </w:pPr>
            <w:r>
              <w:rPr>
                <w:rFonts w:ascii="Arial" w:cs="Arial" w:eastAsia="Arial" w:hAnsi="Arial"/>
                <w:sz w:val="16"/>
                <w:szCs w:val="16"/>
                <w:color w:val="auto"/>
              </w:rPr>
              <w:t>Spanish Fork</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Spanish Fork, UT</w:t>
            </w:r>
          </w:p>
        </w:tc>
        <w:tc>
          <w:tcPr>
            <w:tcW w:w="560" w:type="dxa"/>
            <w:vAlign w:val="bottom"/>
          </w:tcPr>
          <w:p>
            <w:pPr>
              <w:jc w:val="right"/>
              <w:spacing w:after="0"/>
              <w:rPr>
                <w:sz w:val="20"/>
                <w:szCs w:val="20"/>
                <w:color w:val="auto"/>
              </w:rPr>
            </w:pPr>
            <w:r>
              <w:rPr>
                <w:rFonts w:ascii="Arial" w:cs="Arial" w:eastAsia="Arial" w:hAnsi="Arial"/>
                <w:sz w:val="16"/>
                <w:szCs w:val="16"/>
                <w:color w:val="auto"/>
              </w:rPr>
              <w:t>19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July 2008</w:t>
            </w:r>
          </w:p>
        </w:tc>
        <w:tc>
          <w:tcPr>
            <w:tcW w:w="1880" w:type="dxa"/>
            <w:vAlign w:val="bottom"/>
          </w:tcPr>
          <w:p>
            <w:pPr>
              <w:ind w:left="40"/>
              <w:spacing w:after="0"/>
              <w:rPr>
                <w:sz w:val="20"/>
                <w:szCs w:val="20"/>
                <w:color w:val="auto"/>
              </w:rPr>
            </w:pPr>
            <w:r>
              <w:rPr>
                <w:rFonts w:ascii="Arial" w:cs="Arial" w:eastAsia="Arial" w:hAnsi="Arial"/>
                <w:sz w:val="16"/>
                <w:szCs w:val="16"/>
                <w:color w:val="auto"/>
              </w:rPr>
              <w:t>PacifiCorp</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09"/>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Spring Canyon II</w:t>
            </w:r>
          </w:p>
        </w:tc>
        <w:tc>
          <w:tcPr>
            <w:tcW w:w="8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color w:val="auto"/>
              </w:rPr>
              <w:t>Logan County, CO</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31</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90 %</w:t>
            </w:r>
          </w:p>
        </w:tc>
        <w:tc>
          <w:tcPr>
            <w:tcW w:w="8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October 2014</w:t>
            </w:r>
          </w:p>
        </w:tc>
        <w:tc>
          <w:tcPr>
            <w:tcW w:w="1880" w:type="dxa"/>
            <w:vAlign w:val="bottom"/>
          </w:tcPr>
          <w:p>
            <w:pPr>
              <w:ind w:left="40"/>
              <w:spacing w:after="0"/>
              <w:rPr>
                <w:sz w:val="20"/>
                <w:szCs w:val="20"/>
                <w:color w:val="auto"/>
              </w:rPr>
            </w:pPr>
            <w:r>
              <w:rPr>
                <w:rFonts w:ascii="Arial" w:cs="Arial" w:eastAsia="Arial" w:hAnsi="Arial"/>
                <w:sz w:val="16"/>
                <w:szCs w:val="16"/>
                <w:color w:val="auto"/>
              </w:rPr>
              <w:t>Platte River Power</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04"/>
        </w:trPr>
        <w:tc>
          <w:tcPr>
            <w:tcW w:w="1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Authority</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Spring Canyon III</w:t>
            </w:r>
          </w:p>
        </w:tc>
        <w:tc>
          <w:tcPr>
            <w:tcW w:w="8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color w:val="auto"/>
              </w:rPr>
              <w:t>Logan County, CO</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26</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90 %</w:t>
            </w:r>
          </w:p>
        </w:tc>
        <w:tc>
          <w:tcPr>
            <w:tcW w:w="8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6"/>
                <w:szCs w:val="16"/>
                <w:color w:val="auto"/>
              </w:rPr>
              <w:t>December 2014</w:t>
            </w:r>
          </w:p>
        </w:tc>
        <w:tc>
          <w:tcPr>
            <w:tcW w:w="1880" w:type="dxa"/>
            <w:vAlign w:val="bottom"/>
          </w:tcPr>
          <w:p>
            <w:pPr>
              <w:ind w:left="40"/>
              <w:spacing w:after="0"/>
              <w:rPr>
                <w:sz w:val="20"/>
                <w:szCs w:val="20"/>
                <w:color w:val="auto"/>
              </w:rPr>
            </w:pPr>
            <w:r>
              <w:rPr>
                <w:rFonts w:ascii="Arial" w:cs="Arial" w:eastAsia="Arial" w:hAnsi="Arial"/>
                <w:sz w:val="16"/>
                <w:szCs w:val="16"/>
                <w:color w:val="auto"/>
              </w:rPr>
              <w:t>Platte River Power</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04"/>
        </w:trPr>
        <w:tc>
          <w:tcPr>
            <w:tcW w:w="1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80" w:type="dxa"/>
            <w:vAlign w:val="bottom"/>
          </w:tcPr>
          <w:p>
            <w:pPr>
              <w:ind w:left="40"/>
              <w:spacing w:after="0"/>
              <w:rPr>
                <w:sz w:val="20"/>
                <w:szCs w:val="20"/>
                <w:color w:val="auto"/>
              </w:rPr>
            </w:pPr>
            <w:r>
              <w:rPr>
                <w:rFonts w:ascii="Arial" w:cs="Arial" w:eastAsia="Arial" w:hAnsi="Arial"/>
                <w:sz w:val="16"/>
                <w:szCs w:val="16"/>
                <w:color w:val="auto"/>
              </w:rPr>
              <w:t>Authority</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940" w:type="dxa"/>
            <w:vAlign w:val="bottom"/>
          </w:tcPr>
          <w:p>
            <w:pPr>
              <w:ind w:left="40"/>
              <w:spacing w:after="0"/>
              <w:rPr>
                <w:sz w:val="20"/>
                <w:szCs w:val="20"/>
                <w:color w:val="auto"/>
              </w:rPr>
            </w:pPr>
            <w:r>
              <w:rPr>
                <w:rFonts w:ascii="Arial" w:cs="Arial" w:eastAsia="Arial" w:hAnsi="Arial"/>
                <w:sz w:val="16"/>
                <w:szCs w:val="16"/>
                <w:color w:val="auto"/>
              </w:rPr>
              <w:t>Taloga</w:t>
            </w:r>
          </w:p>
        </w:tc>
        <w:tc>
          <w:tcPr>
            <w:tcW w:w="80" w:type="dxa"/>
            <w:vAlign w:val="bottom"/>
          </w:tcPr>
          <w:p>
            <w:pPr>
              <w:spacing w:after="0"/>
              <w:rPr>
                <w:sz w:val="21"/>
                <w:szCs w:val="21"/>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Putnam, OK</w:t>
            </w:r>
          </w:p>
        </w:tc>
        <w:tc>
          <w:tcPr>
            <w:tcW w:w="560" w:type="dxa"/>
            <w:vAlign w:val="bottom"/>
          </w:tcPr>
          <w:p>
            <w:pPr>
              <w:jc w:val="right"/>
              <w:spacing w:after="0"/>
              <w:rPr>
                <w:sz w:val="20"/>
                <w:szCs w:val="20"/>
                <w:color w:val="auto"/>
              </w:rPr>
            </w:pPr>
            <w:r>
              <w:rPr>
                <w:rFonts w:ascii="Arial" w:cs="Arial" w:eastAsia="Arial" w:hAnsi="Arial"/>
                <w:sz w:val="16"/>
                <w:szCs w:val="16"/>
                <w:color w:val="auto"/>
              </w:rPr>
              <w:t>130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130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July 2011</w:t>
            </w:r>
          </w:p>
        </w:tc>
        <w:tc>
          <w:tcPr>
            <w:tcW w:w="1880" w:type="dxa"/>
            <w:vAlign w:val="bottom"/>
          </w:tcPr>
          <w:p>
            <w:pPr>
              <w:ind w:left="40"/>
              <w:spacing w:after="0"/>
              <w:rPr>
                <w:sz w:val="20"/>
                <w:szCs w:val="20"/>
                <w:color w:val="auto"/>
              </w:rPr>
            </w:pPr>
            <w:r>
              <w:rPr>
                <w:rFonts w:ascii="Arial" w:cs="Arial" w:eastAsia="Arial" w:hAnsi="Arial"/>
                <w:sz w:val="16"/>
                <w:szCs w:val="16"/>
                <w:color w:val="auto"/>
              </w:rPr>
              <w:t>Oklahoma Gas &amp; Electric</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09"/>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Tuolumne</w:t>
            </w:r>
          </w:p>
        </w:tc>
        <w:tc>
          <w:tcPr>
            <w:tcW w:w="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Klickitat County,</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137</w:t>
            </w:r>
          </w:p>
        </w:tc>
        <w:tc>
          <w:tcPr>
            <w:tcW w:w="680" w:type="dxa"/>
            <w:vAlign w:val="bottom"/>
            <w:gridSpan w:val="2"/>
            <w:vMerge w:val="restart"/>
          </w:tcPr>
          <w:p>
            <w:pPr>
              <w:jc w:val="right"/>
              <w:spacing w:after="0"/>
              <w:rPr>
                <w:sz w:val="20"/>
                <w:szCs w:val="20"/>
                <w:color w:val="auto"/>
              </w:rPr>
            </w:pPr>
            <w:r>
              <w:rPr>
                <w:rFonts w:ascii="Arial" w:cs="Arial" w:eastAsia="Arial" w:hAnsi="Arial"/>
                <w:sz w:val="16"/>
                <w:szCs w:val="16"/>
                <w:color w:val="auto"/>
              </w:rPr>
              <w:t>137</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1260" w:type="dxa"/>
            <w:vAlign w:val="bottom"/>
            <w:gridSpan w:val="2"/>
            <w:vMerge w:val="restart"/>
          </w:tcPr>
          <w:p>
            <w:pPr>
              <w:ind w:left="140"/>
              <w:spacing w:after="0"/>
              <w:rPr>
                <w:sz w:val="20"/>
                <w:szCs w:val="20"/>
                <w:color w:val="auto"/>
              </w:rPr>
            </w:pPr>
            <w:r>
              <w:rPr>
                <w:rFonts w:ascii="Arial" w:cs="Arial" w:eastAsia="Arial" w:hAnsi="Arial"/>
                <w:sz w:val="16"/>
                <w:szCs w:val="16"/>
                <w:color w:val="auto"/>
              </w:rPr>
              <w:t>2009</w:t>
            </w:r>
          </w:p>
        </w:tc>
        <w:tc>
          <w:tcPr>
            <w:tcW w:w="80" w:type="dxa"/>
            <w:vAlign w:val="bottom"/>
          </w:tcPr>
          <w:p>
            <w:pPr>
              <w:spacing w:after="0"/>
              <w:rPr>
                <w:sz w:val="18"/>
                <w:szCs w:val="18"/>
                <w:color w:val="auto"/>
              </w:rPr>
            </w:pPr>
          </w:p>
        </w:tc>
        <w:tc>
          <w:tcPr>
            <w:tcW w:w="1880" w:type="dxa"/>
            <w:vAlign w:val="bottom"/>
            <w:vMerge w:val="restart"/>
          </w:tcPr>
          <w:p>
            <w:pPr>
              <w:ind w:left="40"/>
              <w:spacing w:after="0"/>
              <w:rPr>
                <w:sz w:val="20"/>
                <w:szCs w:val="20"/>
                <w:color w:val="auto"/>
              </w:rPr>
            </w:pPr>
            <w:r>
              <w:rPr>
                <w:rFonts w:ascii="Arial" w:cs="Arial" w:eastAsia="Arial" w:hAnsi="Arial"/>
                <w:sz w:val="16"/>
                <w:szCs w:val="16"/>
                <w:color w:val="auto"/>
              </w:rPr>
              <w:t>Turlock Irrigation District</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04"/>
        </w:trPr>
        <w:tc>
          <w:tcPr>
            <w:tcW w:w="1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WA</w:t>
            </w:r>
          </w:p>
        </w:tc>
        <w:tc>
          <w:tcPr>
            <w:tcW w:w="5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 xml:space="preserve">Wildorado </w:t>
            </w:r>
            <w:r>
              <w:rPr>
                <w:rFonts w:ascii="Arial" w:cs="Arial" w:eastAsia="Arial" w:hAnsi="Arial"/>
                <w:sz w:val="20"/>
                <w:szCs w:val="20"/>
                <w:color w:val="auto"/>
                <w:vertAlign w:val="superscript"/>
              </w:rPr>
              <w:t>(c)</w:t>
            </w:r>
          </w:p>
        </w:tc>
        <w:tc>
          <w:tcPr>
            <w:tcW w:w="8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color w:val="auto"/>
              </w:rPr>
              <w:t>Vega, TX</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161</w:t>
            </w:r>
          </w:p>
        </w:tc>
        <w:tc>
          <w:tcPr>
            <w:tcW w:w="80" w:type="dxa"/>
            <w:vAlign w:val="bottom"/>
            <w:vMerge w:val="restart"/>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161</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December 2019</w:t>
            </w:r>
          </w:p>
        </w:tc>
        <w:tc>
          <w:tcPr>
            <w:tcW w:w="1880" w:type="dxa"/>
            <w:vAlign w:val="bottom"/>
          </w:tcPr>
          <w:p>
            <w:pPr>
              <w:ind w:left="40"/>
              <w:spacing w:after="0"/>
              <w:rPr>
                <w:sz w:val="20"/>
                <w:szCs w:val="20"/>
                <w:color w:val="auto"/>
              </w:rPr>
            </w:pPr>
            <w:r>
              <w:rPr>
                <w:rFonts w:ascii="Arial" w:cs="Arial" w:eastAsia="Arial" w:hAnsi="Arial"/>
                <w:sz w:val="16"/>
                <w:szCs w:val="16"/>
                <w:color w:val="auto"/>
              </w:rPr>
              <w:t>Southwestern Public</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r>
        <w:trPr>
          <w:trHeight w:val="215"/>
        </w:trPr>
        <w:tc>
          <w:tcPr>
            <w:tcW w:w="1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color w:val="auto"/>
              </w:rPr>
              <w:t>- January 2020</w:t>
            </w:r>
          </w:p>
        </w:tc>
        <w:tc>
          <w:tcPr>
            <w:tcW w:w="1880" w:type="dxa"/>
            <w:vAlign w:val="bottom"/>
          </w:tcPr>
          <w:p>
            <w:pPr>
              <w:ind w:left="40"/>
              <w:spacing w:after="0"/>
              <w:rPr>
                <w:sz w:val="20"/>
                <w:szCs w:val="20"/>
                <w:color w:val="auto"/>
              </w:rPr>
            </w:pPr>
            <w:r>
              <w:rPr>
                <w:rFonts w:ascii="Arial" w:cs="Arial" w:eastAsia="Arial" w:hAnsi="Arial"/>
                <w:sz w:val="16"/>
                <w:szCs w:val="16"/>
                <w:color w:val="auto"/>
              </w:rPr>
              <w:t>Service Company</w:t>
            </w: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94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Total Wind</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4,234</w:t>
            </w:r>
          </w:p>
        </w:tc>
        <w:tc>
          <w:tcPr>
            <w:tcW w:w="80" w:type="dxa"/>
            <w:vAlign w:val="bottom"/>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w:t>
            </w: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560" w:type="dxa"/>
            <w:vAlign w:val="bottom"/>
            <w:gridSpan w:val="4"/>
          </w:tcPr>
          <w:p>
            <w:pPr>
              <w:ind w:left="40"/>
              <w:spacing w:after="0"/>
              <w:rPr>
                <w:sz w:val="20"/>
                <w:szCs w:val="20"/>
                <w:color w:val="auto"/>
              </w:rPr>
            </w:pPr>
            <w:r>
              <w:rPr>
                <w:rFonts w:ascii="Arial" w:cs="Arial" w:eastAsia="Arial" w:hAnsi="Arial"/>
                <w:sz w:val="18"/>
                <w:szCs w:val="18"/>
                <w:b w:val="1"/>
                <w:bCs w:val="1"/>
                <w:color w:val="auto"/>
              </w:rPr>
              <w:t>Total Clearway Energy, Inc.</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12,942</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9,842</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-3133090</wp:posOffset>
            </wp:positionV>
            <wp:extent cx="6410325" cy="3053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6410325" cy="3053080"/>
                    </a:xfrm>
                    <a:prstGeom prst="rect">
                      <a:avLst/>
                    </a:prstGeom>
                    <a:noFill/>
                  </pic:spPr>
                </pic:pic>
              </a:graphicData>
            </a:graphic>
          </wp:anchor>
        </w:drawing>
      </w:r>
    </w:p>
    <w:p>
      <w:pPr>
        <w:spacing w:after="0" w:line="33" w:lineRule="exact"/>
        <w:rPr>
          <w:sz w:val="20"/>
          <w:szCs w:val="20"/>
          <w:color w:val="auto"/>
        </w:rPr>
      </w:pPr>
    </w:p>
    <w:p>
      <w:pPr>
        <w:ind w:left="80" w:firstLine="1"/>
        <w:spacing w:after="0" w:line="214" w:lineRule="auto"/>
        <w:tabs>
          <w:tab w:leader="none" w:pos="298"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Net capacity represents the maximum, or rated, generating capacity or storage capacity of the facility multiplied by the Company’s percentage ownership in the facility as of December 31, 2025.</w:t>
      </w:r>
    </w:p>
    <w:p>
      <w:pPr>
        <w:spacing w:after="0" w:line="1" w:lineRule="exact"/>
        <w:rPr>
          <w:rFonts w:ascii="Arial" w:cs="Arial" w:eastAsia="Arial" w:hAnsi="Arial"/>
          <w:sz w:val="23"/>
          <w:szCs w:val="23"/>
          <w:color w:val="auto"/>
          <w:vertAlign w:val="superscript"/>
        </w:rPr>
      </w:pPr>
    </w:p>
    <w:p>
      <w:pPr>
        <w:ind w:left="300" w:hanging="219"/>
        <w:spacing w:after="0" w:line="228" w:lineRule="auto"/>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5"/>
          <w:szCs w:val="15"/>
          <w:color w:val="auto"/>
        </w:rPr>
        <w:t>The primary fuel type for these facilities is natural gas, with the exception of GenConn Devon and GenConn Middletown, which also use oil.</w:t>
      </w:r>
    </w:p>
    <w:p>
      <w:pPr>
        <w:spacing w:after="0" w:line="65" w:lineRule="exact"/>
        <w:rPr>
          <w:rFonts w:ascii="Arial" w:cs="Arial" w:eastAsia="Arial" w:hAnsi="Arial"/>
          <w:sz w:val="22"/>
          <w:szCs w:val="22"/>
          <w:color w:val="auto"/>
          <w:vertAlign w:val="superscript"/>
        </w:rPr>
      </w:pPr>
    </w:p>
    <w:p>
      <w:pPr>
        <w:ind w:left="80" w:right="20" w:firstLine="1"/>
        <w:spacing w:after="0" w:line="205" w:lineRule="auto"/>
        <w:tabs>
          <w:tab w:leader="none" w:pos="337"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 xml:space="preserve">Facilities are part of tax equity arrangements, as further described in Item 15 — Note 2, </w:t>
      </w:r>
      <w:r>
        <w:rPr>
          <w:rFonts w:ascii="Arial" w:cs="Arial" w:eastAsia="Arial" w:hAnsi="Arial"/>
          <w:sz w:val="16"/>
          <w:szCs w:val="16"/>
          <w:b w:val="1"/>
          <w:bCs w:val="1"/>
          <w:i w:val="1"/>
          <w:iCs w:val="1"/>
          <w:color w:val="auto"/>
        </w:rPr>
        <w:t>Summary of Significant Accounting Policies</w:t>
      </w:r>
      <w:r>
        <w:rPr>
          <w:rFonts w:ascii="Arial" w:cs="Arial" w:eastAsia="Arial" w:hAnsi="Arial"/>
          <w:sz w:val="16"/>
          <w:szCs w:val="16"/>
          <w:color w:val="auto"/>
        </w:rPr>
        <w:t xml:space="preserve">, and Note 5, </w:t>
      </w:r>
      <w:r>
        <w:rPr>
          <w:rFonts w:ascii="Arial" w:cs="Arial" w:eastAsia="Arial" w:hAnsi="Arial"/>
          <w:sz w:val="16"/>
          <w:szCs w:val="16"/>
          <w:b w:val="1"/>
          <w:bCs w:val="1"/>
          <w:i w:val="1"/>
          <w:iCs w:val="1"/>
          <w:color w:val="auto"/>
        </w:rPr>
        <w:t>Investments Accounted for by the Equity Method and Variable Interest Entities</w:t>
      </w:r>
      <w:r>
        <w:rPr>
          <w:rFonts w:ascii="Arial" w:cs="Arial" w:eastAsia="Arial" w:hAnsi="Arial"/>
          <w:sz w:val="16"/>
          <w:szCs w:val="16"/>
          <w:color w:val="auto"/>
        </w:rPr>
        <w:t>.</w:t>
      </w:r>
    </w:p>
    <w:p>
      <w:pPr>
        <w:ind w:left="300" w:hanging="219"/>
        <w:spacing w:after="0" w:line="218" w:lineRule="auto"/>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6"/>
          <w:szCs w:val="16"/>
          <w:color w:val="auto"/>
        </w:rPr>
        <w:t>The Company leases 100% of the interests in the Catalina solar facility through a facility lease agreement that expires in October 2043.</w:t>
      </w:r>
    </w:p>
    <w:p>
      <w:pPr>
        <w:spacing w:after="0" w:line="65" w:lineRule="exact"/>
        <w:rPr>
          <w:rFonts w:ascii="Arial" w:cs="Arial" w:eastAsia="Arial" w:hAnsi="Arial"/>
          <w:sz w:val="23"/>
          <w:szCs w:val="23"/>
          <w:color w:val="auto"/>
          <w:vertAlign w:val="superscript"/>
        </w:rPr>
      </w:pPr>
    </w:p>
    <w:p>
      <w:pPr>
        <w:ind w:left="280" w:hanging="199"/>
        <w:spacing w:after="0" w:line="184" w:lineRule="auto"/>
        <w:tabs>
          <w:tab w:leader="none" w:pos="280" w:val="left"/>
        </w:tabs>
        <w:numPr>
          <w:ilvl w:val="0"/>
          <w:numId w:val="18"/>
        </w:numPr>
        <w:rPr>
          <w:rFonts w:ascii="Arial" w:cs="Arial" w:eastAsia="Arial" w:hAnsi="Arial"/>
          <w:sz w:val="21"/>
          <w:szCs w:val="21"/>
          <w:color w:val="auto"/>
          <w:vertAlign w:val="superscript"/>
        </w:rPr>
      </w:pPr>
      <w:r>
        <w:rPr>
          <w:rFonts w:ascii="Arial" w:cs="Arial" w:eastAsia="Arial" w:hAnsi="Arial"/>
          <w:sz w:val="14"/>
          <w:szCs w:val="14"/>
          <w:color w:val="auto"/>
        </w:rPr>
        <w:t>Rattlesnake has a deliverable capacity of 144 MW.</w:t>
      </w:r>
    </w:p>
    <w:p>
      <w:pPr>
        <w:sectPr>
          <w:pgSz w:w="11880" w:h="15480" w:orient="portrait"/>
          <w:cols w:equalWidth="0" w:num="1">
            <w:col w:w="10060"/>
          </w:cols>
          <w:pgMar w:left="920" w:top="6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060"/>
          </w:cols>
          <w:pgMar w:left="920" w:top="678" w:right="900" w:bottom="0"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Item 3 — Legal Proceedings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 Mine Safety Disclosures</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520"/>
          </w:cols>
          <w:pgMar w:left="920" w:top="5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9520"/>
          </w:cols>
          <w:pgMar w:left="920" w:top="577" w:right="1440" w:bottom="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t>PART II</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20"/>
          <w:szCs w:val="20"/>
          <w:b w:val="1"/>
          <w:bCs w:val="1"/>
          <w:color w:val="auto"/>
        </w:rPr>
        <w:t>Item 5 — Market for Registrant’s Common Equity, Related Stockholder Matters and Issuer Purchases of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Equity Holders and Dividends</w:t>
      </w:r>
    </w:p>
    <w:p>
      <w:pPr>
        <w:spacing w:after="0" w:line="189"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Company’s Class A common stock and Class C common stock are listed on the New York Stock Exchange and trade under the ticker symbols “CWEN.A” and “CWEN,” respectively. The Company’s Class B common stock and Class D common stock are not publicly traded.</w:t>
      </w:r>
    </w:p>
    <w:p>
      <w:pPr>
        <w:spacing w:after="0" w:line="140" w:lineRule="exact"/>
        <w:rPr>
          <w:sz w:val="20"/>
          <w:szCs w:val="20"/>
          <w:color w:val="auto"/>
        </w:rPr>
      </w:pPr>
    </w:p>
    <w:p>
      <w:pPr>
        <w:jc w:val="both"/>
        <w:ind w:firstLine="441"/>
        <w:spacing w:after="0" w:line="361" w:lineRule="auto"/>
        <w:rPr>
          <w:sz w:val="20"/>
          <w:szCs w:val="20"/>
          <w:color w:val="auto"/>
        </w:rPr>
      </w:pPr>
      <w:r>
        <w:rPr>
          <w:rFonts w:ascii="Arial" w:cs="Arial" w:eastAsia="Arial" w:hAnsi="Arial"/>
          <w:sz w:val="17"/>
          <w:szCs w:val="17"/>
          <w:color w:val="auto"/>
        </w:rPr>
        <w:t>As of January 31, 2026, there were two holders of record of the Class A common stock, one holder of record of the Class B common stock, three holders of record of the Class C common stock and one holder of record of the Class D common stock.</w:t>
      </w:r>
    </w:p>
    <w:p>
      <w:pPr>
        <w:spacing w:after="0" w:line="5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On February 17, 2026, the Company declared a quarterly dividend on its Class A and Class C common stock of $0.4602 per share payable on March 16, 2026 to stockholders of record as of March 2, 2026.</w:t>
      </w:r>
    </w:p>
    <w:p>
      <w:pPr>
        <w:spacing w:after="0" w:line="127"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Company’s Class A and Class C common stock dividends are subject to available capital, market conditions and compliance with associated laws and regulations. The Company expects that, based on current circumstances, comparable cash dividends will continue to be paid in the foreseeable future.</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130"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The performance graph below compares the Company’s cumulative total stockholder return on the Company’s Class A common stock and Class C common stock from December 31, 2020 through December 31, 2025, with the cumulative total return of the Standard &amp; Poor’s 500 Composite Stock Price Index, or S&amp;P 500, and the Philadelphia Utility Sector Index, or UTY.</w:t>
      </w:r>
    </w:p>
    <w:p>
      <w:pPr>
        <w:spacing w:after="0" w:line="144" w:lineRule="exact"/>
        <w:rPr>
          <w:sz w:val="20"/>
          <w:szCs w:val="20"/>
          <w:color w:val="auto"/>
        </w:rPr>
      </w:pPr>
    </w:p>
    <w:p>
      <w:pPr>
        <w:jc w:val="both"/>
        <w:ind w:firstLine="441"/>
        <w:spacing w:after="0" w:line="325" w:lineRule="auto"/>
        <w:rPr>
          <w:sz w:val="20"/>
          <w:szCs w:val="20"/>
          <w:color w:val="auto"/>
        </w:rPr>
      </w:pPr>
      <w:r>
        <w:rPr>
          <w:rFonts w:ascii="Arial" w:cs="Arial" w:eastAsia="Arial" w:hAnsi="Arial"/>
          <w:sz w:val="17"/>
          <w:szCs w:val="17"/>
          <w:color w:val="auto"/>
        </w:rPr>
        <w:t>The performance graph shown below is being furnished and compares each period assuming that $100 was invested on December 31, 2020 in each of the Class A common stock of the Company, the Class C common stock of the Company, the stocks included in the S&amp;P 500 and the stocks included in the UTY,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6317615" cy="276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317615" cy="276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6"/>
                <w:szCs w:val="16"/>
                <w:b w:val="1"/>
                <w:bCs w:val="1"/>
                <w:color w:val="auto"/>
                <w:w w:val="95"/>
              </w:rPr>
              <w:t>December</w:t>
            </w:r>
          </w:p>
        </w:tc>
        <w:tc>
          <w:tcPr>
            <w:tcW w:w="8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w w:val="98"/>
              </w:rPr>
              <w:t>December</w:t>
            </w:r>
          </w:p>
        </w:tc>
        <w:tc>
          <w:tcPr>
            <w:tcW w:w="8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w w:val="98"/>
              </w:rPr>
              <w:t>December</w:t>
            </w:r>
          </w:p>
        </w:tc>
        <w:tc>
          <w:tcPr>
            <w:tcW w:w="8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w w:val="98"/>
              </w:rPr>
              <w:t>December</w:t>
            </w:r>
          </w:p>
        </w:tc>
        <w:tc>
          <w:tcPr>
            <w:tcW w:w="8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w w:val="98"/>
              </w:rPr>
              <w:t>December</w:t>
            </w:r>
          </w:p>
        </w:tc>
        <w:tc>
          <w:tcPr>
            <w:tcW w:w="8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w w:val="98"/>
              </w:rPr>
              <w:t>December</w:t>
            </w:r>
          </w:p>
        </w:tc>
      </w:tr>
      <w:tr>
        <w:trPr>
          <w:trHeight w:val="210"/>
        </w:trPr>
        <w:tc>
          <w:tcPr>
            <w:tcW w:w="4440" w:type="dxa"/>
            <w:vAlign w:val="bottom"/>
          </w:tcPr>
          <w:p>
            <w:pPr>
              <w:spacing w:after="0"/>
              <w:rPr>
                <w:sz w:val="18"/>
                <w:szCs w:val="18"/>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6"/>
                <w:szCs w:val="16"/>
                <w:b w:val="1"/>
                <w:bCs w:val="1"/>
                <w:color w:val="auto"/>
              </w:rPr>
              <w:t>31, 2020</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31, 2021</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31, 2022</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31, 2023</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31, 2024</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31, 2025</w:t>
            </w:r>
          </w:p>
        </w:tc>
      </w:tr>
      <w:tr>
        <w:trPr>
          <w:trHeight w:val="270"/>
        </w:trPr>
        <w:tc>
          <w:tcPr>
            <w:tcW w:w="4440" w:type="dxa"/>
            <w:vAlign w:val="bottom"/>
          </w:tcPr>
          <w:p>
            <w:pPr>
              <w:spacing w:after="0"/>
              <w:rPr>
                <w:sz w:val="20"/>
                <w:szCs w:val="20"/>
                <w:color w:val="auto"/>
              </w:rPr>
            </w:pPr>
            <w:r>
              <w:rPr>
                <w:rFonts w:ascii="Arial" w:cs="Arial" w:eastAsia="Arial" w:hAnsi="Arial"/>
                <w:sz w:val="20"/>
                <w:szCs w:val="20"/>
                <w:color w:val="auto"/>
                <w:w w:val="91"/>
              </w:rPr>
              <w:t xml:space="preserve">Clearway Energy, Inc. Class A common stock </w:t>
            </w:r>
            <w:r>
              <w:rPr>
                <w:rFonts w:ascii="Arial" w:cs="Arial" w:eastAsia="Arial" w:hAnsi="Arial"/>
                <w:sz w:val="20"/>
                <w:szCs w:val="20"/>
                <w:color w:val="B4B4B4"/>
                <w:w w:val="91"/>
              </w:rPr>
              <w:t>. . . . . . .</w:t>
            </w:r>
          </w:p>
        </w:tc>
        <w:tc>
          <w:tcPr>
            <w:tcW w:w="860" w:type="dxa"/>
            <w:vAlign w:val="bottom"/>
          </w:tcPr>
          <w:p>
            <w:pPr>
              <w:jc w:val="right"/>
              <w:spacing w:after="0"/>
              <w:rPr>
                <w:sz w:val="20"/>
                <w:szCs w:val="20"/>
                <w:color w:val="auto"/>
              </w:rPr>
            </w:pPr>
            <w:r>
              <w:rPr>
                <w:rFonts w:ascii="Arial" w:cs="Arial" w:eastAsia="Arial" w:hAnsi="Arial"/>
                <w:sz w:val="20"/>
                <w:szCs w:val="20"/>
                <w:color w:val="auto"/>
                <w:w w:val="97"/>
              </w:rPr>
              <w:t>$ 100.00</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$ 118.64</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$ 110.77</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$ 100.51</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$ 102.71</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$ 140.29</w:t>
            </w:r>
          </w:p>
        </w:tc>
      </w:tr>
      <w:tr>
        <w:trPr>
          <w:trHeight w:val="294"/>
        </w:trPr>
        <w:tc>
          <w:tcPr>
            <w:tcW w:w="4440" w:type="dxa"/>
            <w:vAlign w:val="bottom"/>
          </w:tcPr>
          <w:p>
            <w:pPr>
              <w:spacing w:after="0"/>
              <w:rPr>
                <w:sz w:val="20"/>
                <w:szCs w:val="20"/>
                <w:color w:val="auto"/>
              </w:rPr>
            </w:pPr>
            <w:r>
              <w:rPr>
                <w:rFonts w:ascii="Arial" w:cs="Arial" w:eastAsia="Arial" w:hAnsi="Arial"/>
                <w:sz w:val="20"/>
                <w:szCs w:val="20"/>
                <w:color w:val="auto"/>
                <w:w w:val="92"/>
              </w:rPr>
              <w:t xml:space="preserve">Clearway Energy, Inc. Class C common stock  </w:t>
            </w:r>
            <w:r>
              <w:rPr>
                <w:rFonts w:ascii="Arial" w:cs="Arial" w:eastAsia="Arial" w:hAnsi="Arial"/>
                <w:sz w:val="20"/>
                <w:szCs w:val="20"/>
                <w:color w:val="B4B4B4"/>
                <w:w w:val="92"/>
              </w:rPr>
              <w:t>. . . . . .</w:t>
            </w:r>
          </w:p>
        </w:tc>
        <w:tc>
          <w:tcPr>
            <w:tcW w:w="860" w:type="dxa"/>
            <w:vAlign w:val="bottom"/>
          </w:tcPr>
          <w:p>
            <w:pPr>
              <w:jc w:val="right"/>
              <w:spacing w:after="0"/>
              <w:rPr>
                <w:sz w:val="20"/>
                <w:szCs w:val="20"/>
                <w:color w:val="auto"/>
              </w:rPr>
            </w:pPr>
            <w:r>
              <w:rPr>
                <w:rFonts w:ascii="Arial" w:cs="Arial" w:eastAsia="Arial" w:hAnsi="Arial"/>
                <w:sz w:val="20"/>
                <w:szCs w:val="20"/>
                <w:color w:val="auto"/>
              </w:rPr>
              <w:t>100.00</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117.83</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108.54</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98.85</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99.70</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135.07</w:t>
            </w:r>
          </w:p>
        </w:tc>
      </w:tr>
      <w:tr>
        <w:trPr>
          <w:trHeight w:val="279"/>
        </w:trPr>
        <w:tc>
          <w:tcPr>
            <w:tcW w:w="4440" w:type="dxa"/>
            <w:vAlign w:val="bottom"/>
          </w:tcPr>
          <w:p>
            <w:pPr>
              <w:spacing w:after="0"/>
              <w:rPr>
                <w:sz w:val="20"/>
                <w:szCs w:val="20"/>
                <w:color w:val="auto"/>
              </w:rPr>
            </w:pPr>
            <w:r>
              <w:rPr>
                <w:rFonts w:ascii="Arial" w:cs="Arial" w:eastAsia="Arial" w:hAnsi="Arial"/>
                <w:sz w:val="20"/>
                <w:szCs w:val="20"/>
                <w:color w:val="auto"/>
                <w:w w:val="92"/>
              </w:rPr>
              <w:t xml:space="preserve">S&amp;P 500 </w:t>
            </w:r>
            <w:r>
              <w:rPr>
                <w:rFonts w:ascii="Arial" w:cs="Arial" w:eastAsia="Arial" w:hAnsi="Arial"/>
                <w:sz w:val="20"/>
                <w:szCs w:val="20"/>
                <w:color w:val="B4B4B4"/>
                <w:w w:val="92"/>
              </w:rPr>
              <w:t>. . . . . . . . . . . . . . . . . . . . . . . . . . . . . . . . . . . .</w:t>
            </w:r>
          </w:p>
        </w:tc>
        <w:tc>
          <w:tcPr>
            <w:tcW w:w="860" w:type="dxa"/>
            <w:vAlign w:val="bottom"/>
          </w:tcPr>
          <w:p>
            <w:pPr>
              <w:jc w:val="right"/>
              <w:spacing w:after="0"/>
              <w:rPr>
                <w:sz w:val="20"/>
                <w:szCs w:val="20"/>
                <w:color w:val="auto"/>
              </w:rPr>
            </w:pPr>
            <w:r>
              <w:rPr>
                <w:rFonts w:ascii="Arial" w:cs="Arial" w:eastAsia="Arial" w:hAnsi="Arial"/>
                <w:sz w:val="20"/>
                <w:szCs w:val="20"/>
                <w:color w:val="auto"/>
              </w:rPr>
              <w:t>100.00</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128.71</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105.40</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133.10</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166.40</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196.16</w:t>
            </w:r>
          </w:p>
        </w:tc>
      </w:tr>
      <w:tr>
        <w:trPr>
          <w:trHeight w:val="279"/>
        </w:trPr>
        <w:tc>
          <w:tcPr>
            <w:tcW w:w="4440" w:type="dxa"/>
            <w:vAlign w:val="bottom"/>
          </w:tcPr>
          <w:p>
            <w:pPr>
              <w:spacing w:after="0"/>
              <w:rPr>
                <w:sz w:val="20"/>
                <w:szCs w:val="20"/>
                <w:color w:val="auto"/>
              </w:rPr>
            </w:pPr>
            <w:r>
              <w:rPr>
                <w:rFonts w:ascii="Arial" w:cs="Arial" w:eastAsia="Arial" w:hAnsi="Arial"/>
                <w:sz w:val="20"/>
                <w:szCs w:val="20"/>
                <w:color w:val="auto"/>
                <w:w w:val="92"/>
              </w:rPr>
              <w:t xml:space="preserve">UTY  </w:t>
            </w:r>
            <w:r>
              <w:rPr>
                <w:rFonts w:ascii="Arial" w:cs="Arial" w:eastAsia="Arial" w:hAnsi="Arial"/>
                <w:sz w:val="20"/>
                <w:szCs w:val="20"/>
                <w:color w:val="B4B4B4"/>
                <w:w w:val="92"/>
              </w:rPr>
              <w:t>. . . . . . . . . . . . . . . . . . . . . . . . . . . . . . . . . . . . . . .</w:t>
            </w:r>
          </w:p>
        </w:tc>
        <w:tc>
          <w:tcPr>
            <w:tcW w:w="860" w:type="dxa"/>
            <w:vAlign w:val="bottom"/>
          </w:tcPr>
          <w:p>
            <w:pPr>
              <w:jc w:val="right"/>
              <w:spacing w:after="0"/>
              <w:rPr>
                <w:sz w:val="20"/>
                <w:szCs w:val="20"/>
                <w:color w:val="auto"/>
              </w:rPr>
            </w:pPr>
            <w:r>
              <w:rPr>
                <w:rFonts w:ascii="Arial" w:cs="Arial" w:eastAsia="Arial" w:hAnsi="Arial"/>
                <w:sz w:val="20"/>
                <w:szCs w:val="20"/>
                <w:color w:val="auto"/>
              </w:rPr>
              <w:t>100.00</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118.24</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119.01</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108.10</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130.68</w:t>
            </w:r>
          </w:p>
        </w:tc>
        <w:tc>
          <w:tcPr>
            <w:tcW w:w="940" w:type="dxa"/>
            <w:vAlign w:val="bottom"/>
            <w:gridSpan w:val="2"/>
          </w:tcPr>
          <w:p>
            <w:pPr>
              <w:jc w:val="right"/>
              <w:ind w:right="2"/>
              <w:spacing w:after="0"/>
              <w:rPr>
                <w:sz w:val="20"/>
                <w:szCs w:val="20"/>
                <w:color w:val="auto"/>
              </w:rPr>
            </w:pPr>
            <w:r>
              <w:rPr>
                <w:rFonts w:ascii="Arial" w:cs="Arial" w:eastAsia="Arial" w:hAnsi="Arial"/>
                <w:sz w:val="20"/>
                <w:szCs w:val="20"/>
                <w:color w:val="auto"/>
              </w:rPr>
              <w:t>153.04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-731520</wp:posOffset>
            </wp:positionV>
            <wp:extent cx="6410325" cy="753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6410325" cy="753745"/>
                    </a:xfrm>
                    <a:prstGeom prst="rect">
                      <a:avLst/>
                    </a:prstGeom>
                    <a:noFill/>
                  </pic:spPr>
                </pic:pic>
              </a:graphicData>
            </a:graphic>
          </wp:anchor>
        </w:drawing>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040"/>
          </w:cols>
          <w:pgMar w:left="920" w:top="577" w:right="920" w:bottom="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Item 6 — Reserved</w:t>
      </w:r>
    </w:p>
    <w:p>
      <w:pPr>
        <w:sectPr>
          <w:pgSz w:w="11880" w:h="15480" w:orient="portrait"/>
          <w:cols w:equalWidth="0" w:num="1">
            <w:col w:w="9520"/>
          </w:cols>
          <w:pgMar w:left="920" w:top="5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520"/>
          </w:cols>
          <w:pgMar w:left="920" w:top="577" w:right="1440" w:bottom="0"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Item 7 — Management’s Discussion and Analysis of Financial Condition and the Results of Operations</w:t>
      </w:r>
    </w:p>
    <w:p>
      <w:pPr>
        <w:spacing w:after="0" w:line="189"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20"/>
          <w:szCs w:val="20"/>
          <w:color w:val="auto"/>
        </w:rPr>
        <w:t xml:space="preserve">As you read this discussion and analysis, refer to the Company’s Consolidated Statements of Operations to this Form 10-K. Also refer to Item 1 —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xml:space="preserve"> and Item 1A — </w:t>
      </w:r>
      <w:r>
        <w:rPr>
          <w:rFonts w:ascii="Arial" w:cs="Arial" w:eastAsia="Arial" w:hAnsi="Arial"/>
          <w:sz w:val="20"/>
          <w:szCs w:val="20"/>
          <w:b w:val="1"/>
          <w:bCs w:val="1"/>
          <w:i w:val="1"/>
          <w:iCs w:val="1"/>
          <w:color w:val="auto"/>
        </w:rPr>
        <w:t>Risk Factors</w:t>
      </w:r>
      <w:r>
        <w:rPr>
          <w:rFonts w:ascii="Arial" w:cs="Arial" w:eastAsia="Arial" w:hAnsi="Arial"/>
          <w:sz w:val="20"/>
          <w:szCs w:val="20"/>
          <w:color w:val="auto"/>
        </w:rPr>
        <w:t>, which include detailed discussions of various items impacting the Company’s business, results of operations and financial condition. Discussions of the year ended December 31, 2023 that are not included in this Annual Report on Form 10-K and year-to-year comparisons of the year ended December 31, 2024 and the year ended December 31, 2023 can be found in “Management’s Discussion and Analysis of Financial Condition and the Results of Operations” in Part II, Item 7 of the Company’s Annual Report on Form 10-K for the year ended December 31, 2024.</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discussion and analysis below has been organized as follows:</w:t>
      </w:r>
    </w:p>
    <w:p>
      <w:pPr>
        <w:spacing w:after="0" w:line="123" w:lineRule="exact"/>
        <w:rPr>
          <w:sz w:val="20"/>
          <w:szCs w:val="20"/>
          <w:color w:val="auto"/>
        </w:rPr>
      </w:pPr>
    </w:p>
    <w:p>
      <w:pPr>
        <w:ind w:left="780" w:right="540" w:firstLine="183"/>
        <w:spacing w:after="0" w:line="271" w:lineRule="auto"/>
        <w:tabs>
          <w:tab w:leader="none" w:pos="1397"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Executive Summary, including a description of the business and significant events that are important to understanding the results of operations and financial condition;</w:t>
      </w:r>
    </w:p>
    <w:p>
      <w:pPr>
        <w:spacing w:after="0" w:line="9" w:lineRule="exact"/>
        <w:rPr>
          <w:rFonts w:ascii="Arial" w:cs="Arial" w:eastAsia="Arial" w:hAnsi="Arial"/>
          <w:sz w:val="20"/>
          <w:szCs w:val="20"/>
          <w:color w:val="auto"/>
        </w:rPr>
      </w:pPr>
    </w:p>
    <w:p>
      <w:pPr>
        <w:ind w:left="780" w:right="180" w:firstLine="183"/>
        <w:spacing w:after="0" w:line="271" w:lineRule="auto"/>
        <w:tabs>
          <w:tab w:leader="none" w:pos="1397"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Results of operations, including an explanation of significant differences between the periods in the specific line items of the consolidated statements of operations;</w:t>
      </w:r>
    </w:p>
    <w:p>
      <w:pPr>
        <w:spacing w:after="0" w:line="9" w:lineRule="exact"/>
        <w:rPr>
          <w:rFonts w:ascii="Arial" w:cs="Arial" w:eastAsia="Arial" w:hAnsi="Arial"/>
          <w:sz w:val="20"/>
          <w:szCs w:val="20"/>
          <w:color w:val="auto"/>
        </w:rPr>
      </w:pPr>
    </w:p>
    <w:p>
      <w:pPr>
        <w:ind w:left="780" w:right="1080" w:firstLine="183"/>
        <w:spacing w:after="0" w:line="271" w:lineRule="auto"/>
        <w:tabs>
          <w:tab w:leader="none" w:pos="1397" w:val="left"/>
        </w:tabs>
        <w:numPr>
          <w:ilvl w:val="0"/>
          <w:numId w:val="19"/>
        </w:numPr>
        <w:rPr>
          <w:rFonts w:ascii="Arial" w:cs="Arial" w:eastAsia="Arial" w:hAnsi="Arial"/>
          <w:sz w:val="20"/>
          <w:szCs w:val="20"/>
          <w:color w:val="auto"/>
        </w:rPr>
      </w:pPr>
      <w:r>
        <w:rPr>
          <w:rFonts w:ascii="Arial" w:cs="Arial" w:eastAsia="Arial" w:hAnsi="Arial"/>
          <w:sz w:val="20"/>
          <w:szCs w:val="20"/>
          <w:color w:val="auto"/>
        </w:rPr>
        <w:t>Financial condition addressing liquidity position, sources and uses of cash, capital resources and requirements, commitments and off-balance sheet arrangements;</w:t>
      </w:r>
    </w:p>
    <w:p>
      <w:pPr>
        <w:spacing w:after="0" w:line="9" w:lineRule="exact"/>
        <w:rPr>
          <w:rFonts w:ascii="Arial" w:cs="Arial" w:eastAsia="Arial" w:hAnsi="Arial"/>
          <w:sz w:val="20"/>
          <w:szCs w:val="20"/>
          <w:color w:val="auto"/>
        </w:rPr>
      </w:pPr>
    </w:p>
    <w:p>
      <w:pPr>
        <w:ind w:left="1400" w:hanging="437"/>
        <w:spacing w:after="0"/>
        <w:tabs>
          <w:tab w:leader="none" w:pos="1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Known trends that may affect the Company’s results of operations and financial condition in the future; and</w:t>
      </w:r>
    </w:p>
    <w:p>
      <w:pPr>
        <w:spacing w:after="0" w:line="98" w:lineRule="exact"/>
        <w:rPr>
          <w:rFonts w:ascii="Arial" w:cs="Arial" w:eastAsia="Arial" w:hAnsi="Arial"/>
          <w:sz w:val="17"/>
          <w:szCs w:val="17"/>
          <w:color w:val="auto"/>
        </w:rPr>
      </w:pPr>
    </w:p>
    <w:p>
      <w:pPr>
        <w:ind w:left="780" w:right="600" w:firstLine="183"/>
        <w:spacing w:after="0" w:line="258" w:lineRule="auto"/>
        <w:tabs>
          <w:tab w:leader="none" w:pos="1397" w:val="left"/>
        </w:tabs>
        <w:numPr>
          <w:ilvl w:val="0"/>
          <w:numId w:val="19"/>
        </w:numPr>
        <w:rPr>
          <w:rFonts w:ascii="Arial" w:cs="Arial" w:eastAsia="Arial" w:hAnsi="Arial"/>
          <w:sz w:val="20"/>
          <w:szCs w:val="20"/>
          <w:color w:val="auto"/>
        </w:rPr>
      </w:pPr>
      <w:r>
        <w:rPr>
          <w:rFonts w:ascii="Arial" w:cs="Arial" w:eastAsia="Arial" w:hAnsi="Arial"/>
          <w:sz w:val="20"/>
          <w:szCs w:val="20"/>
          <w:color w:val="auto"/>
        </w:rPr>
        <w:t>Critical accounting policies which are most important to both the portrayal of the Company’s financial condition and results of operations, and which require management’s most difficult, subjective or complex judgment.</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040"/>
          </w:cols>
          <w:pgMar w:left="920" w:top="577" w:right="920" w:bottom="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Executive Summary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 and Overview</w:t>
      </w:r>
    </w:p>
    <w:p>
      <w:pPr>
        <w:spacing w:after="0" w:line="189" w:lineRule="exact"/>
        <w:rPr>
          <w:sz w:val="20"/>
          <w:szCs w:val="20"/>
          <w:color w:val="auto"/>
        </w:rPr>
      </w:pPr>
    </w:p>
    <w:p>
      <w:pPr>
        <w:jc w:val="both"/>
        <w:ind w:firstLine="441"/>
        <w:spacing w:after="0" w:line="278" w:lineRule="auto"/>
        <w:rPr>
          <w:sz w:val="20"/>
          <w:szCs w:val="20"/>
          <w:color w:val="auto"/>
        </w:rPr>
      </w:pPr>
      <w:r>
        <w:rPr>
          <w:rFonts w:ascii="Arial" w:cs="Arial" w:eastAsia="Arial" w:hAnsi="Arial"/>
          <w:sz w:val="19"/>
          <w:szCs w:val="19"/>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w:t>
      </w:r>
    </w:p>
    <w:p>
      <w:pPr>
        <w:spacing w:after="0" w:line="123"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The Company is one of the largest owners of clean energy generation assets in the U.S. The Company’s portfolio comprises approximately 12.9 GW of gross capacity in 27 states, including approximately 10.1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The majority of the Company’s revenues are derived from long-term contractual arrangements for the output or capacity from these assets. The weighted average remaining contract duration of the Company’s Renewables &amp; Storage segment offtake agreements was approximately 12 years as of December 31, 2025 based on CAFD.</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Events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Third-Party Acquisitions</w:t>
      </w:r>
    </w:p>
    <w:p>
      <w:pPr>
        <w:spacing w:after="0" w:line="183" w:lineRule="exact"/>
        <w:rPr>
          <w:sz w:val="20"/>
          <w:szCs w:val="20"/>
          <w:color w:val="auto"/>
        </w:rPr>
      </w:pPr>
    </w:p>
    <w:p>
      <w:pPr>
        <w:jc w:val="both"/>
        <w:ind w:left="700" w:hanging="355"/>
        <w:spacing w:after="0" w:line="284" w:lineRule="auto"/>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October 3, 2025, the Company entered into a binding agreement to acquire a 613 MW operational solar portfolio located in eight states, or the Deriva Solar Portfolio, from Deriva Energy, LLC for a base purchase price of approximately $305 million in cash, subject to certain customary price adjustments. For 12 facilities in the Deriva Solar Portfolio located in the Western U.S. and comprising of 227 MW, the Company will co-invest in a 50/50 joint venture with a third-party cash equity investor. The weighted average remaining contract duration of the Deriva Solar Portfolio is approximately 10 years. After factoring in estimated closing adjustments and proceeds from facility-level financings, including the third-party cash equity investor in a subset of the Deriva Solar Portfolio, the Company expects its net capital commitment to acquire the Deriva Solar Portfolio to be between $210 million and $230 million. The Company expects to fund the acquisition primarily utilizing existing sources of liquidity, which includes the Cardinal Investment Holdco LLC financing discussed further below. The consummation of the transaction is subject to customary closing conditions and certain third-party approvals and is expected to occur in the first half of 2026.</w:t>
      </w:r>
    </w:p>
    <w:p>
      <w:pPr>
        <w:spacing w:after="0" w:line="111" w:lineRule="exact"/>
        <w:rPr>
          <w:rFonts w:ascii="Arial" w:cs="Arial" w:eastAsia="Arial" w:hAnsi="Arial"/>
          <w:sz w:val="17"/>
          <w:szCs w:val="17"/>
          <w:color w:val="auto"/>
        </w:rPr>
      </w:pPr>
    </w:p>
    <w:p>
      <w:pPr>
        <w:jc w:val="both"/>
        <w:ind w:left="700" w:hanging="355"/>
        <w:spacing w:after="0" w:line="306" w:lineRule="auto"/>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On July 16, 2025, the Company, through its indirect subsidiary, Catalina Solar Investment LLC, acquired Catalina Solar Lessee Holdco LLC, which leases and operates the Catalina solar facility, for approximately $127 million, which excludes $1 million in transaction expenses incurred in connection with the acquisition. After factoring in cash reserves acquired and transaction expenses, the Company’s net capital investment in Catalina was $128 million. See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for further discussion of the transaction.</w:t>
      </w:r>
    </w:p>
    <w:p>
      <w:pPr>
        <w:spacing w:after="0" w:line="106" w:lineRule="exact"/>
        <w:rPr>
          <w:rFonts w:ascii="Arial" w:cs="Arial" w:eastAsia="Arial" w:hAnsi="Arial"/>
          <w:sz w:val="17"/>
          <w:szCs w:val="17"/>
          <w:color w:val="auto"/>
        </w:rPr>
      </w:pPr>
    </w:p>
    <w:p>
      <w:pPr>
        <w:jc w:val="both"/>
        <w:ind w:left="700" w:hanging="355"/>
        <w:spacing w:after="0" w:line="297" w:lineRule="auto"/>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On April 29, 2025, the Company, through its indirect subsidiary, Washington Wind LLC, acquired the Tuolumne wind facility from an investment-grade regulated entity for approximately $210 million, which excludes $1 million in transaction expenses incurred in connection with the acquisition. The Company’s net capital investment in Tuolumne was $59 million. See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xml:space="preserve"> for further discussion of the transaction. In connection with the acquisition, the Company entered into a development services agreement with Clearway Renew related to a potential repowering of the facility. In February 2026, the Company approved the commencement of the Tuolumne repowering. The Company estimates that its total capital investment in the Tuolumne repowering will be $80 million, subject to closing adjustments. Contingent upon achieving commercial operations in 2027, the 137 MW facility will sell power under its existing PPA with an investment-grade regulated entity for an additional two years through 2042.</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040"/>
          </w:cols>
          <w:pgMar w:left="920" w:top="577" w:right="920" w:bottom="0" w:gutter="0" w:footer="0" w:header="0"/>
          <w:type w:val="continuous"/>
        </w:sectPr>
      </w:pPr>
    </w:p>
    <w:bookmarkStart w:id="52" w:name="page53"/>
    <w:bookmarkEnd w:id="52"/>
    <w:p>
      <w:pPr>
        <w:spacing w:after="0"/>
        <w:rPr>
          <w:sz w:val="20"/>
          <w:szCs w:val="20"/>
          <w:color w:val="auto"/>
        </w:rPr>
      </w:pPr>
      <w:r>
        <w:rPr>
          <w:rFonts w:ascii="Arial" w:cs="Arial" w:eastAsia="Arial" w:hAnsi="Arial"/>
          <w:sz w:val="20"/>
          <w:szCs w:val="20"/>
          <w:b w:val="1"/>
          <w:bCs w:val="1"/>
          <w:i w:val="1"/>
          <w:iCs w:val="1"/>
          <w:color w:val="auto"/>
        </w:rPr>
        <w:t>Drop Down Transactions</w:t>
      </w:r>
    </w:p>
    <w:p>
      <w:pPr>
        <w:spacing w:after="0" w:line="184" w:lineRule="exact"/>
        <w:rPr>
          <w:sz w:val="20"/>
          <w:szCs w:val="20"/>
          <w:color w:val="auto"/>
        </w:rPr>
      </w:pPr>
    </w:p>
    <w:p>
      <w:pPr>
        <w:jc w:val="both"/>
        <w:ind w:left="700" w:hanging="355"/>
        <w:spacing w:after="0" w:line="295" w:lineRule="auto"/>
        <w:tabs>
          <w:tab w:leader="none" w:pos="700"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color w:val="auto"/>
        </w:rPr>
        <w:t xml:space="preserve">On June 10, 2025, the Company, through its indirect subsidiary, Pine Forest CE Class A Owner LLC, acquired the Class A membership interests in Pine Forest CE TargetCo LLC, or Pine Forest TargetCo, a partnership and the indirect owner of the Pine Forest solar and BESS facility, from Clearway Renew for initial cash consideration of $18 million. Simultaneously, a third-party cash equity investor acquired the Class B membership interests in Pine Forest TargetCo from Clearway Renew for initial cash consideration of $36 million. Also on June 10, 2025, the Company, through its indirect subsidiary, Pine Forest TE Class A Owner LLC, or Pine Forest TE Class A, contributed $9 million to acquire the Class A membership interests in Pine Forest TE HoldCo LLC. On December 17, 2025, when the facility reached substantial completion, the Company paid $50 million to Clearway Renew as additional purchase price for its Class A membership interests in Pine Forest TargetCo and contributed an additional $38 million for its Class A membership interests in Pine Forest TE HoldCo LLC. In addition, the third-party cash equity investor in Pine Forest TargetCo contributed an additional $144 million. The Company’s total capital investment in Pine Forest TargetCo was $115 million. See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for further discussion of the transaction.</w:t>
      </w:r>
    </w:p>
    <w:p>
      <w:pPr>
        <w:spacing w:after="0" w:line="115" w:lineRule="exact"/>
        <w:rPr>
          <w:rFonts w:ascii="Arial" w:cs="Arial" w:eastAsia="Arial" w:hAnsi="Arial"/>
          <w:sz w:val="17"/>
          <w:szCs w:val="17"/>
          <w:b w:val="1"/>
          <w:bCs w:val="1"/>
          <w:i w:val="1"/>
          <w:iCs w:val="1"/>
          <w:color w:val="auto"/>
        </w:rPr>
      </w:pPr>
    </w:p>
    <w:p>
      <w:pPr>
        <w:jc w:val="both"/>
        <w:ind w:left="700" w:hanging="355"/>
        <w:spacing w:after="0" w:line="264"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On July 23, 2025, the Company entered into a development services agreement with Clearway Renew in connection with the repowering of the Goat Mountain wind facility. The Company estimates that its total capital investment in the Goat Mountain repowering will be $200 million, subject to closing adjustments. Contingent upon achieving commercial operations in 2027, the 360 MW facility will sell power to an investment-grade counterparty under a new 15-year PPA. In connection with the agreement, on December 12, 2025, the Company paid Clearway Renew $27 million, primarily related to the future delivery of equipment. See Note 15, </w:t>
      </w:r>
      <w:r>
        <w:rPr>
          <w:rFonts w:ascii="Arial" w:cs="Arial" w:eastAsia="Arial" w:hAnsi="Arial"/>
          <w:sz w:val="19"/>
          <w:szCs w:val="19"/>
          <w:b w:val="1"/>
          <w:bCs w:val="1"/>
          <w:i w:val="1"/>
          <w:iCs w:val="1"/>
          <w:color w:val="auto"/>
        </w:rPr>
        <w:t>Related Party Transactions</w:t>
      </w:r>
      <w:r>
        <w:rPr>
          <w:rFonts w:ascii="Arial" w:cs="Arial" w:eastAsia="Arial" w:hAnsi="Arial"/>
          <w:sz w:val="19"/>
          <w:szCs w:val="19"/>
          <w:color w:val="auto"/>
        </w:rPr>
        <w:t>, for further discussion of the transaction.</w:t>
      </w:r>
    </w:p>
    <w:p>
      <w:pPr>
        <w:spacing w:after="0" w:line="140" w:lineRule="exact"/>
        <w:rPr>
          <w:rFonts w:ascii="Arial" w:cs="Arial" w:eastAsia="Arial" w:hAnsi="Arial"/>
          <w:sz w:val="19"/>
          <w:szCs w:val="19"/>
          <w:color w:val="auto"/>
        </w:rPr>
      </w:pPr>
    </w:p>
    <w:p>
      <w:pPr>
        <w:jc w:val="both"/>
        <w:ind w:left="700" w:hanging="355"/>
        <w:spacing w:after="0" w:line="250"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On November 24, 2025, the Company, through an indirect subsidiary, entered into an agreement with Clearway Renew to acquire the Class A membership interests in Spindle, a 199 MW BESS facility currently under construction in Weld County, Colorado, and Rosamond South II, a 92 MW BESS facility currently under construction in Kern County, California, for $93 million in cash consideration, subject to closing adjustments. The consummation of the transaction is subject to customary closing conditions and certain third-party approvals and is expected in the second half of 2026.</w:t>
      </w:r>
    </w:p>
    <w:p>
      <w:pPr>
        <w:spacing w:after="0" w:line="150" w:lineRule="exact"/>
        <w:rPr>
          <w:rFonts w:ascii="Arial" w:cs="Arial" w:eastAsia="Arial" w:hAnsi="Arial"/>
          <w:sz w:val="20"/>
          <w:szCs w:val="20"/>
          <w:color w:val="auto"/>
        </w:rPr>
      </w:pPr>
    </w:p>
    <w:p>
      <w:pPr>
        <w:jc w:val="both"/>
        <w:ind w:left="700" w:hanging="355"/>
        <w:spacing w:after="0" w:line="251"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On October 30, 2025, the Company entered into a development services agreement with Clearway Renew in connection with the repowering of the San Juan Mesa wind facility, which is located in Elida, New Mexico. The Company estimates that its total capital investment in the San Juan Mesa repowering will be $50 million, subject to closing adjustments. Contingent upon achieving commercial operations in 2027, the 135 MW facility will sell power to an investment-grade counterparty under a new 20-year PPA.</w:t>
      </w:r>
    </w:p>
    <w:p>
      <w:pPr>
        <w:spacing w:after="0" w:line="149" w:lineRule="exact"/>
        <w:rPr>
          <w:rFonts w:ascii="Arial" w:cs="Arial" w:eastAsia="Arial" w:hAnsi="Arial"/>
          <w:sz w:val="20"/>
          <w:szCs w:val="20"/>
          <w:color w:val="auto"/>
        </w:rPr>
      </w:pPr>
    </w:p>
    <w:p>
      <w:pPr>
        <w:jc w:val="both"/>
        <w:ind w:left="700" w:hanging="355"/>
        <w:spacing w:after="0" w:line="303"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On October 15, 2025, the Company, through its indirect subsidiary, Honeycomb 1 Holdco LLC, acquired Honeycomb TargetCo LLC, or Honeycomb TargetCo, the indirect owner of the Honeycomb Portfolio, from Clearway Renew for initial cash consideration of $16 million. At substantial completion, which is expected to occur in the first half of 2026, the Company estimates it will pay an additional $62 million to Clearway Renew. The Company estimates that its total capital investment in Honeycomb TargetCo will be $78 million, excluding the impact of any closing adjustments noted in the purchase agreement. See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for further discussion of the transaction.</w:t>
      </w:r>
    </w:p>
    <w:p>
      <w:pPr>
        <w:spacing w:after="0" w:line="106" w:lineRule="exact"/>
        <w:rPr>
          <w:rFonts w:ascii="Arial" w:cs="Arial" w:eastAsia="Arial" w:hAnsi="Arial"/>
          <w:sz w:val="17"/>
          <w:szCs w:val="17"/>
          <w:color w:val="auto"/>
        </w:rPr>
      </w:pPr>
    </w:p>
    <w:p>
      <w:pPr>
        <w:jc w:val="both"/>
        <w:ind w:left="700" w:hanging="355"/>
        <w:spacing w:after="0" w:line="294"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On October 2, 2025, the Company, through its indirect subsidiary, WV Wind Holdco LLC, sold 100% of its membership interests in Mount Storm Wind LLC, which owns Mt. Storm,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Also on October 2, 2025, the Company, through its indirect subsidiary, WV Wind Holdco LLC, entered into an agreement with Clearway Renew to acquire the Class B membership interests in the tax equity fund that, upon mechanical completion of the first phase of the repowering of the facility, will own Mt. Storm, for $336 million in cash consideration. The consummation of the transaction is subject to customary closing conditions and certain third-party approvals and is expected to occur in the second half of 2026. See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for further discussion of the transactions. In connection with the agreement with Clearway Renew to sell its membership interests in Mt. Storm, on May 1, 2025, the Company bought down a portion of Mt. Storm’s contract to sell power to a counterparty through a hedge agreement and paid approximately $35 million to the hedge counterparty to reduce the contract by approximately 50%. On July 22, 2025, the Company paid approximately $39 million to the hedge counterparty to buy out the remaining contract.</w:t>
      </w:r>
    </w:p>
    <w:p>
      <w:pPr>
        <w:sectPr>
          <w:pgSz w:w="11880" w:h="15480" w:orient="portrait"/>
          <w:cols w:equalWidth="0" w:num="1">
            <w:col w:w="10040"/>
          </w:cols>
          <w:pgMar w:left="920" w:top="58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040"/>
          </w:cols>
          <w:pgMar w:left="920" w:top="583" w:right="920" w:bottom="0" w:gutter="0" w:footer="0" w:header="0"/>
          <w:type w:val="continuous"/>
        </w:sectPr>
      </w:pPr>
    </w:p>
    <w:bookmarkStart w:id="53" w:name="page54"/>
    <w:bookmarkEnd w:id="53"/>
    <w:p>
      <w:pPr>
        <w:jc w:val="both"/>
        <w:ind w:left="700" w:hanging="355"/>
        <w:spacing w:after="0" w:line="249"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On April 29, 2025, the Company, through its indirect subsidiary, LV-Daggett Parent Holdco LLC, acquired Daggett 1 Class B Member LLC, or Daggett 1 Class B, the indirect owner of the Daggett 1 BESS facility, from Clearway Renew for initial cash consideration of $11 million. On September 19, 2025, when the facility reached substantial completion, the Company paid $42 million to Clearway Renew as additional purchase price. On October 15, 2025, the Company paid $4 million to Clearway Renew as a final purchase price adjustment. The Company’s total capital investment in Daggett 1 Class B was $57 million. See Note 3, </w:t>
      </w:r>
      <w:r>
        <w:rPr>
          <w:rFonts w:ascii="Arial" w:cs="Arial" w:eastAsia="Arial" w:hAnsi="Arial"/>
          <w:sz w:val="20"/>
          <w:szCs w:val="20"/>
          <w:b w:val="1"/>
          <w:bCs w:val="1"/>
          <w:i w:val="1"/>
          <w:iCs w:val="1"/>
          <w:color w:val="auto"/>
        </w:rPr>
        <w:t>Acquisitions and Dispositions</w:t>
      </w:r>
      <w:r>
        <w:rPr>
          <w:rFonts w:ascii="Arial" w:cs="Arial" w:eastAsia="Arial" w:hAnsi="Arial"/>
          <w:sz w:val="20"/>
          <w:szCs w:val="20"/>
          <w:color w:val="auto"/>
        </w:rPr>
        <w:t>, for further discussion of the transaction.</w:t>
      </w:r>
    </w:p>
    <w:p>
      <w:pPr>
        <w:spacing w:after="0" w:line="152" w:lineRule="exact"/>
        <w:rPr>
          <w:rFonts w:ascii="Arial" w:cs="Arial" w:eastAsia="Arial" w:hAnsi="Arial"/>
          <w:sz w:val="20"/>
          <w:szCs w:val="20"/>
          <w:color w:val="auto"/>
        </w:rPr>
      </w:pPr>
    </w:p>
    <w:p>
      <w:pPr>
        <w:jc w:val="both"/>
        <w:ind w:left="700" w:hanging="355"/>
        <w:spacing w:after="0" w:line="249"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 xml:space="preserve">On April 29, 2025, the Company, through its indirect subsidiary, LV-Daggett Parent Holdco LLC, acquired Luna Valley Class B Member LLC, or Luna Valley Class B, the indirect owner of the Luna Valley solar facility, from Clearway Renew for initial cash consideration of $18 million. On September 4, 2025, when the facility reached substantial completion, the Company paid $72 million to Clearway Renew as additional purchase price. On October 15, 2025, the Company paid $29 million to Clearway Renew as a final purchase price adjustment. The Company's total capital investment in Luna Valley Class B was $119 million. See Note 3, </w:t>
      </w:r>
      <w:r>
        <w:rPr>
          <w:rFonts w:ascii="Arial" w:cs="Arial" w:eastAsia="Arial" w:hAnsi="Arial"/>
          <w:sz w:val="20"/>
          <w:szCs w:val="20"/>
          <w:b w:val="1"/>
          <w:bCs w:val="1"/>
          <w:i w:val="1"/>
          <w:iCs w:val="1"/>
          <w:color w:val="auto"/>
        </w:rPr>
        <w:t>Acquisitions and Dispositions</w:t>
      </w:r>
      <w:r>
        <w:rPr>
          <w:rFonts w:ascii="Arial" w:cs="Arial" w:eastAsia="Arial" w:hAnsi="Arial"/>
          <w:sz w:val="20"/>
          <w:szCs w:val="20"/>
          <w:color w:val="auto"/>
        </w:rPr>
        <w:t>, for further discussion of the transaction.</w:t>
      </w:r>
    </w:p>
    <w:p>
      <w:pPr>
        <w:spacing w:after="0" w:line="152" w:lineRule="exact"/>
        <w:rPr>
          <w:rFonts w:ascii="Arial" w:cs="Arial" w:eastAsia="Arial" w:hAnsi="Arial"/>
          <w:sz w:val="20"/>
          <w:szCs w:val="20"/>
          <w:color w:val="auto"/>
        </w:rPr>
      </w:pPr>
    </w:p>
    <w:p>
      <w:pPr>
        <w:jc w:val="both"/>
        <w:ind w:left="700" w:hanging="355"/>
        <w:spacing w:after="0" w:line="263"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On March 20, 2025, the Company, through its indirect subsidiary, Rosamond South Investment LLC, acquired the Class A membership interests in Rosie South TargetCo LLC, or Rosie South TargetCo, a partnership and the indirect owner of the Rosamond South I solar and BESS facility, from Clearway Renew for initial cash consideration of $4 million. Simultaneously, a third-party cash equity investor acquired the Class B membership interests in Rosie South TargetCo from Clearway Renew for initial cash consideration of $10 million. On August 13, 2025, when the facility reached substantial completion, the Company paid $29 million to Clearway Renew as additional purchase price and the third-party cash equity investor contributed an additional $41 million. The Company’s total capital investment in Rosie South TargetCo was $33 million. See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for further discussion of the transaction.</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RA Agreements</w:t>
      </w:r>
    </w:p>
    <w:p>
      <w:pPr>
        <w:spacing w:after="0" w:line="183" w:lineRule="exact"/>
        <w:rPr>
          <w:sz w:val="20"/>
          <w:szCs w:val="20"/>
          <w:color w:val="auto"/>
        </w:rPr>
      </w:pPr>
    </w:p>
    <w:p>
      <w:pPr>
        <w:jc w:val="both"/>
        <w:ind w:left="700" w:hanging="355"/>
        <w:spacing w:after="0" w:line="251" w:lineRule="auto"/>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On January 14, 2025, the Company contracted with a load serving entity to sell approximately 75 MW of El Segundo’s RA commencing in August 2026 and ending in December 2029. On February 4, 2025, the Company contracted with an additional load serving entity to sell approximately 197 MW of El Segundo’s RA commencing in August 2026 and ending in December 2029. El Segundo is now contracted for 100% of its capacity through 2027 and approximately 50% of its capacity through 2028.</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83" w:lineRule="exact"/>
        <w:rPr>
          <w:sz w:val="20"/>
          <w:szCs w:val="20"/>
          <w:color w:val="auto"/>
        </w:rPr>
      </w:pPr>
    </w:p>
    <w:p>
      <w:pPr>
        <w:jc w:val="both"/>
        <w:ind w:left="700" w:hanging="355"/>
        <w:spacing w:after="0" w:line="258" w:lineRule="auto"/>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In connection with the 2025 Drop Downs of Rosamond South I, Luna Valley, Daggett 1, Pine Forest and the Honeycomb Portfolio, the Company assumed non-recourse facility-level debt. See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for further discussion of the non-recourse facility-level debt associated with each facility.</w:t>
      </w:r>
    </w:p>
    <w:p>
      <w:pPr>
        <w:spacing w:after="0" w:line="140" w:lineRule="exact"/>
        <w:rPr>
          <w:rFonts w:ascii="Arial" w:cs="Arial" w:eastAsia="Arial" w:hAnsi="Arial"/>
          <w:sz w:val="20"/>
          <w:szCs w:val="20"/>
          <w:color w:val="auto"/>
        </w:rPr>
      </w:pPr>
    </w:p>
    <w:p>
      <w:pPr>
        <w:jc w:val="both"/>
        <w:ind w:left="700" w:hanging="355"/>
        <w:spacing w:after="0" w:line="251" w:lineRule="auto"/>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On February 5, 2026, in order to partially fund the third-party acquisition of the Deriva Solar Portfolio, the Company, through its indirect subsidiary, Cardinal Investment Holdco LLC, entered into a financing agreement that provides for a term loan of up to $100 million and $119 million in letters of credit in support of debt service and facility obligations. Upon funding, the term loan will bear interest a rate of SOFR plus 2.00% per annum and will mature 364 days after the funding date.</w:t>
      </w:r>
    </w:p>
    <w:p>
      <w:pPr>
        <w:spacing w:after="0" w:line="149" w:lineRule="exact"/>
        <w:rPr>
          <w:rFonts w:ascii="Arial" w:cs="Arial" w:eastAsia="Arial" w:hAnsi="Arial"/>
          <w:sz w:val="20"/>
          <w:szCs w:val="20"/>
          <w:color w:val="auto"/>
        </w:rPr>
      </w:pPr>
    </w:p>
    <w:p>
      <w:pPr>
        <w:jc w:val="both"/>
        <w:ind w:left="700" w:hanging="355"/>
        <w:spacing w:after="0" w:line="258" w:lineRule="auto"/>
        <w:tabs>
          <w:tab w:leader="none" w:pos="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On January 13, 2026, Clearway Energy Operating LLC completed the sale of $600 million aggregate principal amount of 5.75% senior unsecured notes due 2034, or the 2034 Senior Notes. See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xml:space="preserve"> for further discussion of the 2034 Senior Notes.</w:t>
      </w:r>
    </w:p>
    <w:p>
      <w:pPr>
        <w:spacing w:after="0" w:line="140" w:lineRule="exact"/>
        <w:rPr>
          <w:rFonts w:ascii="Arial" w:cs="Arial" w:eastAsia="Arial" w:hAnsi="Arial"/>
          <w:sz w:val="20"/>
          <w:szCs w:val="20"/>
          <w:color w:val="auto"/>
        </w:rPr>
      </w:pPr>
    </w:p>
    <w:p>
      <w:pPr>
        <w:jc w:val="both"/>
        <w:ind w:left="700" w:hanging="355"/>
        <w:spacing w:after="0" w:line="263" w:lineRule="auto"/>
        <w:tabs>
          <w:tab w:leader="none" w:pos="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On May 21, 2025, when the Dan’s Mountain wind facility reached substantial completion, the Company paid $36 million to Clearway Renew as additional purchase price in connection with the Company’s acquisition of the Class A membership interests in Dan’s Mountain TargetCo LLC, or Dan’s Mountain TargetCo, from Clearway Renew on November 18, 2024. Also, on May 21, 2025, a third-party cash equity investor contributed $45 million to acquire the Class B membership interests in Dan’s Mountain TargetCo from Clearway Renew and the tax equity investor contributed an additional $90 million. The Company utilized the combined proceeds to repay the cash equity bridge loan, to repay the tax equity bridge loan and to pay associated fees with the remaining proceeds distributed to CEG. The Company’s total capital investment in Dan’s Mountain TargetCo was $43 million. See Note 10, </w:t>
      </w:r>
      <w:r>
        <w:rPr>
          <w:rFonts w:ascii="Arial" w:cs="Arial" w:eastAsia="Arial" w:hAnsi="Arial"/>
          <w:sz w:val="19"/>
          <w:szCs w:val="19"/>
          <w:b w:val="1"/>
          <w:bCs w:val="1"/>
          <w:i w:val="1"/>
          <w:iCs w:val="1"/>
          <w:color w:val="auto"/>
        </w:rPr>
        <w:t>Long-term Debt</w:t>
      </w:r>
      <w:r>
        <w:rPr>
          <w:rFonts w:ascii="Arial" w:cs="Arial" w:eastAsia="Arial" w:hAnsi="Arial"/>
          <w:sz w:val="19"/>
          <w:szCs w:val="19"/>
          <w:color w:val="auto"/>
        </w:rPr>
        <w:t>, for further discussion of the transaction.</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10040"/>
          </w:cols>
          <w:pgMar w:left="920" w:top="584" w:right="920" w:bottom="0" w:gutter="0" w:footer="0" w:header="0"/>
          <w:type w:val="continuous"/>
        </w:sectPr>
      </w:pPr>
    </w:p>
    <w:bookmarkStart w:id="54" w:name="page55"/>
    <w:bookmarkEnd w:id="54"/>
    <w:p>
      <w:pPr>
        <w:jc w:val="both"/>
        <w:ind w:left="700" w:hanging="355"/>
        <w:spacing w:after="0" w:line="254" w:lineRule="auto"/>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On April 29, 2025, in order to partially fund the third-party acquisition of the Tuolumne wind facility, the Company entered into a financing agreement, which included the issuance of a $163 million term loan, as well as $22 million in letters of credit in support of debt service and facility obligations. See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for further discussion of the financing agreement.</w:t>
      </w:r>
    </w:p>
    <w:p>
      <w:pPr>
        <w:spacing w:after="0" w:line="143" w:lineRule="exact"/>
        <w:rPr>
          <w:rFonts w:ascii="Arial" w:cs="Arial" w:eastAsia="Arial" w:hAnsi="Arial"/>
          <w:sz w:val="20"/>
          <w:szCs w:val="20"/>
          <w:color w:val="auto"/>
        </w:rPr>
      </w:pPr>
    </w:p>
    <w:p>
      <w:pPr>
        <w:jc w:val="both"/>
        <w:ind w:left="700" w:hanging="355"/>
        <w:spacing w:after="0" w:line="268" w:lineRule="auto"/>
        <w:tabs>
          <w:tab w:leader="none" w:pos="7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On April 9, 2025, the Company, through its indirect subsidiary, Buckthorn Solar Portfolio LLC, refinanced its credit agreement, which was scheduled to mature in May 2025, resulting in the issuance of a $104 million term loan facility, as well as $22 million in letters of credit in support of debt service and facility obligations. The Company utilized the proceeds from the term loan and existing sources of liquidity to pay off the existing debt. See Note 10, </w:t>
      </w:r>
      <w:r>
        <w:rPr>
          <w:rFonts w:ascii="Arial" w:cs="Arial" w:eastAsia="Arial" w:hAnsi="Arial"/>
          <w:sz w:val="19"/>
          <w:szCs w:val="19"/>
          <w:b w:val="1"/>
          <w:bCs w:val="1"/>
          <w:i w:val="1"/>
          <w:iCs w:val="1"/>
          <w:color w:val="auto"/>
        </w:rPr>
        <w:t>Long-term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Debt</w:t>
      </w:r>
      <w:r>
        <w:rPr>
          <w:rFonts w:ascii="Arial" w:cs="Arial" w:eastAsia="Arial" w:hAnsi="Arial"/>
          <w:sz w:val="19"/>
          <w:szCs w:val="19"/>
          <w:color w:val="auto"/>
        </w:rPr>
        <w:t>, for further discussion of the refinanced credit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 and Regulatory Matters</w:t>
      </w:r>
    </w:p>
    <w:p>
      <w:pPr>
        <w:spacing w:after="0" w:line="187" w:lineRule="exact"/>
        <w:rPr>
          <w:sz w:val="20"/>
          <w:szCs w:val="20"/>
          <w:color w:val="auto"/>
        </w:rPr>
      </w:pPr>
    </w:p>
    <w:p>
      <w:pPr>
        <w:ind w:firstLine="441"/>
        <w:spacing w:after="0" w:line="363" w:lineRule="auto"/>
        <w:rPr>
          <w:sz w:val="20"/>
          <w:szCs w:val="20"/>
          <w:color w:val="auto"/>
        </w:rPr>
      </w:pPr>
      <w:r>
        <w:rPr>
          <w:rFonts w:ascii="Arial" w:cs="Arial" w:eastAsia="Arial" w:hAnsi="Arial"/>
          <w:sz w:val="17"/>
          <w:szCs w:val="17"/>
          <w:color w:val="auto"/>
        </w:rPr>
        <w:t xml:space="preserve">Details of environmental matters and regulatory matters are presented in Item 1 — </w:t>
      </w:r>
      <w:r>
        <w:rPr>
          <w:rFonts w:ascii="Arial" w:cs="Arial" w:eastAsia="Arial" w:hAnsi="Arial"/>
          <w:sz w:val="17"/>
          <w:szCs w:val="17"/>
          <w:b w:val="1"/>
          <w:bCs w:val="1"/>
          <w:i w:val="1"/>
          <w:iCs w:val="1"/>
          <w:color w:val="auto"/>
        </w:rPr>
        <w:t>Business, Regulatory Matters</w:t>
      </w:r>
      <w:r>
        <w:rPr>
          <w:rFonts w:ascii="Arial" w:cs="Arial" w:eastAsia="Arial" w:hAnsi="Arial"/>
          <w:sz w:val="17"/>
          <w:szCs w:val="17"/>
          <w:color w:val="auto"/>
        </w:rPr>
        <w:t xml:space="preserve"> and Item 1A — </w:t>
      </w:r>
      <w:r>
        <w:rPr>
          <w:rFonts w:ascii="Arial" w:cs="Arial" w:eastAsia="Arial" w:hAnsi="Arial"/>
          <w:sz w:val="17"/>
          <w:szCs w:val="17"/>
          <w:b w:val="1"/>
          <w:bCs w:val="1"/>
          <w:i w:val="1"/>
          <w:iCs w:val="1"/>
          <w:color w:val="auto"/>
        </w:rPr>
        <w:t>Risk Factors</w:t>
      </w:r>
      <w:r>
        <w:rPr>
          <w:rFonts w:ascii="Arial" w:cs="Arial" w:eastAsia="Arial" w:hAnsi="Arial"/>
          <w:sz w:val="17"/>
          <w:szCs w:val="17"/>
          <w:color w:val="auto"/>
        </w:rPr>
        <w:t>. Details of some of this information relate to costs that may impact the Company’s financial results.</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040"/>
          </w:cols>
          <w:pgMar w:left="920" w:top="584" w:right="920" w:bottom="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provides selected financial information:</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6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right"/>
              <w:ind w:right="492"/>
              <w:spacing w:after="0"/>
              <w:rPr>
                <w:sz w:val="20"/>
                <w:szCs w:val="20"/>
                <w:color w:val="auto"/>
              </w:rPr>
            </w:pPr>
            <w:r>
              <w:rPr>
                <w:rFonts w:ascii="Arial" w:cs="Arial" w:eastAsia="Arial" w:hAnsi="Arial"/>
                <w:sz w:val="18"/>
                <w:szCs w:val="18"/>
                <w:b w:val="1"/>
                <w:bCs w:val="1"/>
                <w:color w:val="auto"/>
              </w:rPr>
              <w:t>Year ended December 31,</w:t>
            </w:r>
          </w:p>
        </w:tc>
      </w:tr>
      <w:tr>
        <w:trPr>
          <w:trHeight w:val="230"/>
        </w:trPr>
        <w:tc>
          <w:tcPr>
            <w:tcW w:w="69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2025</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2023</w:t>
            </w:r>
          </w:p>
        </w:tc>
      </w:tr>
      <w:tr>
        <w:trPr>
          <w:trHeight w:val="224"/>
        </w:trPr>
        <w:tc>
          <w:tcPr>
            <w:tcW w:w="690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0"/>
        </w:trPr>
        <w:tc>
          <w:tcPr>
            <w:tcW w:w="6900" w:type="dxa"/>
            <w:vAlign w:val="bottom"/>
          </w:tcPr>
          <w:p>
            <w:pPr>
              <w:jc w:val="right"/>
              <w:spacing w:after="0"/>
              <w:rPr>
                <w:sz w:val="20"/>
                <w:szCs w:val="20"/>
                <w:color w:val="auto"/>
              </w:rPr>
            </w:pPr>
            <w:r>
              <w:rPr>
                <w:rFonts w:ascii="Arial" w:cs="Arial" w:eastAsia="Arial" w:hAnsi="Arial"/>
                <w:sz w:val="18"/>
                <w:szCs w:val="18"/>
                <w:color w:val="auto"/>
                <w:w w:val="89"/>
              </w:rPr>
              <w:t xml:space="preserve">Energy and capacity revenues </w:t>
            </w:r>
            <w:r>
              <w:rPr>
                <w:rFonts w:ascii="Arial" w:cs="Arial" w:eastAsia="Arial" w:hAnsi="Arial"/>
                <w:sz w:val="18"/>
                <w:szCs w:val="18"/>
                <w:color w:val="B4B4B4"/>
                <w:w w:val="89"/>
              </w:rPr>
              <w:t>. . . . . . . . . . . . . . . . . . . . . . . . . . . . . . . . . . . . . . . . . . . . . . . . . . . .</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1,565</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1,382</w:t>
            </w:r>
          </w:p>
        </w:tc>
      </w:tr>
      <w:tr>
        <w:trPr>
          <w:trHeight w:val="250"/>
        </w:trPr>
        <w:tc>
          <w:tcPr>
            <w:tcW w:w="6900" w:type="dxa"/>
            <w:vAlign w:val="bottom"/>
          </w:tcPr>
          <w:p>
            <w:pPr>
              <w:jc w:val="right"/>
              <w:spacing w:after="0"/>
              <w:rPr>
                <w:sz w:val="20"/>
                <w:szCs w:val="20"/>
                <w:color w:val="auto"/>
              </w:rPr>
            </w:pPr>
            <w:r>
              <w:rPr>
                <w:rFonts w:ascii="Arial" w:cs="Arial" w:eastAsia="Arial" w:hAnsi="Arial"/>
                <w:sz w:val="18"/>
                <w:szCs w:val="18"/>
                <w:color w:val="auto"/>
                <w:w w:val="89"/>
              </w:rPr>
              <w:t xml:space="preserve">Other revenues </w:t>
            </w:r>
            <w:r>
              <w:rPr>
                <w:rFonts w:ascii="Arial" w:cs="Arial" w:eastAsia="Arial" w:hAnsi="Arial"/>
                <w:sz w:val="18"/>
                <w:szCs w:val="18"/>
                <w:color w:val="B4B4B4"/>
                <w:w w:val="89"/>
              </w:rPr>
              <w:t>. . . . . . . . . . . . . . . . . . . . . . . . . . . . . . . . . . . . . . . . . . . . . . . . . . . . . . . . . . . . . . .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50"/>
        </w:trPr>
        <w:tc>
          <w:tcPr>
            <w:tcW w:w="6900" w:type="dxa"/>
            <w:vAlign w:val="bottom"/>
          </w:tcPr>
          <w:p>
            <w:pPr>
              <w:jc w:val="right"/>
              <w:spacing w:after="0"/>
              <w:rPr>
                <w:sz w:val="20"/>
                <w:szCs w:val="20"/>
                <w:color w:val="auto"/>
              </w:rPr>
            </w:pPr>
            <w:r>
              <w:rPr>
                <w:rFonts w:ascii="Arial" w:cs="Arial" w:eastAsia="Arial" w:hAnsi="Arial"/>
                <w:sz w:val="18"/>
                <w:szCs w:val="18"/>
                <w:color w:val="auto"/>
                <w:w w:val="90"/>
              </w:rPr>
              <w:t xml:space="preserve">Contract amortization </w:t>
            </w:r>
            <w:r>
              <w:rPr>
                <w:rFonts w:ascii="Arial" w:cs="Arial" w:eastAsia="Arial" w:hAnsi="Arial"/>
                <w:sz w:val="18"/>
                <w:szCs w:val="18"/>
                <w:color w:val="B4B4B4"/>
                <w:w w:val="90"/>
              </w:rPr>
              <w:t>. . . . . . . . . . . . . . . . . . . . . . . . . . . . . . . . . . . . . . . . . . . . . . . . . . . . . . . . .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55"/>
        </w:trPr>
        <w:tc>
          <w:tcPr>
            <w:tcW w:w="6900" w:type="dxa"/>
            <w:vAlign w:val="bottom"/>
          </w:tcPr>
          <w:p>
            <w:pPr>
              <w:jc w:val="right"/>
              <w:spacing w:after="0"/>
              <w:rPr>
                <w:sz w:val="20"/>
                <w:szCs w:val="20"/>
                <w:color w:val="auto"/>
              </w:rPr>
            </w:pPr>
            <w:r>
              <w:rPr>
                <w:rFonts w:ascii="Arial" w:cs="Arial" w:eastAsia="Arial" w:hAnsi="Arial"/>
                <w:sz w:val="18"/>
                <w:szCs w:val="18"/>
                <w:color w:val="auto"/>
                <w:w w:val="90"/>
              </w:rPr>
              <w:t xml:space="preserve">Mark-to-market for economic hedges  </w:t>
            </w:r>
            <w:r>
              <w:rPr>
                <w:rFonts w:ascii="Arial" w:cs="Arial" w:eastAsia="Arial" w:hAnsi="Arial"/>
                <w:sz w:val="18"/>
                <w:szCs w:val="18"/>
                <w:color w:val="B4B4B4"/>
                <w:w w:val="90"/>
              </w:rPr>
              <w:t>. . . . . . . . . . . . . . . . . . . . . . . . . . . . . . . . . . . . . . . . . . . . .</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900" w:type="dxa"/>
            <w:vAlign w:val="bottom"/>
          </w:tcPr>
          <w:p>
            <w:pPr>
              <w:jc w:val="right"/>
              <w:spacing w:after="0"/>
              <w:rPr>
                <w:sz w:val="20"/>
                <w:szCs w:val="20"/>
                <w:color w:val="auto"/>
              </w:rPr>
            </w:pPr>
            <w:r>
              <w:rPr>
                <w:rFonts w:ascii="Arial" w:cs="Arial" w:eastAsia="Arial" w:hAnsi="Arial"/>
                <w:sz w:val="18"/>
                <w:szCs w:val="18"/>
                <w:color w:val="B4B4B4"/>
                <w:w w:val="93"/>
              </w:rPr>
              <w:t>. . . . . . . . . . . . . . . . . . . . . . . . . . . . . . . . . . . . . . . . . . . . . . . . . . . . . . .</w:t>
            </w:r>
            <w:r>
              <w:rPr>
                <w:rFonts w:ascii="Arial" w:cs="Arial" w:eastAsia="Arial" w:hAnsi="Arial"/>
                <w:sz w:val="18"/>
                <w:szCs w:val="18"/>
                <w:color w:val="000000"/>
                <w:w w:val="93"/>
              </w:rPr>
              <w:t>Totaloperatingrevenues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r>
      <w:tr>
        <w:trPr>
          <w:trHeight w:val="224"/>
        </w:trPr>
        <w:tc>
          <w:tcPr>
            <w:tcW w:w="6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3"/>
        </w:trPr>
        <w:tc>
          <w:tcPr>
            <w:tcW w:w="6900" w:type="dxa"/>
            <w:vAlign w:val="bottom"/>
          </w:tcPr>
          <w:p>
            <w:pPr>
              <w:jc w:val="right"/>
              <w:spacing w:after="0"/>
              <w:rPr>
                <w:sz w:val="20"/>
                <w:szCs w:val="20"/>
                <w:color w:val="auto"/>
              </w:rPr>
            </w:pPr>
            <w:r>
              <w:rPr>
                <w:rFonts w:ascii="Arial" w:cs="Arial" w:eastAsia="Arial" w:hAnsi="Arial"/>
                <w:sz w:val="18"/>
                <w:szCs w:val="18"/>
                <w:color w:val="auto"/>
                <w:w w:val="90"/>
              </w:rPr>
              <w:t xml:space="preserve">Cost of fuels  </w:t>
            </w:r>
            <w:r>
              <w:rPr>
                <w:rFonts w:ascii="Arial" w:cs="Arial" w:eastAsia="Arial" w:hAnsi="Arial"/>
                <w:sz w:val="18"/>
                <w:szCs w:val="18"/>
                <w:color w:val="B4B4B4"/>
                <w:w w:val="90"/>
              </w:rPr>
              <w:t>. . . . . . . . . . . . . . . . . . . . . . . . . . . . . . . . . . . . . . . . . . . . . . . . . . . . . . . . . . . . . . . . .</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7"/>
        </w:trPr>
        <w:tc>
          <w:tcPr>
            <w:tcW w:w="6900" w:type="dxa"/>
            <w:vAlign w:val="bottom"/>
          </w:tcPr>
          <w:p>
            <w:pPr>
              <w:jc w:val="right"/>
              <w:spacing w:after="0"/>
              <w:rPr>
                <w:sz w:val="20"/>
                <w:szCs w:val="20"/>
                <w:color w:val="auto"/>
              </w:rPr>
            </w:pPr>
            <w:r>
              <w:rPr>
                <w:rFonts w:ascii="Arial" w:cs="Arial" w:eastAsia="Arial" w:hAnsi="Arial"/>
                <w:sz w:val="18"/>
                <w:szCs w:val="18"/>
                <w:color w:val="auto"/>
                <w:w w:val="89"/>
              </w:rPr>
              <w:t xml:space="preserve">Operations and maintenance </w:t>
            </w:r>
            <w:r>
              <w:rPr>
                <w:rFonts w:ascii="Arial" w:cs="Arial" w:eastAsia="Arial" w:hAnsi="Arial"/>
                <w:sz w:val="18"/>
                <w:szCs w:val="18"/>
                <w:color w:val="B4B4B4"/>
                <w:w w:val="89"/>
              </w:rPr>
              <w:t>. . . . . . . . . . . . . . . . . . . . . . . . . . . . . . . . . . . . . . . . . . . . . . . . . . . . .</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63"/>
        </w:trPr>
        <w:tc>
          <w:tcPr>
            <w:tcW w:w="6900" w:type="dxa"/>
            <w:vAlign w:val="bottom"/>
          </w:tcPr>
          <w:p>
            <w:pPr>
              <w:jc w:val="right"/>
              <w:spacing w:after="0"/>
              <w:rPr>
                <w:sz w:val="20"/>
                <w:szCs w:val="20"/>
                <w:color w:val="auto"/>
              </w:rPr>
            </w:pPr>
            <w:r>
              <w:rPr>
                <w:rFonts w:ascii="Arial" w:cs="Arial" w:eastAsia="Arial" w:hAnsi="Arial"/>
                <w:sz w:val="18"/>
                <w:szCs w:val="18"/>
                <w:color w:val="auto"/>
                <w:w w:val="89"/>
              </w:rPr>
              <w:t xml:space="preserve">Other costs of operations </w:t>
            </w:r>
            <w:r>
              <w:rPr>
                <w:rFonts w:ascii="Arial" w:cs="Arial" w:eastAsia="Arial" w:hAnsi="Arial"/>
                <w:sz w:val="18"/>
                <w:szCs w:val="18"/>
                <w:color w:val="B4B4B4"/>
                <w:w w:val="89"/>
              </w:rPr>
              <w:t>. . . . . . . . . . . . . . . . . . . . . . . . . . . . . . . . . . . . . . . . . . . . . . . . . . . . . . . .</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6900" w:type="dxa"/>
            <w:vAlign w:val="bottom"/>
          </w:tcPr>
          <w:p>
            <w:pPr>
              <w:jc w:val="right"/>
              <w:spacing w:after="0"/>
              <w:rPr>
                <w:sz w:val="20"/>
                <w:szCs w:val="20"/>
                <w:color w:val="auto"/>
              </w:rPr>
            </w:pPr>
            <w:r>
              <w:rPr>
                <w:rFonts w:ascii="Arial" w:cs="Arial" w:eastAsia="Arial" w:hAnsi="Arial"/>
                <w:sz w:val="18"/>
                <w:szCs w:val="18"/>
                <w:color w:val="auto"/>
                <w:w w:val="90"/>
              </w:rPr>
              <w:t xml:space="preserve">Depreciation, amortization and accretion </w:t>
            </w:r>
            <w:r>
              <w:rPr>
                <w:rFonts w:ascii="Arial" w:cs="Arial" w:eastAsia="Arial" w:hAnsi="Arial"/>
                <w:sz w:val="18"/>
                <w:szCs w:val="18"/>
                <w:color w:val="B4B4B4"/>
                <w:w w:val="90"/>
              </w:rPr>
              <w:t>. . . . . . . . . . . . . . . . . . . . . . . . . . . . . . . . . . . . . . . . . . .</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50"/>
        </w:trPr>
        <w:tc>
          <w:tcPr>
            <w:tcW w:w="6900" w:type="dxa"/>
            <w:vAlign w:val="bottom"/>
          </w:tcPr>
          <w:p>
            <w:pPr>
              <w:jc w:val="right"/>
              <w:spacing w:after="0"/>
              <w:rPr>
                <w:sz w:val="20"/>
                <w:szCs w:val="20"/>
                <w:color w:val="auto"/>
              </w:rPr>
            </w:pPr>
            <w:r>
              <w:rPr>
                <w:rFonts w:ascii="Arial" w:cs="Arial" w:eastAsia="Arial" w:hAnsi="Arial"/>
                <w:sz w:val="18"/>
                <w:szCs w:val="18"/>
                <w:color w:val="auto"/>
                <w:w w:val="90"/>
              </w:rPr>
              <w:t xml:space="preserve">Impairment losses </w:t>
            </w:r>
            <w:r>
              <w:rPr>
                <w:rFonts w:ascii="Arial" w:cs="Arial" w:eastAsia="Arial" w:hAnsi="Arial"/>
                <w:sz w:val="18"/>
                <w:szCs w:val="18"/>
                <w:color w:val="B4B4B4"/>
                <w:w w:val="90"/>
              </w:rPr>
              <w:t>. . . . . . . . . . . . . . . . . . . . . . . . . . . . . . . . . . . . . . . . . . . . . . . . . . . . . . . . . . . .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6900" w:type="dxa"/>
            <w:vAlign w:val="bottom"/>
          </w:tcPr>
          <w:p>
            <w:pPr>
              <w:jc w:val="right"/>
              <w:spacing w:after="0"/>
              <w:rPr>
                <w:sz w:val="20"/>
                <w:szCs w:val="20"/>
                <w:color w:val="auto"/>
              </w:rPr>
            </w:pPr>
            <w:r>
              <w:rPr>
                <w:rFonts w:ascii="Arial" w:cs="Arial" w:eastAsia="Arial" w:hAnsi="Arial"/>
                <w:sz w:val="18"/>
                <w:szCs w:val="18"/>
                <w:color w:val="auto"/>
                <w:w w:val="90"/>
              </w:rPr>
              <w:t xml:space="preserve">General and administrative </w:t>
            </w:r>
            <w:r>
              <w:rPr>
                <w:rFonts w:ascii="Arial" w:cs="Arial" w:eastAsia="Arial" w:hAnsi="Arial"/>
                <w:sz w:val="18"/>
                <w:szCs w:val="18"/>
                <w:color w:val="B4B4B4"/>
                <w:w w:val="90"/>
              </w:rPr>
              <w:t>. . . . . . . . . . . . . . . . . . . . . . . . . . . . . . . . . . . . . . . . . . . . . . . . . . . . .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55"/>
        </w:trPr>
        <w:tc>
          <w:tcPr>
            <w:tcW w:w="6900" w:type="dxa"/>
            <w:vAlign w:val="bottom"/>
          </w:tcPr>
          <w:p>
            <w:pPr>
              <w:jc w:val="right"/>
              <w:spacing w:after="0"/>
              <w:rPr>
                <w:sz w:val="20"/>
                <w:szCs w:val="20"/>
                <w:color w:val="auto"/>
              </w:rPr>
            </w:pPr>
            <w:r>
              <w:rPr>
                <w:rFonts w:ascii="Arial" w:cs="Arial" w:eastAsia="Arial" w:hAnsi="Arial"/>
                <w:sz w:val="18"/>
                <w:szCs w:val="18"/>
                <w:color w:val="auto"/>
                <w:w w:val="90"/>
              </w:rPr>
              <w:t xml:space="preserve">Transaction and integration costs </w:t>
            </w:r>
            <w:r>
              <w:rPr>
                <w:rFonts w:ascii="Arial" w:cs="Arial" w:eastAsia="Arial" w:hAnsi="Arial"/>
                <w:sz w:val="18"/>
                <w:szCs w:val="18"/>
                <w:color w:val="B4B4B4"/>
                <w:w w:val="90"/>
              </w:rPr>
              <w:t>. . . . . . . . . . . . . . . . . . . . . . . . . . . . . . . . . . . . . . . . . . . . . . . . .</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900" w:type="dxa"/>
            <w:vAlign w:val="bottom"/>
          </w:tcPr>
          <w:p>
            <w:pPr>
              <w:jc w:val="right"/>
              <w:spacing w:after="0"/>
              <w:rPr>
                <w:sz w:val="20"/>
                <w:szCs w:val="20"/>
                <w:color w:val="auto"/>
              </w:rPr>
            </w:pPr>
            <w:r>
              <w:rPr>
                <w:rFonts w:ascii="Arial" w:cs="Arial" w:eastAsia="Arial" w:hAnsi="Arial"/>
                <w:sz w:val="18"/>
                <w:szCs w:val="18"/>
                <w:color w:val="B4B4B4"/>
                <w:w w:val="93"/>
              </w:rPr>
              <w:t>. . . . . . . . . . . . . . . . . . . . . . . . . . . . . . . . . . . . . . . . . . . . . . .</w:t>
            </w:r>
            <w:r>
              <w:rPr>
                <w:rFonts w:ascii="Arial" w:cs="Arial" w:eastAsia="Arial" w:hAnsi="Arial"/>
                <w:sz w:val="18"/>
                <w:szCs w:val="18"/>
                <w:color w:val="000000"/>
                <w:w w:val="93"/>
              </w:rPr>
              <w:t>Totaloperatingcostsandexpenses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r>
      <w:tr>
        <w:trPr>
          <w:trHeight w:val="230"/>
        </w:trPr>
        <w:tc>
          <w:tcPr>
            <w:tcW w:w="6900" w:type="dxa"/>
            <w:vAlign w:val="bottom"/>
          </w:tcPr>
          <w:p>
            <w:pPr>
              <w:jc w:val="right"/>
              <w:spacing w:after="0"/>
              <w:rPr>
                <w:sz w:val="20"/>
                <w:szCs w:val="20"/>
                <w:color w:val="auto"/>
              </w:rPr>
            </w:pPr>
            <w:r>
              <w:rPr>
                <w:rFonts w:ascii="Arial" w:cs="Arial" w:eastAsia="Arial" w:hAnsi="Arial"/>
                <w:sz w:val="18"/>
                <w:szCs w:val="18"/>
                <w:b w:val="1"/>
                <w:bCs w:val="1"/>
                <w:color w:val="B4B4B4"/>
                <w:w w:val="89"/>
              </w:rPr>
              <w:t>. . . . . . . . . . . . . . . . . . . . . . . . . . . . . . . . . . . . . . . . . . . . . . . . . . . . . . . . . . . . . .</w:t>
            </w:r>
            <w:r>
              <w:rPr>
                <w:rFonts w:ascii="Arial" w:cs="Arial" w:eastAsia="Arial" w:hAnsi="Arial"/>
                <w:sz w:val="18"/>
                <w:szCs w:val="18"/>
                <w:b w:val="1"/>
                <w:bCs w:val="1"/>
                <w:color w:val="000000"/>
                <w:w w:val="89"/>
              </w:rPr>
              <w:t>OperatingIncome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24"/>
        </w:trPr>
        <w:tc>
          <w:tcPr>
            <w:tcW w:w="69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0"/>
        </w:trPr>
        <w:tc>
          <w:tcPr>
            <w:tcW w:w="6900" w:type="dxa"/>
            <w:vAlign w:val="bottom"/>
          </w:tcPr>
          <w:p>
            <w:pPr>
              <w:jc w:val="right"/>
              <w:spacing w:after="0"/>
              <w:rPr>
                <w:sz w:val="20"/>
                <w:szCs w:val="20"/>
                <w:color w:val="auto"/>
              </w:rPr>
            </w:pPr>
            <w:r>
              <w:rPr>
                <w:rFonts w:ascii="Arial" w:cs="Arial" w:eastAsia="Arial" w:hAnsi="Arial"/>
                <w:sz w:val="18"/>
                <w:szCs w:val="18"/>
                <w:color w:val="auto"/>
                <w:w w:val="91"/>
              </w:rPr>
              <w:t xml:space="preserve">Equity in earnings of unconsolidated affiliates </w:t>
            </w:r>
            <w:r>
              <w:rPr>
                <w:rFonts w:ascii="Arial" w:cs="Arial" w:eastAsia="Arial" w:hAnsi="Arial"/>
                <w:sz w:val="18"/>
                <w:szCs w:val="18"/>
                <w:color w:val="B4B4B4"/>
                <w:w w:val="91"/>
              </w:rPr>
              <w:t>. . . . . . . . . . . . . . . . . . . . . . . . . . . . . . . . . . . . . .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6900" w:type="dxa"/>
            <w:vAlign w:val="bottom"/>
          </w:tcPr>
          <w:p>
            <w:pPr>
              <w:jc w:val="right"/>
              <w:spacing w:after="0"/>
              <w:rPr>
                <w:sz w:val="20"/>
                <w:szCs w:val="20"/>
                <w:color w:val="auto"/>
              </w:rPr>
            </w:pPr>
            <w:r>
              <w:rPr>
                <w:rFonts w:ascii="Arial" w:cs="Arial" w:eastAsia="Arial" w:hAnsi="Arial"/>
                <w:sz w:val="18"/>
                <w:szCs w:val="18"/>
                <w:color w:val="auto"/>
                <w:w w:val="90"/>
              </w:rPr>
              <w:t xml:space="preserve">Other income, net </w:t>
            </w:r>
            <w:r>
              <w:rPr>
                <w:rFonts w:ascii="Arial" w:cs="Arial" w:eastAsia="Arial" w:hAnsi="Arial"/>
                <w:sz w:val="18"/>
                <w:szCs w:val="18"/>
                <w:color w:val="B4B4B4"/>
                <w:w w:val="90"/>
              </w:rPr>
              <w:t>. . . . . . . . . . . . . . . . . . . . . . . . . . . . . . . . . . . . . . . . . . . . . . . . . . . . . . . . . . . .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50"/>
        </w:trPr>
        <w:tc>
          <w:tcPr>
            <w:tcW w:w="6900" w:type="dxa"/>
            <w:vAlign w:val="bottom"/>
          </w:tcPr>
          <w:p>
            <w:pPr>
              <w:jc w:val="right"/>
              <w:spacing w:after="0"/>
              <w:rPr>
                <w:sz w:val="20"/>
                <w:szCs w:val="20"/>
                <w:color w:val="auto"/>
              </w:rPr>
            </w:pPr>
            <w:r>
              <w:rPr>
                <w:rFonts w:ascii="Arial" w:cs="Arial" w:eastAsia="Arial" w:hAnsi="Arial"/>
                <w:sz w:val="18"/>
                <w:szCs w:val="18"/>
                <w:color w:val="auto"/>
                <w:w w:val="90"/>
              </w:rPr>
              <w:t xml:space="preserve">Loss on debt extinguishment </w:t>
            </w:r>
            <w:r>
              <w:rPr>
                <w:rFonts w:ascii="Arial" w:cs="Arial" w:eastAsia="Arial" w:hAnsi="Arial"/>
                <w:sz w:val="18"/>
                <w:szCs w:val="18"/>
                <w:color w:val="B4B4B4"/>
                <w:w w:val="90"/>
              </w:rPr>
              <w:t>. . . . . . . . . . . . . . . . . . . . . . . . . . . . . . . . . . . . . . . . . . . . . . . . . . . .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6900" w:type="dxa"/>
            <w:vAlign w:val="bottom"/>
          </w:tcPr>
          <w:p>
            <w:pPr>
              <w:jc w:val="right"/>
              <w:spacing w:after="0"/>
              <w:rPr>
                <w:sz w:val="20"/>
                <w:szCs w:val="20"/>
                <w:color w:val="auto"/>
              </w:rPr>
            </w:pPr>
            <w:r>
              <w:rPr>
                <w:rFonts w:ascii="Arial" w:cs="Arial" w:eastAsia="Arial" w:hAnsi="Arial"/>
                <w:sz w:val="18"/>
                <w:szCs w:val="18"/>
                <w:color w:val="auto"/>
                <w:w w:val="90"/>
              </w:rPr>
              <w:t xml:space="preserve">Derivative interest (expense) income </w:t>
            </w:r>
            <w:r>
              <w:rPr>
                <w:rFonts w:ascii="Arial" w:cs="Arial" w:eastAsia="Arial" w:hAnsi="Arial"/>
                <w:sz w:val="18"/>
                <w:szCs w:val="18"/>
                <w:color w:val="B4B4B4"/>
                <w:w w:val="90"/>
              </w:rPr>
              <w:t>. . . . . . . . . . . . . . . . . . . . . . . . . . . . . . . . . . . . . . . . . . . . . .</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2"/>
        </w:trPr>
        <w:tc>
          <w:tcPr>
            <w:tcW w:w="6900" w:type="dxa"/>
            <w:vAlign w:val="bottom"/>
          </w:tcPr>
          <w:p>
            <w:pPr>
              <w:jc w:val="right"/>
              <w:spacing w:after="0"/>
              <w:rPr>
                <w:sz w:val="20"/>
                <w:szCs w:val="20"/>
                <w:color w:val="auto"/>
              </w:rPr>
            </w:pPr>
            <w:r>
              <w:rPr>
                <w:rFonts w:ascii="Arial" w:cs="Arial" w:eastAsia="Arial" w:hAnsi="Arial"/>
                <w:sz w:val="18"/>
                <w:szCs w:val="18"/>
                <w:color w:val="auto"/>
                <w:w w:val="89"/>
              </w:rPr>
              <w:t xml:space="preserve">Other interest expense </w:t>
            </w:r>
            <w:r>
              <w:rPr>
                <w:rFonts w:ascii="Arial" w:cs="Arial" w:eastAsia="Arial" w:hAnsi="Arial"/>
                <w:sz w:val="18"/>
                <w:szCs w:val="18"/>
                <w:color w:val="B4B4B4"/>
                <w:w w:val="89"/>
              </w:rPr>
              <w:t>. . . . . . . . . . . . . . . . . . . . . . . . . . . . . . . . . . . . . . . . . . . . . . . . . . . . . . . . . .</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6900" w:type="dxa"/>
            <w:vAlign w:val="bottom"/>
          </w:tcPr>
          <w:p>
            <w:pPr>
              <w:jc w:val="right"/>
              <w:spacing w:after="0"/>
              <w:rPr>
                <w:sz w:val="20"/>
                <w:szCs w:val="20"/>
                <w:color w:val="auto"/>
              </w:rPr>
            </w:pPr>
            <w:r>
              <w:rPr>
                <w:rFonts w:ascii="Arial" w:cs="Arial" w:eastAsia="Arial" w:hAnsi="Arial"/>
                <w:sz w:val="18"/>
                <w:szCs w:val="18"/>
                <w:color w:val="B4B4B4"/>
                <w:w w:val="95"/>
              </w:rPr>
              <w:t>. . . . . . . . . . . . . . . . . . . . . . . . . . . . . . . . . . . . . . . . . . . . . . . . . . . . . .</w:t>
            </w:r>
            <w:r>
              <w:rPr>
                <w:rFonts w:ascii="Arial" w:cs="Arial" w:eastAsia="Arial" w:hAnsi="Arial"/>
                <w:sz w:val="18"/>
                <w:szCs w:val="18"/>
                <w:color w:val="000000"/>
                <w:w w:val="95"/>
              </w:rPr>
              <w:t>Totalotherexpense,net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6900" w:type="dxa"/>
            <w:vAlign w:val="bottom"/>
          </w:tcPr>
          <w:p>
            <w:pPr>
              <w:jc w:val="right"/>
              <w:spacing w:after="0"/>
              <w:rPr>
                <w:sz w:val="20"/>
                <w:szCs w:val="20"/>
                <w:color w:val="auto"/>
              </w:rPr>
            </w:pPr>
            <w:r>
              <w:rPr>
                <w:rFonts w:ascii="Arial" w:cs="Arial" w:eastAsia="Arial" w:hAnsi="Arial"/>
                <w:sz w:val="18"/>
                <w:szCs w:val="18"/>
                <w:b w:val="1"/>
                <w:bCs w:val="1"/>
                <w:color w:val="B4B4B4"/>
                <w:w w:val="90"/>
              </w:rPr>
              <w:t>. . . . . . . . . . . . . . . . . . . . . . . . . . . . . . . . . . . . . . . . . . . . . . . . . . . . . . .</w:t>
            </w:r>
            <w:r>
              <w:rPr>
                <w:rFonts w:ascii="Arial" w:cs="Arial" w:eastAsia="Arial" w:hAnsi="Arial"/>
                <w:sz w:val="18"/>
                <w:szCs w:val="18"/>
                <w:b w:val="1"/>
                <w:bCs w:val="1"/>
                <w:color w:val="000000"/>
                <w:w w:val="90"/>
              </w:rPr>
              <w:t>LossBeforeIncomeTaxes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1"/>
        </w:trPr>
        <w:tc>
          <w:tcPr>
            <w:tcW w:w="6900" w:type="dxa"/>
            <w:vAlign w:val="bottom"/>
          </w:tcPr>
          <w:p>
            <w:pPr>
              <w:jc w:val="right"/>
              <w:spacing w:after="0"/>
              <w:rPr>
                <w:sz w:val="20"/>
                <w:szCs w:val="20"/>
                <w:color w:val="auto"/>
              </w:rPr>
            </w:pPr>
            <w:r>
              <w:rPr>
                <w:rFonts w:ascii="Arial" w:cs="Arial" w:eastAsia="Arial" w:hAnsi="Arial"/>
                <w:sz w:val="18"/>
                <w:szCs w:val="18"/>
                <w:color w:val="auto"/>
                <w:w w:val="90"/>
              </w:rPr>
              <w:t xml:space="preserve">Income tax expense (benefit)  </w:t>
            </w:r>
            <w:r>
              <w:rPr>
                <w:rFonts w:ascii="Arial" w:cs="Arial" w:eastAsia="Arial" w:hAnsi="Arial"/>
                <w:sz w:val="18"/>
                <w:szCs w:val="18"/>
                <w:color w:val="B4B4B4"/>
                <w:w w:val="90"/>
              </w:rPr>
              <w:t>. . . . . . . . . . . . . . . . . . . . . . . . . . . . . . . . . . . . . . . . . . . . . . . . . . . .</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900" w:type="dxa"/>
            <w:vAlign w:val="bottom"/>
          </w:tcPr>
          <w:p>
            <w:pPr>
              <w:jc w:val="right"/>
              <w:spacing w:after="0"/>
              <w:rPr>
                <w:sz w:val="20"/>
                <w:szCs w:val="20"/>
                <w:color w:val="auto"/>
              </w:rPr>
            </w:pPr>
            <w:r>
              <w:rPr>
                <w:rFonts w:ascii="Arial" w:cs="Arial" w:eastAsia="Arial" w:hAnsi="Arial"/>
                <w:sz w:val="18"/>
                <w:szCs w:val="18"/>
                <w:b w:val="1"/>
                <w:bCs w:val="1"/>
                <w:color w:val="B4B4B4"/>
                <w:w w:val="89"/>
              </w:rPr>
              <w:t>. . . . . . . . . . . . . . . . . . . . . . . . . . . . . . . . . . . . . . . . . . . . . . . . . . . . . . . . . . . . . . . . . . . . . .</w:t>
            </w:r>
            <w:r>
              <w:rPr>
                <w:rFonts w:ascii="Arial" w:cs="Arial" w:eastAsia="Arial" w:hAnsi="Arial"/>
                <w:sz w:val="18"/>
                <w:szCs w:val="18"/>
                <w:b w:val="1"/>
                <w:bCs w:val="1"/>
                <w:color w:val="000000"/>
                <w:w w:val="89"/>
              </w:rPr>
              <w:t>NetLoss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9"/>
        </w:trPr>
        <w:tc>
          <w:tcPr>
            <w:tcW w:w="6900" w:type="dxa"/>
            <w:vAlign w:val="bottom"/>
          </w:tcPr>
          <w:p>
            <w:pPr>
              <w:jc w:val="right"/>
              <w:spacing w:after="0"/>
              <w:rPr>
                <w:sz w:val="20"/>
                <w:szCs w:val="20"/>
                <w:color w:val="auto"/>
              </w:rPr>
            </w:pPr>
            <w:r>
              <w:rPr>
                <w:rFonts w:ascii="Arial" w:cs="Arial" w:eastAsia="Arial" w:hAnsi="Arial"/>
                <w:sz w:val="18"/>
                <w:szCs w:val="18"/>
                <w:color w:val="auto"/>
                <w:w w:val="90"/>
              </w:rPr>
              <w:t xml:space="preserve">Less: Net loss attributable to noncontrolling interests and redeemable noncontrolling interests </w:t>
            </w:r>
            <w:r>
              <w:rPr>
                <w:rFonts w:ascii="Arial" w:cs="Arial" w:eastAsia="Arial" w:hAnsi="Arial"/>
                <w:sz w:val="18"/>
                <w:szCs w:val="18"/>
                <w:color w:val="B4B4B4"/>
                <w:w w:val="90"/>
              </w:rPr>
              <w:t>.</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6900" w:type="dxa"/>
            <w:vAlign w:val="bottom"/>
          </w:tcPr>
          <w:p>
            <w:pPr>
              <w:jc w:val="right"/>
              <w:spacing w:after="0"/>
              <w:rPr>
                <w:sz w:val="20"/>
                <w:szCs w:val="20"/>
                <w:color w:val="auto"/>
              </w:rPr>
            </w:pPr>
            <w:r>
              <w:rPr>
                <w:rFonts w:ascii="Arial" w:cs="Arial" w:eastAsia="Arial" w:hAnsi="Arial"/>
                <w:sz w:val="18"/>
                <w:szCs w:val="18"/>
                <w:b w:val="1"/>
                <w:bCs w:val="1"/>
                <w:color w:val="auto"/>
                <w:w w:val="90"/>
              </w:rPr>
              <w:t xml:space="preserve">Net Income Attributable to Clearway Energy, Inc. </w:t>
            </w:r>
            <w:r>
              <w:rPr>
                <w:rFonts w:ascii="Arial" w:cs="Arial" w:eastAsia="Arial" w:hAnsi="Arial"/>
                <w:sz w:val="18"/>
                <w:szCs w:val="18"/>
                <w:b w:val="1"/>
                <w:bCs w:val="1"/>
                <w:color w:val="B4B4B4"/>
                <w:w w:val="90"/>
              </w:rPr>
              <w:t>. . . . . . . . . . . . . . . . . . . . . . . . . . . . . . . . . .</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-4492625</wp:posOffset>
            </wp:positionV>
            <wp:extent cx="6410325" cy="4499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6410325" cy="4499610"/>
                    </a:xfrm>
                    <a:prstGeom prst="rect">
                      <a:avLst/>
                    </a:prstGeom>
                    <a:noFill/>
                  </pic:spPr>
                </pic:pic>
              </a:graphicData>
            </a:graphic>
          </wp:anchor>
        </w:drawing>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6900" w:type="dxa"/>
            <w:vAlign w:val="bottom"/>
          </w:tcPr>
          <w:p>
            <w:pPr>
              <w:spacing w:after="0"/>
              <w:rPr>
                <w:sz w:val="20"/>
                <w:szCs w:val="20"/>
                <w:color w:val="auto"/>
              </w:rPr>
            </w:pPr>
          </w:p>
        </w:tc>
        <w:tc>
          <w:tcPr>
            <w:tcW w:w="2920" w:type="dxa"/>
            <w:vAlign w:val="bottom"/>
            <w:tcBorders>
              <w:bottom w:val="single" w:sz="8" w:color="auto"/>
            </w:tcBorders>
            <w:gridSpan w:val="7"/>
          </w:tcPr>
          <w:p>
            <w:pPr>
              <w:jc w:val="right"/>
              <w:ind w:right="312"/>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b w:val="1"/>
                <w:bCs w:val="1"/>
                <w:color w:val="auto"/>
              </w:rPr>
              <w:t>Business metrics:</w:t>
            </w: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9"/>
                <w:szCs w:val="19"/>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00" w:type="dxa"/>
            <w:vAlign w:val="bottom"/>
          </w:tcPr>
          <w:p>
            <w:pPr>
              <w:jc w:val="right"/>
              <w:spacing w:after="0" w:line="244" w:lineRule="exact"/>
              <w:rPr>
                <w:sz w:val="20"/>
                <w:szCs w:val="20"/>
                <w:color w:val="auto"/>
              </w:rPr>
            </w:pPr>
            <w:r>
              <w:rPr>
                <w:rFonts w:ascii="Arial" w:cs="Arial" w:eastAsia="Arial" w:hAnsi="Arial"/>
                <w:sz w:val="18"/>
                <w:szCs w:val="18"/>
                <w:color w:val="B4B4B4"/>
                <w:w w:val="94"/>
              </w:rPr>
              <w:t>. . . . . . . . . . . . . . . . . . . . . . . . . . . . . . . . . . . . . . . .</w:t>
            </w:r>
            <w:r>
              <w:rPr>
                <w:rFonts w:ascii="Arial" w:cs="Arial" w:eastAsia="Arial" w:hAnsi="Arial"/>
                <w:sz w:val="18"/>
                <w:szCs w:val="18"/>
                <w:color w:val="000000"/>
                <w:w w:val="94"/>
              </w:rPr>
              <w:t>SolarMWhgenerated/sold(inthousands)</w:t>
            </w:r>
            <w:r>
              <w:rPr>
                <w:rFonts w:ascii="Arial" w:cs="Arial" w:eastAsia="Arial" w:hAnsi="Arial"/>
                <w:sz w:val="22"/>
                <w:szCs w:val="22"/>
                <w:color w:val="000000"/>
                <w:w w:val="94"/>
                <w:vertAlign w:val="superscript"/>
              </w:rPr>
              <w:t>(a)</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9,225</w:t>
            </w:r>
          </w:p>
        </w:tc>
        <w:tc>
          <w:tcPr>
            <w:tcW w:w="2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00" w:type="dxa"/>
            <w:vAlign w:val="bottom"/>
          </w:tcPr>
          <w:p>
            <w:pPr>
              <w:jc w:val="right"/>
              <w:spacing w:after="0" w:line="236" w:lineRule="exact"/>
              <w:rPr>
                <w:sz w:val="20"/>
                <w:szCs w:val="20"/>
                <w:color w:val="auto"/>
              </w:rPr>
            </w:pPr>
            <w:r>
              <w:rPr>
                <w:rFonts w:ascii="Arial" w:cs="Arial" w:eastAsia="Arial" w:hAnsi="Arial"/>
                <w:sz w:val="18"/>
                <w:szCs w:val="18"/>
                <w:color w:val="auto"/>
                <w:w w:val="89"/>
              </w:rPr>
              <w:t xml:space="preserve">Wind MWh generated/sold (in thousands) </w:t>
            </w:r>
            <w:r>
              <w:rPr>
                <w:rFonts w:ascii="Arial" w:cs="Arial" w:eastAsia="Arial" w:hAnsi="Arial"/>
                <w:sz w:val="22"/>
                <w:szCs w:val="22"/>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4B4B4"/>
                <w:w w:val="89"/>
              </w:rPr>
              <w:t>. . .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10,528</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9,951</w:t>
            </w: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00" w:type="dxa"/>
            <w:vAlign w:val="bottom"/>
          </w:tcPr>
          <w:p>
            <w:pPr>
              <w:jc w:val="right"/>
              <w:spacing w:after="0" w:line="210" w:lineRule="exact"/>
              <w:rPr>
                <w:sz w:val="20"/>
                <w:szCs w:val="20"/>
                <w:color w:val="auto"/>
              </w:rPr>
            </w:pPr>
            <w:r>
              <w:rPr>
                <w:rFonts w:ascii="Arial" w:cs="Arial" w:eastAsia="Arial" w:hAnsi="Arial"/>
                <w:sz w:val="18"/>
                <w:szCs w:val="18"/>
                <w:color w:val="B4B4B4"/>
                <w:w w:val="92"/>
              </w:rPr>
              <w:t>. . . . . . . . . . . . . . . . . . . . . . . . . . . .</w:t>
            </w:r>
            <w:r>
              <w:rPr>
                <w:rFonts w:ascii="Arial" w:cs="Arial" w:eastAsia="Arial" w:hAnsi="Arial"/>
                <w:sz w:val="18"/>
                <w:szCs w:val="18"/>
                <w:color w:val="000000"/>
                <w:w w:val="92"/>
              </w:rPr>
              <w:t>Renewables&amp;StorageMWhgenerated/sold(inthousands)</w:t>
            </w:r>
            <w:r>
              <w:rPr>
                <w:rFonts w:ascii="Arial" w:cs="Arial" w:eastAsia="Arial" w:hAnsi="Arial"/>
                <w:sz w:val="22"/>
                <w:szCs w:val="22"/>
                <w:color w:val="000000"/>
                <w:w w:val="92"/>
                <w:vertAlign w:val="superscript"/>
              </w:rPr>
              <w:t>(a)</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19,753</w:t>
            </w:r>
          </w:p>
        </w:tc>
        <w:tc>
          <w:tcPr>
            <w:tcW w:w="20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18,609</w:t>
            </w: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14,839</w:t>
            </w:r>
          </w:p>
        </w:tc>
        <w:tc>
          <w:tcPr>
            <w:tcW w:w="1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 xml:space="preserve">Solar weighted-average capacity factor </w:t>
            </w:r>
            <w:r>
              <w:rPr>
                <w:rFonts w:ascii="Arial" w:cs="Arial" w:eastAsia="Arial" w:hAnsi="Arial"/>
                <w:sz w:val="22"/>
                <w:szCs w:val="22"/>
                <w:color w:val="auto"/>
                <w:vertAlign w:val="superscript"/>
              </w:rPr>
              <w:t>(b)</w:t>
            </w: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900" w:type="dxa"/>
            <w:vAlign w:val="bottom"/>
            <w:vMerge w:val="continue"/>
          </w:tcPr>
          <w:p>
            <w:pPr>
              <w:jc w:val="right"/>
              <w:spacing w:after="0" w:line="152" w:lineRule="exact"/>
              <w:rPr>
                <w:sz w:val="20"/>
                <w:szCs w:val="20"/>
                <w:color w:val="auto"/>
              </w:rPr>
            </w:pPr>
            <w:r>
              <w:rPr>
                <w:rFonts w:ascii="Arial" w:cs="Arial" w:eastAsia="Arial" w:hAnsi="Arial"/>
                <w:sz w:val="17"/>
                <w:szCs w:val="17"/>
                <w:color w:val="B4B4B4"/>
              </w:rPr>
              <w:t>. . . . . . . . . . . . . . . . . . . . . . . . . . . . . . . . . . . . . . . . . . .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28.9 %</w:t>
            </w:r>
          </w:p>
        </w:tc>
        <w:tc>
          <w:tcPr>
            <w:tcW w:w="60" w:type="dxa"/>
            <w:vAlign w:val="bottom"/>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29.8 %</w:t>
            </w:r>
          </w:p>
        </w:tc>
        <w:tc>
          <w:tcPr>
            <w:tcW w:w="80" w:type="dxa"/>
            <w:vAlign w:val="bottom"/>
            <w:vMerge w:val="continue"/>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50"/>
        </w:trPr>
        <w:tc>
          <w:tcPr>
            <w:tcW w:w="6900" w:type="dxa"/>
            <w:vAlign w:val="bottom"/>
          </w:tcPr>
          <w:p>
            <w:pPr>
              <w:jc w:val="right"/>
              <w:spacing w:after="0" w:line="250" w:lineRule="exact"/>
              <w:rPr>
                <w:sz w:val="20"/>
                <w:szCs w:val="20"/>
                <w:color w:val="auto"/>
              </w:rPr>
            </w:pPr>
            <w:r>
              <w:rPr>
                <w:rFonts w:ascii="Arial" w:cs="Arial" w:eastAsia="Arial" w:hAnsi="Arial"/>
                <w:sz w:val="18"/>
                <w:szCs w:val="18"/>
                <w:color w:val="auto"/>
                <w:w w:val="88"/>
              </w:rPr>
              <w:t xml:space="preserve">Wind weighted-average capacity factor </w:t>
            </w:r>
            <w:r>
              <w:rPr>
                <w:rFonts w:ascii="Arial" w:cs="Arial" w:eastAsia="Arial" w:hAnsi="Arial"/>
                <w:sz w:val="22"/>
                <w:szCs w:val="22"/>
                <w:color w:val="auto"/>
                <w:w w:val="88"/>
                <w:vertAlign w:val="superscript"/>
              </w:rPr>
              <w:t>(c)</w:t>
            </w:r>
            <w:r>
              <w:rPr>
                <w:rFonts w:ascii="Arial" w:cs="Arial" w:eastAsia="Arial" w:hAnsi="Arial"/>
                <w:sz w:val="18"/>
                <w:szCs w:val="18"/>
                <w:color w:val="auto"/>
                <w:w w:val="88"/>
              </w:rPr>
              <w:t xml:space="preserve"> </w:t>
            </w:r>
            <w:r>
              <w:rPr>
                <w:rFonts w:ascii="Arial" w:cs="Arial" w:eastAsia="Arial" w:hAnsi="Arial"/>
                <w:sz w:val="18"/>
                <w:szCs w:val="18"/>
                <w:color w:val="B4B4B4"/>
                <w:w w:val="88"/>
              </w:rPr>
              <w:t>. . . . . . . . . . . . . . . . . . . . . . . . . . . . . . . . . . . . . . . . . . .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30.6 %</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30.1 %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50"/>
        </w:trPr>
        <w:tc>
          <w:tcPr>
            <w:tcW w:w="6900" w:type="dxa"/>
            <w:vAlign w:val="bottom"/>
          </w:tcPr>
          <w:p>
            <w:pPr>
              <w:jc w:val="right"/>
              <w:spacing w:after="0" w:line="250" w:lineRule="exact"/>
              <w:rPr>
                <w:sz w:val="20"/>
                <w:szCs w:val="20"/>
                <w:color w:val="auto"/>
              </w:rPr>
            </w:pPr>
            <w:r>
              <w:rPr>
                <w:rFonts w:ascii="Arial" w:cs="Arial" w:eastAsia="Arial" w:hAnsi="Arial"/>
                <w:sz w:val="18"/>
                <w:szCs w:val="18"/>
                <w:color w:val="auto"/>
                <w:w w:val="88"/>
              </w:rPr>
              <w:t xml:space="preserve">Flexible Generation MWh generated (in thousands) </w:t>
            </w:r>
            <w:r>
              <w:rPr>
                <w:rFonts w:ascii="Arial" w:cs="Arial" w:eastAsia="Arial" w:hAnsi="Arial"/>
                <w:sz w:val="22"/>
                <w:szCs w:val="22"/>
                <w:color w:val="auto"/>
                <w:w w:val="88"/>
                <w:vertAlign w:val="superscript"/>
              </w:rPr>
              <w:t>(a)</w:t>
            </w:r>
            <w:r>
              <w:rPr>
                <w:rFonts w:ascii="Arial" w:cs="Arial" w:eastAsia="Arial" w:hAnsi="Arial"/>
                <w:sz w:val="18"/>
                <w:szCs w:val="18"/>
                <w:color w:val="auto"/>
                <w:w w:val="88"/>
              </w:rPr>
              <w:t xml:space="preserve">  </w:t>
            </w:r>
            <w:r>
              <w:rPr>
                <w:rFonts w:ascii="Arial" w:cs="Arial" w:eastAsia="Arial" w:hAnsi="Arial"/>
                <w:sz w:val="18"/>
                <w:szCs w:val="18"/>
                <w:color w:val="B4B4B4"/>
                <w:w w:val="88"/>
              </w:rPr>
              <w:t>.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1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00" w:type="dxa"/>
            <w:vAlign w:val="bottom"/>
          </w:tcPr>
          <w:p>
            <w:pPr>
              <w:jc w:val="right"/>
              <w:spacing w:after="0"/>
              <w:rPr>
                <w:sz w:val="20"/>
                <w:szCs w:val="20"/>
                <w:color w:val="auto"/>
              </w:rPr>
            </w:pPr>
            <w:r>
              <w:rPr>
                <w:rFonts w:ascii="Arial" w:cs="Arial" w:eastAsia="Arial" w:hAnsi="Arial"/>
                <w:sz w:val="18"/>
                <w:szCs w:val="18"/>
                <w:color w:val="auto"/>
                <w:w w:val="89"/>
              </w:rPr>
              <w:t xml:space="preserve">Flexible Generation equivalent availability factor </w:t>
            </w:r>
            <w:r>
              <w:rPr>
                <w:rFonts w:ascii="Arial" w:cs="Arial" w:eastAsia="Arial" w:hAnsi="Arial"/>
                <w:sz w:val="18"/>
                <w:szCs w:val="18"/>
                <w:color w:val="B4B4B4"/>
                <w:w w:val="89"/>
              </w:rPr>
              <w:t>. . . . . . . . . . . . . . . . . . . . .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93.4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-1113155</wp:posOffset>
            </wp:positionV>
            <wp:extent cx="6410325" cy="1238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6410325" cy="1238885"/>
                    </a:xfrm>
                    <a:prstGeom prst="rect">
                      <a:avLst/>
                    </a:prstGeom>
                    <a:noFill/>
                  </pic:spPr>
                </pic:pic>
              </a:graphicData>
            </a:graphic>
          </wp:anchor>
        </w:drawing>
      </w:r>
    </w:p>
    <w:p>
      <w:pPr>
        <w:spacing w:after="0" w:line="190" w:lineRule="exact"/>
        <w:rPr>
          <w:sz w:val="20"/>
          <w:szCs w:val="20"/>
          <w:color w:val="auto"/>
        </w:rPr>
      </w:pPr>
    </w:p>
    <w:p>
      <w:pPr>
        <w:ind w:left="280" w:hanging="199"/>
        <w:spacing w:after="0"/>
        <w:tabs>
          <w:tab w:leader="none" w:pos="28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Volumes do not include the MWh generated/sold by the Company’s equity method investments.</w:t>
      </w:r>
    </w:p>
    <w:p>
      <w:pPr>
        <w:spacing w:after="0" w:line="22" w:lineRule="exact"/>
        <w:rPr>
          <w:rFonts w:ascii="Arial" w:cs="Arial" w:eastAsia="Arial" w:hAnsi="Arial"/>
          <w:sz w:val="20"/>
          <w:szCs w:val="20"/>
          <w:color w:val="auto"/>
          <w:vertAlign w:val="superscript"/>
        </w:rPr>
      </w:pPr>
    </w:p>
    <w:p>
      <w:pPr>
        <w:ind w:left="280" w:hanging="199"/>
        <w:spacing w:after="0" w:line="203" w:lineRule="auto"/>
        <w:tabs>
          <w:tab w:leader="none" w:pos="28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Typical average capacity factors for solar facilities is 25%. The weighted-average capacity factors can vary based on seasonality and weather.</w:t>
      </w:r>
    </w:p>
    <w:p>
      <w:pPr>
        <w:spacing w:after="0" w:line="22" w:lineRule="exact"/>
        <w:rPr>
          <w:rFonts w:ascii="Arial" w:cs="Arial" w:eastAsia="Arial" w:hAnsi="Arial"/>
          <w:sz w:val="19"/>
          <w:szCs w:val="19"/>
          <w:color w:val="auto"/>
          <w:vertAlign w:val="superscript"/>
        </w:rPr>
      </w:pPr>
    </w:p>
    <w:p>
      <w:pPr>
        <w:ind w:left="280" w:hanging="199"/>
        <w:spacing w:after="0" w:line="203" w:lineRule="auto"/>
        <w:tabs>
          <w:tab w:leader="none" w:pos="280" w:val="left"/>
        </w:tabs>
        <w:numPr>
          <w:ilvl w:val="0"/>
          <w:numId w:val="26"/>
        </w:numPr>
        <w:rPr>
          <w:rFonts w:ascii="Arial" w:cs="Arial" w:eastAsia="Arial" w:hAnsi="Arial"/>
          <w:sz w:val="19"/>
          <w:szCs w:val="19"/>
          <w:color w:val="auto"/>
          <w:vertAlign w:val="superscript"/>
        </w:rPr>
      </w:pPr>
      <w:r>
        <w:rPr>
          <w:rFonts w:ascii="Arial" w:cs="Arial" w:eastAsia="Arial" w:hAnsi="Arial"/>
          <w:sz w:val="15"/>
          <w:szCs w:val="15"/>
          <w:color w:val="auto"/>
        </w:rPr>
        <w:t>Typical average capacity factors for wind facilities is 25-45%. The weighted-average capacity factors can vary based on seasonality and weather.</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040"/>
          </w:cols>
          <w:pgMar w:left="920" w:top="577" w:right="920" w:bottom="0" w:gutter="0" w:footer="0" w:header="0"/>
          <w:type w:val="continuous"/>
        </w:sectPr>
      </w:pPr>
    </w:p>
    <w:bookmarkStart w:id="56" w:name="page57"/>
    <w:bookmarkEnd w:id="56"/>
    <w:p>
      <w:pPr>
        <w:ind w:right="1540"/>
        <w:spacing w:after="0" w:line="433" w:lineRule="auto"/>
        <w:rPr>
          <w:sz w:val="20"/>
          <w:szCs w:val="20"/>
          <w:color w:val="auto"/>
        </w:rPr>
      </w:pPr>
      <w:r>
        <w:rPr>
          <w:rFonts w:ascii="Arial" w:cs="Arial" w:eastAsia="Arial" w:hAnsi="Arial"/>
          <w:sz w:val="20"/>
          <w:szCs w:val="20"/>
          <w:b w:val="1"/>
          <w:bCs w:val="1"/>
          <w:color w:val="auto"/>
        </w:rPr>
        <w:t xml:space="preserve">Management’s discussion of the results of operations for the years ended December 31, 2025 and 2024 </w:t>
      </w:r>
      <w:r>
        <w:rPr>
          <w:rFonts w:ascii="Arial" w:cs="Arial" w:eastAsia="Arial" w:hAnsi="Arial"/>
          <w:sz w:val="20"/>
          <w:szCs w:val="20"/>
          <w:b w:val="1"/>
          <w:bCs w:val="1"/>
          <w:i w:val="1"/>
          <w:iCs w:val="1"/>
          <w:color w:val="auto"/>
        </w:rPr>
        <w:t>Operating Revenues</w:t>
      </w:r>
    </w:p>
    <w:p>
      <w:pPr>
        <w:ind w:firstLine="441"/>
        <w:spacing w:after="0" w:line="271" w:lineRule="auto"/>
        <w:rPr>
          <w:sz w:val="20"/>
          <w:szCs w:val="20"/>
          <w:color w:val="auto"/>
        </w:rPr>
      </w:pPr>
      <w:r>
        <w:rPr>
          <w:rFonts w:ascii="Arial" w:cs="Arial" w:eastAsia="Arial" w:hAnsi="Arial"/>
          <w:sz w:val="20"/>
          <w:szCs w:val="20"/>
          <w:color w:val="auto"/>
        </w:rPr>
        <w:t>Operating revenues increased by $58 million for the year ended December 31, 2025, compared to the same period in 2024, due to a combination of the drivers summarized in the table below:</w:t>
      </w:r>
    </w:p>
    <w:p>
      <w:pPr>
        <w:spacing w:after="0" w:line="103"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12700</wp:posOffset>
            </wp:positionV>
            <wp:extent cx="6410325" cy="3902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6410325" cy="3902075"/>
                    </a:xfrm>
                    <a:prstGeom prst="rect">
                      <a:avLst/>
                    </a:prstGeom>
                    <a:noFill/>
                  </pic:spPr>
                </pic:pic>
              </a:graphicData>
            </a:graphic>
          </wp:anchor>
        </w:drawing>
      </w:r>
    </w:p>
    <w:p>
      <w:pPr>
        <w:sectPr>
          <w:pgSz w:w="11880" w:h="15480" w:orient="portrait"/>
          <w:cols w:equalWidth="0" w:num="1">
            <w:col w:w="10040"/>
          </w:cols>
          <w:pgMar w:left="920" w:top="577" w:right="920" w:bottom="0" w:gutter="0" w:footer="0" w:header="0"/>
        </w:sectPr>
      </w:pPr>
    </w:p>
    <w:p>
      <w:pPr>
        <w:spacing w:after="0" w:line="30"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20"/>
          <w:szCs w:val="20"/>
          <w:b w:val="1"/>
          <w:bCs w:val="1"/>
          <w:color w:val="auto"/>
        </w:rPr>
        <w:t>Renewables &amp; Storage</w:t>
      </w:r>
      <w:r>
        <w:rPr>
          <w:sz w:val="20"/>
          <w:szCs w:val="20"/>
          <w:color w:val="auto"/>
        </w:rPr>
        <w:tab/>
      </w:r>
      <w:r>
        <w:rPr>
          <w:rFonts w:ascii="Arial" w:cs="Arial" w:eastAsia="Arial" w:hAnsi="Arial"/>
          <w:sz w:val="20"/>
          <w:szCs w:val="20"/>
          <w:color w:val="auto"/>
        </w:rPr>
        <w:t>Increase primarily driven by the Victory Pass and Arica solar and BESS,</w:t>
      </w:r>
    </w:p>
    <w:p>
      <w:pPr>
        <w:ind w:left="40"/>
        <w:spacing w:after="0"/>
        <w:tabs>
          <w:tab w:leader="none" w:pos="2380" w:val="left"/>
        </w:tabs>
        <w:rPr>
          <w:sz w:val="20"/>
          <w:szCs w:val="20"/>
          <w:color w:val="auto"/>
        </w:rPr>
      </w:pPr>
      <w:r>
        <w:rPr>
          <w:rFonts w:ascii="Arial" w:cs="Arial" w:eastAsia="Arial" w:hAnsi="Arial"/>
          <w:sz w:val="17"/>
          <w:szCs w:val="17"/>
          <w:b w:val="1"/>
          <w:bCs w:val="1"/>
          <w:color w:val="auto"/>
        </w:rPr>
        <w:t>Segment</w:t>
      </w:r>
      <w:r>
        <w:rPr>
          <w:sz w:val="20"/>
          <w:szCs w:val="20"/>
          <w:color w:val="auto"/>
        </w:rPr>
        <w:tab/>
      </w:r>
      <w:r>
        <w:rPr>
          <w:rFonts w:ascii="Arial" w:cs="Arial" w:eastAsia="Arial" w:hAnsi="Arial"/>
          <w:sz w:val="17"/>
          <w:szCs w:val="17"/>
          <w:color w:val="auto"/>
        </w:rPr>
        <w:t>Rosamond Central BESS, Rosamond South I solar and BESS, Daggett 1 BESS</w:t>
      </w:r>
    </w:p>
    <w:p>
      <w:pPr>
        <w:spacing w:after="0" w:line="4"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and  Pine  Forest  solar  and  BESS  acquisitions,  which  reached  commercial</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operations in March 2024, April 2024, June 2024, August 2025, September 2025</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and November 2025, respectively, as well as the Catalina solar acquisition in July</w:t>
      </w:r>
    </w:p>
    <w:p>
      <w:pPr>
        <w:spacing w:after="0" w:line="1" w:lineRule="exact"/>
        <w:rPr>
          <w:sz w:val="20"/>
          <w:szCs w:val="20"/>
          <w:color w:val="auto"/>
        </w:rPr>
      </w:pPr>
    </w:p>
    <w:p>
      <w:pPr>
        <w:jc w:val="both"/>
        <w:ind w:left="2400"/>
        <w:spacing w:after="0"/>
        <w:tabs>
          <w:tab w:leader="none" w:pos="8860" w:val="left"/>
        </w:tabs>
        <w:rPr>
          <w:sz w:val="20"/>
          <w:szCs w:val="20"/>
          <w:color w:val="auto"/>
        </w:rPr>
      </w:pPr>
      <w:r>
        <w:rPr>
          <w:rFonts w:ascii="Arial" w:cs="Arial" w:eastAsia="Arial" w:hAnsi="Arial"/>
          <w:sz w:val="20"/>
          <w:szCs w:val="20"/>
          <w:color w:val="auto"/>
        </w:rPr>
        <w:t>2025.</w:t>
      </w:r>
      <w:r>
        <w:rPr>
          <w:sz w:val="20"/>
          <w:szCs w:val="20"/>
          <w:color w:val="auto"/>
        </w:rPr>
        <w:tab/>
      </w:r>
      <w:r>
        <w:rPr>
          <w:rFonts w:ascii="Arial" w:cs="Arial" w:eastAsia="Arial" w:hAnsi="Arial"/>
          <w:sz w:val="20"/>
          <w:szCs w:val="20"/>
          <w:color w:val="auto"/>
        </w:rPr>
        <w:t>$</w:t>
      </w:r>
    </w:p>
    <w:p>
      <w:pPr>
        <w:spacing w:after="0" w:line="46"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Increase driven by the Cedar Creek and Tuolumne wind acquisitions in April</w:t>
      </w:r>
    </w:p>
    <w:p>
      <w:pPr>
        <w:ind w:left="2400"/>
        <w:spacing w:after="0" w:line="204" w:lineRule="auto"/>
        <w:rPr>
          <w:sz w:val="20"/>
          <w:szCs w:val="20"/>
          <w:color w:val="auto"/>
        </w:rPr>
      </w:pPr>
      <w:r>
        <w:rPr>
          <w:rFonts w:ascii="Arial" w:cs="Arial" w:eastAsia="Arial" w:hAnsi="Arial"/>
          <w:sz w:val="20"/>
          <w:szCs w:val="20"/>
          <w:color w:val="auto"/>
        </w:rPr>
        <w:t>2024 and April 2025, respectively, as well as the Dan’s Mountain wind</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acquisition, which reached commercial operations in May 2025.</w:t>
      </w:r>
    </w:p>
    <w:p>
      <w:pPr>
        <w:spacing w:after="0" w:line="47"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Decrease primarily driven by lower wind resource at certain facilities.</w:t>
      </w:r>
    </w:p>
    <w:p>
      <w:pPr>
        <w:spacing w:after="0" w:line="64"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Loss incurred on the partial buy-out of the Mt. Storm commodity contract in May</w:t>
      </w:r>
    </w:p>
    <w:p>
      <w:pPr>
        <w:spacing w:after="0" w:line="23"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2025 and the subsequent buy-out of the remaining contract in July 2025.</w:t>
      </w:r>
    </w:p>
    <w:p>
      <w:pPr>
        <w:spacing w:after="0" w:line="22"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20"/>
          <w:szCs w:val="20"/>
          <w:b w:val="1"/>
          <w:bCs w:val="1"/>
          <w:color w:val="auto"/>
        </w:rPr>
        <w:t>Flexible Generation</w:t>
      </w:r>
      <w:r>
        <w:rPr>
          <w:sz w:val="20"/>
          <w:szCs w:val="20"/>
          <w:color w:val="auto"/>
        </w:rPr>
        <w:tab/>
      </w:r>
      <w:r>
        <w:rPr>
          <w:rFonts w:ascii="Arial" w:cs="Arial" w:eastAsia="Arial" w:hAnsi="Arial"/>
          <w:sz w:val="17"/>
          <w:szCs w:val="17"/>
          <w:color w:val="auto"/>
        </w:rPr>
        <w:t>Decrease in energy revenue primarily driven by lower generation at the Walnut</w:t>
      </w:r>
    </w:p>
    <w:p>
      <w:pPr>
        <w:ind w:left="40"/>
        <w:spacing w:after="0" w:line="218" w:lineRule="auto"/>
        <w:tabs>
          <w:tab w:leader="none" w:pos="2380" w:val="left"/>
        </w:tabs>
        <w:rPr>
          <w:sz w:val="20"/>
          <w:szCs w:val="20"/>
          <w:color w:val="auto"/>
        </w:rPr>
      </w:pPr>
      <w:r>
        <w:rPr>
          <w:rFonts w:ascii="Arial" w:cs="Arial" w:eastAsia="Arial" w:hAnsi="Arial"/>
          <w:sz w:val="19"/>
          <w:szCs w:val="19"/>
          <w:b w:val="1"/>
          <w:bCs w:val="1"/>
          <w:color w:val="auto"/>
        </w:rPr>
        <w:t>Segment</w:t>
      </w:r>
      <w:r>
        <w:rPr>
          <w:sz w:val="20"/>
          <w:szCs w:val="20"/>
          <w:color w:val="auto"/>
        </w:rPr>
        <w:tab/>
      </w:r>
      <w:r>
        <w:rPr>
          <w:rFonts w:ascii="Arial" w:cs="Arial" w:eastAsia="Arial" w:hAnsi="Arial"/>
          <w:sz w:val="19"/>
          <w:szCs w:val="19"/>
          <w:color w:val="auto"/>
        </w:rPr>
        <w:t>Creek, Marsh Landing and El Segundo facilities due to milder weather, which</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also decreased cost of fuels as noted below.</w:t>
      </w:r>
    </w:p>
    <w:p>
      <w:pPr>
        <w:spacing w:after="0" w:line="35" w:lineRule="exact"/>
        <w:rPr>
          <w:sz w:val="20"/>
          <w:szCs w:val="20"/>
          <w:color w:val="auto"/>
        </w:rPr>
      </w:pPr>
    </w:p>
    <w:p>
      <w:pPr>
        <w:ind w:left="40"/>
        <w:spacing w:after="0"/>
        <w:tabs>
          <w:tab w:leader="none" w:pos="2380" w:val="left"/>
        </w:tabs>
        <w:rPr>
          <w:sz w:val="20"/>
          <w:szCs w:val="20"/>
          <w:color w:val="auto"/>
        </w:rPr>
      </w:pPr>
      <w:r>
        <w:rPr>
          <w:rFonts w:ascii="Arial" w:cs="Arial" w:eastAsia="Arial" w:hAnsi="Arial"/>
          <w:sz w:val="20"/>
          <w:szCs w:val="20"/>
          <w:b w:val="1"/>
          <w:bCs w:val="1"/>
          <w:color w:val="auto"/>
        </w:rPr>
        <w:t>Contract amortization</w:t>
      </w:r>
      <w:r>
        <w:rPr>
          <w:sz w:val="20"/>
          <w:szCs w:val="20"/>
          <w:color w:val="auto"/>
        </w:rPr>
        <w:tab/>
      </w:r>
      <w:r>
        <w:rPr>
          <w:rFonts w:ascii="Arial" w:cs="Arial" w:eastAsia="Arial" w:hAnsi="Arial"/>
          <w:sz w:val="17"/>
          <w:szCs w:val="17"/>
          <w:color w:val="auto"/>
        </w:rPr>
        <w:t>Decrease primarily driven by the Tuolumne wind and Catalina solar acquisitions,</w:t>
      </w:r>
    </w:p>
    <w:p>
      <w:pPr>
        <w:ind w:left="2400" w:right="200"/>
        <w:spacing w:after="0" w:line="285" w:lineRule="auto"/>
        <w:rPr>
          <w:sz w:val="20"/>
          <w:szCs w:val="20"/>
          <w:color w:val="auto"/>
        </w:rPr>
      </w:pPr>
      <w:r>
        <w:rPr>
          <w:rFonts w:ascii="Arial" w:cs="Arial" w:eastAsia="Arial" w:hAnsi="Arial"/>
          <w:sz w:val="17"/>
          <w:szCs w:val="17"/>
          <w:color w:val="auto"/>
        </w:rPr>
        <w:t>partially offset by Cedro Hill, which reached repowering commercial operations in December 2024, resulting in the extension of the amortization period.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Mark-to-market economic </w:t>
      </w:r>
      <w:r>
        <w:rPr>
          <w:rFonts w:ascii="Arial" w:cs="Arial" w:eastAsia="Arial" w:hAnsi="Arial"/>
          <w:sz w:val="17"/>
          <w:szCs w:val="17"/>
          <w:color w:val="auto"/>
        </w:rPr>
        <w:t>Increase primarily driven by the Mt. Storm hedge buy-out during the second and</w:t>
      </w:r>
    </w:p>
    <w:p>
      <w:pPr>
        <w:spacing w:after="0" w:line="27" w:lineRule="exact"/>
        <w:rPr>
          <w:sz w:val="20"/>
          <w:szCs w:val="20"/>
          <w:color w:val="auto"/>
        </w:rPr>
      </w:pPr>
    </w:p>
    <w:p>
      <w:pPr>
        <w:ind w:left="2400" w:right="160" w:hanging="2351"/>
        <w:spacing w:after="0" w:line="225" w:lineRule="auto"/>
        <w:tabs>
          <w:tab w:leader="none" w:pos="2380" w:val="left"/>
        </w:tabs>
        <w:rPr>
          <w:sz w:val="20"/>
          <w:szCs w:val="20"/>
          <w:color w:val="auto"/>
        </w:rPr>
      </w:pPr>
      <w:r>
        <w:rPr>
          <w:rFonts w:ascii="Arial" w:cs="Arial" w:eastAsia="Arial" w:hAnsi="Arial"/>
          <w:sz w:val="20"/>
          <w:szCs w:val="20"/>
          <w:b w:val="1"/>
          <w:bCs w:val="1"/>
          <w:color w:val="auto"/>
        </w:rPr>
        <w:t>hedging activities</w:t>
      </w:r>
      <w:r>
        <w:rPr>
          <w:sz w:val="20"/>
          <w:szCs w:val="20"/>
          <w:color w:val="auto"/>
        </w:rPr>
        <w:tab/>
      </w:r>
      <w:r>
        <w:rPr>
          <w:rFonts w:ascii="Arial" w:cs="Arial" w:eastAsia="Arial" w:hAnsi="Arial"/>
          <w:sz w:val="20"/>
          <w:szCs w:val="20"/>
          <w:color w:val="auto"/>
        </w:rPr>
        <w:t>third quarters of 2025, as well as lower forward prices in the PJM market, compared to 2024.</w:t>
      </w:r>
    </w:p>
    <w:p>
      <w:pPr>
        <w:spacing w:after="0" w:line="45" w:lineRule="exact"/>
        <w:rPr>
          <w:sz w:val="20"/>
          <w:szCs w:val="20"/>
          <w:color w:val="auto"/>
        </w:rPr>
      </w:pPr>
    </w:p>
    <w:p>
      <w:pPr>
        <w:ind w:left="2400" w:right="160"/>
        <w:spacing w:after="0" w:line="235" w:lineRule="auto"/>
        <w:rPr>
          <w:sz w:val="20"/>
          <w:szCs w:val="20"/>
          <w:color w:val="auto"/>
        </w:rPr>
      </w:pPr>
      <w:r>
        <w:rPr>
          <w:rFonts w:ascii="Arial" w:cs="Arial" w:eastAsia="Arial" w:hAnsi="Arial"/>
          <w:sz w:val="20"/>
          <w:szCs w:val="20"/>
          <w:color w:val="auto"/>
        </w:rPr>
        <w:t>Decrease primarily driven by an increase in forward power prices in the ERCOT market.</w:t>
      </w:r>
    </w:p>
    <w:p>
      <w:pPr>
        <w:spacing w:after="0" w:line="43" w:lineRule="exact"/>
        <w:rPr>
          <w:sz w:val="20"/>
          <w:szCs w:val="20"/>
          <w:color w:val="auto"/>
        </w:rPr>
      </w:pPr>
    </w:p>
    <w:p>
      <w:pPr>
        <w:ind w:left="2400" w:right="200"/>
        <w:spacing w:after="0" w:line="235" w:lineRule="auto"/>
        <w:rPr>
          <w:sz w:val="20"/>
          <w:szCs w:val="20"/>
          <w:color w:val="auto"/>
        </w:rPr>
      </w:pPr>
      <w:r>
        <w:rPr>
          <w:rFonts w:ascii="Arial" w:cs="Arial" w:eastAsia="Arial" w:hAnsi="Arial"/>
          <w:sz w:val="20"/>
          <w:szCs w:val="20"/>
          <w:color w:val="auto"/>
        </w:rPr>
        <w:t>Decrease in heat rate call option contracts primarily driven by changes in power market prices.</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Fuels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rPr>
          <w:sz w:val="20"/>
          <w:szCs w:val="20"/>
          <w:color w:val="auto"/>
        </w:rPr>
      </w:pPr>
      <w:r>
        <w:rPr>
          <w:rFonts w:ascii="Arial" w:cs="Arial" w:eastAsia="Arial" w:hAnsi="Arial"/>
          <w:sz w:val="20"/>
          <w:szCs w:val="20"/>
          <w:color w:val="auto"/>
        </w:rPr>
        <w:t>80</w:t>
      </w:r>
    </w:p>
    <w:p>
      <w:pPr>
        <w:spacing w:after="0" w:line="200" w:lineRule="exact"/>
        <w:rPr>
          <w:sz w:val="20"/>
          <w:szCs w:val="20"/>
          <w:color w:val="auto"/>
        </w:rPr>
      </w:pPr>
    </w:p>
    <w:p>
      <w:pPr>
        <w:spacing w:after="0" w:line="261" w:lineRule="exact"/>
        <w:rPr>
          <w:sz w:val="20"/>
          <w:szCs w:val="20"/>
          <w:color w:val="auto"/>
        </w:rPr>
      </w:pPr>
    </w:p>
    <w:p>
      <w:pPr>
        <w:ind w:left="80"/>
        <w:spacing w:after="0"/>
        <w:rPr>
          <w:sz w:val="20"/>
          <w:szCs w:val="20"/>
          <w:color w:val="auto"/>
        </w:rPr>
      </w:pPr>
      <w:r>
        <w:rPr>
          <w:rFonts w:ascii="Arial" w:cs="Arial" w:eastAsia="Arial" w:hAnsi="Arial"/>
          <w:sz w:val="20"/>
          <w:szCs w:val="20"/>
          <w:color w:val="auto"/>
        </w:rPr>
        <w:t>46</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auto"/>
        </w:rPr>
        <w:t>(16)</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(11)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(48)</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61" w:lineRule="exact"/>
        <w:rPr>
          <w:sz w:val="20"/>
          <w:szCs w:val="20"/>
          <w:color w:val="auto"/>
        </w:rPr>
      </w:pPr>
    </w:p>
    <w:p>
      <w:pPr>
        <w:ind w:left="80"/>
        <w:spacing w:after="0"/>
        <w:rPr>
          <w:sz w:val="20"/>
          <w:szCs w:val="20"/>
          <w:color w:val="auto"/>
        </w:rPr>
      </w:pPr>
      <w:r>
        <w:rPr>
          <w:rFonts w:ascii="Arial" w:cs="Arial" w:eastAsia="Arial" w:hAnsi="Arial"/>
          <w:sz w:val="20"/>
          <w:szCs w:val="20"/>
          <w:color w:val="auto"/>
        </w:rPr>
        <w:t>22</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20"/>
          <w:szCs w:val="20"/>
          <w:color w:val="auto"/>
        </w:rPr>
        <w:t>58</w:t>
      </w:r>
    </w:p>
    <w:p>
      <w:pPr>
        <w:spacing w:after="0" w:line="663" w:lineRule="exact"/>
        <w:rPr>
          <w:sz w:val="20"/>
          <w:szCs w:val="20"/>
          <w:color w:val="auto"/>
        </w:rPr>
      </w:pPr>
    </w:p>
    <w:p>
      <w:pPr>
        <w:sectPr>
          <w:pgSz w:w="11880" w:h="15480" w:orient="portrait"/>
          <w:cols w:equalWidth="0" w:num="2">
            <w:col w:w="8980" w:space="720"/>
            <w:col w:w="340"/>
          </w:cols>
          <w:pgMar w:left="920" w:top="577" w:right="920" w:bottom="0" w:gutter="0" w:footer="0" w:header="0"/>
          <w:type w:val="continuous"/>
        </w:sectPr>
      </w:pPr>
    </w:p>
    <w:p>
      <w:pPr>
        <w:jc w:val="both"/>
        <w:ind w:firstLine="441"/>
        <w:spacing w:after="0" w:line="258" w:lineRule="auto"/>
        <w:rPr>
          <w:sz w:val="20"/>
          <w:szCs w:val="20"/>
          <w:color w:val="auto"/>
        </w:rPr>
      </w:pPr>
      <w:r>
        <w:rPr>
          <w:rFonts w:ascii="Arial" w:cs="Arial" w:eastAsia="Arial" w:hAnsi="Arial"/>
          <w:sz w:val="20"/>
          <w:szCs w:val="20"/>
          <w:color w:val="auto"/>
        </w:rPr>
        <w:t>Cost of fuels decreased by $35 million during the year ended December 31, 2025, compared to the same period in 2024, primarily due to lower generation at the Walnut Creek, Marsh Landing and El Segundo facilities due to milder weather, which resulted in less fuel purchases.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Operations and Maintenance Expense</w:t>
      </w:r>
    </w:p>
    <w:p>
      <w:pPr>
        <w:spacing w:after="0" w:line="18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Operations and maintenance expense increased by $57 million during the year ended December 31, 2025, compared to the same period in 2024, primarily due to a combination of the drivers summarized below:</w:t>
      </w:r>
    </w:p>
    <w:p>
      <w:pPr>
        <w:spacing w:after="0" w:line="74"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12700</wp:posOffset>
            </wp:positionV>
            <wp:extent cx="6410325" cy="1643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6410325" cy="1643380"/>
                    </a:xfrm>
                    <a:prstGeom prst="rect">
                      <a:avLst/>
                    </a:prstGeom>
                    <a:noFill/>
                  </pic:spPr>
                </pic:pic>
              </a:graphicData>
            </a:graphic>
          </wp:anchor>
        </w:drawing>
      </w:r>
    </w:p>
    <w:p>
      <w:pPr>
        <w:sectPr>
          <w:pgSz w:w="11880" w:h="15480" w:orient="portrait"/>
          <w:cols w:equalWidth="0" w:num="1">
            <w:col w:w="10040"/>
          </w:cols>
          <w:pgMar w:left="920" w:top="577" w:right="920" w:bottom="0" w:gutter="0" w:footer="0" w:header="0"/>
          <w:type w:val="continuous"/>
        </w:sectPr>
      </w:pPr>
    </w:p>
    <w:p>
      <w:pPr>
        <w:spacing w:after="0" w:line="45" w:lineRule="exact"/>
        <w:rPr>
          <w:sz w:val="20"/>
          <w:szCs w:val="20"/>
          <w:color w:val="auto"/>
        </w:rPr>
      </w:pPr>
    </w:p>
    <w:p>
      <w:pPr>
        <w:ind w:left="40" w:right="280"/>
        <w:spacing w:after="0" w:line="237" w:lineRule="auto"/>
        <w:rPr>
          <w:sz w:val="20"/>
          <w:szCs w:val="20"/>
          <w:color w:val="auto"/>
        </w:rPr>
      </w:pPr>
      <w:r>
        <w:rPr>
          <w:rFonts w:ascii="Arial" w:cs="Arial" w:eastAsia="Arial" w:hAnsi="Arial"/>
          <w:sz w:val="20"/>
          <w:szCs w:val="20"/>
          <w:b w:val="1"/>
          <w:bCs w:val="1"/>
          <w:color w:val="auto"/>
        </w:rPr>
        <w:t xml:space="preserve">Renewables &amp; Storage </w:t>
      </w:r>
      <w:r>
        <w:rPr>
          <w:rFonts w:ascii="Arial" w:cs="Arial" w:eastAsia="Arial" w:hAnsi="Arial"/>
          <w:sz w:val="20"/>
          <w:szCs w:val="20"/>
          <w:color w:val="auto"/>
        </w:rPr>
        <w:t>Increase primarily driven by the solar and BESS acquisitions referenced above.</w:t>
      </w:r>
      <w:r>
        <w:rPr>
          <w:rFonts w:ascii="Arial" w:cs="Arial" w:eastAsia="Arial" w:hAnsi="Arial"/>
          <w:sz w:val="20"/>
          <w:szCs w:val="20"/>
          <w:b w:val="1"/>
          <w:bCs w:val="1"/>
          <w:color w:val="auto"/>
        </w:rPr>
        <w:t xml:space="preserve"> Segment</w:t>
      </w:r>
    </w:p>
    <w:p>
      <w:pPr>
        <w:spacing w:after="0" w:line="38" w:lineRule="exact"/>
        <w:rPr>
          <w:sz w:val="20"/>
          <w:szCs w:val="20"/>
          <w:color w:val="auto"/>
        </w:rPr>
      </w:pPr>
    </w:p>
    <w:p>
      <w:pPr>
        <w:ind w:left="2320"/>
        <w:spacing w:after="0" w:line="235" w:lineRule="auto"/>
        <w:rPr>
          <w:sz w:val="20"/>
          <w:szCs w:val="20"/>
          <w:color w:val="auto"/>
        </w:rPr>
      </w:pPr>
      <w:r>
        <w:rPr>
          <w:rFonts w:ascii="Arial" w:cs="Arial" w:eastAsia="Arial" w:hAnsi="Arial"/>
          <w:sz w:val="20"/>
          <w:szCs w:val="20"/>
          <w:color w:val="auto"/>
        </w:rPr>
        <w:t>Increase primarily driven by non-cash lease adjustments in 2024 at certain solar facilities.</w:t>
      </w:r>
    </w:p>
    <w:p>
      <w:pPr>
        <w:spacing w:after="0" w:line="35" w:lineRule="exact"/>
        <w:rPr>
          <w:sz w:val="20"/>
          <w:szCs w:val="20"/>
          <w:color w:val="auto"/>
        </w:rPr>
      </w:pPr>
    </w:p>
    <w:p>
      <w:pPr>
        <w:ind w:left="2320"/>
        <w:spacing w:after="0"/>
        <w:rPr>
          <w:sz w:val="20"/>
          <w:szCs w:val="20"/>
          <w:color w:val="auto"/>
        </w:rPr>
      </w:pPr>
      <w:r>
        <w:rPr>
          <w:rFonts w:ascii="Arial" w:cs="Arial" w:eastAsia="Arial" w:hAnsi="Arial"/>
          <w:sz w:val="20"/>
          <w:szCs w:val="20"/>
          <w:color w:val="auto"/>
        </w:rPr>
        <w:t>Increase driven by the wind acquisitions referenced above.</w:t>
      </w:r>
    </w:p>
    <w:p>
      <w:pPr>
        <w:spacing w:after="0" w:line="64" w:lineRule="exact"/>
        <w:rPr>
          <w:sz w:val="20"/>
          <w:szCs w:val="20"/>
          <w:color w:val="auto"/>
        </w:rPr>
      </w:pPr>
    </w:p>
    <w:p>
      <w:pPr>
        <w:ind w:left="2320"/>
        <w:spacing w:after="0" w:line="235" w:lineRule="auto"/>
        <w:rPr>
          <w:sz w:val="20"/>
          <w:szCs w:val="20"/>
          <w:color w:val="auto"/>
        </w:rPr>
      </w:pPr>
      <w:r>
        <w:rPr>
          <w:rFonts w:ascii="Arial" w:cs="Arial" w:eastAsia="Arial" w:hAnsi="Arial"/>
          <w:sz w:val="20"/>
          <w:szCs w:val="20"/>
          <w:color w:val="auto"/>
        </w:rPr>
        <w:t>Decrease primarily driven by lower maintenance activities at various wind facilities.</w:t>
      </w:r>
    </w:p>
    <w:p>
      <w:pPr>
        <w:spacing w:after="0" w:line="2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20"/>
          <w:szCs w:val="20"/>
          <w:b w:val="1"/>
          <w:bCs w:val="1"/>
          <w:color w:val="auto"/>
        </w:rPr>
        <w:t>Flexible Generation</w:t>
      </w:r>
      <w:r>
        <w:rPr>
          <w:sz w:val="20"/>
          <w:szCs w:val="20"/>
          <w:color w:val="auto"/>
        </w:rPr>
        <w:tab/>
      </w:r>
      <w:r>
        <w:rPr>
          <w:rFonts w:ascii="Arial" w:cs="Arial" w:eastAsia="Arial" w:hAnsi="Arial"/>
          <w:sz w:val="17"/>
          <w:szCs w:val="17"/>
          <w:color w:val="auto"/>
        </w:rPr>
        <w:t>Increase primarily driven by higher maintenance activities at various facilities.</w:t>
      </w:r>
    </w:p>
    <w:p>
      <w:pPr>
        <w:ind w:left="40"/>
        <w:spacing w:after="0"/>
        <w:rPr>
          <w:sz w:val="20"/>
          <w:szCs w:val="20"/>
          <w:color w:val="auto"/>
        </w:rPr>
      </w:pPr>
      <w:r>
        <w:rPr>
          <w:rFonts w:ascii="Arial" w:cs="Arial" w:eastAsia="Arial" w:hAnsi="Arial"/>
          <w:sz w:val="20"/>
          <w:szCs w:val="20"/>
          <w:b w:val="1"/>
          <w:bCs w:val="1"/>
          <w:color w:val="auto"/>
        </w:rPr>
        <w:t>Segment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901" w:hanging="901"/>
        <w:spacing w:after="0"/>
        <w:tabs>
          <w:tab w:leader="none" w:pos="901" w:val="left"/>
        </w:tabs>
        <w:numPr>
          <w:ilvl w:val="0"/>
          <w:numId w:val="27"/>
        </w:numPr>
        <w:rPr>
          <w:rFonts w:ascii="Arial" w:cs="Arial" w:eastAsia="Arial" w:hAnsi="Arial"/>
          <w:sz w:val="20"/>
          <w:szCs w:val="20"/>
          <w:color w:val="auto"/>
        </w:rPr>
      </w:pPr>
      <w:r>
        <w:rPr>
          <w:rFonts w:ascii="Arial" w:cs="Arial" w:eastAsia="Arial" w:hAnsi="Arial"/>
          <w:sz w:val="20"/>
          <w:szCs w:val="20"/>
          <w:color w:val="auto"/>
        </w:rPr>
        <w:t>34</w:t>
      </w:r>
    </w:p>
    <w:p>
      <w:pPr>
        <w:spacing w:after="0" w:line="255" w:lineRule="exact"/>
        <w:rPr>
          <w:rFonts w:ascii="Arial" w:cs="Arial" w:eastAsia="Arial" w:hAnsi="Arial"/>
          <w:sz w:val="20"/>
          <w:szCs w:val="20"/>
          <w:color w:val="auto"/>
        </w:rPr>
      </w:pPr>
    </w:p>
    <w:p>
      <w:pPr>
        <w:ind w:left="901"/>
        <w:spacing w:after="0"/>
        <w:rPr>
          <w:rFonts w:ascii="Arial" w:cs="Arial" w:eastAsia="Arial" w:hAnsi="Arial"/>
          <w:sz w:val="20"/>
          <w:szCs w:val="20"/>
          <w:color w:val="auto"/>
        </w:rPr>
      </w:pPr>
      <w:r>
        <w:rPr>
          <w:rFonts w:ascii="Arial" w:cs="Arial" w:eastAsia="Arial" w:hAnsi="Arial"/>
          <w:sz w:val="20"/>
          <w:szCs w:val="20"/>
          <w:color w:val="auto"/>
        </w:rPr>
        <w:t>11</w:t>
      </w:r>
    </w:p>
    <w:p>
      <w:pPr>
        <w:spacing w:after="0" w:line="64" w:lineRule="exact"/>
        <w:rPr>
          <w:rFonts w:ascii="Arial" w:cs="Arial" w:eastAsia="Arial" w:hAnsi="Arial"/>
          <w:sz w:val="20"/>
          <w:szCs w:val="20"/>
          <w:color w:val="auto"/>
        </w:rPr>
      </w:pPr>
    </w:p>
    <w:p>
      <w:pPr>
        <w:ind w:left="981"/>
        <w:spacing w:after="0"/>
        <w:rPr>
          <w:rFonts w:ascii="Arial" w:cs="Arial" w:eastAsia="Arial" w:hAnsi="Arial"/>
          <w:sz w:val="20"/>
          <w:szCs w:val="20"/>
          <w:color w:val="auto"/>
        </w:rPr>
      </w:pPr>
      <w:r>
        <w:rPr>
          <w:rFonts w:ascii="Arial" w:cs="Arial" w:eastAsia="Arial" w:hAnsi="Arial"/>
          <w:sz w:val="20"/>
          <w:szCs w:val="20"/>
          <w:color w:val="auto"/>
        </w:rPr>
        <w:t>8</w:t>
      </w:r>
    </w:p>
    <w:p>
      <w:pPr>
        <w:spacing w:after="0" w:line="255" w:lineRule="exact"/>
        <w:rPr>
          <w:rFonts w:ascii="Arial" w:cs="Arial" w:eastAsia="Arial" w:hAnsi="Arial"/>
          <w:sz w:val="20"/>
          <w:szCs w:val="20"/>
          <w:color w:val="auto"/>
        </w:rPr>
      </w:pPr>
    </w:p>
    <w:p>
      <w:pPr>
        <w:ind w:left="921"/>
        <w:spacing w:after="0"/>
        <w:rPr>
          <w:rFonts w:ascii="Arial" w:cs="Arial" w:eastAsia="Arial" w:hAnsi="Arial"/>
          <w:sz w:val="20"/>
          <w:szCs w:val="20"/>
          <w:color w:val="auto"/>
        </w:rPr>
      </w:pPr>
      <w:r>
        <w:rPr>
          <w:rFonts w:ascii="Arial" w:cs="Arial" w:eastAsia="Arial" w:hAnsi="Arial"/>
          <w:sz w:val="19"/>
          <w:szCs w:val="19"/>
          <w:color w:val="auto"/>
        </w:rPr>
        <w:t>(6)</w:t>
      </w:r>
    </w:p>
    <w:p>
      <w:pPr>
        <w:spacing w:after="0" w:line="267" w:lineRule="exact"/>
        <w:rPr>
          <w:sz w:val="20"/>
          <w:szCs w:val="20"/>
          <w:color w:val="auto"/>
        </w:rPr>
      </w:pPr>
    </w:p>
    <w:p>
      <w:pPr>
        <w:ind w:left="901"/>
        <w:spacing w:after="0"/>
        <w:rPr>
          <w:sz w:val="20"/>
          <w:szCs w:val="20"/>
          <w:color w:val="auto"/>
        </w:rPr>
      </w:pPr>
      <w:r>
        <w:rPr>
          <w:rFonts w:ascii="Arial" w:cs="Arial" w:eastAsia="Arial" w:hAnsi="Arial"/>
          <w:sz w:val="20"/>
          <w:szCs w:val="20"/>
          <w:color w:val="auto"/>
        </w:rPr>
        <w:t>10</w:t>
      </w:r>
    </w:p>
    <w:p>
      <w:pPr>
        <w:spacing w:after="0" w:line="64" w:lineRule="exact"/>
        <w:rPr>
          <w:sz w:val="20"/>
          <w:szCs w:val="20"/>
          <w:color w:val="auto"/>
        </w:rPr>
      </w:pPr>
    </w:p>
    <w:p>
      <w:pPr>
        <w:ind w:left="901" w:hanging="901"/>
        <w:spacing w:after="0"/>
        <w:tabs>
          <w:tab w:leader="none" w:pos="901" w:val="left"/>
        </w:tabs>
        <w:numPr>
          <w:ilvl w:val="0"/>
          <w:numId w:val="28"/>
        </w:numPr>
        <w:rPr>
          <w:rFonts w:ascii="Arial" w:cs="Arial" w:eastAsia="Arial" w:hAnsi="Arial"/>
          <w:sz w:val="20"/>
          <w:szCs w:val="20"/>
          <w:color w:val="auto"/>
        </w:rPr>
      </w:pPr>
      <w:r>
        <w:rPr>
          <w:rFonts w:ascii="Arial" w:cs="Arial" w:eastAsia="Arial" w:hAnsi="Arial"/>
          <w:sz w:val="20"/>
          <w:szCs w:val="20"/>
          <w:color w:val="auto"/>
        </w:rPr>
        <w:t>57</w:t>
      </w:r>
    </w:p>
    <w:p>
      <w:pPr>
        <w:spacing w:after="0" w:line="200" w:lineRule="exact"/>
        <w:rPr>
          <w:sz w:val="20"/>
          <w:szCs w:val="20"/>
          <w:color w:val="auto"/>
        </w:rPr>
      </w:pPr>
    </w:p>
    <w:p>
      <w:pPr>
        <w:sectPr>
          <w:pgSz w:w="11880" w:h="15480" w:orient="portrait"/>
          <w:cols w:equalWidth="0" w:num="2">
            <w:col w:w="8820" w:space="59"/>
            <w:col w:w="1161"/>
          </w:cols>
          <w:pgMar w:left="920" w:top="57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040"/>
          </w:cols>
          <w:pgMar w:left="920" w:top="577" w:right="92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i w:val="1"/>
          <w:iCs w:val="1"/>
          <w:color w:val="auto"/>
        </w:rPr>
        <w:t>Depreciation, Amortization and Accretion</w:t>
      </w:r>
    </w:p>
    <w:p>
      <w:pPr>
        <w:spacing w:after="0" w:line="18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 xml:space="preserve">Depreciation, amortization and accretion increased by $55 million during the year ended December 31, 2025, compared to the same period in 2024, primarily due to the solar and BESS acquisitions referenced above, as well as the accelerated depreciation in connection with the repowering of the Mt. Storm and Goat Mountain wind facilities, as further described in Note 4, </w:t>
      </w:r>
      <w:r>
        <w:rPr>
          <w:rFonts w:ascii="Arial" w:cs="Arial" w:eastAsia="Arial" w:hAnsi="Arial"/>
          <w:sz w:val="20"/>
          <w:szCs w:val="20"/>
          <w:b w:val="1"/>
          <w:bCs w:val="1"/>
          <w:i w:val="1"/>
          <w:iCs w:val="1"/>
          <w:color w:val="auto"/>
        </w:rPr>
        <w:t>Property, Plant and Equipment</w:t>
      </w:r>
      <w:r>
        <w:rPr>
          <w:rFonts w:ascii="Arial" w:cs="Arial" w:eastAsia="Arial" w:hAnsi="Arial"/>
          <w:sz w:val="20"/>
          <w:szCs w:val="20"/>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8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Interest expense increased by $80 million during the year ended December 31, 2025, compared to the same period in 2024, primarily due to the following:</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878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0"/>
                <w:szCs w:val="20"/>
                <w:color w:val="auto"/>
              </w:rPr>
            </w:pPr>
            <w:r>
              <w:rPr>
                <w:rFonts w:ascii="Arial" w:cs="Arial" w:eastAsia="Arial" w:hAnsi="Arial"/>
                <w:sz w:val="20"/>
                <w:szCs w:val="20"/>
                <w:color w:val="auto"/>
                <w:w w:val="88"/>
              </w:rPr>
              <w:t xml:space="preserve">Change in fair value of interest rate swaps due to changes in interest rates </w:t>
            </w:r>
            <w:r>
              <w:rPr>
                <w:rFonts w:ascii="Arial" w:cs="Arial" w:eastAsia="Arial" w:hAnsi="Arial"/>
                <w:sz w:val="20"/>
                <w:szCs w:val="20"/>
                <w:color w:val="B4B4B4"/>
                <w:w w:val="88"/>
              </w:rPr>
              <w:t>. . . . . . . . . . . . . . . . . . . . . . . . . . . . . .</w:t>
            </w:r>
          </w:p>
        </w:tc>
        <w:tc>
          <w:tcPr>
            <w:tcW w:w="560" w:type="dxa"/>
            <w:vAlign w:val="bottom"/>
          </w:tcPr>
          <w:p>
            <w:pPr>
              <w:jc w:val="right"/>
              <w:ind w:right="305"/>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31"/>
        </w:trPr>
        <w:tc>
          <w:tcPr>
            <w:tcW w:w="8780" w:type="dxa"/>
            <w:vAlign w:val="bottom"/>
          </w:tcPr>
          <w:p>
            <w:pPr>
              <w:spacing w:after="0"/>
              <w:rPr>
                <w:sz w:val="20"/>
                <w:szCs w:val="20"/>
                <w:color w:val="auto"/>
              </w:rPr>
            </w:pPr>
            <w:r>
              <w:rPr>
                <w:rFonts w:ascii="Arial" w:cs="Arial" w:eastAsia="Arial" w:hAnsi="Arial"/>
                <w:sz w:val="20"/>
                <w:szCs w:val="20"/>
                <w:color w:val="auto"/>
                <w:w w:val="91"/>
              </w:rPr>
              <w:t>Increase in interest expense due to an increase in principal balances for the Renewables &amp; Storage segment</w:t>
            </w:r>
          </w:p>
        </w:tc>
        <w:tc>
          <w:tcPr>
            <w:tcW w:w="560" w:type="dxa"/>
            <w:vAlign w:val="bottom"/>
          </w:tcPr>
          <w:p>
            <w:pPr>
              <w:spacing w:after="0"/>
              <w:rPr>
                <w:sz w:val="20"/>
                <w:szCs w:val="20"/>
                <w:color w:val="auto"/>
              </w:rPr>
            </w:pP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5"/>
        </w:trPr>
        <w:tc>
          <w:tcPr>
            <w:tcW w:w="8780" w:type="dxa"/>
            <w:vAlign w:val="bottom"/>
          </w:tcPr>
          <w:p>
            <w:pPr>
              <w:spacing w:after="0"/>
              <w:rPr>
                <w:sz w:val="20"/>
                <w:szCs w:val="20"/>
                <w:color w:val="auto"/>
              </w:rPr>
            </w:pPr>
            <w:r>
              <w:rPr>
                <w:rFonts w:ascii="Arial" w:cs="Arial" w:eastAsia="Arial" w:hAnsi="Arial"/>
                <w:sz w:val="20"/>
                <w:szCs w:val="20"/>
                <w:color w:val="auto"/>
                <w:w w:val="89"/>
              </w:rPr>
              <w:t xml:space="preserve">primarily due to the solar and BESS acquisitions referenced above  </w:t>
            </w:r>
            <w:r>
              <w:rPr>
                <w:rFonts w:ascii="Arial" w:cs="Arial" w:eastAsia="Arial" w:hAnsi="Arial"/>
                <w:sz w:val="20"/>
                <w:szCs w:val="20"/>
                <w:color w:val="B4B4B4"/>
                <w:w w:val="89"/>
              </w:rPr>
              <w:t>. . . . . . . . . . . . . . . . . . . . . . . . . . . . . . . . . . .</w:t>
            </w:r>
          </w:p>
        </w:tc>
        <w:tc>
          <w:tcPr>
            <w:tcW w:w="560" w:type="dxa"/>
            <w:vAlign w:val="bottom"/>
          </w:tcPr>
          <w:p>
            <w:pPr>
              <w:spacing w:after="0"/>
              <w:rPr>
                <w:sz w:val="22"/>
                <w:szCs w:val="22"/>
                <w:color w:val="auto"/>
              </w:rPr>
            </w:pP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780" w:type="dxa"/>
            <w:vAlign w:val="bottom"/>
          </w:tcPr>
          <w:p>
            <w:pPr>
              <w:spacing w:after="0"/>
              <w:rPr>
                <w:sz w:val="20"/>
                <w:szCs w:val="20"/>
                <w:color w:val="auto"/>
              </w:rPr>
            </w:pPr>
            <w:r>
              <w:rPr>
                <w:rFonts w:ascii="Arial" w:cs="Arial" w:eastAsia="Arial" w:hAnsi="Arial"/>
                <w:sz w:val="20"/>
                <w:szCs w:val="20"/>
                <w:color w:val="auto"/>
                <w:w w:val="90"/>
              </w:rPr>
              <w:t xml:space="preserve">Increase in interest expense due to outstanding borrowings under the corporate revolving credit facility </w:t>
            </w:r>
            <w:r>
              <w:rPr>
                <w:rFonts w:ascii="Arial" w:cs="Arial" w:eastAsia="Arial" w:hAnsi="Arial"/>
                <w:sz w:val="20"/>
                <w:szCs w:val="20"/>
                <w:color w:val="B4B4B4"/>
                <w:w w:val="90"/>
              </w:rPr>
              <w:t>. . . . . .</w:t>
            </w:r>
          </w:p>
        </w:tc>
        <w:tc>
          <w:tcPr>
            <w:tcW w:w="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69"/>
        </w:trPr>
        <w:tc>
          <w:tcPr>
            <w:tcW w:w="8780" w:type="dxa"/>
            <w:vAlign w:val="bottom"/>
          </w:tcPr>
          <w:p>
            <w:pPr>
              <w:spacing w:after="0"/>
              <w:rPr>
                <w:sz w:val="23"/>
                <w:szCs w:val="23"/>
                <w:color w:val="auto"/>
              </w:rPr>
            </w:pPr>
          </w:p>
        </w:tc>
        <w:tc>
          <w:tcPr>
            <w:tcW w:w="560" w:type="dxa"/>
            <w:vAlign w:val="bottom"/>
            <w:tcBorders>
              <w:bottom w:val="single" w:sz="8" w:color="auto"/>
            </w:tcBorders>
          </w:tcPr>
          <w:p>
            <w:pPr>
              <w:jc w:val="right"/>
              <w:ind w:right="305"/>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-908050</wp:posOffset>
            </wp:positionV>
            <wp:extent cx="6410325" cy="706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extLst>
                    </a:blip>
                    <a:srcRect/>
                    <a:stretch>
                      <a:fillRect/>
                    </a:stretch>
                  </pic:blipFill>
                  <pic:spPr bwMode="auto">
                    <a:xfrm>
                      <a:off x="0" y="0"/>
                      <a:ext cx="6410325" cy="706755"/>
                    </a:xfrm>
                    <a:prstGeom prst="rect">
                      <a:avLst/>
                    </a:prstGeom>
                    <a:noFill/>
                  </pic:spPr>
                </pic:pic>
              </a:graphicData>
            </a:graphic>
          </wp:anchor>
        </w:drawing>
        <w:drawing>
          <wp:anchor simplePos="0" relativeHeight="251657728" behindDoc="1" locked="0" layoutInCell="0" allowOverlap="1">
            <wp:simplePos x="0" y="0"/>
            <wp:positionH relativeFrom="column">
              <wp:posOffset>5592445</wp:posOffset>
            </wp:positionH>
            <wp:positionV relativeFrom="paragraph">
              <wp:posOffset>-43180</wp:posOffset>
            </wp:positionV>
            <wp:extent cx="800100" cy="50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extLst>
                    </a:blip>
                    <a:srcRect/>
                    <a:stretch>
                      <a:fillRect/>
                    </a:stretch>
                  </pic:blipFill>
                  <pic:spPr bwMode="auto">
                    <a:xfrm>
                      <a:off x="0" y="0"/>
                      <a:ext cx="800100" cy="5016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w:t>
      </w:r>
    </w:p>
    <w:p>
      <w:pPr>
        <w:spacing w:after="0" w:line="189"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For the year ended December 31, 2025, the Company recorded an income tax expense of $56 million on pretax loss of $175 million. For the same period in 2024, the Company recorded an income tax expense of $30 million on pretax loss of $33 million.</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following table is a reconciliation of the U.S. federal statutory rate of 21% to the Company’s effective rate:</w:t>
      </w:r>
    </w:p>
    <w:p>
      <w:pPr>
        <w:sectPr>
          <w:pgSz w:w="11880" w:h="15480" w:orient="portrait"/>
          <w:cols w:equalWidth="0" w:num="1">
            <w:col w:w="10040"/>
          </w:cols>
          <w:pgMar w:left="920" w:top="577" w:right="920" w:bottom="0" w:gutter="0" w:footer="0" w:header="0"/>
        </w:sectPr>
      </w:pPr>
    </w:p>
    <w:p>
      <w:pPr>
        <w:spacing w:after="0" w:line="163" w:lineRule="exact"/>
        <w:rPr>
          <w:sz w:val="20"/>
          <w:szCs w:val="20"/>
          <w:color w:val="auto"/>
        </w:rPr>
      </w:pPr>
    </w:p>
    <w:p>
      <w:pPr>
        <w:jc w:val="center"/>
        <w:ind w:left="550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3271520</wp:posOffset>
                </wp:positionH>
                <wp:positionV relativeFrom="paragraph">
                  <wp:posOffset>46355</wp:posOffset>
                </wp:positionV>
                <wp:extent cx="153098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09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6pt,3.65pt" to="378.15pt,3.65pt" o:allowincell="f" strokecolor="#000000" strokeweight="1pt"/>
            </w:pict>
          </mc:Fallback>
        </mc:AlternateContent>
      </w:r>
    </w:p>
    <w:p>
      <w:pPr>
        <w:spacing w:after="0" w:line="80" w:lineRule="exact"/>
        <w:rPr>
          <w:sz w:val="20"/>
          <w:szCs w:val="20"/>
          <w:color w:val="auto"/>
        </w:rPr>
      </w:pPr>
    </w:p>
    <w:p>
      <w:pPr>
        <w:jc w:val="center"/>
        <w:ind w:left="5460"/>
        <w:spacing w:after="0"/>
        <w:rPr>
          <w:sz w:val="20"/>
          <w:szCs w:val="20"/>
          <w:color w:val="auto"/>
        </w:rPr>
      </w:pP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3271520</wp:posOffset>
                </wp:positionH>
                <wp:positionV relativeFrom="paragraph">
                  <wp:posOffset>24130</wp:posOffset>
                </wp:positionV>
                <wp:extent cx="153098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098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6pt,1.9pt" to="378.15pt,1.9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30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-217805</wp:posOffset>
                </wp:positionH>
                <wp:positionV relativeFrom="paragraph">
                  <wp:posOffset>46355</wp:posOffset>
                </wp:positionV>
                <wp:extent cx="153035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0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499pt,3.65pt" to="103.35pt,3.65pt" o:allowincell="f" strokecolor="#000000" strokeweight="1pt"/>
            </w:pict>
          </mc:Fallback>
        </mc:AlternateContent>
      </w:r>
    </w:p>
    <w:p>
      <w:pPr>
        <w:spacing w:after="0" w:line="80"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-217805</wp:posOffset>
                </wp:positionH>
                <wp:positionV relativeFrom="paragraph">
                  <wp:posOffset>24130</wp:posOffset>
                </wp:positionV>
                <wp:extent cx="153035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03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499pt,1.9pt" to="103.35pt,1.9pt" o:allowincell="f" strokecolor="#000000" strokeweight="1pt"/>
            </w:pict>
          </mc:Fallback>
        </mc:AlternateContent>
      </w:r>
    </w:p>
    <w:p>
      <w:pPr>
        <w:spacing w:after="0" w:line="66" w:lineRule="exact"/>
        <w:rPr>
          <w:sz w:val="20"/>
          <w:szCs w:val="20"/>
          <w:color w:val="auto"/>
        </w:rPr>
      </w:pPr>
    </w:p>
    <w:p>
      <w:pPr>
        <w:sectPr>
          <w:pgSz w:w="11880" w:h="15480" w:orient="portrait"/>
          <w:cols w:equalWidth="0" w:num="2">
            <w:col w:w="7260" w:space="720"/>
            <w:col w:w="2060"/>
          </w:cols>
          <w:pgMar w:left="920" w:top="577" w:right="920" w:bottom="0" w:gutter="0" w:footer="0" w:header="0"/>
          <w:type w:val="continuous"/>
        </w:sectPr>
      </w:pPr>
    </w:p>
    <w:tbl>
      <w:tblPr>
        <w:tblLayout w:type="fixed"/>
        <w:tblInd w:w="40" w:type="dxa"/>
        <w:tblCellMar>
          <w:top w:w="0" w:type="dxa"/>
          <w:left w:w="0" w:type="dxa"/>
          <w:bottom w:w="0" w:type="dxa"/>
          <w:right w:w="0" w:type="dxa"/>
        </w:tblCellMar>
      </w:tblPr>
      <w:tr>
        <w:trPr>
          <w:trHeight w:val="206"/>
        </w:trPr>
        <w:tc>
          <w:tcPr>
            <w:tcW w:w="5120" w:type="dxa"/>
            <w:vAlign w:val="bottom"/>
          </w:tcPr>
          <w:p>
            <w:pPr>
              <w:spacing w:after="0"/>
              <w:rPr>
                <w:sz w:val="20"/>
                <w:szCs w:val="20"/>
                <w:color w:val="auto"/>
              </w:rPr>
            </w:pPr>
            <w:r>
              <w:rPr>
                <w:rFonts w:ascii="Arial" w:cs="Arial" w:eastAsia="Arial" w:hAnsi="Arial"/>
                <w:sz w:val="16"/>
                <w:szCs w:val="16"/>
                <w:b w:val="1"/>
                <w:bCs w:val="1"/>
                <w:color w:val="auto"/>
              </w:rPr>
              <w:t>(In millions, except percentages)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120" w:type="dxa"/>
            <w:vAlign w:val="bottom"/>
          </w:tcPr>
          <w:p>
            <w:pPr>
              <w:jc w:val="right"/>
              <w:spacing w:after="0"/>
              <w:rPr>
                <w:sz w:val="20"/>
                <w:szCs w:val="20"/>
                <w:color w:val="auto"/>
              </w:rPr>
            </w:pPr>
            <w:r>
              <w:rPr>
                <w:rFonts w:ascii="Arial" w:cs="Arial" w:eastAsia="Arial" w:hAnsi="Arial"/>
                <w:sz w:val="18"/>
                <w:szCs w:val="18"/>
                <w:color w:val="auto"/>
                <w:w w:val="89"/>
              </w:rPr>
              <w:t xml:space="preserve">Loss Before Income Taxes </w:t>
            </w:r>
            <w:r>
              <w:rPr>
                <w:rFonts w:ascii="Arial" w:cs="Arial" w:eastAsia="Arial" w:hAnsi="Arial"/>
                <w:sz w:val="18"/>
                <w:szCs w:val="18"/>
                <w:color w:val="B4B4B4"/>
                <w:w w:val="89"/>
              </w:rPr>
              <w:t>. . . . . . . . . . . . . . . . . . . . . . . . . . . . . . . . . . .</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(175)</w:t>
            </w:r>
          </w:p>
        </w:tc>
        <w:tc>
          <w:tcPr>
            <w:tcW w:w="1680" w:type="dxa"/>
            <w:vAlign w:val="bottom"/>
            <w:gridSpan w:val="4"/>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4"/>
        </w:trPr>
        <w:tc>
          <w:tcPr>
            <w:tcW w:w="5120" w:type="dxa"/>
            <w:vAlign w:val="bottom"/>
          </w:tcPr>
          <w:p>
            <w:pPr>
              <w:jc w:val="right"/>
              <w:spacing w:after="0"/>
              <w:rPr>
                <w:sz w:val="20"/>
                <w:szCs w:val="20"/>
                <w:color w:val="auto"/>
              </w:rPr>
            </w:pPr>
            <w:r>
              <w:rPr>
                <w:rFonts w:ascii="Arial" w:cs="Arial" w:eastAsia="Arial" w:hAnsi="Arial"/>
                <w:sz w:val="18"/>
                <w:szCs w:val="18"/>
                <w:color w:val="auto"/>
                <w:w w:val="88"/>
              </w:rPr>
              <w:t xml:space="preserve">Tax at 21% </w:t>
            </w:r>
            <w:r>
              <w:rPr>
                <w:rFonts w:ascii="Arial" w:cs="Arial" w:eastAsia="Arial" w:hAnsi="Arial"/>
                <w:sz w:val="18"/>
                <w:szCs w:val="18"/>
                <w:color w:val="B4B4B4"/>
                <w:w w:val="88"/>
              </w:rPr>
              <w:t>. . . . . . . . . . . . . . . . . . . . . . . . . . . . . . . . . . . . . . . . . . . . . . . .</w:t>
            </w: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21.1 %</w:t>
            </w: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70"/>
        </w:trPr>
        <w:tc>
          <w:tcPr>
            <w:tcW w:w="5120" w:type="dxa"/>
            <w:vAlign w:val="bottom"/>
          </w:tcPr>
          <w:p>
            <w:pPr>
              <w:jc w:val="right"/>
              <w:spacing w:after="0"/>
              <w:rPr>
                <w:sz w:val="20"/>
                <w:szCs w:val="20"/>
                <w:color w:val="auto"/>
              </w:rPr>
            </w:pPr>
            <w:r>
              <w:rPr>
                <w:rFonts w:ascii="Arial" w:cs="Arial" w:eastAsia="Arial" w:hAnsi="Arial"/>
                <w:sz w:val="18"/>
                <w:szCs w:val="18"/>
                <w:color w:val="auto"/>
                <w:w w:val="89"/>
              </w:rPr>
              <w:t xml:space="preserve">State taxes, net of federal benefit </w:t>
            </w:r>
            <w:r>
              <w:rPr>
                <w:rFonts w:ascii="Arial" w:cs="Arial" w:eastAsia="Arial" w:hAnsi="Arial"/>
                <w:sz w:val="22"/>
                <w:szCs w:val="22"/>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4B4B4"/>
                <w:w w:val="89"/>
              </w:rPr>
              <w:t>. . . . . . . . . . . . . . . . . . . . . . . . . . .</w:t>
            </w:r>
          </w:p>
        </w:tc>
        <w:tc>
          <w:tcPr>
            <w:tcW w:w="360" w:type="dxa"/>
            <w:vAlign w:val="bottom"/>
          </w:tcPr>
          <w:p>
            <w:pPr>
              <w:spacing w:after="0"/>
              <w:rPr>
                <w:sz w:val="23"/>
                <w:szCs w:val="23"/>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5120" w:type="dxa"/>
            <w:vAlign w:val="bottom"/>
          </w:tcPr>
          <w:p>
            <w:pPr>
              <w:jc w:val="right"/>
              <w:spacing w:after="0"/>
              <w:rPr>
                <w:sz w:val="20"/>
                <w:szCs w:val="20"/>
                <w:color w:val="auto"/>
              </w:rPr>
            </w:pPr>
            <w:r>
              <w:rPr>
                <w:rFonts w:ascii="Arial" w:cs="Arial" w:eastAsia="Arial" w:hAnsi="Arial"/>
                <w:sz w:val="18"/>
                <w:szCs w:val="18"/>
                <w:color w:val="auto"/>
                <w:w w:val="91"/>
              </w:rPr>
              <w:t xml:space="preserve">Tax credits  </w:t>
            </w:r>
            <w:r>
              <w:rPr>
                <w:rFonts w:ascii="Arial" w:cs="Arial" w:eastAsia="Arial" w:hAnsi="Arial"/>
                <w:sz w:val="18"/>
                <w:szCs w:val="18"/>
                <w:color w:val="B4B4B4"/>
                <w:w w:val="91"/>
              </w:rPr>
              <w:t>. . . . . . . . . . . . . . . . . . . . . . . . . . . . . . . . . . . . . . . . . . . . . .</w:t>
            </w:r>
          </w:p>
        </w:tc>
        <w:tc>
          <w:tcPr>
            <w:tcW w:w="36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50"/>
        </w:trPr>
        <w:tc>
          <w:tcPr>
            <w:tcW w:w="5120" w:type="dxa"/>
            <w:vAlign w:val="bottom"/>
          </w:tcPr>
          <w:p>
            <w:pPr>
              <w:jc w:val="right"/>
              <w:spacing w:after="0"/>
              <w:rPr>
                <w:sz w:val="20"/>
                <w:szCs w:val="20"/>
                <w:color w:val="auto"/>
              </w:rPr>
            </w:pPr>
            <w:r>
              <w:rPr>
                <w:rFonts w:ascii="Arial" w:cs="Arial" w:eastAsia="Arial" w:hAnsi="Arial"/>
                <w:sz w:val="18"/>
                <w:szCs w:val="18"/>
                <w:color w:val="auto"/>
                <w:w w:val="91"/>
              </w:rPr>
              <w:t xml:space="preserve">Nontaxable/nondeductible items: </w:t>
            </w:r>
            <w:r>
              <w:rPr>
                <w:rFonts w:ascii="Arial" w:cs="Arial" w:eastAsia="Arial" w:hAnsi="Arial"/>
                <w:sz w:val="18"/>
                <w:szCs w:val="18"/>
                <w:color w:val="B4B4B4"/>
                <w:w w:val="91"/>
              </w:rPr>
              <w:t>. . . . . . . . . . . . . . . . . . . . . . . . . . . . .</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20" w:type="dxa"/>
            <w:vAlign w:val="bottom"/>
          </w:tcPr>
          <w:p>
            <w:pPr>
              <w:jc w:val="right"/>
              <w:spacing w:after="0"/>
              <w:rPr>
                <w:sz w:val="20"/>
                <w:szCs w:val="20"/>
                <w:color w:val="auto"/>
              </w:rPr>
            </w:pPr>
            <w:r>
              <w:rPr>
                <w:rFonts w:ascii="Arial" w:cs="Arial" w:eastAsia="Arial" w:hAnsi="Arial"/>
                <w:sz w:val="18"/>
                <w:szCs w:val="18"/>
                <w:color w:val="auto"/>
                <w:w w:val="94"/>
              </w:rPr>
              <w:t xml:space="preserve">HLBV impact </w:t>
            </w:r>
            <w:r>
              <w:rPr>
                <w:rFonts w:ascii="Arial" w:cs="Arial" w:eastAsia="Arial" w:hAnsi="Arial"/>
                <w:sz w:val="18"/>
                <w:szCs w:val="18"/>
                <w:color w:val="B4B4B4"/>
                <w:w w:val="94"/>
              </w:rPr>
              <w:t>. . . . . . . . . . . . . . . . . . . . . . . . . . . . . . . . . . . . . . . . . . .</w:t>
            </w:r>
          </w:p>
        </w:tc>
        <w:tc>
          <w:tcPr>
            <w:tcW w:w="360" w:type="dxa"/>
            <w:vAlign w:val="bottom"/>
          </w:tcPr>
          <w:p>
            <w:pPr>
              <w:spacing w:after="0"/>
              <w:rPr>
                <w:sz w:val="21"/>
                <w:szCs w:val="21"/>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50"/>
        </w:trPr>
        <w:tc>
          <w:tcPr>
            <w:tcW w:w="5120" w:type="dxa"/>
            <w:vAlign w:val="bottom"/>
          </w:tcPr>
          <w:p>
            <w:pPr>
              <w:jc w:val="right"/>
              <w:spacing w:after="0"/>
              <w:rPr>
                <w:sz w:val="20"/>
                <w:szCs w:val="20"/>
                <w:color w:val="auto"/>
              </w:rPr>
            </w:pPr>
            <w:r>
              <w:rPr>
                <w:rFonts w:ascii="Arial" w:cs="Arial" w:eastAsia="Arial" w:hAnsi="Arial"/>
                <w:sz w:val="18"/>
                <w:szCs w:val="18"/>
                <w:color w:val="auto"/>
                <w:w w:val="93"/>
              </w:rPr>
              <w:t xml:space="preserve">Tax credit sales, net </w:t>
            </w:r>
            <w:r>
              <w:rPr>
                <w:rFonts w:ascii="Arial" w:cs="Arial" w:eastAsia="Arial" w:hAnsi="Arial"/>
                <w:sz w:val="18"/>
                <w:szCs w:val="18"/>
                <w:color w:val="B4B4B4"/>
                <w:w w:val="93"/>
              </w:rPr>
              <w:t>. . . . . . . . . . . . . . . . . . . . . . . . . . . . . . . . . . . . . .</w:t>
            </w:r>
          </w:p>
        </w:tc>
        <w:tc>
          <w:tcPr>
            <w:tcW w:w="36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5120" w:type="dxa"/>
            <w:vAlign w:val="bottom"/>
          </w:tcPr>
          <w:p>
            <w:pPr>
              <w:jc w:val="right"/>
              <w:spacing w:after="0"/>
              <w:rPr>
                <w:sz w:val="20"/>
                <w:szCs w:val="20"/>
                <w:color w:val="auto"/>
              </w:rPr>
            </w:pPr>
            <w:r>
              <w:rPr>
                <w:rFonts w:ascii="Arial" w:cs="Arial" w:eastAsia="Arial" w:hAnsi="Arial"/>
                <w:sz w:val="18"/>
                <w:szCs w:val="18"/>
                <w:color w:val="auto"/>
                <w:w w:val="91"/>
              </w:rPr>
              <w:t xml:space="preserve">Employee share-based payments </w:t>
            </w:r>
            <w:r>
              <w:rPr>
                <w:rFonts w:ascii="Arial" w:cs="Arial" w:eastAsia="Arial" w:hAnsi="Arial"/>
                <w:sz w:val="18"/>
                <w:szCs w:val="18"/>
                <w:color w:val="B4B4B4"/>
                <w:w w:val="91"/>
              </w:rPr>
              <w:t>. . . . . . . . . . . . . . . . . . . . . . . . . . . .</w:t>
            </w:r>
          </w:p>
        </w:tc>
        <w:tc>
          <w:tcPr>
            <w:tcW w:w="360" w:type="dxa"/>
            <w:vAlign w:val="bottom"/>
          </w:tcPr>
          <w:p>
            <w:pPr>
              <w:spacing w:after="0"/>
              <w:rPr>
                <w:sz w:val="21"/>
                <w:szCs w:val="21"/>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20" w:type="dxa"/>
            <w:vAlign w:val="bottom"/>
            <w:gridSpan w:val="3"/>
          </w:tcPr>
          <w:p>
            <w:pPr>
              <w:jc w:val="right"/>
              <w:ind w:right="372"/>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5"/>
        </w:trPr>
        <w:tc>
          <w:tcPr>
            <w:tcW w:w="5120" w:type="dxa"/>
            <w:vAlign w:val="bottom"/>
          </w:tcPr>
          <w:p>
            <w:pPr>
              <w:jc w:val="right"/>
              <w:spacing w:after="0"/>
              <w:rPr>
                <w:sz w:val="20"/>
                <w:szCs w:val="20"/>
                <w:color w:val="auto"/>
              </w:rPr>
            </w:pPr>
            <w:r>
              <w:rPr>
                <w:rFonts w:ascii="Arial" w:cs="Arial" w:eastAsia="Arial" w:hAnsi="Arial"/>
                <w:sz w:val="18"/>
                <w:szCs w:val="18"/>
                <w:color w:val="auto"/>
                <w:w w:val="91"/>
              </w:rPr>
              <w:t xml:space="preserve">Other  </w:t>
            </w:r>
            <w:r>
              <w:rPr>
                <w:rFonts w:ascii="Arial" w:cs="Arial" w:eastAsia="Arial" w:hAnsi="Arial"/>
                <w:sz w:val="18"/>
                <w:szCs w:val="18"/>
                <w:color w:val="B4B4B4"/>
                <w:w w:val="91"/>
              </w:rPr>
              <w:t>. . . . . . . . . . . . . . . . . . . . . . . . . . . . . . . . . . . . . . . . . . . . . . . . . .</w:t>
            </w:r>
          </w:p>
        </w:tc>
        <w:tc>
          <w:tcPr>
            <w:tcW w:w="360" w:type="dxa"/>
            <w:vAlign w:val="bottom"/>
          </w:tcPr>
          <w:p>
            <w:pPr>
              <w:spacing w:after="0"/>
              <w:rPr>
                <w:sz w:val="22"/>
                <w:szCs w:val="22"/>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5120" w:type="dxa"/>
            <w:vAlign w:val="bottom"/>
          </w:tcPr>
          <w:p>
            <w:pPr>
              <w:jc w:val="right"/>
              <w:spacing w:after="0"/>
              <w:rPr>
                <w:sz w:val="20"/>
                <w:szCs w:val="20"/>
                <w:color w:val="auto"/>
              </w:rPr>
            </w:pPr>
            <w:r>
              <w:rPr>
                <w:rFonts w:ascii="Arial" w:cs="Arial" w:eastAsia="Arial" w:hAnsi="Arial"/>
                <w:sz w:val="18"/>
                <w:szCs w:val="18"/>
                <w:color w:val="B4B4B4"/>
                <w:w w:val="95"/>
              </w:rPr>
              <w:t>. . . . . . . . . . . . . . . . . . . . . . . . . . . . . . . . . . . . . .</w:t>
            </w:r>
            <w:r>
              <w:rPr>
                <w:rFonts w:ascii="Arial" w:cs="Arial" w:eastAsia="Arial" w:hAnsi="Arial"/>
                <w:sz w:val="18"/>
                <w:szCs w:val="18"/>
                <w:color w:val="000000"/>
                <w:w w:val="95"/>
              </w:rPr>
              <w:t>Incometaxexpense</w:t>
            </w:r>
          </w:p>
        </w:tc>
        <w:tc>
          <w:tcPr>
            <w:tcW w:w="3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120" w:type="dxa"/>
            <w:vAlign w:val="bottom"/>
            <w:vMerge w:val="continue"/>
          </w:tcPr>
          <w:p>
            <w:pPr>
              <w:jc w:val="right"/>
              <w:spacing w:after="0" w:line="152" w:lineRule="exact"/>
              <w:rPr>
                <w:sz w:val="20"/>
                <w:szCs w:val="20"/>
                <w:color w:val="auto"/>
              </w:rPr>
            </w:pPr>
            <w:r>
              <w:rPr>
                <w:rFonts w:ascii="Arial" w:cs="Arial" w:eastAsia="Arial" w:hAnsi="Arial"/>
                <w:sz w:val="17"/>
                <w:szCs w:val="17"/>
                <w:color w:val="B4B4B4"/>
              </w:rPr>
              <w:t>. . . . . . . . . . . . . . . . . . . . . . . . . . . . . . . . . . . . .</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-1922145</wp:posOffset>
            </wp:positionV>
            <wp:extent cx="6410325" cy="2023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6410325" cy="2023110"/>
                    </a:xfrm>
                    <a:prstGeom prst="rect">
                      <a:avLst/>
                    </a:prstGeom>
                    <a:noFill/>
                  </pic:spPr>
                </pic:pic>
              </a:graphicData>
            </a:graphic>
          </wp:anchor>
        </w:drawing>
      </w:r>
    </w:p>
    <w:p>
      <w:pPr>
        <w:spacing w:after="0" w:line="151" w:lineRule="exact"/>
        <w:rPr>
          <w:sz w:val="20"/>
          <w:szCs w:val="20"/>
          <w:color w:val="auto"/>
        </w:rPr>
      </w:pPr>
    </w:p>
    <w:p>
      <w:pPr>
        <w:ind w:left="280" w:hanging="199"/>
        <w:spacing w:after="0"/>
        <w:tabs>
          <w:tab w:leader="none" w:pos="280" w:val="left"/>
        </w:tabs>
        <w:numPr>
          <w:ilvl w:val="0"/>
          <w:numId w:val="29"/>
        </w:numPr>
        <w:rPr>
          <w:rFonts w:ascii="Arial" w:cs="Arial" w:eastAsia="Arial" w:hAnsi="Arial"/>
          <w:sz w:val="20"/>
          <w:szCs w:val="20"/>
          <w:color w:val="auto"/>
          <w:vertAlign w:val="superscript"/>
        </w:rPr>
      </w:pPr>
      <w:r>
        <w:rPr>
          <w:rFonts w:ascii="Arial" w:cs="Arial" w:eastAsia="Arial" w:hAnsi="Arial"/>
          <w:sz w:val="16"/>
          <w:szCs w:val="16"/>
          <w:color w:val="auto"/>
        </w:rPr>
        <w:t>State taxes in California made up the majority of the tax effect in this category.</w:t>
      </w:r>
    </w:p>
    <w:p>
      <w:pPr>
        <w:spacing w:after="0" w:line="14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9"/>
          <w:szCs w:val="19"/>
          <w:color w:val="auto"/>
        </w:rPr>
        <w:t>The effective income tax rate may vary from period to period depending on, among other factors, the geographic and business mix of earnings and losses, earnings and losses allocated to partners’ interest in Clearway Energy LLC, which includes the effects of applying the HLBV method of accounting for book purposes to certain partnerships, and changes in valuation allowances in accordance with ASC 740. These factors and others, including the Company’s history of pre-tax earnings and losses, are taken into account in assessing the ability to realize deferred tax assets.</w:t>
      </w:r>
    </w:p>
    <w:p>
      <w:pPr>
        <w:sectPr>
          <w:pgSz w:w="11880" w:h="15480" w:orient="portrait"/>
          <w:cols w:equalWidth="0" w:num="1">
            <w:col w:w="10040"/>
          </w:cols>
          <w:pgMar w:left="920" w:top="57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040"/>
          </w:cols>
          <w:pgMar w:left="920" w:top="577" w:right="920" w:bottom="0"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b w:val="1"/>
          <w:bCs w:val="1"/>
          <w:i w:val="1"/>
          <w:iCs w:val="1"/>
          <w:color w:val="auto"/>
        </w:rPr>
        <w:t>Net Loss Attributable to Noncontrolling Interests and Redeemable Noncontrolling Interests</w:t>
      </w:r>
    </w:p>
    <w:p>
      <w:pPr>
        <w:spacing w:after="0" w:line="189" w:lineRule="exact"/>
        <w:rPr>
          <w:sz w:val="20"/>
          <w:szCs w:val="20"/>
          <w:color w:val="auto"/>
        </w:rPr>
      </w:pPr>
    </w:p>
    <w:p>
      <w:pPr>
        <w:ind w:firstLine="441"/>
        <w:spacing w:after="0" w:line="271" w:lineRule="auto"/>
        <w:rPr>
          <w:sz w:val="20"/>
          <w:szCs w:val="20"/>
          <w:color w:val="auto"/>
        </w:rPr>
      </w:pPr>
      <w:r>
        <w:rPr>
          <w:rFonts w:ascii="Arial" w:cs="Arial" w:eastAsia="Arial" w:hAnsi="Arial"/>
          <w:sz w:val="20"/>
          <w:szCs w:val="20"/>
          <w:color w:val="auto"/>
        </w:rPr>
        <w:t>For the year ended December 31, 2025, the Company had a net loss of $400 million attributable to noncontrolling interests and redeemable noncontrolling interests comprised of the following:</w:t>
      </w:r>
    </w:p>
    <w:p>
      <w:pPr>
        <w:spacing w:after="0" w:line="118"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12700</wp:posOffset>
            </wp:positionV>
            <wp:extent cx="6410325" cy="1158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6410325" cy="1158240"/>
                    </a:xfrm>
                    <a:prstGeom prst="rect">
                      <a:avLst/>
                    </a:prstGeom>
                    <a:noFill/>
                  </pic:spPr>
                </pic:pic>
              </a:graphicData>
            </a:graphic>
          </wp:anchor>
        </w:drawing>
      </w:r>
    </w:p>
    <w:p>
      <w:pPr>
        <w:sectPr>
          <w:pgSz w:w="11880" w:h="15480" w:orient="portrait"/>
          <w:cols w:equalWidth="0" w:num="1">
            <w:col w:w="10040"/>
          </w:cols>
          <w:pgMar w:left="920" w:top="577" w:right="920" w:bottom="0" w:gutter="0" w:footer="0" w:header="0"/>
        </w:sectPr>
      </w:pPr>
    </w:p>
    <w:p>
      <w:pPr>
        <w:spacing w:after="0" w:line="70" w:lineRule="exact"/>
        <w:rPr>
          <w:sz w:val="20"/>
          <w:szCs w:val="20"/>
          <w:color w:val="auto"/>
        </w:rPr>
      </w:pPr>
    </w:p>
    <w:p>
      <w:pPr>
        <w:jc w:val="both"/>
        <w:ind w:left="40"/>
        <w:spacing w:after="0" w:line="276" w:lineRule="auto"/>
        <w:rPr>
          <w:sz w:val="20"/>
          <w:szCs w:val="20"/>
          <w:color w:val="auto"/>
        </w:rPr>
      </w:pPr>
      <w:r>
        <w:rPr>
          <w:rFonts w:ascii="Arial" w:cs="Arial" w:eastAsia="Arial" w:hAnsi="Arial"/>
          <w:sz w:val="17"/>
          <w:szCs w:val="17"/>
          <w:color w:val="auto"/>
        </w:rPr>
        <w:t xml:space="preserve">Losses attributable to tax equity financing arrangements and the application of the HLBV method (primarily due to Daggett 1 TE Holdco LLC, Dan’s Mountain Tax Credit Holdco LLC, Luna Valley TE Holdco LLC, Rosie South TE Holdco LLC, Rosie TE HoldCo LLC and VP-Arica TE Holdco LLC HLBV losses) </w:t>
      </w:r>
      <w:r>
        <w:rPr>
          <w:rFonts w:ascii="Arial" w:cs="Arial" w:eastAsia="Arial" w:hAnsi="Arial"/>
          <w:sz w:val="17"/>
          <w:szCs w:val="17"/>
          <w:color w:val="B4B4B4"/>
        </w:rPr>
        <w:t>. . . . . . . .</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CEG’s economic interest in Clearway Energy LLC </w:t>
      </w:r>
      <w:r>
        <w:rPr>
          <w:rFonts w:ascii="Arial" w:cs="Arial" w:eastAsia="Arial" w:hAnsi="Arial"/>
          <w:sz w:val="17"/>
          <w:szCs w:val="17"/>
          <w:color w:val="B4B4B4"/>
        </w:rPr>
        <w:t>. . . . . . . . . . . . . . . . . . . . . . . . . . . . . . . . . . . . . . . . . . . . . . .</w:t>
      </w:r>
    </w:p>
    <w:p>
      <w:pPr>
        <w:spacing w:after="0" w:line="94" w:lineRule="exact"/>
        <w:rPr>
          <w:sz w:val="20"/>
          <w:szCs w:val="20"/>
          <w:color w:val="auto"/>
        </w:rPr>
      </w:pPr>
    </w:p>
    <w:p>
      <w:pPr>
        <w:jc w:val="both"/>
        <w:ind w:left="40"/>
        <w:spacing w:after="0" w:line="313" w:lineRule="auto"/>
        <w:rPr>
          <w:sz w:val="20"/>
          <w:szCs w:val="20"/>
          <w:color w:val="auto"/>
        </w:rPr>
      </w:pPr>
      <w:r>
        <w:rPr>
          <w:rFonts w:ascii="Arial" w:cs="Arial" w:eastAsia="Arial" w:hAnsi="Arial"/>
          <w:sz w:val="17"/>
          <w:szCs w:val="17"/>
          <w:color w:val="auto"/>
        </w:rPr>
        <w:t xml:space="preserve">Income attributable to third-party partnerships (primarily due to Dan’s Mountain Tax Credit Holdco LLC, Rosie South TE Holdco LLC, Rosie TE HoldCo LLC and VP-Arica TE Holdco LLC HLBV net losses) </w:t>
      </w:r>
      <w:r>
        <w:rPr>
          <w:rFonts w:ascii="Arial" w:cs="Arial" w:eastAsia="Arial" w:hAnsi="Arial"/>
          <w:sz w:val="17"/>
          <w:szCs w:val="17"/>
          <w:color w:val="B4B4B4"/>
        </w:rPr>
        <w:t>.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left="721" w:hanging="721"/>
        <w:spacing w:after="0"/>
        <w:tabs>
          <w:tab w:leader="none" w:pos="721" w:val="left"/>
        </w:tabs>
        <w:numPr>
          <w:ilvl w:val="0"/>
          <w:numId w:val="30"/>
        </w:numPr>
        <w:rPr>
          <w:rFonts w:ascii="Arial" w:cs="Arial" w:eastAsia="Arial" w:hAnsi="Arial"/>
          <w:sz w:val="17"/>
          <w:szCs w:val="17"/>
          <w:color w:val="auto"/>
        </w:rPr>
      </w:pPr>
      <w:r>
        <w:rPr>
          <w:rFonts w:ascii="Arial" w:cs="Arial" w:eastAsia="Arial" w:hAnsi="Arial"/>
          <w:sz w:val="17"/>
          <w:szCs w:val="17"/>
          <w:color w:val="auto"/>
        </w:rPr>
        <w:t>(694)</w:t>
      </w:r>
    </w:p>
    <w:p>
      <w:pPr>
        <w:spacing w:after="0" w:line="98" w:lineRule="exact"/>
        <w:rPr>
          <w:rFonts w:ascii="Arial" w:cs="Arial" w:eastAsia="Arial" w:hAnsi="Arial"/>
          <w:sz w:val="17"/>
          <w:szCs w:val="17"/>
          <w:color w:val="auto"/>
        </w:rPr>
      </w:pPr>
    </w:p>
    <w:p>
      <w:pPr>
        <w:ind w:left="801"/>
        <w:spacing w:after="0"/>
        <w:rPr>
          <w:rFonts w:ascii="Arial" w:cs="Arial" w:eastAsia="Arial" w:hAnsi="Arial"/>
          <w:sz w:val="17"/>
          <w:szCs w:val="17"/>
          <w:color w:val="auto"/>
        </w:rPr>
      </w:pPr>
      <w:r>
        <w:rPr>
          <w:rFonts w:ascii="Arial" w:cs="Arial" w:eastAsia="Arial" w:hAnsi="Arial"/>
          <w:sz w:val="20"/>
          <w:szCs w:val="20"/>
          <w:color w:val="auto"/>
        </w:rPr>
        <w:t>160</w:t>
      </w:r>
    </w:p>
    <w:p>
      <w:pPr>
        <w:spacing w:after="0" w:line="255" w:lineRule="exact"/>
        <w:rPr>
          <w:sz w:val="20"/>
          <w:szCs w:val="20"/>
          <w:color w:val="auto"/>
        </w:rPr>
      </w:pPr>
    </w:p>
    <w:p>
      <w:pPr>
        <w:ind w:left="801"/>
        <w:spacing w:after="0"/>
        <w:rPr>
          <w:sz w:val="20"/>
          <w:szCs w:val="20"/>
          <w:color w:val="auto"/>
        </w:rPr>
      </w:pPr>
      <w:r>
        <w:rPr>
          <w:rFonts w:ascii="Arial" w:cs="Arial" w:eastAsia="Arial" w:hAnsi="Arial"/>
          <w:sz w:val="20"/>
          <w:szCs w:val="20"/>
          <w:color w:val="auto"/>
        </w:rPr>
        <w:t>134</w:t>
      </w:r>
    </w:p>
    <w:p>
      <w:pPr>
        <w:spacing w:after="0" w:line="64" w:lineRule="exact"/>
        <w:rPr>
          <w:sz w:val="20"/>
          <w:szCs w:val="20"/>
          <w:color w:val="auto"/>
        </w:rPr>
      </w:pPr>
    </w:p>
    <w:p>
      <w:pPr>
        <w:ind w:left="721" w:hanging="721"/>
        <w:spacing w:after="0"/>
        <w:tabs>
          <w:tab w:leader="none" w:pos="721" w:val="left"/>
        </w:tabs>
        <w:numPr>
          <w:ilvl w:val="0"/>
          <w:numId w:val="31"/>
        </w:numPr>
        <w:rPr>
          <w:rFonts w:ascii="Arial" w:cs="Arial" w:eastAsia="Arial" w:hAnsi="Arial"/>
          <w:sz w:val="17"/>
          <w:szCs w:val="17"/>
          <w:color w:val="auto"/>
        </w:rPr>
      </w:pPr>
      <w:r>
        <w:rPr>
          <w:rFonts w:ascii="Arial" w:cs="Arial" w:eastAsia="Arial" w:hAnsi="Arial"/>
          <w:sz w:val="17"/>
          <w:szCs w:val="17"/>
          <w:color w:val="auto"/>
        </w:rPr>
        <w:t>(400)</w:t>
      </w:r>
    </w:p>
    <w:p>
      <w:pPr>
        <w:spacing w:after="0" w:line="200" w:lineRule="exact"/>
        <w:rPr>
          <w:sz w:val="20"/>
          <w:szCs w:val="20"/>
          <w:color w:val="auto"/>
        </w:rPr>
      </w:pPr>
    </w:p>
    <w:p>
      <w:pPr>
        <w:sectPr>
          <w:pgSz w:w="11880" w:h="15480" w:orient="portrait"/>
          <w:cols w:equalWidth="0" w:num="2">
            <w:col w:w="8700" w:space="179"/>
            <w:col w:w="1161"/>
          </w:cols>
          <w:pgMar w:left="920" w:top="577" w:right="920" w:bottom="0" w:gutter="0" w:footer="0" w:header="0"/>
          <w:type w:val="continuous"/>
        </w:sectPr>
      </w:pPr>
    </w:p>
    <w:p>
      <w:pPr>
        <w:spacing w:after="0" w:line="86"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For the year ended December 31, 2024, the Company had a net loss of $151 million attributable to noncontrolling interests and redeemable noncontrolling interests comprised of the following:</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878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08"/>
        </w:trPr>
        <w:tc>
          <w:tcPr>
            <w:tcW w:w="8780" w:type="dxa"/>
            <w:vAlign w:val="bottom"/>
          </w:tcPr>
          <w:p>
            <w:pPr>
              <w:spacing w:after="0" w:line="207" w:lineRule="exact"/>
              <w:rPr>
                <w:sz w:val="20"/>
                <w:szCs w:val="20"/>
                <w:color w:val="auto"/>
              </w:rPr>
            </w:pPr>
            <w:r>
              <w:rPr>
                <w:rFonts w:ascii="Arial" w:cs="Arial" w:eastAsia="Arial" w:hAnsi="Arial"/>
                <w:sz w:val="20"/>
                <w:szCs w:val="20"/>
                <w:color w:val="auto"/>
                <w:w w:val="92"/>
              </w:rPr>
              <w:t>Losses attributable to tax equity financing arrangements and the application of the HLBV method (primarily</w:t>
            </w:r>
          </w:p>
        </w:tc>
        <w:tc>
          <w:tcPr>
            <w:tcW w:w="480" w:type="dxa"/>
            <w:vAlign w:val="bottom"/>
            <w:vMerge w:val="restart"/>
          </w:tcPr>
          <w:p>
            <w:pPr>
              <w:jc w:val="right"/>
              <w:ind w:right="225"/>
              <w:spacing w:after="0"/>
              <w:rPr>
                <w:sz w:val="20"/>
                <w:szCs w:val="20"/>
                <w:color w:val="auto"/>
              </w:rPr>
            </w:pPr>
            <w:r>
              <w:rPr>
                <w:rFonts w:ascii="Arial" w:cs="Arial" w:eastAsia="Arial" w:hAnsi="Arial"/>
                <w:sz w:val="20"/>
                <w:szCs w:val="20"/>
                <w:color w:val="auto"/>
              </w:rPr>
              <w:t>$</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(404)</w:t>
            </w:r>
          </w:p>
        </w:tc>
        <w:tc>
          <w:tcPr>
            <w:tcW w:w="0" w:type="dxa"/>
            <w:vAlign w:val="bottom"/>
          </w:tcPr>
          <w:p>
            <w:pPr>
              <w:spacing w:after="0"/>
              <w:rPr>
                <w:sz w:val="1"/>
                <w:szCs w:val="1"/>
                <w:color w:val="auto"/>
              </w:rPr>
            </w:pPr>
          </w:p>
        </w:tc>
      </w:tr>
      <w:tr>
        <w:trPr>
          <w:trHeight w:val="255"/>
        </w:trPr>
        <w:tc>
          <w:tcPr>
            <w:tcW w:w="8780" w:type="dxa"/>
            <w:vAlign w:val="bottom"/>
          </w:tcPr>
          <w:p>
            <w:pPr>
              <w:spacing w:after="0"/>
              <w:rPr>
                <w:sz w:val="20"/>
                <w:szCs w:val="20"/>
                <w:color w:val="auto"/>
              </w:rPr>
            </w:pPr>
            <w:r>
              <w:rPr>
                <w:rFonts w:ascii="Arial" w:cs="Arial" w:eastAsia="Arial" w:hAnsi="Arial"/>
                <w:sz w:val="20"/>
                <w:szCs w:val="20"/>
                <w:color w:val="auto"/>
                <w:w w:val="92"/>
              </w:rPr>
              <w:t xml:space="preserve">due to VP-Arica TE Holdco LLC and Rosie TE HoldCo LLC HLBV losses) </w:t>
            </w:r>
            <w:r>
              <w:rPr>
                <w:rFonts w:ascii="Arial" w:cs="Arial" w:eastAsia="Arial" w:hAnsi="Arial"/>
                <w:sz w:val="20"/>
                <w:szCs w:val="20"/>
                <w:color w:val="B4B4B4"/>
                <w:w w:val="92"/>
              </w:rPr>
              <w:t>. . . . . . . . . . . . . . . . . . . . . . . . . . .</w:t>
            </w:r>
          </w:p>
        </w:tc>
        <w:tc>
          <w:tcPr>
            <w:tcW w:w="48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8780" w:type="dxa"/>
            <w:vAlign w:val="bottom"/>
          </w:tcPr>
          <w:p>
            <w:pPr>
              <w:spacing w:after="0" w:line="201" w:lineRule="exact"/>
              <w:rPr>
                <w:sz w:val="20"/>
                <w:szCs w:val="20"/>
                <w:color w:val="auto"/>
              </w:rPr>
            </w:pPr>
            <w:r>
              <w:rPr>
                <w:rFonts w:ascii="Arial" w:cs="Arial" w:eastAsia="Arial" w:hAnsi="Arial"/>
                <w:sz w:val="20"/>
                <w:szCs w:val="20"/>
                <w:color w:val="auto"/>
                <w:w w:val="96"/>
              </w:rPr>
              <w:t>Income attributable to third-party partnerships (primarily due to VP-Arica TE Holdco LLC and Rosie TE</w:t>
            </w:r>
          </w:p>
        </w:tc>
        <w:tc>
          <w:tcPr>
            <w:tcW w:w="4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255"/>
        </w:trPr>
        <w:tc>
          <w:tcPr>
            <w:tcW w:w="8780" w:type="dxa"/>
            <w:vAlign w:val="bottom"/>
          </w:tcPr>
          <w:p>
            <w:pPr>
              <w:spacing w:after="0"/>
              <w:rPr>
                <w:sz w:val="20"/>
                <w:szCs w:val="20"/>
                <w:color w:val="auto"/>
              </w:rPr>
            </w:pPr>
            <w:r>
              <w:rPr>
                <w:rFonts w:ascii="Arial" w:cs="Arial" w:eastAsia="Arial" w:hAnsi="Arial"/>
                <w:sz w:val="20"/>
                <w:szCs w:val="20"/>
                <w:color w:val="auto"/>
                <w:w w:val="91"/>
              </w:rPr>
              <w:t xml:space="preserve">HoldCo LLC HLBV losses) </w:t>
            </w:r>
            <w:r>
              <w:rPr>
                <w:rFonts w:ascii="Arial" w:cs="Arial" w:eastAsia="Arial" w:hAnsi="Arial"/>
                <w:sz w:val="20"/>
                <w:szCs w:val="20"/>
                <w:color w:val="B4B4B4"/>
                <w:w w:val="91"/>
              </w:rPr>
              <w:t>. . . . . . . . . . . . . . . . . . . . . . . . . . . . . . . . . . . . . . . . . . . . . . . . . . . . . . . . . . . . . . . . .</w:t>
            </w:r>
          </w:p>
        </w:tc>
        <w:tc>
          <w:tcPr>
            <w:tcW w:w="480" w:type="dxa"/>
            <w:vAlign w:val="bottom"/>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780" w:type="dxa"/>
            <w:vAlign w:val="bottom"/>
          </w:tcPr>
          <w:p>
            <w:pPr>
              <w:spacing w:after="0"/>
              <w:rPr>
                <w:sz w:val="20"/>
                <w:szCs w:val="20"/>
                <w:color w:val="auto"/>
              </w:rPr>
            </w:pPr>
            <w:r>
              <w:rPr>
                <w:rFonts w:ascii="Arial" w:cs="Arial" w:eastAsia="Arial" w:hAnsi="Arial"/>
                <w:sz w:val="20"/>
                <w:szCs w:val="20"/>
                <w:color w:val="auto"/>
                <w:w w:val="90"/>
              </w:rPr>
              <w:t xml:space="preserve">CEG’s economic interest in Clearway Energy LLC </w:t>
            </w:r>
            <w:r>
              <w:rPr>
                <w:rFonts w:ascii="Arial" w:cs="Arial" w:eastAsia="Arial" w:hAnsi="Arial"/>
                <w:sz w:val="20"/>
                <w:szCs w:val="20"/>
                <w:color w:val="B4B4B4"/>
                <w:w w:val="90"/>
              </w:rPr>
              <w:t>. . . . . . . . . . . . . . . . . . . . . . . . . . . . . . . . . . . . . . . . . . . . . . .</w:t>
            </w: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54"/>
        </w:trPr>
        <w:tc>
          <w:tcPr>
            <w:tcW w:w="8780" w:type="dxa"/>
            <w:vAlign w:val="bottom"/>
          </w:tcPr>
          <w:p>
            <w:pPr>
              <w:spacing w:after="0"/>
              <w:rPr>
                <w:sz w:val="22"/>
                <w:szCs w:val="22"/>
                <w:color w:val="auto"/>
              </w:rPr>
            </w:pPr>
          </w:p>
        </w:tc>
        <w:tc>
          <w:tcPr>
            <w:tcW w:w="480" w:type="dxa"/>
            <w:vAlign w:val="bottom"/>
            <w:tcBorders>
              <w:bottom w:val="single" w:sz="8" w:color="auto"/>
            </w:tcBorders>
          </w:tcPr>
          <w:p>
            <w:pPr>
              <w:jc w:val="right"/>
              <w:ind w:right="225"/>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-1001395</wp:posOffset>
            </wp:positionV>
            <wp:extent cx="6410325" cy="1008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6410325" cy="10083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9"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The Company’s principal liquidity requirements are to meet its financial commitments, finance current operations, fund capital expenditures, including investments and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Current Liquidity Position</w:t>
      </w:r>
    </w:p>
    <w:p>
      <w:pPr>
        <w:spacing w:after="0" w:line="169" w:lineRule="exact"/>
        <w:rPr>
          <w:sz w:val="20"/>
          <w:szCs w:val="20"/>
          <w:color w:val="auto"/>
        </w:rPr>
      </w:pPr>
    </w:p>
    <w:p>
      <w:pPr>
        <w:jc w:val="both"/>
        <w:ind w:firstLine="441"/>
        <w:spacing w:after="0" w:line="298" w:lineRule="auto"/>
        <w:rPr>
          <w:sz w:val="20"/>
          <w:szCs w:val="20"/>
          <w:color w:val="auto"/>
        </w:rPr>
      </w:pPr>
      <w:r>
        <w:rPr>
          <w:rFonts w:ascii="Arial" w:cs="Arial" w:eastAsia="Arial" w:hAnsi="Arial"/>
          <w:sz w:val="19"/>
          <w:szCs w:val="19"/>
          <w:color w:val="auto"/>
        </w:rPr>
        <w:t>As of December 31, 2025 and 2024, the Company’s liquidity was approximately $1,061 million and $1,330 million, respectively, comprised of cash, restricted cash and availability under the Company’s revolving credit facility.</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7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b w:val="1"/>
                <w:bCs w:val="1"/>
                <w:color w:val="auto"/>
                <w:w w:val="98"/>
              </w:rPr>
              <w:t>As of December 31,</w:t>
            </w:r>
          </w:p>
        </w:tc>
      </w:tr>
      <w:tr>
        <w:trPr>
          <w:trHeight w:val="230"/>
        </w:trPr>
        <w:tc>
          <w:tcPr>
            <w:tcW w:w="7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2024</w:t>
            </w:r>
          </w:p>
        </w:tc>
      </w:tr>
      <w:tr>
        <w:trPr>
          <w:trHeight w:val="269"/>
        </w:trPr>
        <w:tc>
          <w:tcPr>
            <w:tcW w:w="7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40" w:type="dxa"/>
            <w:vAlign w:val="bottom"/>
            <w:gridSpan w:val="4"/>
          </w:tcPr>
          <w:p>
            <w:pPr>
              <w:jc w:val="right"/>
              <w:ind w:right="652"/>
              <w:spacing w:after="0"/>
              <w:rPr>
                <w:sz w:val="20"/>
                <w:szCs w:val="20"/>
                <w:color w:val="auto"/>
              </w:rPr>
            </w:pPr>
            <w:r>
              <w:rPr>
                <w:rFonts w:ascii="Arial" w:cs="Arial" w:eastAsia="Arial" w:hAnsi="Arial"/>
                <w:sz w:val="18"/>
                <w:szCs w:val="18"/>
                <w:b w:val="1"/>
                <w:bCs w:val="1"/>
                <w:color w:val="auto"/>
              </w:rPr>
              <w:t>(In millions)</w:t>
            </w:r>
          </w:p>
        </w:tc>
      </w:tr>
      <w:tr>
        <w:trPr>
          <w:trHeight w:val="294"/>
        </w:trPr>
        <w:tc>
          <w:tcPr>
            <w:tcW w:w="75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4"/>
        </w:trPr>
        <w:tc>
          <w:tcPr>
            <w:tcW w:w="7580" w:type="dxa"/>
            <w:vAlign w:val="bottom"/>
          </w:tcPr>
          <w:p>
            <w:pPr>
              <w:jc w:val="right"/>
              <w:spacing w:after="0"/>
              <w:rPr>
                <w:sz w:val="20"/>
                <w:szCs w:val="20"/>
                <w:color w:val="auto"/>
              </w:rPr>
            </w:pPr>
            <w:r>
              <w:rPr>
                <w:rFonts w:ascii="Arial" w:cs="Arial" w:eastAsia="Arial" w:hAnsi="Arial"/>
                <w:sz w:val="18"/>
                <w:szCs w:val="18"/>
                <w:color w:val="auto"/>
                <w:w w:val="92"/>
              </w:rPr>
              <w:t xml:space="preserve">Clearway Energy, Inc. and Clearway Energy LLC, excluding subsidiaries  </w:t>
            </w:r>
            <w:r>
              <w:rPr>
                <w:rFonts w:ascii="Arial" w:cs="Arial" w:eastAsia="Arial" w:hAnsi="Arial"/>
                <w:sz w:val="18"/>
                <w:szCs w:val="18"/>
                <w:color w:val="B4B4B4"/>
                <w:w w:val="92"/>
              </w:rPr>
              <w:t>. . . . . . . . . . . . . . . . . . . . . . .</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94"/>
        </w:trPr>
        <w:tc>
          <w:tcPr>
            <w:tcW w:w="7580" w:type="dxa"/>
            <w:vAlign w:val="bottom"/>
          </w:tcPr>
          <w:p>
            <w:pPr>
              <w:jc w:val="right"/>
              <w:spacing w:after="0"/>
              <w:rPr>
                <w:sz w:val="20"/>
                <w:szCs w:val="20"/>
                <w:color w:val="auto"/>
              </w:rPr>
            </w:pPr>
            <w:r>
              <w:rPr>
                <w:rFonts w:ascii="Arial" w:cs="Arial" w:eastAsia="Arial" w:hAnsi="Arial"/>
                <w:sz w:val="18"/>
                <w:szCs w:val="18"/>
                <w:color w:val="auto"/>
                <w:w w:val="90"/>
              </w:rPr>
              <w:t xml:space="preserve">Subsidiaries </w:t>
            </w:r>
            <w:r>
              <w:rPr>
                <w:rFonts w:ascii="Arial" w:cs="Arial" w:eastAsia="Arial" w:hAnsi="Arial"/>
                <w:sz w:val="18"/>
                <w:szCs w:val="18"/>
                <w:color w:val="B4B4B4"/>
                <w:w w:val="90"/>
              </w:rPr>
              <w:t>. . . . . . . . . . . . . . . . . . . . . . . . . . . . . . . . . . . . . . . . . . . . . . . . . . . . . . . . . . . . . . . . . . . . . . . . .</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94"/>
        </w:trPr>
        <w:tc>
          <w:tcPr>
            <w:tcW w:w="7580" w:type="dxa"/>
            <w:vAlign w:val="bottom"/>
          </w:tcPr>
          <w:p>
            <w:pPr>
              <w:spacing w:after="0"/>
              <w:rPr>
                <w:sz w:val="20"/>
                <w:szCs w:val="20"/>
                <w:color w:val="auto"/>
              </w:rPr>
            </w:pPr>
            <w:r>
              <w:rPr>
                <w:rFonts w:ascii="Arial" w:cs="Arial" w:eastAsia="Arial" w:hAnsi="Arial"/>
                <w:sz w:val="18"/>
                <w:szCs w:val="18"/>
                <w:b w:val="1"/>
                <w:bCs w:val="1"/>
                <w:color w:val="auto"/>
              </w:rPr>
              <w:t>Restricted cash:</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4"/>
        </w:trPr>
        <w:tc>
          <w:tcPr>
            <w:tcW w:w="7580" w:type="dxa"/>
            <w:vAlign w:val="bottom"/>
          </w:tcPr>
          <w:p>
            <w:pPr>
              <w:jc w:val="right"/>
              <w:spacing w:after="0"/>
              <w:rPr>
                <w:sz w:val="20"/>
                <w:szCs w:val="20"/>
                <w:color w:val="auto"/>
              </w:rPr>
            </w:pPr>
            <w:r>
              <w:rPr>
                <w:rFonts w:ascii="Arial" w:cs="Arial" w:eastAsia="Arial" w:hAnsi="Arial"/>
                <w:sz w:val="18"/>
                <w:szCs w:val="18"/>
                <w:color w:val="auto"/>
                <w:w w:val="91"/>
              </w:rPr>
              <w:t xml:space="preserve">Operating accounts  </w:t>
            </w:r>
            <w:r>
              <w:rPr>
                <w:rFonts w:ascii="Arial" w:cs="Arial" w:eastAsia="Arial" w:hAnsi="Arial"/>
                <w:sz w:val="18"/>
                <w:szCs w:val="18"/>
                <w:color w:val="B4B4B4"/>
                <w:w w:val="91"/>
              </w:rPr>
              <w:t>. . . . . . . . . . . . . . . . . . . . . . . . . . . . . . . . . . . . . . . . . . . . . . . . . . . . . . . . . . . . . . . . . .</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99"/>
        </w:trPr>
        <w:tc>
          <w:tcPr>
            <w:tcW w:w="7580" w:type="dxa"/>
            <w:vAlign w:val="bottom"/>
          </w:tcPr>
          <w:p>
            <w:pPr>
              <w:jc w:val="right"/>
              <w:spacing w:after="0"/>
              <w:rPr>
                <w:sz w:val="20"/>
                <w:szCs w:val="20"/>
                <w:color w:val="auto"/>
              </w:rPr>
            </w:pPr>
            <w:r>
              <w:rPr>
                <w:rFonts w:ascii="Arial" w:cs="Arial" w:eastAsia="Arial" w:hAnsi="Arial"/>
                <w:sz w:val="18"/>
                <w:szCs w:val="18"/>
                <w:color w:val="auto"/>
                <w:w w:val="91"/>
              </w:rPr>
              <w:t xml:space="preserve">Reserves, including debt service, distributions, performance obligations and other reserves  </w:t>
            </w:r>
            <w:r>
              <w:rPr>
                <w:rFonts w:ascii="Arial" w:cs="Arial" w:eastAsia="Arial" w:hAnsi="Arial"/>
                <w:sz w:val="18"/>
                <w:szCs w:val="18"/>
                <w:color w:val="B4B4B4"/>
                <w:w w:val="91"/>
              </w:rPr>
              <w:t>. . . . . . . . .</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69"/>
        </w:trPr>
        <w:tc>
          <w:tcPr>
            <w:tcW w:w="7580" w:type="dxa"/>
            <w:vAlign w:val="bottom"/>
          </w:tcPr>
          <w:p>
            <w:pPr>
              <w:jc w:val="right"/>
              <w:spacing w:after="0"/>
              <w:rPr>
                <w:sz w:val="20"/>
                <w:szCs w:val="20"/>
                <w:color w:val="auto"/>
              </w:rPr>
            </w:pPr>
            <w:r>
              <w:rPr>
                <w:rFonts w:ascii="Arial" w:cs="Arial" w:eastAsia="Arial" w:hAnsi="Arial"/>
                <w:sz w:val="18"/>
                <w:szCs w:val="18"/>
                <w:color w:val="auto"/>
                <w:w w:val="87"/>
              </w:rPr>
              <w:t xml:space="preserve">Total cash, cash equivalents and restricted cash </w:t>
            </w:r>
            <w:r>
              <w:rPr>
                <w:rFonts w:ascii="Arial" w:cs="Arial" w:eastAsia="Arial" w:hAnsi="Arial"/>
                <w:sz w:val="18"/>
                <w:szCs w:val="18"/>
                <w:color w:val="B4B4B4"/>
                <w:w w:val="87"/>
              </w:rPr>
              <w:t>. . . . . . . . . . . . . . . . . . . . . . . . . . . . . . . . . . . . . . . . . . . . . . .</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99"/>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Revolving credit facility availability </w:t>
            </w:r>
            <w:r>
              <w:rPr>
                <w:rFonts w:ascii="Arial" w:cs="Arial" w:eastAsia="Arial" w:hAnsi="Arial"/>
                <w:sz w:val="18"/>
                <w:szCs w:val="18"/>
                <w:color w:val="B4B4B4"/>
                <w:w w:val="93"/>
              </w:rPr>
              <w:t>. . . . . . . . . . . . . . . . . . . . . . . . . . . . . . . . . . . . . . . . . . . . . . . . . . . . .</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r>
      <w:tr>
        <w:trPr>
          <w:trHeight w:val="254"/>
        </w:trPr>
        <w:tc>
          <w:tcPr>
            <w:tcW w:w="7580" w:type="dxa"/>
            <w:vAlign w:val="bottom"/>
          </w:tcPr>
          <w:p>
            <w:pPr>
              <w:jc w:val="right"/>
              <w:spacing w:after="0"/>
              <w:rPr>
                <w:sz w:val="20"/>
                <w:szCs w:val="20"/>
                <w:color w:val="auto"/>
              </w:rPr>
            </w:pPr>
            <w:r>
              <w:rPr>
                <w:rFonts w:ascii="Arial" w:cs="Arial" w:eastAsia="Arial" w:hAnsi="Arial"/>
                <w:sz w:val="18"/>
                <w:szCs w:val="18"/>
                <w:b w:val="1"/>
                <w:bCs w:val="1"/>
                <w:color w:val="auto"/>
                <w:w w:val="88"/>
              </w:rPr>
              <w:t xml:space="preserve">Total liquidity </w:t>
            </w:r>
            <w:r>
              <w:rPr>
                <w:rFonts w:ascii="Arial" w:cs="Arial" w:eastAsia="Arial" w:hAnsi="Arial"/>
                <w:sz w:val="18"/>
                <w:szCs w:val="18"/>
                <w:b w:val="1"/>
                <w:bCs w:val="1"/>
                <w:color w:val="B4B4B4"/>
                <w:w w:val="88"/>
              </w:rPr>
              <w:t>. . . . . . . . . . . . . . . . . . . . . . . . . . . . . . . . . . . . . . . . . . . . . . . . . . . . . . . . . . . . . . . . . . . . . . . . .</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0"/>
        </w:trPr>
        <w:tc>
          <w:tcPr>
            <w:tcW w:w="7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-1711325</wp:posOffset>
            </wp:positionV>
            <wp:extent cx="6410325" cy="1718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6410325" cy="1718310"/>
                    </a:xfrm>
                    <a:prstGeom prst="rect">
                      <a:avLst/>
                    </a:prstGeom>
                    <a:noFill/>
                  </pic:spPr>
                </pic:pic>
              </a:graphicData>
            </a:graphic>
          </wp:anchor>
        </w:drawing>
      </w:r>
    </w:p>
    <w:p>
      <w:pPr>
        <w:sectPr>
          <w:pgSz w:w="11880" w:h="15480" w:orient="portrait"/>
          <w:cols w:equalWidth="0" w:num="1">
            <w:col w:w="10040"/>
          </w:cols>
          <w:pgMar w:left="920" w:top="57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0040"/>
          </w:cols>
          <w:pgMar w:left="920" w:top="577" w:right="920" w:bottom="0" w:gutter="0" w:footer="0" w:header="0"/>
          <w:type w:val="continuous"/>
        </w:sectPr>
      </w:pPr>
    </w:p>
    <w:bookmarkStart w:id="59" w:name="page60"/>
    <w:bookmarkEnd w:id="59"/>
    <w:p>
      <w:pPr>
        <w:jc w:val="both"/>
        <w:ind w:firstLine="441"/>
        <w:spacing w:after="0" w:line="299" w:lineRule="auto"/>
        <w:rPr>
          <w:sz w:val="20"/>
          <w:szCs w:val="20"/>
          <w:color w:val="auto"/>
        </w:rPr>
      </w:pPr>
      <w:r>
        <w:rPr>
          <w:rFonts w:ascii="Arial" w:cs="Arial" w:eastAsia="Arial" w:hAnsi="Arial"/>
          <w:sz w:val="17"/>
          <w:szCs w:val="17"/>
          <w:color w:val="auto"/>
        </w:rPr>
        <w:t>The Company’s liquidity includes $587 million and $401 million of restricted cash balances as of December 31, 2025 and 2024, respectively. Restricted cash consists primarily of funds to satisfy the requirements of certain debt arrangements and funds held within the Company’s facilities that are restricted in their use. As of December 31, 2025, these restricted funds were comprised of $146 million designated to fund operating expenses, approximately $99 million designated for current debt service payments, and $85 million restricted for reserves, including debt service, performance obligations and other reserves, as well as capital expenditures. The remaining $257 million is held in distribution reserve accounts, of which $174 million relates to transferable ITCs for the Rosamond South I solar and BESS facility that were received on behalf of the tax equity investor in Rosie South TE Holdco LLC and subsequently distributed to that tax equity investor in January 2026.</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Clearway Energy LLC and Clearway Energy Operating LLC Revolving Credit Facility</w:t>
      </w:r>
    </w:p>
    <w:p>
      <w:pPr>
        <w:spacing w:after="0" w:line="183"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7"/>
          <w:szCs w:val="17"/>
          <w:color w:val="auto"/>
        </w:rPr>
        <w:t>As of December 31, 2025, the Company had $361 million in outstanding borrowings under its revolving credit facility and $96 million in letters of credit outstanding. During January 2026, the Company repaid all of the outstanding borrowings under the revolving credit facility utilizing the proceeds from the sale of the 2034 Senior Notes. The facility will continue to be used for general corporate purposes, including financing of future investments or acquisitions and posting letters of credit.</w:t>
      </w:r>
    </w:p>
    <w:p>
      <w:pPr>
        <w:spacing w:after="0" w:line="101"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Ratings</w:t>
      </w:r>
    </w:p>
    <w:p>
      <w:pPr>
        <w:spacing w:after="0" w:line="18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11"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The following table summarizes the credit ratings for the Company and its Senior Notes as of December 31, 2025. The ratings outlook is stable.</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40" w:type="dxa"/>
            <w:vAlign w:val="bottom"/>
            <w:vMerge w:val="restart"/>
          </w:tcPr>
          <w:p>
            <w:pPr>
              <w:spacing w:after="0"/>
              <w:rPr>
                <w:sz w:val="20"/>
                <w:szCs w:val="20"/>
                <w:color w:val="auto"/>
              </w:rPr>
            </w:pPr>
            <w:r>
              <w:rPr>
                <w:rFonts w:ascii="Arial" w:cs="Arial" w:eastAsia="Arial" w:hAnsi="Arial"/>
                <w:sz w:val="20"/>
                <w:szCs w:val="20"/>
                <w:color w:val="auto"/>
                <w:w w:val="90"/>
              </w:rPr>
              <w:t xml:space="preserve">Clearway Energy, Inc.  </w:t>
            </w:r>
            <w:r>
              <w:rPr>
                <w:rFonts w:ascii="Arial" w:cs="Arial" w:eastAsia="Arial" w:hAnsi="Arial"/>
                <w:sz w:val="20"/>
                <w:szCs w:val="20"/>
                <w:color w:val="B4B4B4"/>
                <w:w w:val="90"/>
              </w:rPr>
              <w:t>. . . . . . . . . . . . . . . . . . . . . . . . . . . . . . . . . . . . . . . . . . . . . . . . . . . . . .</w:t>
            </w:r>
          </w:p>
        </w:tc>
        <w:tc>
          <w:tcPr>
            <w:tcW w:w="134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S&amp;P</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Moody’s</w:t>
            </w:r>
          </w:p>
        </w:tc>
        <w:tc>
          <w:tcPr>
            <w:tcW w:w="0" w:type="dxa"/>
            <w:vAlign w:val="bottom"/>
          </w:tcPr>
          <w:p>
            <w:pPr>
              <w:spacing w:after="0"/>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1340" w:type="dxa"/>
            <w:vAlign w:val="bottom"/>
          </w:tcPr>
          <w:p>
            <w:pPr>
              <w:ind w:left="540"/>
              <w:spacing w:after="0" w:line="222" w:lineRule="exact"/>
              <w:rPr>
                <w:sz w:val="20"/>
                <w:szCs w:val="20"/>
                <w:color w:val="auto"/>
              </w:rPr>
            </w:pPr>
            <w:r>
              <w:rPr>
                <w:rFonts w:ascii="Arial" w:cs="Arial" w:eastAsia="Arial" w:hAnsi="Arial"/>
                <w:sz w:val="20"/>
                <w:szCs w:val="20"/>
                <w:color w:val="auto"/>
              </w:rPr>
              <w:t>BB</w:t>
            </w:r>
          </w:p>
        </w:tc>
        <w:tc>
          <w:tcPr>
            <w:tcW w:w="80" w:type="dxa"/>
            <w:vAlign w:val="bottom"/>
          </w:tcPr>
          <w:p>
            <w:pPr>
              <w:spacing w:after="0"/>
              <w:rPr>
                <w:sz w:val="19"/>
                <w:szCs w:val="19"/>
                <w:color w:val="auto"/>
              </w:rPr>
            </w:pPr>
          </w:p>
        </w:tc>
        <w:tc>
          <w:tcPr>
            <w:tcW w:w="1340" w:type="dxa"/>
            <w:vAlign w:val="bottom"/>
          </w:tcPr>
          <w:p>
            <w:pPr>
              <w:jc w:val="center"/>
              <w:spacing w:after="0" w:line="222" w:lineRule="exact"/>
              <w:rPr>
                <w:sz w:val="20"/>
                <w:szCs w:val="20"/>
                <w:color w:val="auto"/>
              </w:rPr>
            </w:pPr>
            <w:r>
              <w:rPr>
                <w:rFonts w:ascii="Arial" w:cs="Arial" w:eastAsia="Arial" w:hAnsi="Arial"/>
                <w:sz w:val="20"/>
                <w:szCs w:val="20"/>
                <w:color w:val="auto"/>
                <w:w w:val="89"/>
              </w:rPr>
              <w:t>Ba2</w:t>
            </w:r>
          </w:p>
        </w:tc>
        <w:tc>
          <w:tcPr>
            <w:tcW w:w="0" w:type="dxa"/>
            <w:vAlign w:val="bottom"/>
          </w:tcPr>
          <w:p>
            <w:pPr>
              <w:spacing w:after="0"/>
              <w:rPr>
                <w:sz w:val="1"/>
                <w:szCs w:val="1"/>
                <w:color w:val="auto"/>
              </w:rPr>
            </w:pPr>
          </w:p>
        </w:tc>
      </w:tr>
      <w:tr>
        <w:trPr>
          <w:trHeight w:val="250"/>
        </w:trPr>
        <w:tc>
          <w:tcPr>
            <w:tcW w:w="7240" w:type="dxa"/>
            <w:vAlign w:val="bottom"/>
          </w:tcPr>
          <w:p>
            <w:pPr>
              <w:spacing w:after="0"/>
              <w:rPr>
                <w:sz w:val="20"/>
                <w:szCs w:val="20"/>
                <w:color w:val="auto"/>
              </w:rPr>
            </w:pPr>
            <w:r>
              <w:rPr>
                <w:rFonts w:ascii="Arial" w:cs="Arial" w:eastAsia="Arial" w:hAnsi="Arial"/>
                <w:sz w:val="20"/>
                <w:szCs w:val="20"/>
                <w:color w:val="auto"/>
                <w:w w:val="88"/>
              </w:rPr>
              <w:t xml:space="preserve">4.750% Senior Notes, due 2028  </w:t>
            </w:r>
            <w:r>
              <w:rPr>
                <w:rFonts w:ascii="Arial" w:cs="Arial" w:eastAsia="Arial" w:hAnsi="Arial"/>
                <w:sz w:val="20"/>
                <w:szCs w:val="20"/>
                <w:color w:val="B4B4B4"/>
                <w:w w:val="88"/>
              </w:rPr>
              <w:t>. . . . . . . . . . . . . . . . . . . . . . . . . . . . . . . . . . . . . . . . . . . . . . .</w:t>
            </w:r>
          </w:p>
        </w:tc>
        <w:tc>
          <w:tcPr>
            <w:tcW w:w="1340" w:type="dxa"/>
            <w:vAlign w:val="bottom"/>
          </w:tcPr>
          <w:p>
            <w:pPr>
              <w:ind w:left="540"/>
              <w:spacing w:after="0"/>
              <w:rPr>
                <w:sz w:val="20"/>
                <w:szCs w:val="20"/>
                <w:color w:val="auto"/>
              </w:rPr>
            </w:pPr>
            <w:r>
              <w:rPr>
                <w:rFonts w:ascii="Arial" w:cs="Arial" w:eastAsia="Arial" w:hAnsi="Arial"/>
                <w:sz w:val="20"/>
                <w:szCs w:val="20"/>
                <w:color w:val="auto"/>
              </w:rPr>
              <w:t>BB</w:t>
            </w:r>
          </w:p>
        </w:tc>
        <w:tc>
          <w:tcPr>
            <w:tcW w:w="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89"/>
              </w:rPr>
              <w:t>Ba2</w:t>
            </w:r>
          </w:p>
        </w:tc>
        <w:tc>
          <w:tcPr>
            <w:tcW w:w="0" w:type="dxa"/>
            <w:vAlign w:val="bottom"/>
          </w:tcPr>
          <w:p>
            <w:pPr>
              <w:spacing w:after="0"/>
              <w:rPr>
                <w:sz w:val="1"/>
                <w:szCs w:val="1"/>
                <w:color w:val="auto"/>
              </w:rPr>
            </w:pPr>
          </w:p>
        </w:tc>
      </w:tr>
      <w:tr>
        <w:trPr>
          <w:trHeight w:val="250"/>
        </w:trPr>
        <w:tc>
          <w:tcPr>
            <w:tcW w:w="7240" w:type="dxa"/>
            <w:vAlign w:val="bottom"/>
          </w:tcPr>
          <w:p>
            <w:pPr>
              <w:spacing w:after="0"/>
              <w:rPr>
                <w:sz w:val="20"/>
                <w:szCs w:val="20"/>
                <w:color w:val="auto"/>
              </w:rPr>
            </w:pPr>
            <w:r>
              <w:rPr>
                <w:rFonts w:ascii="Arial" w:cs="Arial" w:eastAsia="Arial" w:hAnsi="Arial"/>
                <w:sz w:val="20"/>
                <w:szCs w:val="20"/>
                <w:color w:val="auto"/>
                <w:w w:val="88"/>
              </w:rPr>
              <w:t xml:space="preserve">3.750% Senior Notes, due 2031  </w:t>
            </w:r>
            <w:r>
              <w:rPr>
                <w:rFonts w:ascii="Arial" w:cs="Arial" w:eastAsia="Arial" w:hAnsi="Arial"/>
                <w:sz w:val="20"/>
                <w:szCs w:val="20"/>
                <w:color w:val="B4B4B4"/>
                <w:w w:val="88"/>
              </w:rPr>
              <w:t>. . . . . . . . . . . . . . . . . . . . . . . . . . . . . . . . . . . . . . . . . . . . . . .</w:t>
            </w:r>
          </w:p>
        </w:tc>
        <w:tc>
          <w:tcPr>
            <w:tcW w:w="1340" w:type="dxa"/>
            <w:vAlign w:val="bottom"/>
          </w:tcPr>
          <w:p>
            <w:pPr>
              <w:ind w:left="540"/>
              <w:spacing w:after="0"/>
              <w:rPr>
                <w:sz w:val="20"/>
                <w:szCs w:val="20"/>
                <w:color w:val="auto"/>
              </w:rPr>
            </w:pPr>
            <w:r>
              <w:rPr>
                <w:rFonts w:ascii="Arial" w:cs="Arial" w:eastAsia="Arial" w:hAnsi="Arial"/>
                <w:sz w:val="20"/>
                <w:szCs w:val="20"/>
                <w:color w:val="auto"/>
              </w:rPr>
              <w:t>BB</w:t>
            </w:r>
          </w:p>
        </w:tc>
        <w:tc>
          <w:tcPr>
            <w:tcW w:w="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89"/>
              </w:rPr>
              <w:t>Ba2</w:t>
            </w:r>
          </w:p>
        </w:tc>
        <w:tc>
          <w:tcPr>
            <w:tcW w:w="0" w:type="dxa"/>
            <w:vAlign w:val="bottom"/>
          </w:tcPr>
          <w:p>
            <w:pPr>
              <w:spacing w:after="0"/>
              <w:rPr>
                <w:sz w:val="1"/>
                <w:szCs w:val="1"/>
                <w:color w:val="auto"/>
              </w:rPr>
            </w:pPr>
          </w:p>
        </w:tc>
      </w:tr>
      <w:tr>
        <w:trPr>
          <w:trHeight w:val="255"/>
        </w:trPr>
        <w:tc>
          <w:tcPr>
            <w:tcW w:w="7240" w:type="dxa"/>
            <w:vAlign w:val="bottom"/>
          </w:tcPr>
          <w:p>
            <w:pPr>
              <w:spacing w:after="0"/>
              <w:rPr>
                <w:sz w:val="20"/>
                <w:szCs w:val="20"/>
                <w:color w:val="auto"/>
              </w:rPr>
            </w:pPr>
            <w:r>
              <w:rPr>
                <w:rFonts w:ascii="Arial" w:cs="Arial" w:eastAsia="Arial" w:hAnsi="Arial"/>
                <w:sz w:val="20"/>
                <w:szCs w:val="20"/>
                <w:color w:val="auto"/>
                <w:w w:val="88"/>
              </w:rPr>
              <w:t xml:space="preserve">3.750% Senior Notes, due 2032  </w:t>
            </w:r>
            <w:r>
              <w:rPr>
                <w:rFonts w:ascii="Arial" w:cs="Arial" w:eastAsia="Arial" w:hAnsi="Arial"/>
                <w:sz w:val="20"/>
                <w:szCs w:val="20"/>
                <w:color w:val="B4B4B4"/>
                <w:w w:val="88"/>
              </w:rPr>
              <w:t>. . . . . . . . . . . . . . . . . . . . . . . . . . . . . . . . . . . . . . . . . . . . . . .</w:t>
            </w:r>
          </w:p>
        </w:tc>
        <w:tc>
          <w:tcPr>
            <w:tcW w:w="1340" w:type="dxa"/>
            <w:vAlign w:val="bottom"/>
          </w:tcPr>
          <w:p>
            <w:pPr>
              <w:ind w:left="540"/>
              <w:spacing w:after="0"/>
              <w:rPr>
                <w:sz w:val="20"/>
                <w:szCs w:val="20"/>
                <w:color w:val="auto"/>
              </w:rPr>
            </w:pPr>
            <w:r>
              <w:rPr>
                <w:rFonts w:ascii="Arial" w:cs="Arial" w:eastAsia="Arial" w:hAnsi="Arial"/>
                <w:sz w:val="20"/>
                <w:szCs w:val="20"/>
                <w:color w:val="auto"/>
              </w:rPr>
              <w:t>BB</w:t>
            </w:r>
          </w:p>
        </w:tc>
        <w:tc>
          <w:tcPr>
            <w:tcW w:w="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20"/>
                <w:szCs w:val="20"/>
                <w:color w:val="auto"/>
                <w:w w:val="89"/>
              </w:rPr>
              <w:t>Ba2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-638175</wp:posOffset>
            </wp:positionV>
            <wp:extent cx="6400800" cy="660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extLst>
                    </a:blip>
                    <a:srcRect/>
                    <a:stretch>
                      <a:fillRect/>
                    </a:stretch>
                  </pic:blipFill>
                  <pic:spPr bwMode="auto">
                    <a:xfrm>
                      <a:off x="0" y="0"/>
                      <a:ext cx="6400800" cy="6604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Sources of Liquidity</w:t>
      </w:r>
    </w:p>
    <w:p>
      <w:pPr>
        <w:spacing w:after="0" w:line="18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9"/>
          <w:szCs w:val="19"/>
          <w:color w:val="auto"/>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15 — Note 10, </w:t>
      </w:r>
      <w:r>
        <w:rPr>
          <w:rFonts w:ascii="Arial" w:cs="Arial" w:eastAsia="Arial" w:hAnsi="Arial"/>
          <w:sz w:val="19"/>
          <w:szCs w:val="19"/>
          <w:b w:val="1"/>
          <w:bCs w:val="1"/>
          <w:i w:val="1"/>
          <w:iCs w:val="1"/>
          <w:color w:val="auto"/>
        </w:rPr>
        <w:t>Long-term Debt</w:t>
      </w:r>
      <w:r>
        <w:rPr>
          <w:rFonts w:ascii="Arial" w:cs="Arial" w:eastAsia="Arial" w:hAnsi="Arial"/>
          <w:sz w:val="19"/>
          <w:szCs w:val="19"/>
          <w:color w:val="auto"/>
        </w:rPr>
        <w:t>, the Company’s financing arrangements consist of corporate level debt, which includes Senior Notes and the revolving credit facility; facility-level financings for its various assets; the ATM Program and the DSPP.</w:t>
      </w:r>
    </w:p>
    <w:p>
      <w:pPr>
        <w:spacing w:after="0" w:line="129"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b w:val="1"/>
          <w:bCs w:val="1"/>
          <w:i w:val="1"/>
          <w:iCs w:val="1"/>
          <w:color w:val="auto"/>
        </w:rPr>
        <w:t xml:space="preserve">2034 Senior Notes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13, 2026, Clearway Energy Operating LLC completed the sale of $600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 principal amount of senior unsecured notes due 2034, or the 2034 Senior Notes. The 2034 Senior Notes bear interest at 5.750% and mature on January 15, 2034. Interest on the 2034 Senior Notes is payable semi-annually on January 15 and July 15 of each year, beginning on July 15, 2026. The net proceeds from the 2034 Senior Notes were used to repay $361 million in outstanding borrowings under the revolving credit facility and for general corporate purposes.</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10040"/>
          </w:cols>
          <w:pgMar w:left="920" w:top="584" w:right="920" w:bottom="0" w:gutter="0" w:footer="0" w:header="0"/>
          <w:type w:val="continuous"/>
        </w:sectPr>
      </w:pPr>
    </w:p>
    <w:bookmarkStart w:id="60" w:name="page61"/>
    <w:bookmarkEnd w:id="60"/>
    <w:p>
      <w:pPr>
        <w:jc w:val="both"/>
        <w:ind w:left="7" w:firstLine="441"/>
        <w:spacing w:after="0" w:line="262" w:lineRule="auto"/>
        <w:rPr>
          <w:sz w:val="20"/>
          <w:szCs w:val="20"/>
          <w:color w:val="auto"/>
        </w:rPr>
      </w:pPr>
      <w:r>
        <w:rPr>
          <w:rFonts w:ascii="Arial" w:cs="Arial" w:eastAsia="Arial" w:hAnsi="Arial"/>
          <w:sz w:val="19"/>
          <w:szCs w:val="19"/>
          <w:b w:val="1"/>
          <w:bCs w:val="1"/>
          <w:i w:val="1"/>
          <w:iCs w:val="1"/>
          <w:color w:val="auto"/>
        </w:rPr>
        <w:t xml:space="preserve">Mt. Storm Sale to Clearway Renew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October 2, 2025, the Company, through its indirect subsidiary, WV Wind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Holdco LLC, sold 100% of its membership interests in Mount Storm Wind LLC, which owns Mt. Storm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Also on October 2, 2025, the Company, through its indirect subsidiary, WV Wind Holdco LLC, entered into an agreement with Clearway Renew to acquire the Class B membership interests in the tax equity fund that, upon mechanical completion of the first phase of the repowering of the facility, will own Mt. Storm, for $336 million in cash consideration. The consummation of the transaction is subject to customary closing conditions and certain third-party approvals and is expected to occur in the second half of 2026. Upon achieving repowering commercial operations, which is expected to occur in the second half of 2026, the facility will sell power to Microsoft under a 20-year PPA. See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for further discussion of the transactions.</w:t>
      </w:r>
    </w:p>
    <w:p>
      <w:pPr>
        <w:spacing w:after="0" w:line="137" w:lineRule="exact"/>
        <w:rPr>
          <w:sz w:val="20"/>
          <w:szCs w:val="20"/>
          <w:color w:val="auto"/>
        </w:rPr>
      </w:pPr>
    </w:p>
    <w:p>
      <w:pPr>
        <w:jc w:val="both"/>
        <w:ind w:left="7" w:firstLine="441"/>
        <w:spacing w:after="0" w:line="298" w:lineRule="auto"/>
        <w:rPr>
          <w:sz w:val="20"/>
          <w:szCs w:val="20"/>
          <w:color w:val="auto"/>
        </w:rPr>
      </w:pPr>
      <w:r>
        <w:rPr>
          <w:rFonts w:ascii="Arial" w:cs="Arial" w:eastAsia="Arial" w:hAnsi="Arial"/>
          <w:sz w:val="17"/>
          <w:szCs w:val="17"/>
          <w:b w:val="1"/>
          <w:bCs w:val="1"/>
          <w:i w:val="1"/>
          <w:iCs w:val="1"/>
          <w:color w:val="auto"/>
        </w:rPr>
        <w:t xml:space="preserve">At-the-Market Equity Offering Program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6, 2025, the Company entered into an equity distribution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with Morgan Stanley &amp; Co. LLC, BofA Securities, Inc., Citigroup Global Markets Inc., J.P. Morgan Securities LLC and Wells Fargo Securities LLC, as sales agents. Pursuant to the terms of the agreement, the Company may offer and sell shares of its Class C common stock, from time to time through the sales agents, up to an aggregate sales price of $100 million through an at-the-market equity offering program, or ATM Program. During the year ended December 31, 2025, the Company issued 787,980 shares of Class C common stock under the ATM Program for gross proceeds of $25 million and incurred fees of less than $1 million, which were exchanged for 787,980 Class C units of Clearway Energy LLC. The net proceeds from the sale of shares under the ATM Program were used for general corporate purposes. As of December 31, 2025, approximately $75 million of Class C common stock remained available for issuance under the ATM Program.</w:t>
      </w:r>
    </w:p>
    <w:p>
      <w:pPr>
        <w:spacing w:after="0" w:line="109" w:lineRule="exact"/>
        <w:rPr>
          <w:sz w:val="20"/>
          <w:szCs w:val="20"/>
          <w:color w:val="auto"/>
        </w:rPr>
      </w:pPr>
    </w:p>
    <w:p>
      <w:pPr>
        <w:jc w:val="both"/>
        <w:ind w:left="7" w:firstLine="441"/>
        <w:spacing w:after="0" w:line="294" w:lineRule="auto"/>
        <w:rPr>
          <w:sz w:val="20"/>
          <w:szCs w:val="20"/>
          <w:color w:val="auto"/>
        </w:rPr>
      </w:pPr>
      <w:r>
        <w:rPr>
          <w:rFonts w:ascii="Arial" w:cs="Arial" w:eastAsia="Arial" w:hAnsi="Arial"/>
          <w:sz w:val="17"/>
          <w:szCs w:val="17"/>
          <w:b w:val="1"/>
          <w:bCs w:val="1"/>
          <w:i w:val="1"/>
          <w:iCs w:val="1"/>
          <w:color w:val="auto"/>
        </w:rPr>
        <w:t xml:space="preserve">Dividend Reinvestment and Direct Stock Purchase Plan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6, 2025, the Company adopted a dividend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reinvestment and direct stock purchase plan, or DRIP/DSPP, respectively, under which the Company registered and reserved for issuance up to an aggregate of 3,300,000 shares of Class C common stock. Under the DRIP, holders of the Company’s Class C common stock can designate all or a portion of their cash dividends, when paid, to be reinvested in additional shares of the Company’s Class C common stock. The DSPP allows (i) plan participants and registered stockholders of the Company who are not plan participants to purchase shares of Class C common stock in the minimum amount of $50 per investment up to a maximum aggregate amount of $150,000 per calendar year; (ii) new investors who do not own shares of Class C common stock to purchase shares by making an initial minimum investment of $250, up to a maximum aggregate amount of $150,000 per calendar year; and (iii) plan participants, other registered stockholders and new investors to request a waiver from the Company to make optional cash investments in excess of the maximum aggregate amount of $150,000 per calendar year. During the year ended December 31, 2025, the Company issued 793,202 shares of Class C common stock under the DSPP for gross proceeds of $25 million and incurred fees of less than $1 million, which were exchanged for 793,202 Class C units of Clearway Energy LLC. The net proceeds from the sale of shares under the DSPP were used for general corporate purposes. As of December 31, 2025, approximately 2,506,798 shares of Class C common stock remained available for issuance under the DRIP/DSPP.</w:t>
      </w:r>
    </w:p>
    <w:p>
      <w:pPr>
        <w:spacing w:after="0" w:line="121" w:lineRule="exact"/>
        <w:rPr>
          <w:sz w:val="20"/>
          <w:szCs w:val="20"/>
          <w:color w:val="auto"/>
        </w:rPr>
      </w:pPr>
    </w:p>
    <w:p>
      <w:pPr>
        <w:jc w:val="both"/>
        <w:ind w:left="7" w:firstLine="441"/>
        <w:spacing w:after="0" w:line="254" w:lineRule="auto"/>
        <w:rPr>
          <w:sz w:val="20"/>
          <w:szCs w:val="20"/>
          <w:color w:val="auto"/>
        </w:rPr>
      </w:pPr>
      <w:r>
        <w:rPr>
          <w:rFonts w:ascii="Arial" w:cs="Arial" w:eastAsia="Arial" w:hAnsi="Arial"/>
          <w:sz w:val="20"/>
          <w:szCs w:val="20"/>
          <w:color w:val="auto"/>
        </w:rPr>
        <w:t>In January 2026, the Company issued 1,445,244 shares of Class C common stock under the DSPP for gross proceeds of $50 million and incurred fees of less than $1 million, which were exchanged for 1,445,244 Class C units of Clearway Energy LLC. As of January 31, 2026, approximately 1,061,554 shares Class C common stock remained available for issuance under the DRIP/DSPP.</w:t>
      </w:r>
    </w:p>
    <w:p>
      <w:pPr>
        <w:spacing w:after="0" w:line="136"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Uses of Liquidity</w:t>
      </w:r>
    </w:p>
    <w:p>
      <w:pPr>
        <w:spacing w:after="0" w:line="189" w:lineRule="exact"/>
        <w:rPr>
          <w:sz w:val="20"/>
          <w:szCs w:val="20"/>
          <w:color w:val="auto"/>
        </w:rPr>
      </w:pPr>
    </w:p>
    <w:p>
      <w:pPr>
        <w:ind w:left="447"/>
        <w:spacing w:after="0"/>
        <w:rPr>
          <w:sz w:val="20"/>
          <w:szCs w:val="20"/>
          <w:color w:val="auto"/>
        </w:rPr>
      </w:pPr>
      <w:r>
        <w:rPr>
          <w:rFonts w:ascii="Arial" w:cs="Arial" w:eastAsia="Arial" w:hAnsi="Arial"/>
          <w:sz w:val="17"/>
          <w:szCs w:val="17"/>
          <w:color w:val="auto"/>
        </w:rPr>
        <w:t>The Company’s requirements for liquidity and capital resources, other than for operating its facilities, are categorized as:</w:t>
      </w:r>
    </w:p>
    <w:p>
      <w:pPr>
        <w:spacing w:after="0" w:line="59" w:lineRule="exact"/>
        <w:rPr>
          <w:sz w:val="20"/>
          <w:szCs w:val="20"/>
          <w:color w:val="auto"/>
        </w:rPr>
      </w:pPr>
    </w:p>
    <w:p>
      <w:pPr>
        <w:jc w:val="both"/>
        <w:ind w:left="7" w:hanging="7"/>
        <w:spacing w:after="0" w:line="267" w:lineRule="auto"/>
        <w:tabs>
          <w:tab w:leader="none" w:pos="251"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debt service obligations, as described more fully in Item 15 — Note 10, </w:t>
      </w:r>
      <w:r>
        <w:rPr>
          <w:rFonts w:ascii="Arial" w:cs="Arial" w:eastAsia="Arial" w:hAnsi="Arial"/>
          <w:sz w:val="19"/>
          <w:szCs w:val="19"/>
          <w:b w:val="1"/>
          <w:bCs w:val="1"/>
          <w:i w:val="1"/>
          <w:iCs w:val="1"/>
          <w:color w:val="auto"/>
        </w:rPr>
        <w:t>Long-term Debt</w:t>
      </w:r>
      <w:r>
        <w:rPr>
          <w:rFonts w:ascii="Arial" w:cs="Arial" w:eastAsia="Arial" w:hAnsi="Arial"/>
          <w:sz w:val="19"/>
          <w:szCs w:val="19"/>
          <w:color w:val="auto"/>
        </w:rPr>
        <w:t xml:space="preserve">; (ii) capital expenditures; (iii) off-balance sheet arrangements; (iv) acquisitions and investments, as described more fully in Item 15 — Note 3, </w:t>
      </w:r>
      <w:r>
        <w:rPr>
          <w:rFonts w:ascii="Arial" w:cs="Arial" w:eastAsia="Arial" w:hAnsi="Arial"/>
          <w:sz w:val="19"/>
          <w:szCs w:val="19"/>
          <w:b w:val="1"/>
          <w:bCs w:val="1"/>
          <w:i w:val="1"/>
          <w:iCs w:val="1"/>
          <w:color w:val="auto"/>
        </w:rPr>
        <w:t>Acquisitions and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Dispositions </w:t>
      </w:r>
      <w:r>
        <w:rPr>
          <w:rFonts w:ascii="Arial" w:cs="Arial" w:eastAsia="Arial" w:hAnsi="Arial"/>
          <w:sz w:val="19"/>
          <w:szCs w:val="19"/>
          <w:color w:val="auto"/>
        </w:rPr>
        <w:t>and Note 15,</w:t>
      </w:r>
      <w:r>
        <w:rPr>
          <w:rFonts w:ascii="Arial" w:cs="Arial" w:eastAsia="Arial" w:hAnsi="Arial"/>
          <w:sz w:val="19"/>
          <w:szCs w:val="19"/>
          <w:b w:val="1"/>
          <w:bCs w:val="1"/>
          <w:i w:val="1"/>
          <w:iCs w:val="1"/>
          <w:color w:val="auto"/>
        </w:rPr>
        <w:t xml:space="preserve"> Related Party Transactions</w:t>
      </w:r>
      <w:r>
        <w:rPr>
          <w:rFonts w:ascii="Arial" w:cs="Arial" w:eastAsia="Arial" w:hAnsi="Arial"/>
          <w:sz w:val="19"/>
          <w:szCs w:val="19"/>
          <w:color w:val="auto"/>
        </w:rPr>
        <w:t>; and (v) cash dividends to investors.</w:t>
      </w:r>
    </w:p>
    <w:p>
      <w:pPr>
        <w:sectPr>
          <w:pgSz w:w="11880" w:h="15480" w:orient="portrait"/>
          <w:cols w:equalWidth="0" w:num="1">
            <w:col w:w="10047"/>
          </w:cols>
          <w:pgMar w:left="913" w:top="58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10047"/>
          </w:cols>
          <w:pgMar w:left="913" w:top="581" w:right="920" w:bottom="0" w:gutter="0" w:footer="0" w:header="0"/>
          <w:type w:val="continuous"/>
        </w:sectPr>
      </w:pPr>
    </w:p>
    <w:bookmarkStart w:id="61" w:name="page62"/>
    <w:bookmarkEnd w:id="61"/>
    <w:p>
      <w:pPr>
        <w:ind w:left="440"/>
        <w:spacing w:after="0"/>
        <w:rPr>
          <w:sz w:val="20"/>
          <w:szCs w:val="20"/>
          <w:color w:val="auto"/>
        </w:rPr>
      </w:pPr>
      <w:r>
        <w:rPr>
          <w:rFonts w:ascii="Arial" w:cs="Arial" w:eastAsia="Arial" w:hAnsi="Arial"/>
          <w:sz w:val="20"/>
          <w:szCs w:val="20"/>
          <w:b w:val="1"/>
          <w:bCs w:val="1"/>
          <w:i w:val="1"/>
          <w:iCs w:val="1"/>
          <w:color w:val="auto"/>
        </w:rPr>
        <w:t>Debt Service Obligations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Principal payments on debt as of December 31, 2025, are due in the following periods: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17"/>
                <w:szCs w:val="17"/>
                <w:color w:val="auto"/>
              </w:rPr>
            </w:pPr>
          </w:p>
        </w:tc>
        <w:tc>
          <w:tcPr>
            <w:tcW w:w="5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84"/>
              </w:rPr>
              <w:t>2026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84"/>
              </w:rPr>
              <w:t>2027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84"/>
              </w:rPr>
              <w:t>2028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w w:val="84"/>
              </w:rPr>
              <w:t>2029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2030</w:t>
            </w:r>
          </w:p>
        </w:tc>
        <w:tc>
          <w:tcPr>
            <w:tcW w:w="80" w:type="dxa"/>
            <w:vAlign w:val="bottom"/>
          </w:tcPr>
          <w:p>
            <w:pPr>
              <w:spacing w:after="0"/>
              <w:rPr>
                <w:sz w:val="17"/>
                <w:szCs w:val="17"/>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There-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47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92"/>
              <w:spacing w:after="0" w:line="191" w:lineRule="exact"/>
              <w:rPr>
                <w:sz w:val="20"/>
                <w:szCs w:val="20"/>
                <w:color w:val="auto"/>
              </w:rPr>
            </w:pPr>
            <w:r>
              <w:rPr>
                <w:rFonts w:ascii="Arial" w:cs="Arial" w:eastAsia="Arial" w:hAnsi="Arial"/>
                <w:sz w:val="18"/>
                <w:szCs w:val="18"/>
                <w:b w:val="1"/>
                <w:bCs w:val="1"/>
                <w:color w:val="auto"/>
                <w:w w:val="97"/>
              </w:rPr>
              <w:t>after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85"/>
              </w:rPr>
              <w:t>(In millions)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Corporate-level debt:</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Clearway Energy Operating LLC Senior Notes, due 2028 </w:t>
            </w:r>
            <w:r>
              <w:rPr>
                <w:rFonts w:ascii="Arial" w:cs="Arial" w:eastAsia="Arial" w:hAnsi="Arial"/>
                <w:sz w:val="18"/>
                <w:szCs w:val="18"/>
                <w:color w:val="B4B4B4"/>
                <w:w w:val="90"/>
              </w:rPr>
              <w:t>. . . . . . .</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Clearway Energy Operating LLC Senior Notes, due 2031 </w:t>
            </w:r>
            <w:r>
              <w:rPr>
                <w:rFonts w:ascii="Arial" w:cs="Arial" w:eastAsia="Arial" w:hAnsi="Arial"/>
                <w:sz w:val="18"/>
                <w:szCs w:val="18"/>
                <w:color w:val="B4B4B4"/>
                <w:w w:val="90"/>
              </w:rPr>
              <w:t>.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Clearway Energy Operating LLC Senior Notes, due 2032 </w:t>
            </w:r>
            <w:r>
              <w:rPr>
                <w:rFonts w:ascii="Arial" w:cs="Arial" w:eastAsia="Arial" w:hAnsi="Arial"/>
                <w:sz w:val="18"/>
                <w:szCs w:val="18"/>
                <w:color w:val="B4B4B4"/>
                <w:w w:val="90"/>
              </w:rPr>
              <w:t>.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9"/>
              </w:rPr>
              <w:t>Clearway Energy LLC and Clearway Energy Operating LLC</w:t>
            </w:r>
          </w:p>
        </w:tc>
        <w:tc>
          <w:tcPr>
            <w:tcW w:w="140" w:type="dxa"/>
            <w:vAlign w:val="bottom"/>
          </w:tcPr>
          <w:p>
            <w:pPr>
              <w:spacing w:after="0"/>
              <w:rPr>
                <w:sz w:val="19"/>
                <w:szCs w:val="19"/>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1"/>
              </w:rPr>
              <w:t xml:space="preserve">Revolving Credit Facility, due 2028 </w:t>
            </w:r>
            <w:r>
              <w:rPr>
                <w:rFonts w:ascii="Arial" w:cs="Arial" w:eastAsia="Arial" w:hAnsi="Arial"/>
                <w:sz w:val="18"/>
                <w:szCs w:val="18"/>
                <w:color w:val="B4B4B4"/>
                <w:w w:val="91"/>
              </w:rPr>
              <w:t>. . . . . . . . . . . . . . . . . . . . . . . .</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47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B4B4B4"/>
                <w:w w:val="93"/>
              </w:rPr>
              <w:t>. . . . . . . . . . . . . . . . . . . . . . . . . . . . .</w:t>
            </w:r>
            <w:r>
              <w:rPr>
                <w:rFonts w:ascii="Arial" w:cs="Arial" w:eastAsia="Arial" w:hAnsi="Arial"/>
                <w:sz w:val="18"/>
                <w:szCs w:val="18"/>
                <w:b w:val="1"/>
                <w:bCs w:val="1"/>
                <w:color w:val="000000"/>
                <w:w w:val="93"/>
              </w:rPr>
              <w:t>TotalCorporate-leveldebt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1,211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Facility-level debt:</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Agua Caliente Solar LLC, due 2037 </w:t>
            </w:r>
            <w:r>
              <w:rPr>
                <w:rFonts w:ascii="Arial" w:cs="Arial" w:eastAsia="Arial" w:hAnsi="Arial"/>
                <w:sz w:val="18"/>
                <w:szCs w:val="18"/>
                <w:color w:val="B4B4B4"/>
                <w:w w:val="90"/>
              </w:rPr>
              <w:t>.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1"/>
              </w:rPr>
              <w:t xml:space="preserve">Alta Wind Asset Management LLC, due 2031 </w:t>
            </w:r>
            <w:r>
              <w:rPr>
                <w:rFonts w:ascii="Arial" w:cs="Arial" w:eastAsia="Arial" w:hAnsi="Arial"/>
                <w:sz w:val="18"/>
                <w:szCs w:val="18"/>
                <w:color w:val="B4B4B4"/>
                <w:w w:val="91"/>
              </w:rPr>
              <w:t>.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Alta Wind I-V lease financing arrangements, due 2034 and 2035 </w:t>
            </w:r>
            <w:r>
              <w:rPr>
                <w:rFonts w:ascii="Arial" w:cs="Arial" w:eastAsia="Arial" w:hAnsi="Arial"/>
                <w:sz w:val="18"/>
                <w:szCs w:val="18"/>
                <w:color w:val="B4B4B4"/>
                <w:w w:val="90"/>
              </w:rPr>
              <w:t>.</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2"/>
              </w:rPr>
              <w:t xml:space="preserve">Alta Wind Realty Investments LLC, due 2031  </w:t>
            </w:r>
            <w:r>
              <w:rPr>
                <w:rFonts w:ascii="Arial" w:cs="Arial" w:eastAsia="Arial" w:hAnsi="Arial"/>
                <w:sz w:val="18"/>
                <w:szCs w:val="18"/>
                <w:color w:val="B4B4B4"/>
                <w:w w:val="92"/>
              </w:rPr>
              <w:t>.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89"/>
              </w:rPr>
              <w:t xml:space="preserve">Borrego, due 2038 </w:t>
            </w:r>
            <w:r>
              <w:rPr>
                <w:rFonts w:ascii="Arial" w:cs="Arial" w:eastAsia="Arial" w:hAnsi="Arial"/>
                <w:sz w:val="18"/>
                <w:szCs w:val="18"/>
                <w:color w:val="B4B4B4"/>
                <w:w w:val="89"/>
              </w:rPr>
              <w:t>. . . . . . . . . . .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Buckthorn Solar, due 2031 </w:t>
            </w:r>
            <w:r>
              <w:rPr>
                <w:rFonts w:ascii="Arial" w:cs="Arial" w:eastAsia="Arial" w:hAnsi="Arial"/>
                <w:sz w:val="18"/>
                <w:szCs w:val="18"/>
                <w:color w:val="B4B4B4"/>
                <w:w w:val="90"/>
              </w:rPr>
              <w:t>. . . .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Capistrano Portfolio Holdco LLC, due 2033 </w:t>
            </w:r>
            <w:r>
              <w:rPr>
                <w:rFonts w:ascii="Arial" w:cs="Arial" w:eastAsia="Arial" w:hAnsi="Arial"/>
                <w:sz w:val="18"/>
                <w:szCs w:val="18"/>
                <w:color w:val="B4B4B4"/>
                <w:w w:val="90"/>
              </w:rPr>
              <w:t>.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1"/>
              </w:rPr>
              <w:t xml:space="preserve">Carlsbad Energy Holdings LLC, due 2027  </w:t>
            </w:r>
            <w:r>
              <w:rPr>
                <w:rFonts w:ascii="Arial" w:cs="Arial" w:eastAsia="Arial" w:hAnsi="Arial"/>
                <w:sz w:val="18"/>
                <w:szCs w:val="18"/>
                <w:color w:val="B4B4B4"/>
                <w:w w:val="91"/>
              </w:rPr>
              <w:t>.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Carlsbad Energy Holdings LLC, due 2038 </w:t>
            </w:r>
            <w:r>
              <w:rPr>
                <w:rFonts w:ascii="Arial" w:cs="Arial" w:eastAsia="Arial" w:hAnsi="Arial"/>
                <w:sz w:val="18"/>
                <w:szCs w:val="18"/>
                <w:color w:val="B4B4B4"/>
                <w:w w:val="90"/>
              </w:rPr>
              <w:t>.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Carlsbad Holdco, LLC, due 2038 </w:t>
            </w:r>
            <w:r>
              <w:rPr>
                <w:rFonts w:ascii="Arial" w:cs="Arial" w:eastAsia="Arial" w:hAnsi="Arial"/>
                <w:sz w:val="18"/>
                <w:szCs w:val="18"/>
                <w:color w:val="B4B4B4"/>
                <w:w w:val="90"/>
              </w:rPr>
              <w:t>.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89"/>
              </w:rPr>
              <w:t xml:space="preserve">Cedar Creek, due 2029  </w:t>
            </w:r>
            <w:r>
              <w:rPr>
                <w:rFonts w:ascii="Arial" w:cs="Arial" w:eastAsia="Arial" w:hAnsi="Arial"/>
                <w:sz w:val="18"/>
                <w:szCs w:val="18"/>
                <w:color w:val="B4B4B4"/>
                <w:w w:val="89"/>
              </w:rPr>
              <w:t>. . . . . . .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Cedro Hill, due 2029 </w:t>
            </w:r>
            <w:r>
              <w:rPr>
                <w:rFonts w:ascii="Arial" w:cs="Arial" w:eastAsia="Arial" w:hAnsi="Arial"/>
                <w:sz w:val="18"/>
                <w:szCs w:val="18"/>
                <w:color w:val="B4B4B4"/>
                <w:w w:val="90"/>
              </w:rPr>
              <w:t>. . . . . . . . .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CVSR, due 2037 </w:t>
            </w:r>
            <w:r>
              <w:rPr>
                <w:rFonts w:ascii="Arial" w:cs="Arial" w:eastAsia="Arial" w:hAnsi="Arial"/>
                <w:sz w:val="18"/>
                <w:szCs w:val="18"/>
                <w:color w:val="B4B4B4"/>
                <w:w w:val="90"/>
              </w:rPr>
              <w:t>. . . . . . . . . . . .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89"/>
              </w:rPr>
              <w:t xml:space="preserve">CVSR Holdco Notes, due 2037 </w:t>
            </w:r>
            <w:r>
              <w:rPr>
                <w:rFonts w:ascii="Arial" w:cs="Arial" w:eastAsia="Arial" w:hAnsi="Arial"/>
                <w:sz w:val="18"/>
                <w:szCs w:val="18"/>
                <w:color w:val="B4B4B4"/>
                <w:w w:val="89"/>
              </w:rPr>
              <w:t>.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88"/>
              </w:rPr>
              <w:t xml:space="preserve">Daggett 1, due 2030 </w:t>
            </w:r>
            <w:r>
              <w:rPr>
                <w:rFonts w:ascii="Arial" w:cs="Arial" w:eastAsia="Arial" w:hAnsi="Arial"/>
                <w:sz w:val="18"/>
                <w:szCs w:val="18"/>
                <w:color w:val="B4B4B4"/>
                <w:w w:val="88"/>
              </w:rPr>
              <w:t>. . . . . . . . . .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88"/>
              </w:rPr>
              <w:t xml:space="preserve">Daggett 2, due 2028 </w:t>
            </w:r>
            <w:r>
              <w:rPr>
                <w:rFonts w:ascii="Arial" w:cs="Arial" w:eastAsia="Arial" w:hAnsi="Arial"/>
                <w:sz w:val="18"/>
                <w:szCs w:val="18"/>
                <w:color w:val="B4B4B4"/>
                <w:w w:val="88"/>
              </w:rPr>
              <w:t>. . . . . . . . . .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88"/>
              </w:rPr>
              <w:t xml:space="preserve">Daggett 3, due 2028 </w:t>
            </w:r>
            <w:r>
              <w:rPr>
                <w:rFonts w:ascii="Arial" w:cs="Arial" w:eastAsia="Arial" w:hAnsi="Arial"/>
                <w:sz w:val="18"/>
                <w:szCs w:val="18"/>
                <w:color w:val="B4B4B4"/>
                <w:w w:val="88"/>
              </w:rPr>
              <w:t>. . . . . . . . . .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1"/>
              </w:rPr>
              <w:t xml:space="preserve">DG-CS Master Borrower LLC, due 2040 </w:t>
            </w:r>
            <w:r>
              <w:rPr>
                <w:rFonts w:ascii="Arial" w:cs="Arial" w:eastAsia="Arial" w:hAnsi="Arial"/>
                <w:sz w:val="18"/>
                <w:szCs w:val="18"/>
                <w:color w:val="B4B4B4"/>
                <w:w w:val="91"/>
              </w:rPr>
              <w:t>.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32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89"/>
              </w:rPr>
              <w:t xml:space="preserve">Honeycomb Portfolio, due 2026 </w:t>
            </w:r>
            <w:r>
              <w:rPr>
                <w:rFonts w:ascii="Arial" w:cs="Arial" w:eastAsia="Arial" w:hAnsi="Arial"/>
                <w:sz w:val="22"/>
                <w:szCs w:val="22"/>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4B4B4"/>
                <w:w w:val="89"/>
              </w:rPr>
              <w:t>.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89"/>
              </w:rPr>
              <w:t xml:space="preserve">Luna Valley, due 2030 </w:t>
            </w:r>
            <w:r>
              <w:rPr>
                <w:rFonts w:ascii="Arial" w:cs="Arial" w:eastAsia="Arial" w:hAnsi="Arial"/>
                <w:sz w:val="18"/>
                <w:szCs w:val="18"/>
                <w:color w:val="B4B4B4"/>
                <w:w w:val="89"/>
              </w:rPr>
              <w:t>. . . . . . . . . . . . . . . . . . . . . . . . . . . . . . . . . . .</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2"/>
              </w:rPr>
              <w:t xml:space="preserve">Mililani Class B Member Holdco LLC, due 2028  </w:t>
            </w:r>
            <w:r>
              <w:rPr>
                <w:rFonts w:ascii="Arial" w:cs="Arial" w:eastAsia="Arial" w:hAnsi="Arial"/>
                <w:sz w:val="18"/>
                <w:szCs w:val="18"/>
                <w:color w:val="B4B4B4"/>
                <w:w w:val="92"/>
              </w:rPr>
              <w:t>.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89"/>
              </w:rPr>
              <w:t xml:space="preserve">NIMH Solar, due 2031 and 2033 </w:t>
            </w:r>
            <w:r>
              <w:rPr>
                <w:rFonts w:ascii="Arial" w:cs="Arial" w:eastAsia="Arial" w:hAnsi="Arial"/>
                <w:sz w:val="18"/>
                <w:szCs w:val="18"/>
                <w:color w:val="B4B4B4"/>
                <w:w w:val="89"/>
              </w:rPr>
              <w:t>.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1"/>
              </w:rPr>
              <w:t xml:space="preserve">Oahu Solar Holdings LLC, due 2026 </w:t>
            </w:r>
            <w:r>
              <w:rPr>
                <w:rFonts w:ascii="Arial" w:cs="Arial" w:eastAsia="Arial" w:hAnsi="Arial"/>
                <w:sz w:val="18"/>
                <w:szCs w:val="18"/>
                <w:color w:val="B4B4B4"/>
                <w:w w:val="91"/>
              </w:rPr>
              <w:t>.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89"/>
              </w:rPr>
              <w:t xml:space="preserve">Pine Forest, due 2030  </w:t>
            </w:r>
            <w:r>
              <w:rPr>
                <w:rFonts w:ascii="Arial" w:cs="Arial" w:eastAsia="Arial" w:hAnsi="Arial"/>
                <w:sz w:val="18"/>
                <w:szCs w:val="18"/>
                <w:color w:val="B4B4B4"/>
                <w:w w:val="89"/>
              </w:rPr>
              <w:t>. . . . . . . .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Rosie Class B LLC, due 2029 </w:t>
            </w:r>
            <w:r>
              <w:rPr>
                <w:rFonts w:ascii="Arial" w:cs="Arial" w:eastAsia="Arial" w:hAnsi="Arial"/>
                <w:sz w:val="18"/>
                <w:szCs w:val="18"/>
                <w:color w:val="B4B4B4"/>
                <w:w w:val="90"/>
              </w:rPr>
              <w:t>. .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89"/>
              </w:rPr>
              <w:t xml:space="preserve">Rosamond South 1, due 2030 </w:t>
            </w:r>
            <w:r>
              <w:rPr>
                <w:rFonts w:ascii="Arial" w:cs="Arial" w:eastAsia="Arial" w:hAnsi="Arial"/>
                <w:sz w:val="18"/>
                <w:szCs w:val="18"/>
                <w:color w:val="B4B4B4"/>
                <w:w w:val="89"/>
              </w:rPr>
              <w:t>. .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TSN1 Class B Member LLC, due 2029  </w:t>
            </w:r>
            <w:r>
              <w:rPr>
                <w:rFonts w:ascii="Arial" w:cs="Arial" w:eastAsia="Arial" w:hAnsi="Arial"/>
                <w:sz w:val="18"/>
                <w:szCs w:val="18"/>
                <w:color w:val="B4B4B4"/>
                <w:w w:val="90"/>
              </w:rPr>
              <w:t>.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Tuolumne, due 2030 </w:t>
            </w:r>
            <w:r>
              <w:rPr>
                <w:rFonts w:ascii="Arial" w:cs="Arial" w:eastAsia="Arial" w:hAnsi="Arial"/>
                <w:sz w:val="18"/>
                <w:szCs w:val="18"/>
                <w:color w:val="B4B4B4"/>
                <w:w w:val="90"/>
              </w:rPr>
              <w:t>. . . . . . . . .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0"/>
              </w:rPr>
              <w:t xml:space="preserve">Utah Solar Holdings, due 2036 </w:t>
            </w:r>
            <w:r>
              <w:rPr>
                <w:rFonts w:ascii="Arial" w:cs="Arial" w:eastAsia="Arial" w:hAnsi="Arial"/>
                <w:sz w:val="18"/>
                <w:szCs w:val="18"/>
                <w:color w:val="B4B4B4"/>
                <w:w w:val="90"/>
              </w:rPr>
              <w:t>. . . .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2"/>
              </w:rPr>
              <w:t xml:space="preserve">Viento Funding II, LLC, due 2029 </w:t>
            </w:r>
            <w:r>
              <w:rPr>
                <w:rFonts w:ascii="Arial" w:cs="Arial" w:eastAsia="Arial" w:hAnsi="Arial"/>
                <w:sz w:val="18"/>
                <w:szCs w:val="18"/>
                <w:color w:val="B4B4B4"/>
                <w:w w:val="92"/>
              </w:rPr>
              <w:t>. . . . . . . . . . . . . . . . . . . . . . . . .</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w w:val="92"/>
              </w:rPr>
              <w:t xml:space="preserve">Other </w:t>
            </w:r>
            <w:r>
              <w:rPr>
                <w:rFonts w:ascii="Arial" w:cs="Arial" w:eastAsia="Arial" w:hAnsi="Arial"/>
                <w:sz w:val="18"/>
                <w:szCs w:val="18"/>
                <w:color w:val="B4B4B4"/>
                <w:w w:val="92"/>
              </w:rPr>
              <w:t>. . . . . . . . . . . . . . . . . . . . . . . . . . . . . . . . . . . . . . . . . . . . . . . .</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7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B4B4B4"/>
                <w:w w:val="93"/>
              </w:rPr>
              <w:t>. . . . . . . . . . . . . . . . . . . . . . . . . . . . . . . .</w:t>
            </w:r>
            <w:r>
              <w:rPr>
                <w:rFonts w:ascii="Arial" w:cs="Arial" w:eastAsia="Arial" w:hAnsi="Arial"/>
                <w:sz w:val="18"/>
                <w:szCs w:val="18"/>
                <w:b w:val="1"/>
                <w:bCs w:val="1"/>
                <w:color w:val="000000"/>
                <w:w w:val="93"/>
              </w:rPr>
              <w:t>Totalfacility-leveldebt</w:t>
            </w:r>
          </w:p>
        </w:tc>
        <w:tc>
          <w:tcPr>
            <w:tcW w:w="1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1,139</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7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B4B4B4"/>
                <w:w w:val="91"/>
              </w:rPr>
              <w:t>. . . . . . . . . . . . . . . . . . . . . . . . . . . . . . . . . . . . . . . . . . .</w:t>
            </w:r>
            <w:r>
              <w:rPr>
                <w:rFonts w:ascii="Arial" w:cs="Arial" w:eastAsia="Arial" w:hAnsi="Arial"/>
                <w:sz w:val="18"/>
                <w:szCs w:val="18"/>
                <w:b w:val="1"/>
                <w:bCs w:val="1"/>
                <w:color w:val="000000"/>
                <w:w w:val="91"/>
              </w:rPr>
              <w:t>Totaldebt</w:t>
            </w:r>
            <w:r>
              <w:rPr>
                <w:rFonts w:ascii="Arial" w:cs="Arial" w:eastAsia="Arial" w:hAnsi="Arial"/>
                <w:sz w:val="18"/>
                <w:szCs w:val="18"/>
                <w:b w:val="1"/>
                <w:bCs w:val="1"/>
                <w:color w:val="B4B4B4"/>
                <w:w w:val="9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2,022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3,291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-7314565</wp:posOffset>
            </wp:positionV>
            <wp:extent cx="6410325" cy="72256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6410325" cy="7225665"/>
                    </a:xfrm>
                    <a:prstGeom prst="rect">
                      <a:avLst/>
                    </a:prstGeom>
                    <a:noFill/>
                  </pic:spPr>
                </pic:pic>
              </a:graphicData>
            </a:graphic>
          </wp:anchor>
        </w:drawing>
      </w:r>
    </w:p>
    <w:p>
      <w:pPr>
        <w:spacing w:after="0" w:line="46" w:lineRule="exact"/>
        <w:rPr>
          <w:sz w:val="20"/>
          <w:szCs w:val="20"/>
          <w:color w:val="auto"/>
        </w:rPr>
      </w:pPr>
    </w:p>
    <w:p>
      <w:pPr>
        <w:ind w:left="80" w:firstLine="1"/>
        <w:spacing w:after="0" w:line="209" w:lineRule="auto"/>
        <w:tabs>
          <w:tab w:leader="none" w:pos="347" w:val="left"/>
        </w:tabs>
        <w:numPr>
          <w:ilvl w:val="0"/>
          <w:numId w:val="33"/>
        </w:numPr>
        <w:rPr>
          <w:rFonts w:ascii="Arial" w:cs="Arial" w:eastAsia="Arial" w:hAnsi="Arial"/>
          <w:sz w:val="25"/>
          <w:szCs w:val="25"/>
          <w:color w:val="auto"/>
          <w:vertAlign w:val="superscript"/>
        </w:rPr>
      </w:pPr>
      <w:r>
        <w:rPr>
          <w:rFonts w:ascii="Arial" w:cs="Arial" w:eastAsia="Arial" w:hAnsi="Arial"/>
          <w:sz w:val="16"/>
          <w:szCs w:val="16"/>
          <w:color w:val="auto"/>
        </w:rPr>
        <w:t>At December 31, 2025, amount includes $431 million of construction-related financings recorded in long-term debt on the Company’s consolidated balance sheet that is either being funded through long-term equity contributions or is converting to long-term debt.</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10040"/>
          </w:cols>
          <w:pgMar w:left="920" w:top="577" w:right="920" w:bottom="0" w:gutter="0" w:footer="0" w:header="0"/>
          <w:type w:val="continuous"/>
        </w:sectPr>
      </w:pPr>
    </w:p>
    <w:bookmarkStart w:id="62" w:name="page63"/>
    <w:bookmarkEnd w:id="62"/>
    <w:p>
      <w:pPr>
        <w:ind w:left="440"/>
        <w:spacing w:after="0"/>
        <w:rPr>
          <w:sz w:val="20"/>
          <w:szCs w:val="20"/>
          <w:color w:val="auto"/>
        </w:rPr>
      </w:pPr>
      <w:r>
        <w:rPr>
          <w:rFonts w:ascii="Arial" w:cs="Arial" w:eastAsia="Arial" w:hAnsi="Arial"/>
          <w:sz w:val="20"/>
          <w:szCs w:val="20"/>
          <w:b w:val="1"/>
          <w:bCs w:val="1"/>
          <w:i w:val="1"/>
          <w:iCs w:val="1"/>
          <w:color w:val="auto"/>
        </w:rPr>
        <w:t>Capital Expenditures</w:t>
      </w:r>
    </w:p>
    <w:p>
      <w:pPr>
        <w:spacing w:after="0" w:line="18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spacing w:after="0" w:line="130"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For the years ended December 31, 2025 and 2024, the Company used approximately $319 million and $287 million, respectively, to fund capital expenditures, primarily in the Renewables &amp; Storage segment, funded through construction-related financing. Growth capital expenditures included $313 million primarily in the Renewables &amp; Storage segment, funded through construction-related financing. Growth capital expenditures included $81 million incurred in connection with the Rosamond South I solar and BESS facility, $58 million incurred in connection with the Pine Forest solar and BESS facility, $37 million incurred in connection with the Honeycomb Portfolio BESS facilities, $35 million incurred in connection with the Dan’s Mountain wind facility, $34 million incurred in connection with the Luna Valley solar facility, $27 million incurred in connection with the Daggett 1 BESS facility, $22 million incurred in connection with the repowering of the Cedro Hill wind facility, $12 million incurred in connection with the Victory Pass and Arica solar and BESS facilities and $7 million incurred by other facilities. In addition, for the years ended December 31, 2025 and 2024, the Company incurred $6 million and $11 million, respectively, of maintenance capital expenditures, which are net of credits received from equipment manufacturers.</w:t>
      </w:r>
    </w:p>
    <w:p>
      <w:pPr>
        <w:spacing w:after="0" w:line="11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The Company estimates $32 million of maintenance capital expenditures for 2026. These estimates are subject to continuing review and adjustment and actual capital expenditures may vary from these estimates.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Off-Balance Sheet Arrangements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Obligations under Certain Guarantee Contracts</w:t>
      </w:r>
    </w:p>
    <w:p>
      <w:pPr>
        <w:spacing w:after="0" w:line="18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The Company may enter into guarantee arrangements in the normal course of business to facilitate commercial transactions with third parties.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Retained or Contingent Interests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does not have any material retained or contingent interests in assets transferred to an unconsolidated entity.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Obligations Arising Out of a Variable Interest in an Unconsolidated Entity</w:t>
      </w:r>
    </w:p>
    <w:p>
      <w:pPr>
        <w:spacing w:after="0" w:line="167" w:lineRule="exact"/>
        <w:rPr>
          <w:sz w:val="20"/>
          <w:szCs w:val="20"/>
          <w:color w:val="auto"/>
        </w:rPr>
      </w:pPr>
    </w:p>
    <w:p>
      <w:pPr>
        <w:jc w:val="both"/>
        <w:ind w:firstLine="441"/>
        <w:spacing w:after="0" w:line="307" w:lineRule="auto"/>
        <w:rPr>
          <w:sz w:val="20"/>
          <w:szCs w:val="20"/>
          <w:color w:val="auto"/>
        </w:rPr>
      </w:pPr>
      <w:r>
        <w:rPr>
          <w:rFonts w:ascii="Arial" w:cs="Arial" w:eastAsia="Arial" w:hAnsi="Arial"/>
          <w:sz w:val="17"/>
          <w:szCs w:val="17"/>
          <w:b w:val="1"/>
          <w:bCs w:val="1"/>
          <w:i w:val="1"/>
          <w:iCs w:val="1"/>
          <w:color w:val="auto"/>
        </w:rPr>
        <w:t xml:space="preserve">Variable interest in equity investments </w:t>
      </w:r>
      <w:r>
        <w:rPr>
          <w:rFonts w:ascii="Arial" w:cs="Arial" w:eastAsia="Arial" w:hAnsi="Arial"/>
          <w:sz w:val="17"/>
          <w:szCs w:val="17"/>
          <w:color w:val="auto"/>
        </w:rPr>
        <w:t>— As of December 31, 2025, the Company has several investments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ownership interest percentage of 50% or less. GenConn is a VIE for which the Company is not the primary beneficiary. The Company’s pro-rata share of non-recourse debt held by unconsolidated affiliates was approximately $259 million as of December 31, 2025. This indebtedness may restrict the ability of these subsidiaries to issue dividends or distributions to the Company. See also Item 15 — Note 5, </w:t>
      </w:r>
      <w:r>
        <w:rPr>
          <w:rFonts w:ascii="Arial" w:cs="Arial" w:eastAsia="Arial" w:hAnsi="Arial"/>
          <w:sz w:val="17"/>
          <w:szCs w:val="17"/>
          <w:b w:val="1"/>
          <w:bCs w:val="1"/>
          <w:i w:val="1"/>
          <w:iCs w:val="1"/>
          <w:color w:val="auto"/>
        </w:rPr>
        <w:t>Investments Accounted for by the Equity Method and Variable Interest Entities</w:t>
      </w:r>
      <w:r>
        <w:rPr>
          <w:rFonts w:ascii="Arial" w:cs="Arial" w:eastAsia="Arial" w:hAnsi="Arial"/>
          <w:sz w:val="17"/>
          <w:szCs w:val="17"/>
          <w:color w:val="auto"/>
        </w:rPr>
        <w:t>.</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Contractual Obligations and Commercial Commitments</w:t>
      </w:r>
    </w:p>
    <w:p>
      <w:pPr>
        <w:spacing w:after="0" w:line="189" w:lineRule="exact"/>
        <w:rPr>
          <w:sz w:val="20"/>
          <w:szCs w:val="20"/>
          <w:color w:val="auto"/>
        </w:rPr>
      </w:pPr>
    </w:p>
    <w:p>
      <w:pPr>
        <w:jc w:val="both"/>
        <w:ind w:firstLine="441"/>
        <w:spacing w:after="0" w:line="325" w:lineRule="auto"/>
        <w:rPr>
          <w:sz w:val="20"/>
          <w:szCs w:val="20"/>
          <w:color w:val="auto"/>
        </w:rPr>
      </w:pPr>
      <w:r>
        <w:rPr>
          <w:rFonts w:ascii="Arial" w:cs="Arial" w:eastAsia="Arial" w:hAnsi="Arial"/>
          <w:sz w:val="17"/>
          <w:szCs w:val="17"/>
          <w:color w:val="auto"/>
        </w:rPr>
        <w:t xml:space="preserve">In addition to the Company’s capital expenditure programs, the Company has a variety of contractual obligations and other commercial commitments that represent prospective cash requirements. The following table summarizes the Company’s contractual obligations. See Item 15 — Note 10, </w:t>
      </w:r>
      <w:r>
        <w:rPr>
          <w:rFonts w:ascii="Arial" w:cs="Arial" w:eastAsia="Arial" w:hAnsi="Arial"/>
          <w:sz w:val="17"/>
          <w:szCs w:val="17"/>
          <w:b w:val="1"/>
          <w:bCs w:val="1"/>
          <w:i w:val="1"/>
          <w:iCs w:val="1"/>
          <w:color w:val="auto"/>
        </w:rPr>
        <w:t>Long-term Debt</w:t>
      </w:r>
      <w:r>
        <w:rPr>
          <w:rFonts w:ascii="Arial" w:cs="Arial" w:eastAsia="Arial" w:hAnsi="Arial"/>
          <w:sz w:val="17"/>
          <w:szCs w:val="17"/>
          <w:color w:val="auto"/>
        </w:rPr>
        <w:t xml:space="preserve"> and Note 17, </w:t>
      </w:r>
      <w:r>
        <w:rPr>
          <w:rFonts w:ascii="Arial" w:cs="Arial" w:eastAsia="Arial" w:hAnsi="Arial"/>
          <w:sz w:val="17"/>
          <w:szCs w:val="17"/>
          <w:b w:val="1"/>
          <w:bCs w:val="1"/>
          <w:i w:val="1"/>
          <w:iCs w:val="1"/>
          <w:color w:val="auto"/>
        </w:rPr>
        <w:t>Leases</w:t>
      </w:r>
      <w:r>
        <w:rPr>
          <w:rFonts w:ascii="Arial" w:cs="Arial" w:eastAsia="Arial" w:hAnsi="Arial"/>
          <w:sz w:val="17"/>
          <w:szCs w:val="17"/>
          <w:color w:val="auto"/>
        </w:rPr>
        <w:t>, for additional discussion.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10"/>
          </w:tcPr>
          <w:p>
            <w:pPr>
              <w:jc w:val="right"/>
              <w:ind w:right="526"/>
              <w:spacing w:after="0"/>
              <w:rPr>
                <w:sz w:val="20"/>
                <w:szCs w:val="20"/>
                <w:color w:val="auto"/>
              </w:rPr>
            </w:pPr>
            <w:r>
              <w:rPr>
                <w:rFonts w:ascii="Arial" w:cs="Arial" w:eastAsia="Arial" w:hAnsi="Arial"/>
                <w:sz w:val="16"/>
                <w:szCs w:val="16"/>
                <w:b w:val="1"/>
                <w:bCs w:val="1"/>
                <w:color w:val="auto"/>
              </w:rPr>
              <w:t>By Remaining Maturity at December 31,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6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Contractual Cash Obligations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149"/>
              <w:spacing w:after="0" w:line="182" w:lineRule="exact"/>
              <w:rPr>
                <w:sz w:val="20"/>
                <w:szCs w:val="20"/>
                <w:color w:val="auto"/>
              </w:rPr>
            </w:pPr>
            <w:r>
              <w:rPr>
                <w:rFonts w:ascii="Arial" w:cs="Arial" w:eastAsia="Arial" w:hAnsi="Arial"/>
                <w:sz w:val="16"/>
                <w:szCs w:val="16"/>
                <w:b w:val="1"/>
                <w:bCs w:val="1"/>
                <w:color w:val="auto"/>
              </w:rPr>
              <w:t>Under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6"/>
                <w:szCs w:val="16"/>
                <w:b w:val="1"/>
                <w:bCs w:val="1"/>
                <w:color w:val="auto"/>
                <w:w w:val="87"/>
              </w:rPr>
              <w:t>1-3 Years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6"/>
                <w:szCs w:val="16"/>
                <w:b w:val="1"/>
                <w:bCs w:val="1"/>
                <w:color w:val="auto"/>
                <w:w w:val="87"/>
              </w:rPr>
              <w:t>3-5 Years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09"/>
              <w:spacing w:after="0" w:line="182" w:lineRule="exact"/>
              <w:rPr>
                <w:sz w:val="20"/>
                <w:szCs w:val="20"/>
                <w:color w:val="auto"/>
              </w:rPr>
            </w:pPr>
            <w:r>
              <w:rPr>
                <w:rFonts w:ascii="Arial" w:cs="Arial" w:eastAsia="Arial" w:hAnsi="Arial"/>
                <w:sz w:val="16"/>
                <w:szCs w:val="16"/>
                <w:b w:val="1"/>
                <w:bCs w:val="1"/>
                <w:color w:val="auto"/>
              </w:rPr>
              <w:t>Over</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jc w:val="right"/>
              <w:ind w:right="186"/>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restart"/>
          </w:tcPr>
          <w:p>
            <w:pPr>
              <w:jc w:val="right"/>
              <w:ind w:right="20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6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149"/>
              <w:spacing w:after="0" w:line="170" w:lineRule="exact"/>
              <w:rPr>
                <w:sz w:val="20"/>
                <w:szCs w:val="20"/>
                <w:color w:val="auto"/>
              </w:rPr>
            </w:pPr>
            <w:r>
              <w:rPr>
                <w:rFonts w:ascii="Arial" w:cs="Arial" w:eastAsia="Arial" w:hAnsi="Arial"/>
                <w:sz w:val="16"/>
                <w:szCs w:val="16"/>
                <w:b w:val="1"/>
                <w:bCs w:val="1"/>
                <w:color w:val="auto"/>
                <w:w w:val="99"/>
              </w:rPr>
              <w:t>1 Year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129"/>
              <w:spacing w:after="0" w:line="170" w:lineRule="exact"/>
              <w:rPr>
                <w:sz w:val="20"/>
                <w:szCs w:val="20"/>
                <w:color w:val="auto"/>
              </w:rPr>
            </w:pPr>
            <w:r>
              <w:rPr>
                <w:rFonts w:ascii="Arial" w:cs="Arial" w:eastAsia="Arial" w:hAnsi="Arial"/>
                <w:sz w:val="16"/>
                <w:szCs w:val="16"/>
                <w:b w:val="1"/>
                <w:bCs w:val="1"/>
                <w:color w:val="auto"/>
                <w:w w:val="91"/>
              </w:rPr>
              <w:t>5 Years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4"/>
          </w:tcPr>
          <w:p>
            <w:pPr>
              <w:jc w:val="right"/>
              <w:ind w:right="489"/>
              <w:spacing w:after="0"/>
              <w:rPr>
                <w:sz w:val="20"/>
                <w:szCs w:val="20"/>
                <w:color w:val="auto"/>
              </w:rPr>
            </w:pPr>
            <w:r>
              <w:rPr>
                <w:rFonts w:ascii="Arial" w:cs="Arial" w:eastAsia="Arial" w:hAnsi="Arial"/>
                <w:sz w:val="16"/>
                <w:szCs w:val="16"/>
                <w:b w:val="1"/>
                <w:bCs w:val="1"/>
                <w:color w:val="auto"/>
              </w:rPr>
              <w:t>(In millions)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Arial" w:cs="Arial" w:eastAsia="Arial" w:hAnsi="Arial"/>
                <w:sz w:val="20"/>
                <w:szCs w:val="20"/>
                <w:color w:val="auto"/>
                <w:w w:val="92"/>
              </w:rPr>
              <w:t>Long-term debt (including estimated interest)</w:t>
            </w:r>
          </w:p>
        </w:tc>
        <w:tc>
          <w:tcPr>
            <w:tcW w:w="420" w:type="dxa"/>
            <w:vAlign w:val="bottom"/>
            <w:gridSpan w:val="2"/>
          </w:tcPr>
          <w:p>
            <w:pPr>
              <w:ind w:left="20"/>
              <w:spacing w:after="0"/>
              <w:rPr>
                <w:sz w:val="20"/>
                <w:szCs w:val="20"/>
                <w:color w:val="auto"/>
              </w:rPr>
            </w:pPr>
            <w:r>
              <w:rPr>
                <w:rFonts w:ascii="Arial" w:cs="Arial" w:eastAsia="Arial" w:hAnsi="Arial"/>
                <w:sz w:val="20"/>
                <w:szCs w:val="20"/>
                <w:color w:val="B4B4B4"/>
              </w:rPr>
              <w:t xml:space="preserve">. . </w:t>
            </w:r>
            <w:r>
              <w:rPr>
                <w:rFonts w:ascii="Arial" w:cs="Arial" w:eastAsia="Arial" w:hAnsi="Arial"/>
                <w:sz w:val="20"/>
                <w:szCs w:val="20"/>
                <w:color w:val="000000"/>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1,522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3,033</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2,237</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3,458</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10,250</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8,810</w:t>
            </w: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Arial" w:cs="Arial" w:eastAsia="Arial" w:hAnsi="Arial"/>
                <w:sz w:val="20"/>
                <w:szCs w:val="20"/>
                <w:color w:val="auto"/>
                <w:w w:val="88"/>
              </w:rPr>
              <w:t xml:space="preserve">Operating leases  </w:t>
            </w:r>
            <w:r>
              <w:rPr>
                <w:rFonts w:ascii="Arial" w:cs="Arial" w:eastAsia="Arial" w:hAnsi="Arial"/>
                <w:sz w:val="20"/>
                <w:szCs w:val="20"/>
                <w:color w:val="B4B4B4"/>
                <w:w w:val="88"/>
              </w:rPr>
              <w:t>. . . . . . . . . . . . . . . . . . . . . . .</w:t>
            </w:r>
          </w:p>
        </w:tc>
        <w:tc>
          <w:tcPr>
            <w:tcW w:w="220" w:type="dxa"/>
            <w:vAlign w:val="bottom"/>
          </w:tcPr>
          <w:p>
            <w:pPr>
              <w:ind w:left="20"/>
              <w:spacing w:after="0"/>
              <w:rPr>
                <w:sz w:val="20"/>
                <w:szCs w:val="20"/>
                <w:color w:val="auto"/>
              </w:rPr>
            </w:pPr>
            <w:r>
              <w:rPr>
                <w:rFonts w:ascii="Arial" w:cs="Arial" w:eastAsia="Arial" w:hAnsi="Arial"/>
                <w:sz w:val="20"/>
                <w:szCs w:val="20"/>
                <w:color w:val="B4B4B4"/>
              </w:rPr>
              <w:t>. .</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127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1,214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1,529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944</w:t>
            </w: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Arial" w:cs="Arial" w:eastAsia="Arial" w:hAnsi="Arial"/>
                <w:sz w:val="20"/>
                <w:szCs w:val="20"/>
                <w:color w:val="auto"/>
                <w:w w:val="89"/>
              </w:rPr>
              <w:t xml:space="preserve">Other liabilities </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w:t>
            </w:r>
          </w:p>
        </w:tc>
        <w:tc>
          <w:tcPr>
            <w:tcW w:w="220" w:type="dxa"/>
            <w:vAlign w:val="bottom"/>
          </w:tcPr>
          <w:p>
            <w:pPr>
              <w:ind w:left="20"/>
              <w:spacing w:after="0"/>
              <w:rPr>
                <w:sz w:val="20"/>
                <w:szCs w:val="20"/>
                <w:color w:val="auto"/>
              </w:rPr>
            </w:pPr>
            <w:r>
              <w:rPr>
                <w:rFonts w:ascii="Arial" w:cs="Arial" w:eastAsia="Arial" w:hAnsi="Arial"/>
                <w:sz w:val="20"/>
                <w:szCs w:val="20"/>
                <w:color w:val="B4B4B4"/>
              </w:rPr>
              <w:t>. .</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3680" w:type="dxa"/>
            <w:vAlign w:val="bottom"/>
            <w:gridSpan w:val="3"/>
          </w:tcPr>
          <w:p>
            <w:pPr>
              <w:spacing w:after="0"/>
              <w:rPr>
                <w:sz w:val="20"/>
                <w:szCs w:val="20"/>
                <w:color w:val="auto"/>
              </w:rPr>
            </w:pPr>
            <w:r>
              <w:rPr>
                <w:rFonts w:ascii="Arial" w:cs="Arial" w:eastAsia="Arial" w:hAnsi="Arial"/>
                <w:sz w:val="20"/>
                <w:szCs w:val="20"/>
                <w:color w:val="auto"/>
                <w:w w:val="88"/>
              </w:rPr>
              <w:t xml:space="preserve">Total </w:t>
            </w:r>
            <w:r>
              <w:rPr>
                <w:rFonts w:ascii="Arial" w:cs="Arial" w:eastAsia="Arial" w:hAnsi="Arial"/>
                <w:sz w:val="20"/>
                <w:szCs w:val="20"/>
                <w:color w:val="B4B4B4"/>
                <w:w w:val="88"/>
              </w:rPr>
              <w:t>. . . . . . . . . . . . . . . . . . . . . . . . . . . . . . . . .</w:t>
            </w:r>
          </w:p>
        </w:tc>
        <w:tc>
          <w:tcPr>
            <w:tcW w:w="420" w:type="dxa"/>
            <w:vAlign w:val="bottom"/>
            <w:gridSpan w:val="2"/>
          </w:tcPr>
          <w:p>
            <w:pPr>
              <w:ind w:left="20"/>
              <w:spacing w:after="0"/>
              <w:rPr>
                <w:sz w:val="20"/>
                <w:szCs w:val="20"/>
                <w:color w:val="auto"/>
              </w:rPr>
            </w:pPr>
            <w:r>
              <w:rPr>
                <w:rFonts w:ascii="Arial" w:cs="Arial" w:eastAsia="Arial" w:hAnsi="Arial"/>
                <w:sz w:val="20"/>
                <w:szCs w:val="20"/>
                <w:color w:val="B4B4B4"/>
              </w:rPr>
              <w:t xml:space="preserve">. . </w:t>
            </w:r>
            <w:r>
              <w:rPr>
                <w:rFonts w:ascii="Arial" w:cs="Arial" w:eastAsia="Arial" w:hAnsi="Arial"/>
                <w:sz w:val="20"/>
                <w:szCs w:val="20"/>
                <w:color w:val="000000"/>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1,622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3,226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2,420</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4,853</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12,121</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10,071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-864870</wp:posOffset>
            </wp:positionV>
            <wp:extent cx="6354445" cy="784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6354445" cy="784860"/>
                    </a:xfrm>
                    <a:prstGeom prst="rect">
                      <a:avLst/>
                    </a:prstGeom>
                    <a:noFill/>
                  </pic:spPr>
                </pic:pic>
              </a:graphicData>
            </a:graphic>
          </wp:anchor>
        </w:drawing>
      </w:r>
    </w:p>
    <w:p>
      <w:pPr>
        <w:ind w:left="300" w:hanging="219"/>
        <w:spacing w:after="0" w:line="225" w:lineRule="auto"/>
        <w:tabs>
          <w:tab w:leader="none" w:pos="30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Includes water right agreements, service and maintenance agreements and LTSA commitments.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10040"/>
          </w:cols>
          <w:pgMar w:left="920" w:top="577" w:right="920" w:bottom="0" w:gutter="0" w:footer="0" w:header="0"/>
          <w:type w:val="continuous"/>
        </w:sectPr>
      </w:pPr>
    </w:p>
    <w:bookmarkStart w:id="63" w:name="page64"/>
    <w:bookmarkEnd w:id="63"/>
    <w:p>
      <w:pPr>
        <w:ind w:left="440"/>
        <w:spacing w:after="0"/>
        <w:rPr>
          <w:sz w:val="20"/>
          <w:szCs w:val="20"/>
          <w:color w:val="auto"/>
        </w:rPr>
      </w:pPr>
      <w:r>
        <w:rPr>
          <w:rFonts w:ascii="Arial" w:cs="Arial" w:eastAsia="Arial" w:hAnsi="Arial"/>
          <w:sz w:val="20"/>
          <w:szCs w:val="20"/>
          <w:b w:val="1"/>
          <w:bCs w:val="1"/>
          <w:i w:val="1"/>
          <w:iCs w:val="1"/>
          <w:color w:val="auto"/>
        </w:rPr>
        <w:t>Acquisitions and Investments</w:t>
      </w:r>
    </w:p>
    <w:p>
      <w:pPr>
        <w:spacing w:after="0" w:line="189"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139"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7"/>
          <w:szCs w:val="17"/>
          <w:b w:val="1"/>
          <w:bCs w:val="1"/>
          <w:i w:val="1"/>
          <w:iCs w:val="1"/>
          <w:color w:val="auto"/>
        </w:rPr>
        <w:t xml:space="preserve">Pine Forest Drop Down </w:t>
      </w:r>
      <w:r>
        <w:rPr>
          <w:rFonts w:ascii="Arial" w:cs="Arial" w:eastAsia="Arial" w:hAnsi="Arial"/>
          <w:sz w:val="17"/>
          <w:szCs w:val="17"/>
          <w:color w:val="auto"/>
        </w:rPr>
        <w:t>— On June 10, 2025, the Company, through its indirect subsidiary, Pine Forest CE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 LLC, acquired the Class A membership interests in Pine Forest TargetCo, a partnership and the indirect owner of the Pine Forest solar and BESS facility, from Clearway Renew for initial cash consideration of $18 million. Also on June 10, 2025, the Company, through its indirect subsidiary, Pine Forest TE Class A, contributed $9 million to acquire the Class A membership interests in Pine Forest TE HoldCo LLC. On December 17, 2025, when Pine Forest reached substantial completion, the Company paid $50 million to Clearway Renew as an additional purchase price and the Company contributed an additional $38 million for its Class A membership interests in Pine Forest TE HoldCo LLC. Pine Forest has PPAs for the solar facility with investment-grade counterparties and a 20-year weighted average contract duration that commenced in December 2025. The acquisition was funded with existing sources of liquidity. As part of the acquisition of Pine Forest, the Company assumed the facility’s financing agreement, which included a construction loan, a cash equity bridge loan, a tax equity bridge loan and a tax credit transfer bridge loan. Upon the facility reaching substantial completion, the third-party cash equity investor contributed $144 million and CEG contributed $49 million, which were utilized, along with the $9 million previously held in escrow, to repay the cash equity bridge loan, to repay the tax equity bridge loan, to partially repay the tax credit transfer bridge loan, to fund construction completion reserves and to pay associated fees. Additionally, on December 17, 2025, the outstanding construction loans were converted to a term loan. Subsequent to the acquisition during 2025, the Company borrowed an additional $52 million in cash equity bridge loans. The Company’s total capital investment in Pine Forest TargetCo was $115 million.</w:t>
      </w:r>
    </w:p>
    <w:p>
      <w:pPr>
        <w:spacing w:after="0" w:line="358"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Since the Company holds the Class A membership interests in Pine Forest TE HoldCo LLC through Pine Forest TE Class A, net income attributable to Clearway Energy, Inc. will reflect HLBV allocations associated with Pine Forest’s tax attributes, which may result in larger losses allocated to the Company in early periods of the facility’s operations relative to other partnerships.</w:t>
      </w:r>
    </w:p>
    <w:p>
      <w:pPr>
        <w:spacing w:after="0" w:line="144" w:lineRule="exact"/>
        <w:rPr>
          <w:sz w:val="20"/>
          <w:szCs w:val="20"/>
          <w:color w:val="auto"/>
        </w:rPr>
      </w:pPr>
    </w:p>
    <w:p>
      <w:pPr>
        <w:jc w:val="both"/>
        <w:ind w:firstLine="512"/>
        <w:spacing w:after="0" w:line="298" w:lineRule="auto"/>
        <w:rPr>
          <w:sz w:val="20"/>
          <w:szCs w:val="20"/>
          <w:color w:val="auto"/>
        </w:rPr>
      </w:pPr>
      <w:r>
        <w:rPr>
          <w:rFonts w:ascii="Arial" w:cs="Arial" w:eastAsia="Arial" w:hAnsi="Arial"/>
          <w:sz w:val="19"/>
          <w:szCs w:val="19"/>
          <w:color w:val="auto"/>
        </w:rPr>
        <w:t>In January 2026, the Company repaid the $231 million outstanding on the tax credit transfer bridge loan utilizing the proceeds received from the sale of transferable ITCs, and distributed the remaining $51 million to CEG.</w:t>
      </w:r>
    </w:p>
    <w:p>
      <w:pPr>
        <w:spacing w:after="0" w:line="102"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b w:val="1"/>
          <w:bCs w:val="1"/>
          <w:i w:val="1"/>
          <w:iCs w:val="1"/>
          <w:color w:val="auto"/>
        </w:rPr>
        <w:t xml:space="preserve">Goat Mountain Development Services Agreement </w:t>
      </w:r>
      <w:r>
        <w:rPr>
          <w:rFonts w:ascii="Arial" w:cs="Arial" w:eastAsia="Arial" w:hAnsi="Arial"/>
          <w:sz w:val="17"/>
          <w:szCs w:val="17"/>
          <w:color w:val="auto"/>
        </w:rPr>
        <w:t>— On July 23, 2025, the Company entered into a development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with Clearway Renew in connection with the repowering of the Goat Mountain wind facility. The Company estimates that its total capital investment in the Goat Mountain repowering will be $200 million, subject to closing adjustments. Contingent upon achieving repowering commercial operations in 2027, the 360 MW facility will sell power to an investment-grade counterparty under a new 15-year PPA. In connection with the agreement, on December 12, 2025, the Company paid Clearway Renew $27 million, primarily related to the future delivery of equipment.</w:t>
      </w:r>
    </w:p>
    <w:p>
      <w:pPr>
        <w:spacing w:after="0" w:line="105" w:lineRule="exact"/>
        <w:rPr>
          <w:sz w:val="20"/>
          <w:szCs w:val="20"/>
          <w:color w:val="auto"/>
        </w:rPr>
      </w:pPr>
    </w:p>
    <w:p>
      <w:pPr>
        <w:jc w:val="both"/>
        <w:ind w:firstLine="441"/>
        <w:spacing w:after="0" w:line="295" w:lineRule="auto"/>
        <w:rPr>
          <w:sz w:val="20"/>
          <w:szCs w:val="20"/>
          <w:color w:val="auto"/>
        </w:rPr>
      </w:pPr>
      <w:r>
        <w:rPr>
          <w:rFonts w:ascii="Arial" w:cs="Arial" w:eastAsia="Arial" w:hAnsi="Arial"/>
          <w:sz w:val="17"/>
          <w:szCs w:val="17"/>
          <w:b w:val="1"/>
          <w:bCs w:val="1"/>
          <w:i w:val="1"/>
          <w:iCs w:val="1"/>
          <w:color w:val="auto"/>
        </w:rPr>
        <w:t xml:space="preserve">Honeycomb Portfolio Drop Down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October 15, 2025, the Company, through its indirect subsidiary, Honeycomb 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Holdco LLC, acquired Honeycomb TargetCo, the indirect owner of the Honeycomb Portfolio, from Clearway Renew for initial cash consideration of $16 million. At substantial completion, which is expected to occur in the first half of 2026, the Company estimates it will pay an additional $62 million to Clearway Renew. The Honeycomb Portfolio has 20-year PPAs with an investment-grade utility that will commence when the underlying operating assets reach commercial operations, which is expected to occur in the first half of 2026. The acquisition was funded with existing sources of liquidity. As part of the acquisition of the Honeycomb Portfolio, the Company assumed the facility’s financing agreement, which included a construction loan that converts to a term loan when the facility reaches substantial completion and a tax equity bridge loan, which will be completely paid off when the facility reaches substantial completion utilizing the proceeds from the Company’s additional purchase price and final proceeds received from the tax equity investor, along with their initial contribution at acquisition date that is being held in escrow. Subsequent to the acquisition during 2025, the Company borrowed an additional $38 million in construction loans through December 31, 2025. The Company estimates that its total capital investment in Honeycomb TargetCo will be $78 million, excluding the impact of any closing adjustments noted in the purchase agreement.</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040"/>
          </w:cols>
          <w:pgMar w:left="920" w:top="577" w:right="920" w:bottom="0" w:gutter="0" w:footer="0" w:header="0"/>
          <w:type w:val="continuous"/>
        </w:sectPr>
      </w:pPr>
    </w:p>
    <w:bookmarkStart w:id="64" w:name="page65"/>
    <w:bookmarkEnd w:id="64"/>
    <w:p>
      <w:pPr>
        <w:jc w:val="both"/>
        <w:ind w:firstLine="441"/>
        <w:spacing w:after="0" w:line="295" w:lineRule="auto"/>
        <w:rPr>
          <w:sz w:val="20"/>
          <w:szCs w:val="20"/>
          <w:color w:val="auto"/>
        </w:rPr>
      </w:pPr>
      <w:r>
        <w:rPr>
          <w:rFonts w:ascii="Arial" w:cs="Arial" w:eastAsia="Arial" w:hAnsi="Arial"/>
          <w:sz w:val="17"/>
          <w:szCs w:val="17"/>
          <w:b w:val="1"/>
          <w:bCs w:val="1"/>
          <w:i w:val="1"/>
          <w:iCs w:val="1"/>
          <w:color w:val="auto"/>
        </w:rPr>
        <w:t xml:space="preserve">Daggett 1 Drop Down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April 29, 2025, the Company, through its indirect subsidiary, LV-Daggett Parent Holdco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acquired Daggett 1 Class B, the indirect owner of the Daggett 1 BESS facility, from Clearway Renew for initial cash consideration of $11 million. On September 19, 2025, when the facility reached substantial completion, the Company paid $42 million to Clearway Renew as additional purchase price. Daggett 1 has a PPA for capacity with an investment-grade counterparty for a contract duration of 15 years that commenced in September 2025. The acquisition was funded with existing sources of liquidity. As part of the acquisition of Daggett 1, the Company assumed the facility’s financing agreement, which included a construction loan and a tax equity bridge loan. Upon the facility reaching substantial completion, the tax equity investor contributed an additional $108 million, which was utilized along with the $38 million previously held in escrow and $31 million in construction loan proceeds, to repay the tax equity bridge loan, to fund construction completion reserves and to pay associated fees with the remaining proceeds distributed to CEG. Also at substantial completion, the outstanding construction loans were converted to a term loan. Subsequent to the acquisition during 2025, the Company borrowed an additional $40 million in construction loans. On October 15, 2025, the Company paid $4 million to Clearway Renew as a final purchase price adjustment. The Company’s total capital investment in Daggett 1 Class B was $57 million.</w:t>
      </w:r>
    </w:p>
    <w:p>
      <w:pPr>
        <w:spacing w:after="0" w:line="112" w:lineRule="exact"/>
        <w:rPr>
          <w:sz w:val="20"/>
          <w:szCs w:val="20"/>
          <w:color w:val="auto"/>
        </w:rPr>
      </w:pPr>
    </w:p>
    <w:p>
      <w:pPr>
        <w:jc w:val="both"/>
        <w:ind w:firstLine="441"/>
        <w:spacing w:after="0" w:line="294" w:lineRule="auto"/>
        <w:rPr>
          <w:sz w:val="20"/>
          <w:szCs w:val="20"/>
          <w:color w:val="auto"/>
        </w:rPr>
      </w:pPr>
      <w:r>
        <w:rPr>
          <w:rFonts w:ascii="Arial" w:cs="Arial" w:eastAsia="Arial" w:hAnsi="Arial"/>
          <w:sz w:val="17"/>
          <w:szCs w:val="17"/>
          <w:b w:val="1"/>
          <w:bCs w:val="1"/>
          <w:i w:val="1"/>
          <w:iCs w:val="1"/>
          <w:color w:val="auto"/>
        </w:rPr>
        <w:t xml:space="preserve">Luna Valley Drop Down </w:t>
      </w:r>
      <w:r>
        <w:rPr>
          <w:rFonts w:ascii="Arial" w:cs="Arial" w:eastAsia="Arial" w:hAnsi="Arial"/>
          <w:sz w:val="17"/>
          <w:szCs w:val="17"/>
          <w:color w:val="auto"/>
        </w:rPr>
        <w:t>— On April 29, 2025, the Company, through its indirect subsidiary, LV-Daggett Parent Holdco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acquired Luna Valley Class B, the indirect owner of the Luna Valley solar facility, from Clearway Renew for initial cash consideration of $18 million. On September 4, 2025, when the facility reached substantial completion, the Company paid $72 million to Clearway Renew as additional purchase price. Luna Valley has PPAs with investment-grade counterparties that have a 17-year weighted average contract duration that commenced in August 2025. The acquisition was funded with existing sources of liquidity. As part of the acquisition of Luna Valley, the Company assumed the facility’s financing agreement, which included a construction loan, a cash equity bridge loan that was partially paid off at acquisition date and a tax equity bridge loan. Upon the facility reaching substantial completion, the tax equity investor contributed an additional $114 million and CEG contributed $50 million, which were utilized, along with the $29 million previously held in escrow and $28 million in construction loan proceeds, to repay the cash equity bridge loan, to repay the tax equity bridge loan, to fund construction completion reserves and to pay associated fees. Also at substantial completion, the outstanding construction loans were converted to a term loan. Subsequent to the acquisition during 2025, the Company borrowed an additional $51 million in construction loans. On October 15, 2025, the Company paid $29 million to Clearway Renew as a final purchase price adjustment. The Company’s total capital investment in Luna Valley Class B was $119 million.</w:t>
      </w:r>
    </w:p>
    <w:p>
      <w:pPr>
        <w:spacing w:after="0" w:line="356" w:lineRule="exact"/>
        <w:rPr>
          <w:sz w:val="20"/>
          <w:szCs w:val="20"/>
          <w:color w:val="auto"/>
        </w:rPr>
      </w:pPr>
    </w:p>
    <w:p>
      <w:pPr>
        <w:jc w:val="both"/>
        <w:ind w:firstLine="441"/>
        <w:spacing w:after="0" w:line="294" w:lineRule="auto"/>
        <w:rPr>
          <w:sz w:val="20"/>
          <w:szCs w:val="20"/>
          <w:color w:val="auto"/>
        </w:rPr>
      </w:pPr>
      <w:r>
        <w:rPr>
          <w:rFonts w:ascii="Arial" w:cs="Arial" w:eastAsia="Arial" w:hAnsi="Arial"/>
          <w:sz w:val="17"/>
          <w:szCs w:val="17"/>
          <w:b w:val="1"/>
          <w:bCs w:val="1"/>
          <w:i w:val="1"/>
          <w:iCs w:val="1"/>
          <w:color w:val="auto"/>
        </w:rPr>
        <w:t xml:space="preserve">Rosamond South I Drop Down </w:t>
      </w:r>
      <w:r>
        <w:rPr>
          <w:rFonts w:ascii="Arial" w:cs="Arial" w:eastAsia="Arial" w:hAnsi="Arial"/>
          <w:sz w:val="17"/>
          <w:szCs w:val="17"/>
          <w:color w:val="auto"/>
        </w:rPr>
        <w:t>— On March 20, 2025, the Company, through its indirect subsidiary, Rosamond South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LLC, acquired the Class A membership interests in Rosie South TargetCo, a partnership and the indirect owner of the Rosamond South I solar and BESS facility, from Clearway Renew for initial cash consideration of $4 million. On August 13, 2025, when the facility reached substantial completion, the Company paid $29 million to Clearway Renew as additional purchase price. Rosamond South I has PPAs with investment-grade counterparties that have a 15-year weighted average contract duration that commence when the underlying operating assets reach commercial operations. The acquisition was funded with existing sources of liquidity. As part of the acquisition of Rosamond South I, the Company assumed the facility’s financing agreement, which included a construction loan, a cash equity bridge loan that was paid off at acquisition date and a tax equity bridge loan. Upon the facility reaching substantial completion, the third-party cash equity investor contributed an additional $41 million and the tax equity investor contributed an additional $226 million, which were utilized, along with the $58 million previously held in escrow and $13 million in construction loan proceeds, to repay the tax equity bridge loan, to fund construction completion reserves and to pay associated fees with the remaining proceeds distributed to CEG. Also at substantial completion, the outstanding construction loans were converted to a term loan. Subsequent to the acquisition during 2025, the Company borrowed an additional $49 million in construction loans and also received $46 million in contributions from CEG to pay for construction completion expenses. The Company’s total capital investment in Rosie South TargetCo was $33 million.</w:t>
      </w:r>
    </w:p>
    <w:p>
      <w:pPr>
        <w:spacing w:after="0" w:line="348"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b w:val="1"/>
          <w:bCs w:val="1"/>
          <w:i w:val="1"/>
          <w:iCs w:val="1"/>
          <w:color w:val="auto"/>
        </w:rPr>
        <w:t xml:space="preserve">Catalina Solar Acquisition </w:t>
      </w:r>
      <w:r>
        <w:rPr>
          <w:rFonts w:ascii="Arial" w:cs="Arial" w:eastAsia="Arial" w:hAnsi="Arial"/>
          <w:sz w:val="19"/>
          <w:szCs w:val="19"/>
          <w:color w:val="auto"/>
        </w:rPr>
        <w:t>— On July 16, 2025, the Company, through its indirect subsidiary, Catalina Solar Investment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LLC, acquired Catalina Solar Lessee Holdco LLC, which leases and operates the Catalina solar facility, from a third-party for approximately $127 million, which excludes $1 million in transaction expenses incurred in connection with the acquisition. Catalina reached commercial operations in 2013 and has a PPA with an investment-grade utility through 2038. The acquisition was funded with existing sources of liquidity. After factoring in cash reserves acquired and transaction expenses, the Company’s net capital investment in Catalina was $128 million.</w:t>
      </w:r>
    </w:p>
    <w:p>
      <w:pPr>
        <w:sectPr>
          <w:pgSz w:w="11880" w:h="15480" w:orient="portrait"/>
          <w:cols w:equalWidth="0" w:num="1">
            <w:col w:w="10040"/>
          </w:cols>
          <w:pgMar w:left="920" w:top="58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10040"/>
          </w:cols>
          <w:pgMar w:left="920" w:top="581" w:right="920" w:bottom="0" w:gutter="0" w:footer="0" w:header="0"/>
          <w:type w:val="continuous"/>
        </w:sectPr>
      </w:pPr>
    </w:p>
    <w:bookmarkStart w:id="65" w:name="page66"/>
    <w:bookmarkEnd w:id="65"/>
    <w:p>
      <w:pPr>
        <w:jc w:val="both"/>
        <w:ind w:right="180" w:firstLine="441"/>
        <w:spacing w:after="0" w:line="262" w:lineRule="auto"/>
        <w:rPr>
          <w:sz w:val="20"/>
          <w:szCs w:val="20"/>
          <w:color w:val="auto"/>
        </w:rPr>
      </w:pPr>
      <w:r>
        <w:rPr>
          <w:rFonts w:ascii="Arial" w:cs="Arial" w:eastAsia="Arial" w:hAnsi="Arial"/>
          <w:sz w:val="19"/>
          <w:szCs w:val="19"/>
          <w:b w:val="1"/>
          <w:bCs w:val="1"/>
          <w:i w:val="1"/>
          <w:iCs w:val="1"/>
          <w:color w:val="auto"/>
        </w:rPr>
        <w:t xml:space="preserve">Dan’s Mountain Drop Down </w:t>
      </w:r>
      <w:r>
        <w:rPr>
          <w:rFonts w:ascii="Arial" w:cs="Arial" w:eastAsia="Arial" w:hAnsi="Arial"/>
          <w:sz w:val="19"/>
          <w:szCs w:val="19"/>
          <w:color w:val="auto"/>
        </w:rPr>
        <w:t>— On May 21, 2025, when the Dan’s Mountain wind facility reached substantial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completion, the Company paid $36 million to Clearway Renew as additional purchase price in connection with the Company’s acquisition of the Class A membership interests in Dan’s Mountain TargetCo on November 18, 2024, which was funded with existing sources of liquidity.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third-party cash equity and tax equity investors, along with the Company’s entire additional purchase price, which was contributed back to the Company by CEG, and the $18 million previously held in escrow, to repay the tax equity bridge loan, to repay the cash equity bridge loan and to pay associated fees with the remaining proceeds distributed to CEG. Prior to substantial completion being reached, the Company borrowed an additional $18 million in tax equity bridge loans and also received $16 million in contributions from CEG to pay for construction completion expenses during 2025. The Company’s total capital investment in Dan’s Mountain TargetCo was $43 million.</w:t>
      </w:r>
    </w:p>
    <w:p>
      <w:pPr>
        <w:spacing w:after="0" w:line="135" w:lineRule="exact"/>
        <w:rPr>
          <w:sz w:val="20"/>
          <w:szCs w:val="20"/>
          <w:color w:val="auto"/>
        </w:rPr>
      </w:pPr>
    </w:p>
    <w:p>
      <w:pPr>
        <w:jc w:val="both"/>
        <w:ind w:right="180" w:firstLine="441"/>
        <w:spacing w:after="0" w:line="295" w:lineRule="auto"/>
        <w:rPr>
          <w:sz w:val="20"/>
          <w:szCs w:val="20"/>
          <w:color w:val="auto"/>
        </w:rPr>
      </w:pPr>
      <w:r>
        <w:rPr>
          <w:rFonts w:ascii="Arial" w:cs="Arial" w:eastAsia="Arial" w:hAnsi="Arial"/>
          <w:sz w:val="17"/>
          <w:szCs w:val="17"/>
          <w:b w:val="1"/>
          <w:bCs w:val="1"/>
          <w:i w:val="1"/>
          <w:iCs w:val="1"/>
          <w:color w:val="auto"/>
        </w:rPr>
        <w:t xml:space="preserve">Tuolumne Wind Acquisition — </w:t>
      </w:r>
      <w:r>
        <w:rPr>
          <w:rFonts w:ascii="Arial" w:cs="Arial" w:eastAsia="Arial" w:hAnsi="Arial"/>
          <w:sz w:val="17"/>
          <w:szCs w:val="17"/>
          <w:color w:val="auto"/>
        </w:rPr>
        <w:t>On April 29, 2025, the Company, through its indirect subsidiary, Washington Wind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the Tuolumne wind facility from an investment-grade regulated entity for approximately $210 million, which excludes $1 million in transaction expenses incurred in connection with the acquisition. Tuolumne reached commercial operations in 2009. In connection with the acquisition, the Company entered into a 15-year PPA with an investment-grade regulated entity that commenced in April 2025.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acquisition was funded with the borrowings under the new financing agreement, as well as existing sources of liquidity. The Company’s net capital investment in Tuolumne was $59 million. In connection with the acquisition, the Company entered into a development services agreement with Clearway Renew related to a potential repowering of the facility. In February 2026, the Company approved the commencement of the Tuolumne repowering. The Company estimates that its total capital investment in the Tuolumne repowering will be $80 million, subject to closing adjustments. Contingent upon achieving commercial operations in 2027, the 137 MW facility will sell power under its existing PPA with an investment-grade regulated entity for an additional two years.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Cash Dividends to Investors</w:t>
      </w:r>
    </w:p>
    <w:p>
      <w:pPr>
        <w:spacing w:after="0" w:line="189" w:lineRule="exact"/>
        <w:rPr>
          <w:sz w:val="20"/>
          <w:szCs w:val="20"/>
          <w:color w:val="auto"/>
        </w:rPr>
      </w:pPr>
    </w:p>
    <w:p>
      <w:pPr>
        <w:jc w:val="both"/>
        <w:ind w:right="180" w:firstLine="441"/>
        <w:spacing w:after="0" w:line="249" w:lineRule="auto"/>
        <w:rPr>
          <w:sz w:val="20"/>
          <w:szCs w:val="20"/>
          <w:color w:val="auto"/>
        </w:rPr>
      </w:pPr>
      <w:r>
        <w:rPr>
          <w:rFonts w:ascii="Arial" w:cs="Arial" w:eastAsia="Arial" w:hAnsi="Arial"/>
          <w:sz w:val="20"/>
          <w:szCs w:val="20"/>
          <w:color w:val="auto"/>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53" w:lineRule="exact"/>
        <w:rPr>
          <w:sz w:val="20"/>
          <w:szCs w:val="20"/>
          <w:color w:val="auto"/>
        </w:rPr>
      </w:pPr>
    </w:p>
    <w:p>
      <w:pPr>
        <w:ind w:right="300" w:firstLine="441"/>
        <w:spacing w:after="0" w:line="271" w:lineRule="auto"/>
        <w:rPr>
          <w:sz w:val="20"/>
          <w:szCs w:val="20"/>
          <w:color w:val="auto"/>
        </w:rPr>
      </w:pPr>
      <w:r>
        <w:rPr>
          <w:rFonts w:ascii="Arial" w:cs="Arial" w:eastAsia="Arial" w:hAnsi="Arial"/>
          <w:sz w:val="20"/>
          <w:szCs w:val="20"/>
          <w:color w:val="auto"/>
        </w:rPr>
        <w:t>The following table lists the dividends paid on the Company’s Class A common stock and Class C common stock during the year ended December 31, 2025:</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260" w:type="dxa"/>
            <w:vAlign w:val="bottom"/>
            <w:gridSpan w:val="2"/>
          </w:tcPr>
          <w:p>
            <w:pPr>
              <w:jc w:val="right"/>
              <w:ind w:right="9"/>
              <w:spacing w:after="0"/>
              <w:rPr>
                <w:sz w:val="20"/>
                <w:szCs w:val="20"/>
                <w:color w:val="auto"/>
              </w:rPr>
            </w:pPr>
            <w:r>
              <w:rPr>
                <w:rFonts w:ascii="Arial" w:cs="Arial" w:eastAsia="Arial" w:hAnsi="Arial"/>
                <w:sz w:val="16"/>
                <w:szCs w:val="16"/>
                <w:b w:val="1"/>
                <w:bCs w:val="1"/>
                <w:color w:val="auto"/>
              </w:rPr>
              <w:t>Fourth Quarter</w:t>
            </w:r>
          </w:p>
        </w:tc>
        <w:tc>
          <w:tcPr>
            <w:tcW w:w="60" w:type="dxa"/>
            <w:vAlign w:val="bottom"/>
          </w:tcPr>
          <w:p>
            <w:pPr>
              <w:spacing w:after="0"/>
              <w:rPr>
                <w:sz w:val="16"/>
                <w:szCs w:val="16"/>
                <w:color w:val="auto"/>
              </w:rPr>
            </w:pPr>
          </w:p>
        </w:tc>
        <w:tc>
          <w:tcPr>
            <w:tcW w:w="1260" w:type="dxa"/>
            <w:vAlign w:val="bottom"/>
            <w:gridSpan w:val="2"/>
          </w:tcPr>
          <w:p>
            <w:pPr>
              <w:jc w:val="right"/>
              <w:ind w:right="49"/>
              <w:spacing w:after="0"/>
              <w:rPr>
                <w:sz w:val="20"/>
                <w:szCs w:val="20"/>
                <w:color w:val="auto"/>
              </w:rPr>
            </w:pPr>
            <w:r>
              <w:rPr>
                <w:rFonts w:ascii="Arial" w:cs="Arial" w:eastAsia="Arial" w:hAnsi="Arial"/>
                <w:sz w:val="16"/>
                <w:szCs w:val="16"/>
                <w:b w:val="1"/>
                <w:bCs w:val="1"/>
                <w:color w:val="auto"/>
              </w:rPr>
              <w:t>Third Quarter</w:t>
            </w:r>
          </w:p>
        </w:tc>
        <w:tc>
          <w:tcPr>
            <w:tcW w:w="80" w:type="dxa"/>
            <w:vAlign w:val="bottom"/>
          </w:tcPr>
          <w:p>
            <w:pPr>
              <w:spacing w:after="0"/>
              <w:rPr>
                <w:sz w:val="16"/>
                <w:szCs w:val="16"/>
                <w:color w:val="auto"/>
              </w:rPr>
            </w:pPr>
          </w:p>
        </w:tc>
        <w:tc>
          <w:tcPr>
            <w:tcW w:w="1240" w:type="dxa"/>
            <w:vAlign w:val="bottom"/>
            <w:gridSpan w:val="2"/>
          </w:tcPr>
          <w:p>
            <w:pPr>
              <w:jc w:val="right"/>
              <w:ind w:right="9"/>
              <w:spacing w:after="0"/>
              <w:rPr>
                <w:sz w:val="20"/>
                <w:szCs w:val="20"/>
                <w:color w:val="auto"/>
              </w:rPr>
            </w:pPr>
            <w:r>
              <w:rPr>
                <w:rFonts w:ascii="Arial" w:cs="Arial" w:eastAsia="Arial" w:hAnsi="Arial"/>
                <w:sz w:val="16"/>
                <w:szCs w:val="16"/>
                <w:b w:val="1"/>
                <w:bCs w:val="1"/>
                <w:color w:val="auto"/>
                <w:w w:val="93"/>
              </w:rPr>
              <w:t>Second Quarter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6"/>
                <w:szCs w:val="16"/>
                <w:b w:val="1"/>
                <w:bCs w:val="1"/>
                <w:color w:val="auto"/>
                <w:w w:val="92"/>
              </w:rPr>
              <w:t>First Quarter</w:t>
            </w:r>
          </w:p>
        </w:tc>
      </w:tr>
      <w:tr>
        <w:trPr>
          <w:trHeight w:val="210"/>
        </w:trPr>
        <w:tc>
          <w:tcPr>
            <w:tcW w:w="4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2025</w:t>
            </w:r>
          </w:p>
        </w:tc>
      </w:tr>
      <w:tr>
        <w:trPr>
          <w:trHeight w:val="270"/>
        </w:trPr>
        <w:tc>
          <w:tcPr>
            <w:tcW w:w="4960" w:type="dxa"/>
            <w:vAlign w:val="bottom"/>
          </w:tcPr>
          <w:p>
            <w:pPr>
              <w:spacing w:after="0"/>
              <w:rPr>
                <w:sz w:val="20"/>
                <w:szCs w:val="20"/>
                <w:color w:val="auto"/>
              </w:rPr>
            </w:pPr>
            <w:r>
              <w:rPr>
                <w:rFonts w:ascii="Arial" w:cs="Arial" w:eastAsia="Arial" w:hAnsi="Arial"/>
                <w:sz w:val="20"/>
                <w:szCs w:val="20"/>
                <w:b w:val="1"/>
                <w:bCs w:val="1"/>
                <w:color w:val="auto"/>
                <w:w w:val="88"/>
              </w:rPr>
              <w:t xml:space="preserve">Dividends per Class A share </w:t>
            </w:r>
            <w:r>
              <w:rPr>
                <w:rFonts w:ascii="Arial" w:cs="Arial" w:eastAsia="Arial" w:hAnsi="Arial"/>
                <w:sz w:val="20"/>
                <w:szCs w:val="20"/>
                <w:b w:val="1"/>
                <w:bCs w:val="1"/>
                <w:color w:val="B4B4B4"/>
                <w:w w:val="88"/>
              </w:rPr>
              <w:t>. . . . . . . . . . . . . . . . . . . . . . . . . .</w:t>
            </w:r>
          </w:p>
        </w:tc>
        <w:tc>
          <w:tcPr>
            <w:tcW w:w="320" w:type="dxa"/>
            <w:vAlign w:val="bottom"/>
          </w:tcPr>
          <w:p>
            <w:pPr>
              <w:jc w:val="right"/>
              <w:ind w:right="7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0.4528</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0.4456</w:t>
            </w:r>
          </w:p>
        </w:tc>
        <w:tc>
          <w:tcPr>
            <w:tcW w:w="38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0.4384</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0.4312</w:t>
            </w:r>
          </w:p>
        </w:tc>
      </w:tr>
      <w:tr>
        <w:trPr>
          <w:trHeight w:val="294"/>
        </w:trPr>
        <w:tc>
          <w:tcPr>
            <w:tcW w:w="4960" w:type="dxa"/>
            <w:vAlign w:val="bottom"/>
          </w:tcPr>
          <w:p>
            <w:pPr>
              <w:spacing w:after="0"/>
              <w:rPr>
                <w:sz w:val="20"/>
                <w:szCs w:val="20"/>
                <w:color w:val="auto"/>
              </w:rPr>
            </w:pPr>
            <w:r>
              <w:rPr>
                <w:rFonts w:ascii="Arial" w:cs="Arial" w:eastAsia="Arial" w:hAnsi="Arial"/>
                <w:sz w:val="20"/>
                <w:szCs w:val="20"/>
                <w:b w:val="1"/>
                <w:bCs w:val="1"/>
                <w:color w:val="auto"/>
                <w:w w:val="88"/>
              </w:rPr>
              <w:t xml:space="preserve">Dividends per Class C share </w:t>
            </w:r>
            <w:r>
              <w:rPr>
                <w:rFonts w:ascii="Arial" w:cs="Arial" w:eastAsia="Arial" w:hAnsi="Arial"/>
                <w:sz w:val="20"/>
                <w:szCs w:val="20"/>
                <w:b w:val="1"/>
                <w:bCs w:val="1"/>
                <w:color w:val="B4B4B4"/>
                <w:w w:val="88"/>
              </w:rPr>
              <w:t>. . . . . . . . . . . . . . . . . . . . . . . . . .</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0.4528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0.4456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0.4384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0.4312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-376555</wp:posOffset>
            </wp:positionV>
            <wp:extent cx="6522085" cy="398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6522085" cy="398780"/>
                    </a:xfrm>
                    <a:prstGeom prst="rect">
                      <a:avLst/>
                    </a:prstGeom>
                    <a:noFill/>
                  </pic:spPr>
                </pic:pic>
              </a:graphicData>
            </a:graphic>
          </wp:anchor>
        </w:drawing>
      </w:r>
    </w:p>
    <w:p>
      <w:pPr>
        <w:spacing w:after="0" w:line="207" w:lineRule="exact"/>
        <w:rPr>
          <w:sz w:val="20"/>
          <w:szCs w:val="20"/>
          <w:color w:val="auto"/>
        </w:rPr>
      </w:pPr>
    </w:p>
    <w:p>
      <w:pPr>
        <w:ind w:right="180" w:firstLine="441"/>
        <w:spacing w:after="0" w:line="271" w:lineRule="auto"/>
        <w:rPr>
          <w:sz w:val="20"/>
          <w:szCs w:val="20"/>
          <w:color w:val="auto"/>
        </w:rPr>
      </w:pPr>
      <w:r>
        <w:rPr>
          <w:rFonts w:ascii="Arial" w:cs="Arial" w:eastAsia="Arial" w:hAnsi="Arial"/>
          <w:sz w:val="20"/>
          <w:szCs w:val="20"/>
          <w:color w:val="auto"/>
        </w:rPr>
        <w:t>On February 17, 2026, the Company declared a quarterly dividend on its Class A and Class C common stock of $0.4602 per share payable on March 16, 2026 to stockholders of record as of March 2, 2026.</w:t>
      </w:r>
    </w:p>
    <w:p>
      <w:pPr>
        <w:sectPr>
          <w:pgSz w:w="11880" w:h="15480" w:orient="portrait"/>
          <w:cols w:equalWidth="0" w:num="1">
            <w:col w:w="10220"/>
          </w:cols>
          <w:pgMar w:left="920" w:top="583"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0220"/>
          </w:cols>
          <w:pgMar w:left="920" w:top="583" w:right="74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Cash Flow Discussion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tables reflect the changes in cash flows for the comparative periods: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7"/>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w w:val="84"/>
              </w:rPr>
              <w:t>2024</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5"/>
          </w:tcPr>
          <w:p>
            <w:pPr>
              <w:jc w:val="right"/>
              <w:ind w:right="152"/>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560" w:type="dxa"/>
            <w:vAlign w:val="bottom"/>
          </w:tcPr>
          <w:p>
            <w:pPr>
              <w:spacing w:after="0"/>
              <w:rPr>
                <w:sz w:val="20"/>
                <w:szCs w:val="20"/>
                <w:color w:val="auto"/>
              </w:rPr>
            </w:pPr>
            <w:r>
              <w:rPr>
                <w:rFonts w:ascii="Arial" w:cs="Arial" w:eastAsia="Arial" w:hAnsi="Arial"/>
                <w:sz w:val="20"/>
                <w:szCs w:val="20"/>
                <w:color w:val="auto"/>
                <w:w w:val="90"/>
              </w:rPr>
              <w:t xml:space="preserve">Net cash provided by operating activities </w:t>
            </w:r>
            <w:r>
              <w:rPr>
                <w:rFonts w:ascii="Arial" w:cs="Arial" w:eastAsia="Arial" w:hAnsi="Arial"/>
                <w:sz w:val="20"/>
                <w:szCs w:val="20"/>
                <w:color w:val="B4B4B4"/>
                <w:w w:val="90"/>
              </w:rPr>
              <w:t>. . . . . . . . . . . . . . . . . . . . . . . . . . . . . . . . .</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688</w:t>
            </w:r>
          </w:p>
        </w:tc>
        <w:tc>
          <w:tcPr>
            <w:tcW w:w="4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770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79"/>
        </w:trPr>
        <w:tc>
          <w:tcPr>
            <w:tcW w:w="6560" w:type="dxa"/>
            <w:vAlign w:val="bottom"/>
          </w:tcPr>
          <w:p>
            <w:pPr>
              <w:spacing w:after="0"/>
              <w:rPr>
                <w:sz w:val="20"/>
                <w:szCs w:val="20"/>
                <w:color w:val="auto"/>
              </w:rPr>
            </w:pPr>
            <w:r>
              <w:rPr>
                <w:rFonts w:ascii="Arial" w:cs="Arial" w:eastAsia="Arial" w:hAnsi="Arial"/>
                <w:sz w:val="20"/>
                <w:szCs w:val="20"/>
                <w:color w:val="auto"/>
                <w:w w:val="89"/>
              </w:rPr>
              <w:t xml:space="preserve">Net cash used in investing activities </w:t>
            </w:r>
            <w:r>
              <w:rPr>
                <w:rFonts w:ascii="Arial" w:cs="Arial" w:eastAsia="Arial" w:hAnsi="Arial"/>
                <w:sz w:val="20"/>
                <w:szCs w:val="20"/>
                <w:color w:val="B4B4B4"/>
                <w:w w:val="89"/>
              </w:rPr>
              <w:t>. . . . . . . . . . . . . . . . . . . . . . . . . . . . . . . . . . . . .</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(803)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(725)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79"/>
        </w:trPr>
        <w:tc>
          <w:tcPr>
            <w:tcW w:w="6560" w:type="dxa"/>
            <w:vAlign w:val="bottom"/>
          </w:tcPr>
          <w:p>
            <w:pPr>
              <w:spacing w:after="0"/>
              <w:rPr>
                <w:sz w:val="20"/>
                <w:szCs w:val="20"/>
                <w:color w:val="auto"/>
              </w:rPr>
            </w:pPr>
            <w:r>
              <w:rPr>
                <w:rFonts w:ascii="Arial" w:cs="Arial" w:eastAsia="Arial" w:hAnsi="Arial"/>
                <w:sz w:val="20"/>
                <w:szCs w:val="20"/>
                <w:color w:val="auto"/>
                <w:w w:val="90"/>
              </w:rPr>
              <w:t xml:space="preserve">Net cash provided by (used in) financing activities  </w:t>
            </w:r>
            <w:r>
              <w:rPr>
                <w:rFonts w:ascii="Arial" w:cs="Arial" w:eastAsia="Arial" w:hAnsi="Arial"/>
                <w:sz w:val="20"/>
                <w:szCs w:val="20"/>
                <w:color w:val="B4B4B4"/>
                <w:w w:val="90"/>
              </w:rPr>
              <w:t>. . . . . . . . . . . . . . . . . . . . . . . . .</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20"/>
                <w:szCs w:val="20"/>
                <w:color w:val="auto"/>
              </w:rPr>
              <w:t>(363)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563</w:t>
            </w:r>
          </w:p>
        </w:tc>
        <w:tc>
          <w:tcPr>
            <w:tcW w:w="0" w:type="dxa"/>
            <w:vAlign w:val="bottom"/>
          </w:tcPr>
          <w:p>
            <w:pPr>
              <w:spacing w:after="0"/>
              <w:rPr>
                <w:sz w:val="1"/>
                <w:szCs w:val="1"/>
                <w:color w:val="auto"/>
              </w:rPr>
            </w:pPr>
          </w:p>
        </w:tc>
      </w:tr>
      <w:tr>
        <w:trPr>
          <w:trHeight w:val="479"/>
        </w:trPr>
        <w:tc>
          <w:tcPr>
            <w:tcW w:w="6560" w:type="dxa"/>
            <w:vAlign w:val="bottom"/>
          </w:tcPr>
          <w:p>
            <w:pPr>
              <w:ind w:left="400"/>
              <w:spacing w:after="0"/>
              <w:rPr>
                <w:sz w:val="20"/>
                <w:szCs w:val="20"/>
                <w:color w:val="auto"/>
              </w:rPr>
            </w:pPr>
            <w:r>
              <w:rPr>
                <w:rFonts w:ascii="Arial" w:cs="Arial" w:eastAsia="Arial" w:hAnsi="Arial"/>
                <w:sz w:val="20"/>
                <w:szCs w:val="20"/>
                <w:b w:val="1"/>
                <w:bCs w:val="1"/>
                <w:i w:val="1"/>
                <w:iCs w:val="1"/>
                <w:color w:val="auto"/>
              </w:rPr>
              <w:t>Net Cash Provided by Operating Activities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560" w:type="dxa"/>
            <w:vAlign w:val="bottom"/>
          </w:tcPr>
          <w:p>
            <w:pPr>
              <w:spacing w:after="0"/>
              <w:rPr>
                <w:sz w:val="20"/>
                <w:szCs w:val="20"/>
                <w:color w:val="auto"/>
              </w:rPr>
            </w:pPr>
            <w:r>
              <w:rPr>
                <w:rFonts w:ascii="Arial" w:cs="Arial" w:eastAsia="Arial" w:hAnsi="Arial"/>
                <w:sz w:val="20"/>
                <w:szCs w:val="20"/>
                <w:color w:val="auto"/>
              </w:rPr>
              <w:t>Changes to net cash provided by operating activities were driven by:</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85"/>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90"/>
              </w:rPr>
              <w:t xml:space="preserve">Buy-out of the Mt. Storm commodity contract in 2025 </w:t>
            </w:r>
            <w:r>
              <w:rPr>
                <w:rFonts w:ascii="Arial" w:cs="Arial" w:eastAsia="Arial" w:hAnsi="Arial"/>
                <w:sz w:val="20"/>
                <w:szCs w:val="20"/>
                <w:color w:val="B4B4B4"/>
                <w:w w:val="90"/>
              </w:rPr>
              <w:t>. . . . . . . . . . . . . . . . . .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460" w:type="dxa"/>
            <w:vAlign w:val="bottom"/>
            <w:gridSpan w:val="2"/>
          </w:tcPr>
          <w:p>
            <w:pPr>
              <w:ind w:left="40"/>
              <w:spacing w:after="0"/>
              <w:rPr>
                <w:sz w:val="20"/>
                <w:szCs w:val="20"/>
                <w:color w:val="auto"/>
              </w:rPr>
            </w:pPr>
            <w:r>
              <w:rPr>
                <w:rFonts w:ascii="Arial" w:cs="Arial" w:eastAsia="Arial" w:hAnsi="Arial"/>
                <w:sz w:val="20"/>
                <w:szCs w:val="20"/>
                <w:color w:val="B4B4B4"/>
                <w:w w:val="79"/>
              </w:rPr>
              <w:t>. . . . .</w:t>
            </w:r>
          </w:p>
        </w:tc>
        <w:tc>
          <w:tcPr>
            <w:tcW w:w="820" w:type="dxa"/>
            <w:vAlign w:val="bottom"/>
            <w:gridSpan w:val="4"/>
          </w:tcPr>
          <w:p>
            <w:pPr>
              <w:jc w:val="right"/>
              <w:spacing w:after="0"/>
              <w:rPr>
                <w:sz w:val="20"/>
                <w:szCs w:val="20"/>
                <w:color w:val="auto"/>
              </w:rPr>
            </w:pPr>
            <w:r>
              <w:rPr>
                <w:rFonts w:ascii="Arial" w:cs="Arial" w:eastAsia="Arial" w:hAnsi="Arial"/>
                <w:sz w:val="20"/>
                <w:szCs w:val="20"/>
                <w:color w:val="B4B4B4"/>
              </w:rPr>
              <w:t xml:space="preserve">. . . . . . </w:t>
            </w:r>
            <w:r>
              <w:rPr>
                <w:rFonts w:ascii="Arial" w:cs="Arial" w:eastAsia="Arial" w:hAnsi="Arial"/>
                <w:sz w:val="20"/>
                <w:szCs w:val="20"/>
                <w:color w:val="000000"/>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94"/>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89"/>
              </w:rPr>
              <w:t xml:space="preserve">Decrease in operating income after adjusting for non-cash items </w:t>
            </w:r>
            <w:r>
              <w:rPr>
                <w:rFonts w:ascii="Arial" w:cs="Arial" w:eastAsia="Arial" w:hAnsi="Arial"/>
                <w:sz w:val="20"/>
                <w:szCs w:val="20"/>
                <w:color w:val="B4B4B4"/>
                <w:w w:val="89"/>
              </w:rPr>
              <w:t>. . . . . . . . . .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94"/>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90"/>
              </w:rPr>
              <w:t xml:space="preserve">Decrease in distributions from unconsolidated affiliates </w:t>
            </w:r>
            <w:r>
              <w:rPr>
                <w:rFonts w:ascii="Arial" w:cs="Arial" w:eastAsia="Arial" w:hAnsi="Arial"/>
                <w:sz w:val="20"/>
                <w:szCs w:val="20"/>
                <w:color w:val="B4B4B4"/>
                <w:w w:val="90"/>
              </w:rPr>
              <w:t>. . . . . . . . . . . . . . . . .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31"/>
        </w:trPr>
        <w:tc>
          <w:tcPr>
            <w:tcW w:w="8940" w:type="dxa"/>
            <w:vAlign w:val="bottom"/>
            <w:gridSpan w:val="9"/>
          </w:tcPr>
          <w:p>
            <w:pPr>
              <w:ind w:left="120"/>
              <w:spacing w:after="0"/>
              <w:rPr>
                <w:sz w:val="20"/>
                <w:szCs w:val="20"/>
                <w:color w:val="auto"/>
              </w:rPr>
            </w:pPr>
            <w:r>
              <w:rPr>
                <w:rFonts w:ascii="Arial" w:cs="Arial" w:eastAsia="Arial" w:hAnsi="Arial"/>
                <w:sz w:val="20"/>
                <w:szCs w:val="20"/>
                <w:color w:val="auto"/>
                <w:w w:val="92"/>
              </w:rPr>
              <w:t>Increase in working capital primarily driven by the timing of accounts receivable collections and payments of</w:t>
            </w: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58"/>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89"/>
              </w:rPr>
              <w:t xml:space="preserve">current liabilities, including accounts payable and current income taxes </w:t>
            </w:r>
            <w:r>
              <w:rPr>
                <w:rFonts w:ascii="Arial" w:cs="Arial" w:eastAsia="Arial" w:hAnsi="Arial"/>
                <w:sz w:val="20"/>
                <w:szCs w:val="20"/>
                <w:color w:val="B4B4B4"/>
                <w:w w:val="89"/>
              </w:rPr>
              <w:t>. . . . . . . . . . .</w:t>
            </w:r>
          </w:p>
        </w:tc>
        <w:tc>
          <w:tcPr>
            <w:tcW w:w="1980" w:type="dxa"/>
            <w:vAlign w:val="bottom"/>
            <w:gridSpan w:val="4"/>
          </w:tcPr>
          <w:p>
            <w:pPr>
              <w:ind w:left="20"/>
              <w:spacing w:after="0"/>
              <w:rPr>
                <w:sz w:val="20"/>
                <w:szCs w:val="20"/>
                <w:color w:val="auto"/>
              </w:rPr>
            </w:pPr>
            <w:r>
              <w:rPr>
                <w:rFonts w:ascii="Arial" w:cs="Arial" w:eastAsia="Arial" w:hAnsi="Arial"/>
                <w:sz w:val="20"/>
                <w:szCs w:val="20"/>
                <w:color w:val="B4B4B4"/>
                <w:w w:val="89"/>
              </w:rPr>
              <w:t>. . . . . . . . . . . . . . . . . . . .</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400"/>
              <w:spacing w:after="0"/>
              <w:rPr>
                <w:sz w:val="20"/>
                <w:szCs w:val="20"/>
                <w:color w:val="auto"/>
              </w:rPr>
            </w:pPr>
            <w:r>
              <w:rPr>
                <w:rFonts w:ascii="Arial" w:cs="Arial" w:eastAsia="Arial" w:hAnsi="Arial"/>
                <w:sz w:val="20"/>
                <w:szCs w:val="20"/>
                <w:b w:val="1"/>
                <w:bCs w:val="1"/>
                <w:i w:val="1"/>
                <w:iCs w:val="1"/>
                <w:color w:val="auto"/>
              </w:rPr>
              <w:t>Net Cash Used In Investing Activities</w:t>
            </w: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560" w:type="dxa"/>
            <w:vAlign w:val="bottom"/>
          </w:tcPr>
          <w:p>
            <w:pPr>
              <w:spacing w:after="0"/>
              <w:rPr>
                <w:sz w:val="20"/>
                <w:szCs w:val="20"/>
                <w:color w:val="auto"/>
              </w:rPr>
            </w:pPr>
            <w:r>
              <w:rPr>
                <w:rFonts w:ascii="Arial" w:cs="Arial" w:eastAsia="Arial" w:hAnsi="Arial"/>
                <w:sz w:val="20"/>
                <w:szCs w:val="20"/>
                <w:color w:val="auto"/>
              </w:rPr>
              <w:t>Changes to net cash used in investing activities were driven by:</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70"/>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89"/>
              </w:rPr>
              <w:t xml:space="preserve">Cash paid for third-party acquisitions, net of cash acquired, in 2025  </w:t>
            </w:r>
            <w:r>
              <w:rPr>
                <w:rFonts w:ascii="Arial" w:cs="Arial" w:eastAsia="Arial" w:hAnsi="Arial"/>
                <w:sz w:val="20"/>
                <w:szCs w:val="20"/>
                <w:color w:val="B4B4B4"/>
                <w:w w:val="89"/>
              </w:rPr>
              <w:t>. . . . . . .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460" w:type="dxa"/>
            <w:vAlign w:val="bottom"/>
            <w:gridSpan w:val="2"/>
          </w:tcPr>
          <w:p>
            <w:pPr>
              <w:ind w:left="40"/>
              <w:spacing w:after="0"/>
              <w:rPr>
                <w:sz w:val="20"/>
                <w:szCs w:val="20"/>
                <w:color w:val="auto"/>
              </w:rPr>
            </w:pPr>
            <w:r>
              <w:rPr>
                <w:rFonts w:ascii="Arial" w:cs="Arial" w:eastAsia="Arial" w:hAnsi="Arial"/>
                <w:sz w:val="20"/>
                <w:szCs w:val="20"/>
                <w:color w:val="B4B4B4"/>
                <w:w w:val="79"/>
              </w:rPr>
              <w:t>. . . . .</w:t>
            </w:r>
          </w:p>
        </w:tc>
        <w:tc>
          <w:tcPr>
            <w:tcW w:w="820" w:type="dxa"/>
            <w:vAlign w:val="bottom"/>
            <w:gridSpan w:val="4"/>
          </w:tcPr>
          <w:p>
            <w:pPr>
              <w:jc w:val="right"/>
              <w:spacing w:after="0"/>
              <w:rPr>
                <w:sz w:val="20"/>
                <w:szCs w:val="20"/>
                <w:color w:val="auto"/>
              </w:rPr>
            </w:pPr>
            <w:r>
              <w:rPr>
                <w:rFonts w:ascii="Arial" w:cs="Arial" w:eastAsia="Arial" w:hAnsi="Arial"/>
                <w:sz w:val="20"/>
                <w:szCs w:val="20"/>
                <w:color w:val="B4B4B4"/>
              </w:rPr>
              <w:t xml:space="preserve">. . . . . . </w:t>
            </w:r>
            <w:r>
              <w:rPr>
                <w:rFonts w:ascii="Arial" w:cs="Arial" w:eastAsia="Arial" w:hAnsi="Arial"/>
                <w:sz w:val="20"/>
                <w:szCs w:val="20"/>
                <w:color w:val="000000"/>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(324)</w:t>
            </w:r>
          </w:p>
        </w:tc>
        <w:tc>
          <w:tcPr>
            <w:tcW w:w="0" w:type="dxa"/>
            <w:vAlign w:val="bottom"/>
          </w:tcPr>
          <w:p>
            <w:pPr>
              <w:spacing w:after="0"/>
              <w:rPr>
                <w:sz w:val="1"/>
                <w:szCs w:val="1"/>
                <w:color w:val="auto"/>
              </w:rPr>
            </w:pPr>
          </w:p>
        </w:tc>
      </w:tr>
      <w:tr>
        <w:trPr>
          <w:trHeight w:val="294"/>
        </w:trPr>
        <w:tc>
          <w:tcPr>
            <w:tcW w:w="8940" w:type="dxa"/>
            <w:vAlign w:val="bottom"/>
            <w:gridSpan w:val="9"/>
          </w:tcPr>
          <w:p>
            <w:pPr>
              <w:ind w:left="120"/>
              <w:spacing w:after="0"/>
              <w:rPr>
                <w:sz w:val="20"/>
                <w:szCs w:val="20"/>
                <w:color w:val="auto"/>
              </w:rPr>
            </w:pPr>
            <w:r>
              <w:rPr>
                <w:rFonts w:ascii="Arial" w:cs="Arial" w:eastAsia="Arial" w:hAnsi="Arial"/>
                <w:sz w:val="20"/>
                <w:szCs w:val="20"/>
                <w:color w:val="auto"/>
                <w:w w:val="91"/>
              </w:rPr>
              <w:t>Repayment of note receivable – affiliate in 2024 related to the Rosie Class B loan issued to Clearway Renew</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(184)</w:t>
            </w:r>
          </w:p>
        </w:tc>
        <w:tc>
          <w:tcPr>
            <w:tcW w:w="0" w:type="dxa"/>
            <w:vAlign w:val="bottom"/>
          </w:tcPr>
          <w:p>
            <w:pPr>
              <w:spacing w:after="0"/>
              <w:rPr>
                <w:sz w:val="1"/>
                <w:szCs w:val="1"/>
                <w:color w:val="auto"/>
              </w:rPr>
            </w:pPr>
          </w:p>
        </w:tc>
      </w:tr>
      <w:tr>
        <w:trPr>
          <w:trHeight w:val="294"/>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88"/>
              </w:rPr>
              <w:t xml:space="preserve">Increase in capital expenditures </w:t>
            </w:r>
            <w:r>
              <w:rPr>
                <w:rFonts w:ascii="Arial" w:cs="Arial" w:eastAsia="Arial" w:hAnsi="Arial"/>
                <w:sz w:val="20"/>
                <w:szCs w:val="20"/>
                <w:color w:val="B4B4B4"/>
                <w:w w:val="88"/>
              </w:rPr>
              <w:t>. . . . . . . . . . . . . . . . . . . . . . . . . . . . . . . . . . . .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31"/>
        </w:trPr>
        <w:tc>
          <w:tcPr>
            <w:tcW w:w="8120" w:type="dxa"/>
            <w:vAlign w:val="bottom"/>
            <w:gridSpan w:val="5"/>
          </w:tcPr>
          <w:p>
            <w:pPr>
              <w:ind w:left="120"/>
              <w:spacing w:after="0"/>
              <w:rPr>
                <w:sz w:val="20"/>
                <w:szCs w:val="20"/>
                <w:color w:val="auto"/>
              </w:rPr>
            </w:pPr>
            <w:r>
              <w:rPr>
                <w:rFonts w:ascii="Arial" w:cs="Arial" w:eastAsia="Arial" w:hAnsi="Arial"/>
                <w:sz w:val="20"/>
                <w:szCs w:val="20"/>
                <w:color w:val="auto"/>
                <w:w w:val="88"/>
              </w:rPr>
              <w:t>Payment for equipment deposit and asset purchase from affiliate in 2025 related to the Goat Mountain</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55"/>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89"/>
              </w:rPr>
              <w:t xml:space="preserve">repowering </w:t>
            </w:r>
            <w:r>
              <w:rPr>
                <w:rFonts w:ascii="Arial" w:cs="Arial" w:eastAsia="Arial" w:hAnsi="Arial"/>
                <w:sz w:val="20"/>
                <w:szCs w:val="20"/>
                <w:color w:val="B4B4B4"/>
                <w:w w:val="89"/>
              </w:rPr>
              <w:t>. . . . . . . . . . . . . . . . . . . . . . . . . . . . . . . . . . . . . . . . . . . . . . . . . . . .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89"/>
              </w:rPr>
              <w:t xml:space="preserve">Decrease in the return of investment from unconsolidated affiliates </w:t>
            </w:r>
            <w:r>
              <w:rPr>
                <w:rFonts w:ascii="Arial" w:cs="Arial" w:eastAsia="Arial" w:hAnsi="Arial"/>
                <w:sz w:val="20"/>
                <w:szCs w:val="20"/>
                <w:color w:val="B4B4B4"/>
                <w:w w:val="89"/>
              </w:rPr>
              <w:t>. . . . . . . .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94"/>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88"/>
              </w:rPr>
              <w:t xml:space="preserve">Decrease in cash paid for Drop Down Assets, net of cash acquired  </w:t>
            </w:r>
            <w:r>
              <w:rPr>
                <w:rFonts w:ascii="Arial" w:cs="Arial" w:eastAsia="Arial" w:hAnsi="Arial"/>
                <w:sz w:val="20"/>
                <w:szCs w:val="20"/>
                <w:color w:val="B4B4B4"/>
                <w:w w:val="88"/>
              </w:rPr>
              <w:t>. . . . . . . .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360</w:t>
            </w:r>
          </w:p>
        </w:tc>
        <w:tc>
          <w:tcPr>
            <w:tcW w:w="0" w:type="dxa"/>
            <w:vAlign w:val="bottom"/>
          </w:tcPr>
          <w:p>
            <w:pPr>
              <w:spacing w:after="0"/>
              <w:rPr>
                <w:sz w:val="1"/>
                <w:szCs w:val="1"/>
                <w:color w:val="auto"/>
              </w:rPr>
            </w:pPr>
          </w:p>
        </w:tc>
      </w:tr>
      <w:tr>
        <w:trPr>
          <w:trHeight w:val="294"/>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88"/>
              </w:rPr>
              <w:t xml:space="preserve">Proceeds from transfer of assets in 2025 related to the Mt. Storm sale </w:t>
            </w:r>
            <w:r>
              <w:rPr>
                <w:rFonts w:ascii="Arial" w:cs="Arial" w:eastAsia="Arial" w:hAnsi="Arial"/>
                <w:sz w:val="20"/>
                <w:szCs w:val="20"/>
                <w:color w:val="B4B4B4"/>
                <w:w w:val="88"/>
              </w:rPr>
              <w:t>. . . . . .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152</w:t>
            </w:r>
          </w:p>
        </w:tc>
        <w:tc>
          <w:tcPr>
            <w:tcW w:w="0" w:type="dxa"/>
            <w:vAlign w:val="bottom"/>
          </w:tcPr>
          <w:p>
            <w:pPr>
              <w:spacing w:after="0"/>
              <w:rPr>
                <w:sz w:val="1"/>
                <w:szCs w:val="1"/>
                <w:color w:val="auto"/>
              </w:rPr>
            </w:pPr>
          </w:p>
        </w:tc>
      </w:tr>
      <w:tr>
        <w:trPr>
          <w:trHeight w:val="298"/>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88"/>
              </w:rPr>
              <w:t xml:space="preserve">Other </w:t>
            </w:r>
            <w:r>
              <w:rPr>
                <w:rFonts w:ascii="Arial" w:cs="Arial" w:eastAsia="Arial" w:hAnsi="Arial"/>
                <w:sz w:val="20"/>
                <w:szCs w:val="20"/>
                <w:color w:val="B4B4B4"/>
                <w:w w:val="88"/>
              </w:rPr>
              <w:t>. . . . . . . . . . . . . . . . . . . . . . . . . . . . . . . . . . . . . . . . . . . . . . . . . . . . . . . . .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54"/>
        </w:trPr>
        <w:tc>
          <w:tcPr>
            <w:tcW w:w="6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400"/>
              <w:spacing w:after="0"/>
              <w:rPr>
                <w:sz w:val="20"/>
                <w:szCs w:val="20"/>
                <w:color w:val="auto"/>
              </w:rPr>
            </w:pPr>
            <w:r>
              <w:rPr>
                <w:rFonts w:ascii="Arial" w:cs="Arial" w:eastAsia="Arial" w:hAnsi="Arial"/>
                <w:sz w:val="20"/>
                <w:szCs w:val="20"/>
                <w:b w:val="1"/>
                <w:bCs w:val="1"/>
                <w:i w:val="1"/>
                <w:iCs w:val="1"/>
                <w:color w:val="auto"/>
              </w:rPr>
              <w:t>Net Cash Provided by (Used in) Financing Activities</w:t>
            </w: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560" w:type="dxa"/>
            <w:vAlign w:val="bottom"/>
          </w:tcPr>
          <w:p>
            <w:pPr>
              <w:spacing w:after="0"/>
              <w:rPr>
                <w:sz w:val="20"/>
                <w:szCs w:val="20"/>
                <w:color w:val="auto"/>
              </w:rPr>
            </w:pPr>
            <w:r>
              <w:rPr>
                <w:rFonts w:ascii="Arial" w:cs="Arial" w:eastAsia="Arial" w:hAnsi="Arial"/>
                <w:sz w:val="20"/>
                <w:szCs w:val="20"/>
                <w:color w:val="auto"/>
                <w:w w:val="95"/>
              </w:rPr>
              <w:t>Changes in net cash provided by (used in) financing activities were driven by:</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70"/>
        </w:trPr>
        <w:tc>
          <w:tcPr>
            <w:tcW w:w="8120" w:type="dxa"/>
            <w:vAlign w:val="bottom"/>
            <w:gridSpan w:val="5"/>
          </w:tcPr>
          <w:p>
            <w:pPr>
              <w:ind w:left="120"/>
              <w:spacing w:after="0"/>
              <w:rPr>
                <w:sz w:val="20"/>
                <w:szCs w:val="20"/>
                <w:color w:val="auto"/>
              </w:rPr>
            </w:pPr>
            <w:r>
              <w:rPr>
                <w:rFonts w:ascii="Arial" w:cs="Arial" w:eastAsia="Arial" w:hAnsi="Arial"/>
                <w:sz w:val="20"/>
                <w:szCs w:val="20"/>
                <w:color w:val="auto"/>
                <w:w w:val="88"/>
              </w:rPr>
              <w:t xml:space="preserve">Decrease in payments for long-term debt and increase in proceeds from issuance of long-term debt  </w:t>
            </w:r>
            <w:r>
              <w:rPr>
                <w:rFonts w:ascii="Arial" w:cs="Arial" w:eastAsia="Arial" w:hAnsi="Arial"/>
                <w:sz w:val="20"/>
                <w:szCs w:val="20"/>
                <w:color w:val="B4B4B4"/>
                <w:w w:val="88"/>
              </w:rPr>
              <w:t>. .</w:t>
            </w:r>
          </w:p>
        </w:tc>
        <w:tc>
          <w:tcPr>
            <w:tcW w:w="820" w:type="dxa"/>
            <w:vAlign w:val="bottom"/>
            <w:gridSpan w:val="4"/>
          </w:tcPr>
          <w:p>
            <w:pPr>
              <w:jc w:val="right"/>
              <w:spacing w:after="0"/>
              <w:rPr>
                <w:sz w:val="20"/>
                <w:szCs w:val="20"/>
                <w:color w:val="auto"/>
              </w:rPr>
            </w:pPr>
            <w:r>
              <w:rPr>
                <w:rFonts w:ascii="Arial" w:cs="Arial" w:eastAsia="Arial" w:hAnsi="Arial"/>
                <w:sz w:val="20"/>
                <w:szCs w:val="20"/>
                <w:color w:val="B4B4B4"/>
              </w:rPr>
              <w:t xml:space="preserve">. . . . . . </w:t>
            </w:r>
            <w:r>
              <w:rPr>
                <w:rFonts w:ascii="Arial" w:cs="Arial" w:eastAsia="Arial" w:hAnsi="Arial"/>
                <w:sz w:val="20"/>
                <w:szCs w:val="20"/>
                <w:color w:val="000000"/>
              </w:rPr>
              <w:t>$</w:t>
            </w: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557</w:t>
            </w:r>
          </w:p>
        </w:tc>
        <w:tc>
          <w:tcPr>
            <w:tcW w:w="0" w:type="dxa"/>
            <w:vAlign w:val="bottom"/>
          </w:tcPr>
          <w:p>
            <w:pPr>
              <w:spacing w:after="0"/>
              <w:rPr>
                <w:sz w:val="1"/>
                <w:szCs w:val="1"/>
                <w:color w:val="auto"/>
              </w:rPr>
            </w:pPr>
          </w:p>
        </w:tc>
      </w:tr>
      <w:tr>
        <w:trPr>
          <w:trHeight w:val="294"/>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90"/>
              </w:rPr>
              <w:t xml:space="preserve">Proceeds from the revolving credit facility, net of payments in 2025 </w:t>
            </w:r>
            <w:r>
              <w:rPr>
                <w:rFonts w:ascii="Arial" w:cs="Arial" w:eastAsia="Arial" w:hAnsi="Arial"/>
                <w:sz w:val="20"/>
                <w:szCs w:val="20"/>
                <w:color w:val="B4B4B4"/>
                <w:w w:val="90"/>
              </w:rPr>
              <w:t>. . . . . . .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361</w:t>
            </w:r>
          </w:p>
        </w:tc>
        <w:tc>
          <w:tcPr>
            <w:tcW w:w="0" w:type="dxa"/>
            <w:vAlign w:val="bottom"/>
          </w:tcPr>
          <w:p>
            <w:pPr>
              <w:spacing w:after="0"/>
              <w:rPr>
                <w:sz w:val="1"/>
                <w:szCs w:val="1"/>
                <w:color w:val="auto"/>
              </w:rPr>
            </w:pPr>
          </w:p>
        </w:tc>
      </w:tr>
      <w:tr>
        <w:trPr>
          <w:trHeight w:val="294"/>
        </w:trPr>
        <w:tc>
          <w:tcPr>
            <w:tcW w:w="8780" w:type="dxa"/>
            <w:vAlign w:val="bottom"/>
            <w:gridSpan w:val="6"/>
          </w:tcPr>
          <w:p>
            <w:pPr>
              <w:ind w:left="120"/>
              <w:spacing w:after="0"/>
              <w:rPr>
                <w:sz w:val="20"/>
                <w:szCs w:val="20"/>
                <w:color w:val="auto"/>
              </w:rPr>
            </w:pPr>
            <w:r>
              <w:rPr>
                <w:rFonts w:ascii="Arial" w:cs="Arial" w:eastAsia="Arial" w:hAnsi="Arial"/>
                <w:sz w:val="20"/>
                <w:szCs w:val="20"/>
                <w:color w:val="auto"/>
                <w:w w:val="89"/>
              </w:rPr>
              <w:t xml:space="preserve">Proceeds from the issuance of Class C common stock under the ATM Program and DSPP in 2025 </w:t>
            </w:r>
            <w:r>
              <w:rPr>
                <w:rFonts w:ascii="Arial" w:cs="Arial" w:eastAsia="Arial" w:hAnsi="Arial"/>
                <w:sz w:val="20"/>
                <w:szCs w:val="20"/>
                <w:color w:val="B4B4B4"/>
                <w:w w:val="89"/>
              </w:rPr>
              <w:t>. . .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94"/>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87"/>
              </w:rPr>
              <w:t xml:space="preserve">Decrease in payments of debt issuance costs </w:t>
            </w:r>
            <w:r>
              <w:rPr>
                <w:rFonts w:ascii="Arial" w:cs="Arial" w:eastAsia="Arial" w:hAnsi="Arial"/>
                <w:sz w:val="20"/>
                <w:szCs w:val="20"/>
                <w:color w:val="B4B4B4"/>
                <w:w w:val="87"/>
              </w:rPr>
              <w:t>. . . . . . . . . . . . . . . . . . . . . . . . . .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94"/>
        </w:trPr>
        <w:tc>
          <w:tcPr>
            <w:tcW w:w="8780" w:type="dxa"/>
            <w:vAlign w:val="bottom"/>
            <w:gridSpan w:val="6"/>
          </w:tcPr>
          <w:p>
            <w:pPr>
              <w:ind w:left="120"/>
              <w:spacing w:after="0"/>
              <w:rPr>
                <w:sz w:val="20"/>
                <w:szCs w:val="20"/>
                <w:color w:val="auto"/>
              </w:rPr>
            </w:pPr>
            <w:r>
              <w:rPr>
                <w:rFonts w:ascii="Arial" w:cs="Arial" w:eastAsia="Arial" w:hAnsi="Arial"/>
                <w:sz w:val="20"/>
                <w:szCs w:val="20"/>
                <w:color w:val="auto"/>
                <w:w w:val="89"/>
              </w:rPr>
              <w:t xml:space="preserve">Decrease in buyouts of noncontrolling interest and redeemable noncontrolling interest </w:t>
            </w:r>
            <w:r>
              <w:rPr>
                <w:rFonts w:ascii="Arial" w:cs="Arial" w:eastAsia="Arial" w:hAnsi="Arial"/>
                <w:sz w:val="20"/>
                <w:szCs w:val="20"/>
                <w:color w:val="B4B4B4"/>
                <w:w w:val="89"/>
              </w:rPr>
              <w:t>. . . . . . . . . . . . .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94"/>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90"/>
              </w:rPr>
              <w:t xml:space="preserve">Decrease in contributions from noncontrolling interests, net of distributions </w:t>
            </w:r>
            <w:r>
              <w:rPr>
                <w:rFonts w:ascii="Arial" w:cs="Arial" w:eastAsia="Arial" w:hAnsi="Arial"/>
                <w:sz w:val="20"/>
                <w:szCs w:val="20"/>
                <w:color w:val="B4B4B4"/>
                <w:w w:val="90"/>
              </w:rPr>
              <w:t>.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(369)</w:t>
            </w:r>
          </w:p>
        </w:tc>
        <w:tc>
          <w:tcPr>
            <w:tcW w:w="0" w:type="dxa"/>
            <w:vAlign w:val="bottom"/>
          </w:tcPr>
          <w:p>
            <w:pPr>
              <w:spacing w:after="0"/>
              <w:rPr>
                <w:sz w:val="1"/>
                <w:szCs w:val="1"/>
                <w:color w:val="auto"/>
              </w:rPr>
            </w:pPr>
          </w:p>
        </w:tc>
      </w:tr>
      <w:tr>
        <w:trPr>
          <w:trHeight w:val="294"/>
        </w:trPr>
        <w:tc>
          <w:tcPr>
            <w:tcW w:w="7660" w:type="dxa"/>
            <w:vAlign w:val="bottom"/>
            <w:gridSpan w:val="3"/>
          </w:tcPr>
          <w:p>
            <w:pPr>
              <w:ind w:left="120"/>
              <w:spacing w:after="0"/>
              <w:rPr>
                <w:sz w:val="20"/>
                <w:szCs w:val="20"/>
                <w:color w:val="auto"/>
              </w:rPr>
            </w:pPr>
            <w:r>
              <w:rPr>
                <w:rFonts w:ascii="Arial" w:cs="Arial" w:eastAsia="Arial" w:hAnsi="Arial"/>
                <w:sz w:val="20"/>
                <w:szCs w:val="20"/>
                <w:color w:val="auto"/>
                <w:w w:val="89"/>
              </w:rPr>
              <w:t xml:space="preserve">Increase in dividends paid to common stockholders and distributions paid to CEG unit holders </w:t>
            </w:r>
            <w:r>
              <w:rPr>
                <w:rFonts w:ascii="Arial" w:cs="Arial" w:eastAsia="Arial" w:hAnsi="Arial"/>
                <w:sz w:val="20"/>
                <w:szCs w:val="20"/>
                <w:color w:val="B4B4B4"/>
                <w:w w:val="89"/>
              </w:rPr>
              <w:t>.</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98"/>
        </w:trPr>
        <w:tc>
          <w:tcPr>
            <w:tcW w:w="6800" w:type="dxa"/>
            <w:vAlign w:val="bottom"/>
            <w:gridSpan w:val="2"/>
          </w:tcPr>
          <w:p>
            <w:pPr>
              <w:ind w:left="120"/>
              <w:spacing w:after="0"/>
              <w:rPr>
                <w:sz w:val="20"/>
                <w:szCs w:val="20"/>
                <w:color w:val="auto"/>
              </w:rPr>
            </w:pPr>
            <w:r>
              <w:rPr>
                <w:rFonts w:ascii="Arial" w:cs="Arial" w:eastAsia="Arial" w:hAnsi="Arial"/>
                <w:sz w:val="20"/>
                <w:szCs w:val="20"/>
                <w:color w:val="auto"/>
                <w:w w:val="89"/>
              </w:rPr>
              <w:t xml:space="preserve">Pro-rata distributions to CEG related to the Pine Forest Drop Down in 2025 </w:t>
            </w:r>
            <w:r>
              <w:rPr>
                <w:rFonts w:ascii="Arial" w:cs="Arial" w:eastAsia="Arial" w:hAnsi="Arial"/>
                <w:sz w:val="20"/>
                <w:szCs w:val="20"/>
                <w:color w:val="B4B4B4"/>
                <w:w w:val="89"/>
              </w:rPr>
              <w:t>. . . . . . .</w:t>
            </w:r>
          </w:p>
        </w:tc>
        <w:tc>
          <w:tcPr>
            <w:tcW w:w="860" w:type="dxa"/>
            <w:vAlign w:val="bottom"/>
          </w:tcPr>
          <w:p>
            <w:pPr>
              <w:ind w:left="20"/>
              <w:spacing w:after="0"/>
              <w:rPr>
                <w:sz w:val="20"/>
                <w:szCs w:val="20"/>
                <w:color w:val="auto"/>
              </w:rPr>
            </w:pPr>
            <w:r>
              <w:rPr>
                <w:rFonts w:ascii="Arial" w:cs="Arial" w:eastAsia="Arial" w:hAnsi="Arial"/>
                <w:sz w:val="20"/>
                <w:szCs w:val="20"/>
                <w:color w:val="B4B4B4"/>
                <w:w w:val="86"/>
              </w:rPr>
              <w:t>. . . . . . . . .</w:t>
            </w:r>
          </w:p>
        </w:tc>
        <w:tc>
          <w:tcPr>
            <w:tcW w:w="1120" w:type="dxa"/>
            <w:vAlign w:val="bottom"/>
            <w:gridSpan w:val="3"/>
          </w:tcPr>
          <w:p>
            <w:pPr>
              <w:ind w:left="40"/>
              <w:spacing w:after="0"/>
              <w:rPr>
                <w:sz w:val="20"/>
                <w:szCs w:val="20"/>
                <w:color w:val="auto"/>
              </w:rPr>
            </w:pPr>
            <w:r>
              <w:rPr>
                <w:rFonts w:ascii="Arial" w:cs="Arial" w:eastAsia="Arial" w:hAnsi="Arial"/>
                <w:sz w:val="20"/>
                <w:szCs w:val="20"/>
                <w:color w:val="B4B4B4"/>
                <w:w w:val="90"/>
              </w:rPr>
              <w:t>. . . . . . . . . . .</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4"/>
        </w:trPr>
        <w:tc>
          <w:tcPr>
            <w:tcW w:w="6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563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-6751955</wp:posOffset>
            </wp:positionV>
            <wp:extent cx="6410325" cy="557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6410325" cy="5575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-5671820</wp:posOffset>
            </wp:positionV>
            <wp:extent cx="6410325" cy="1101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extLst>
                    </a:blip>
                    <a:srcRect/>
                    <a:stretch>
                      <a:fillRect/>
                    </a:stretch>
                  </pic:blipFill>
                  <pic:spPr bwMode="auto">
                    <a:xfrm>
                      <a:off x="0" y="0"/>
                      <a:ext cx="6410325" cy="110172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-4060190</wp:posOffset>
            </wp:positionV>
            <wp:extent cx="6410325" cy="1839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extLst>
                    </a:blip>
                    <a:srcRect/>
                    <a:stretch>
                      <a:fillRect/>
                    </a:stretch>
                  </pic:blipFill>
                  <pic:spPr bwMode="auto">
                    <a:xfrm>
                      <a:off x="0" y="0"/>
                      <a:ext cx="6410325" cy="183959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-1711325</wp:posOffset>
            </wp:positionV>
            <wp:extent cx="6410325" cy="17183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extLst>
                    </a:blip>
                    <a:srcRect/>
                    <a:stretch>
                      <a:fillRect/>
                    </a:stretch>
                  </pic:blipFill>
                  <pic:spPr bwMode="auto">
                    <a:xfrm>
                      <a:off x="0" y="0"/>
                      <a:ext cx="6410325" cy="1718310"/>
                    </a:xfrm>
                    <a:prstGeom prst="rect">
                      <a:avLst/>
                    </a:prstGeom>
                    <a:noFill/>
                  </pic:spPr>
                </pic:pic>
              </a:graphicData>
            </a:graphic>
          </wp:anchor>
        </w:drawing>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10040"/>
          </w:cols>
          <w:pgMar w:left="920" w:top="577" w:right="920" w:bottom="0"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NOLs, Deferred Tax Assets and Uncertain Tax Position Implications, under ASC 740</w:t>
      </w:r>
    </w:p>
    <w:p>
      <w:pPr>
        <w:spacing w:after="0" w:line="189"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As of December 31, 2025, the Company has a cumulative federal NOL carryforward balance of $212 million for financial statement purposes, none of which are subject to expiration. Additionally, as of December 31, 2025, the Company has a cumulative state NOL carryforward balance of $100 million for financial statement purposes, which will expire between 2026 and 2042 if unutilized. The Company does not anticipate material income tax payments through at least 2030. In addition, as of December 31, 2025, the Company had PTC and ITC carryforward balances totaling $18 million, which will expire between 2036 and 2045 if unutilized.</w:t>
      </w:r>
    </w:p>
    <w:p>
      <w:pPr>
        <w:spacing w:after="0" w:line="150"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As of December 31, 2025, the Company has an interest disallowance carryforward of $107 million as a result of Internal Revenue Code §163(j). The disallowed interest deduction has an indefinite carryforward period and any limitations on the utilization of this carryforward have been factored into the Company’s valuation allowance analysis. As of December 31, 2024, the Company had an interest disallowance carryforward of $82 million</w:t>
      </w:r>
      <w:r>
        <w:rPr>
          <w:rFonts w:ascii="Arial" w:cs="Arial" w:eastAsia="Arial" w:hAnsi="Arial"/>
          <w:sz w:val="16"/>
          <w:szCs w:val="16"/>
          <w:color w:val="auto"/>
        </w:rPr>
        <w:t>.</w:t>
      </w:r>
    </w:p>
    <w:p>
      <w:pPr>
        <w:spacing w:after="0" w:line="130"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Company, after the utilization of NOL and tax credit carryforwards, paid $1 million in income taxes during the year ended December 31, 2025. The Company does not anticipate being subject to the corporate minimum tax on financial statement income, which is discussed in further detail below.</w:t>
      </w:r>
    </w:p>
    <w:p>
      <w:pPr>
        <w:spacing w:after="0" w:line="140"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Federal tax legislation enacted on July 4, 2025 contains a number of revisions to the Internal Revenue Code, including adjustments to the business interest expense disallowance calculation, accelerated tax depreciation and business tax credits and incentives for the development of clean energy facilities and production of clean energy, including wind, solar and BESS facilities. These changes did not have a material impact on the Company’s consolidated financial statements and the Company does not anticipate that these changes will have an adverse impact either (i) on the anticipated pipeline of facilities being developed by the Company’s sponsor, CEG, through at least 2030 or (ii) on the operation of facilities owned and operated by the Company. The Company will continue to monitor future guidance issued by the United States Department of the Treasury to assess for potential impacts on its consolidated financial statements.</w:t>
      </w:r>
    </w:p>
    <w:p>
      <w:pPr>
        <w:spacing w:after="0" w:line="110"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The Company is subject to examination by taxing authorities for income tax returns filed in the U.S. federal and various state jurisdictions. All tax returns filed by the Company for the year ended December 31, 2013 and forward remain subject to audit. As of December 31, 2025, the U.S. federal partnership returns of two of the Company’s subsidiaries are under audit by the IRS. The Company and its subsidiaries are also periodically subject to various state tax audits, including one current audit as a result of filing an amended return in order to pursue a potential California tax refund. The IRS has not yet issued any proposed adjustments with respect to the two subsidiaries under audit. The Company believes that the ultimate resolution of each of these audits will not be material to the Company’s financial condition, results of operations or liquidity, and thus no material provision has been made for any adjustments that may result from tax examinations. The outcome of tax audits cannot be predicted with certainty and if any issues addressed in tax audits of the Company are resolved in a manner inconsistent with its expectations, the Company could be required to adjust its provision for income taxes in the period such resolution occurs.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 has an unrecognized tax benefit of $19 million as of December 31, 2025.</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0040"/>
          </w:cols>
          <w:pgMar w:left="920" w:top="577" w:right="92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Fair Value of Derivative Instruments</w:t>
      </w:r>
    </w:p>
    <w:p>
      <w:pPr>
        <w:spacing w:after="0" w:line="169"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spacing w:after="0" w:line="140"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 xml:space="preserve">The tables below disclose the activities of non-exchange traded contracts accounted for at fair value in accordance with ASC 820. Specifically, these tables disaggregate realized and unrealized changes in fair value; disaggregate estimated fair values at December 31, 2025, based on their level within the fair value hierarchy defined in ASC 820; and indicate the maturities of contracts at December 31, 2025. For a full discussion of the Company’s valuation methodology of its contracts, see </w:t>
      </w:r>
      <w:r>
        <w:rPr>
          <w:rFonts w:ascii="Arial" w:cs="Arial" w:eastAsia="Arial" w:hAnsi="Arial"/>
          <w:sz w:val="17"/>
          <w:szCs w:val="17"/>
          <w:b w:val="1"/>
          <w:bCs w:val="1"/>
          <w:i w:val="1"/>
          <w:iCs w:val="1"/>
          <w:color w:val="auto"/>
        </w:rPr>
        <w:t>Derivative Fair Value Measurements</w:t>
      </w:r>
      <w:r>
        <w:rPr>
          <w:rFonts w:ascii="Arial" w:cs="Arial" w:eastAsia="Arial" w:hAnsi="Arial"/>
          <w:sz w:val="17"/>
          <w:szCs w:val="17"/>
          <w:color w:val="auto"/>
        </w:rPr>
        <w:t xml:space="preserve"> in Item 15 — Note 6, </w:t>
      </w:r>
      <w:r>
        <w:rPr>
          <w:rFonts w:ascii="Arial" w:cs="Arial" w:eastAsia="Arial" w:hAnsi="Arial"/>
          <w:sz w:val="17"/>
          <w:szCs w:val="17"/>
          <w:b w:val="1"/>
          <w:bCs w:val="1"/>
          <w:i w:val="1"/>
          <w:iCs w:val="1"/>
          <w:color w:val="auto"/>
        </w:rPr>
        <w:t>Fair Value of Financial Instruments</w:t>
      </w:r>
      <w:r>
        <w:rPr>
          <w:rFonts w:ascii="Arial" w:cs="Arial" w:eastAsia="Arial" w:hAnsi="Arial"/>
          <w:sz w:val="17"/>
          <w:szCs w:val="17"/>
          <w:color w:val="auto"/>
        </w:rPr>
        <w:t>.</w:t>
      </w:r>
    </w:p>
    <w:p>
      <w:pPr>
        <w:spacing w:after="0" w:line="135" w:lineRule="exact"/>
        <w:rPr>
          <w:sz w:val="20"/>
          <w:szCs w:val="20"/>
          <w:color w:val="auto"/>
        </w:rPr>
      </w:pPr>
    </w:p>
    <w:p>
      <w:pPr>
        <w:ind w:left="40"/>
        <w:spacing w:after="0"/>
        <w:tabs>
          <w:tab w:leader="none" w:pos="9100" w:val="left"/>
        </w:tabs>
        <w:rPr>
          <w:sz w:val="20"/>
          <w:szCs w:val="20"/>
          <w:color w:val="auto"/>
        </w:rPr>
      </w:pPr>
      <w:r>
        <w:rPr>
          <w:rFonts w:ascii="Arial" w:cs="Arial" w:eastAsia="Arial" w:hAnsi="Arial"/>
          <w:sz w:val="16"/>
          <w:szCs w:val="16"/>
          <w:b w:val="1"/>
          <w:bCs w:val="1"/>
          <w:u w:val="single" w:color="auto"/>
          <w:color w:val="auto"/>
        </w:rPr>
        <w:t>Derivative Activity Gains (Losses)</w:t>
      </w:r>
      <w:r>
        <w:rPr>
          <w:sz w:val="20"/>
          <w:szCs w:val="20"/>
          <w:color w:val="auto"/>
        </w:rPr>
        <w:tab/>
      </w: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6410325" cy="672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extLst>
                    </a:blip>
                    <a:srcRect/>
                    <a:stretch>
                      <a:fillRect/>
                    </a:stretch>
                  </pic:blipFill>
                  <pic:spPr bwMode="auto">
                    <a:xfrm>
                      <a:off x="0" y="0"/>
                      <a:ext cx="6410325" cy="672465"/>
                    </a:xfrm>
                    <a:prstGeom prst="rect">
                      <a:avLst/>
                    </a:prstGeom>
                    <a:noFill/>
                  </pic:spPr>
                </pic:pic>
              </a:graphicData>
            </a:graphic>
          </wp:anchor>
        </w:drawing>
      </w:r>
    </w:p>
    <w:p>
      <w:pPr>
        <w:sectPr>
          <w:pgSz w:w="11880" w:h="15480" w:orient="portrait"/>
          <w:cols w:equalWidth="0" w:num="1">
            <w:col w:w="10040"/>
          </w:cols>
          <w:pgMar w:left="920" w:top="577" w:right="920" w:bottom="0" w:gutter="0" w:footer="0" w:header="0"/>
        </w:sectPr>
      </w:pP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Fair value of contracts as of December 31, 2024 </w:t>
      </w:r>
      <w:r>
        <w:rPr>
          <w:rFonts w:ascii="Arial" w:cs="Arial" w:eastAsia="Arial" w:hAnsi="Arial"/>
          <w:sz w:val="17"/>
          <w:szCs w:val="17"/>
          <w:b w:val="1"/>
          <w:bCs w:val="1"/>
          <w:color w:val="B4B4B4"/>
        </w:rPr>
        <w:t>. . . . . . . . . . . . . . . . . . . . . . . . . . . . . . . . . . . . . . . . . . . . . . . . . .</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Contracts realized or otherwise settled during the period </w:t>
      </w:r>
      <w:r>
        <w:rPr>
          <w:rFonts w:ascii="Arial" w:cs="Arial" w:eastAsia="Arial" w:hAnsi="Arial"/>
          <w:sz w:val="17"/>
          <w:szCs w:val="17"/>
          <w:color w:val="B4B4B4"/>
        </w:rPr>
        <w:t>. . . . . . . . . . . . . . . . . . . . . . . . . . . . . . . . . . . . . . . . . . . .</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Changes in fair value  </w:t>
      </w:r>
      <w:r>
        <w:rPr>
          <w:rFonts w:ascii="Arial" w:cs="Arial" w:eastAsia="Arial" w:hAnsi="Arial"/>
          <w:sz w:val="17"/>
          <w:szCs w:val="17"/>
          <w:color w:val="B4B4B4"/>
        </w:rPr>
        <w:t>. . . . . . . . . . . . . . . . . . . . . . . . . . . . . . . . . . . . . . . . . . . . . . . . . . . . . . . . . . . . . . . . . . . . . . .</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Fair value of contracts as of December 31, 2025 </w:t>
      </w:r>
      <w:r>
        <w:rPr>
          <w:rFonts w:ascii="Arial" w:cs="Arial" w:eastAsia="Arial" w:hAnsi="Arial"/>
          <w:sz w:val="17"/>
          <w:szCs w:val="17"/>
          <w:b w:val="1"/>
          <w:bCs w:val="1"/>
          <w:color w:val="B4B4B4"/>
        </w:rPr>
        <w:t>. . . . . . . . . . . . . . . . . . . . . . . . . . . . . . . . . . . . . . . . . . . . . . . . . .</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520" w:hanging="515"/>
        <w:spacing w:after="0"/>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(196)</w:t>
      </w:r>
    </w:p>
    <w:p>
      <w:pPr>
        <w:spacing w:after="0" w:line="57"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20"/>
          <w:szCs w:val="20"/>
          <w:color w:val="auto"/>
        </w:rPr>
        <w:t>60</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p>
    <w:p>
      <w:pPr>
        <w:ind w:left="520" w:hanging="515"/>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(204)</w:t>
      </w:r>
    </w:p>
    <w:p>
      <w:pPr>
        <w:spacing w:after="0" w:line="200" w:lineRule="exact"/>
        <w:rPr>
          <w:sz w:val="20"/>
          <w:szCs w:val="20"/>
          <w:color w:val="auto"/>
        </w:rPr>
      </w:pPr>
    </w:p>
    <w:p>
      <w:pPr>
        <w:sectPr>
          <w:pgSz w:w="11880" w:h="15480" w:orient="portrait"/>
          <w:cols w:equalWidth="0" w:num="2">
            <w:col w:w="8980" w:space="100"/>
            <w:col w:w="960"/>
          </w:cols>
          <w:pgMar w:left="920" w:top="577" w:right="920" w:bottom="0" w:gutter="0" w:footer="0" w:header="0"/>
          <w:type w:val="continuous"/>
        </w:sectPr>
      </w:pP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9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8"/>
          </w:tcPr>
          <w:p>
            <w:pPr>
              <w:ind w:left="40"/>
              <w:spacing w:after="0"/>
              <w:rPr>
                <w:sz w:val="20"/>
                <w:szCs w:val="20"/>
                <w:color w:val="auto"/>
              </w:rPr>
            </w:pPr>
            <w:r>
              <w:rPr>
                <w:rFonts w:ascii="Arial" w:cs="Arial" w:eastAsia="Arial" w:hAnsi="Arial"/>
                <w:sz w:val="16"/>
                <w:szCs w:val="16"/>
                <w:b w:val="1"/>
                <w:bCs w:val="1"/>
                <w:color w:val="auto"/>
                <w:w w:val="90"/>
              </w:rPr>
              <w:t>Fair value of contracts as of December 31, 2025</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59"/>
        </w:trPr>
        <w:tc>
          <w:tcPr>
            <w:tcW w:w="19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Maturity</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r>
      <w:tr>
        <w:trPr>
          <w:trHeight w:val="182"/>
        </w:trPr>
        <w:tc>
          <w:tcPr>
            <w:tcW w:w="19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0"/>
              <w:spacing w:after="0" w:line="182" w:lineRule="exact"/>
              <w:rPr>
                <w:sz w:val="20"/>
                <w:szCs w:val="20"/>
                <w:color w:val="auto"/>
              </w:rPr>
            </w:pPr>
            <w:r>
              <w:rPr>
                <w:rFonts w:ascii="Arial" w:cs="Arial" w:eastAsia="Arial" w:hAnsi="Arial"/>
                <w:sz w:val="16"/>
                <w:szCs w:val="16"/>
                <w:b w:val="1"/>
                <w:bCs w:val="1"/>
                <w:color w:val="auto"/>
                <w:w w:val="94"/>
              </w:rPr>
              <w:t>Greater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52"/>
              <w:spacing w:after="0" w:line="182" w:lineRule="exact"/>
              <w:rPr>
                <w:sz w:val="20"/>
                <w:szCs w:val="20"/>
                <w:color w:val="auto"/>
              </w:rPr>
            </w:pPr>
            <w:r>
              <w:rPr>
                <w:rFonts w:ascii="Arial" w:cs="Arial" w:eastAsia="Arial" w:hAnsi="Arial"/>
                <w:sz w:val="16"/>
                <w:szCs w:val="16"/>
                <w:b w:val="1"/>
                <w:bCs w:val="1"/>
                <w:color w:val="auto"/>
              </w:rPr>
              <w:t>Greater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8"/>
        </w:trPr>
        <w:tc>
          <w:tcPr>
            <w:tcW w:w="19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Than 1 Year</w:t>
            </w:r>
          </w:p>
        </w:tc>
        <w:tc>
          <w:tcPr>
            <w:tcW w:w="8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Than 3 Years</w:t>
            </w:r>
          </w:p>
        </w:tc>
        <w:tc>
          <w:tcPr>
            <w:tcW w:w="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w w:val="95"/>
              </w:rPr>
              <w:t>Greater Than 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Arial" w:cs="Arial" w:eastAsia="Arial" w:hAnsi="Arial"/>
                <w:sz w:val="16"/>
                <w:szCs w:val="16"/>
                <w:b w:val="1"/>
                <w:bCs w:val="1"/>
                <w:color w:val="auto"/>
                <w:w w:val="91"/>
              </w:rPr>
              <w:t>Total Fair</w:t>
            </w:r>
          </w:p>
        </w:tc>
      </w:tr>
      <w:tr>
        <w:trPr>
          <w:trHeight w:val="173"/>
        </w:trPr>
        <w:tc>
          <w:tcPr>
            <w:tcW w:w="440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Fair Value Hierarchy Losses</w:t>
            </w:r>
          </w:p>
        </w:tc>
        <w:tc>
          <w:tcPr>
            <w:tcW w:w="1100" w:type="dxa"/>
            <w:vAlign w:val="bottom"/>
            <w:gridSpan w:val="2"/>
          </w:tcPr>
          <w:p>
            <w:pPr>
              <w:ind w:left="80"/>
              <w:spacing w:after="0" w:line="173" w:lineRule="exact"/>
              <w:rPr>
                <w:sz w:val="20"/>
                <w:szCs w:val="20"/>
                <w:color w:val="auto"/>
              </w:rPr>
            </w:pPr>
            <w:r>
              <w:rPr>
                <w:rFonts w:ascii="Arial" w:cs="Arial" w:eastAsia="Arial" w:hAnsi="Arial"/>
                <w:sz w:val="16"/>
                <w:szCs w:val="16"/>
                <w:b w:val="1"/>
                <w:bCs w:val="1"/>
                <w:color w:val="auto"/>
                <w:w w:val="91"/>
              </w:rPr>
              <w:t>1 Year or Less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70"/>
              <w:spacing w:after="0" w:line="173" w:lineRule="exact"/>
              <w:rPr>
                <w:sz w:val="20"/>
                <w:szCs w:val="20"/>
                <w:color w:val="auto"/>
              </w:rPr>
            </w:pPr>
            <w:r>
              <w:rPr>
                <w:rFonts w:ascii="Arial" w:cs="Arial" w:eastAsia="Arial" w:hAnsi="Arial"/>
                <w:sz w:val="16"/>
                <w:szCs w:val="16"/>
                <w:b w:val="1"/>
                <w:bCs w:val="1"/>
                <w:color w:val="auto"/>
                <w:w w:val="86"/>
              </w:rPr>
              <w:t>to 3 Years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72"/>
              <w:spacing w:after="0" w:line="173" w:lineRule="exact"/>
              <w:rPr>
                <w:sz w:val="20"/>
                <w:szCs w:val="20"/>
                <w:color w:val="auto"/>
              </w:rPr>
            </w:pPr>
            <w:r>
              <w:rPr>
                <w:rFonts w:ascii="Arial" w:cs="Arial" w:eastAsia="Arial" w:hAnsi="Arial"/>
                <w:sz w:val="16"/>
                <w:szCs w:val="16"/>
                <w:b w:val="1"/>
                <w:bCs w:val="1"/>
                <w:color w:val="auto"/>
                <w:w w:val="88"/>
              </w:rPr>
              <w:t>to 5 Years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287"/>
              <w:spacing w:after="0" w:line="173" w:lineRule="exact"/>
              <w:rPr>
                <w:sz w:val="20"/>
                <w:szCs w:val="20"/>
                <w:color w:val="auto"/>
              </w:rPr>
            </w:pPr>
            <w:r>
              <w:rPr>
                <w:rFonts w:ascii="Arial" w:cs="Arial" w:eastAsia="Arial" w:hAnsi="Arial"/>
                <w:sz w:val="16"/>
                <w:szCs w:val="16"/>
                <w:b w:val="1"/>
                <w:bCs w:val="1"/>
                <w:color w:val="auto"/>
              </w:rPr>
              <w:t>Years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10"/>
              <w:spacing w:after="0" w:line="173" w:lineRule="exact"/>
              <w:rPr>
                <w:sz w:val="20"/>
                <w:szCs w:val="20"/>
                <w:color w:val="auto"/>
              </w:rPr>
            </w:pPr>
            <w:r>
              <w:rPr>
                <w:rFonts w:ascii="Arial" w:cs="Arial" w:eastAsia="Arial" w:hAnsi="Arial"/>
                <w:sz w:val="16"/>
                <w:szCs w:val="16"/>
                <w:b w:val="1"/>
                <w:bCs w:val="1"/>
                <w:color w:val="auto"/>
              </w:rPr>
              <w:t>Value</w:t>
            </w:r>
          </w:p>
        </w:tc>
      </w:tr>
      <w:tr>
        <w:trPr>
          <w:trHeight w:val="20"/>
        </w:trPr>
        <w:tc>
          <w:tcPr>
            <w:tcW w:w="192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2"/>
        </w:trPr>
        <w:tc>
          <w:tcPr>
            <w:tcW w:w="19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0"/>
        </w:trPr>
        <w:tc>
          <w:tcPr>
            <w:tcW w:w="4400" w:type="dxa"/>
            <w:vAlign w:val="bottom"/>
            <w:gridSpan w:val="2"/>
          </w:tcPr>
          <w:p>
            <w:pPr>
              <w:spacing w:after="0"/>
              <w:rPr>
                <w:sz w:val="20"/>
                <w:szCs w:val="20"/>
                <w:color w:val="auto"/>
              </w:rPr>
            </w:pPr>
            <w:r>
              <w:rPr>
                <w:rFonts w:ascii="Arial" w:cs="Arial" w:eastAsia="Arial" w:hAnsi="Arial"/>
                <w:sz w:val="20"/>
                <w:szCs w:val="20"/>
                <w:color w:val="auto"/>
                <w:w w:val="89"/>
              </w:rPr>
              <w:t xml:space="preserve">Level 2 </w:t>
            </w:r>
            <w:r>
              <w:rPr>
                <w:rFonts w:ascii="Arial" w:cs="Arial" w:eastAsia="Arial" w:hAnsi="Arial"/>
                <w:sz w:val="20"/>
                <w:szCs w:val="20"/>
                <w:color w:val="B4B4B4"/>
                <w:w w:val="89"/>
              </w:rPr>
              <w:t>. . . . . . . . . . . . . . . . . . . . . . . . . . . . . . . . . . . . . .</w:t>
            </w:r>
          </w:p>
        </w:tc>
        <w:tc>
          <w:tcPr>
            <w:tcW w:w="460" w:type="dxa"/>
            <w:vAlign w:val="bottom"/>
          </w:tcPr>
          <w:p>
            <w:pPr>
              <w:ind w:left="6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14</w:t>
            </w:r>
          </w:p>
        </w:tc>
        <w:tc>
          <w:tcPr>
            <w:tcW w:w="240" w:type="dxa"/>
            <w:vAlign w:val="bottom"/>
            <w:gridSpan w:val="2"/>
          </w:tcPr>
          <w:p>
            <w:pPr>
              <w:ind w:left="140"/>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35</w:t>
            </w:r>
          </w:p>
        </w:tc>
        <w:tc>
          <w:tcPr>
            <w:tcW w:w="220" w:type="dxa"/>
            <w:vAlign w:val="bottom"/>
            <w:gridSpan w:val="2"/>
          </w:tcPr>
          <w:p>
            <w:pPr>
              <w:ind w:left="120"/>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51</w:t>
            </w:r>
          </w:p>
        </w:tc>
        <w:tc>
          <w:tcPr>
            <w:tcW w:w="34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58"/>
        </w:trPr>
        <w:tc>
          <w:tcPr>
            <w:tcW w:w="4400" w:type="dxa"/>
            <w:vAlign w:val="bottom"/>
            <w:gridSpan w:val="2"/>
          </w:tcPr>
          <w:p>
            <w:pPr>
              <w:spacing w:after="0"/>
              <w:rPr>
                <w:sz w:val="20"/>
                <w:szCs w:val="20"/>
                <w:color w:val="auto"/>
              </w:rPr>
            </w:pPr>
            <w:r>
              <w:rPr>
                <w:rFonts w:ascii="Arial" w:cs="Arial" w:eastAsia="Arial" w:hAnsi="Arial"/>
                <w:sz w:val="20"/>
                <w:szCs w:val="20"/>
                <w:color w:val="auto"/>
                <w:w w:val="89"/>
              </w:rPr>
              <w:t xml:space="preserve">Level 3 </w:t>
            </w:r>
            <w:r>
              <w:rPr>
                <w:rFonts w:ascii="Arial" w:cs="Arial" w:eastAsia="Arial" w:hAnsi="Arial"/>
                <w:sz w:val="20"/>
                <w:szCs w:val="20"/>
                <w:color w:val="B4B4B4"/>
                <w:w w:val="89"/>
              </w:rPr>
              <w:t>. . . . . . . . . . . . . . . . . . . . . . . . . . . . . . . . . . . . . .</w:t>
            </w:r>
          </w:p>
        </w:tc>
        <w:tc>
          <w:tcPr>
            <w:tcW w:w="4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w:t>
            </w:r>
          </w:p>
        </w:tc>
      </w:tr>
      <w:tr>
        <w:trPr>
          <w:trHeight w:val="210"/>
        </w:trPr>
        <w:tc>
          <w:tcPr>
            <w:tcW w:w="4400" w:type="dxa"/>
            <w:vAlign w:val="bottom"/>
            <w:gridSpan w:val="2"/>
          </w:tcPr>
          <w:p>
            <w:pPr>
              <w:ind w:left="220"/>
              <w:spacing w:after="0" w:line="210" w:lineRule="exact"/>
              <w:rPr>
                <w:sz w:val="20"/>
                <w:szCs w:val="20"/>
                <w:color w:val="auto"/>
              </w:rPr>
            </w:pPr>
            <w:r>
              <w:rPr>
                <w:rFonts w:ascii="Arial" w:cs="Arial" w:eastAsia="Arial" w:hAnsi="Arial"/>
                <w:sz w:val="20"/>
                <w:szCs w:val="20"/>
                <w:color w:val="auto"/>
              </w:rPr>
              <w:t>Total</w:t>
            </w:r>
          </w:p>
        </w:tc>
        <w:tc>
          <w:tcPr>
            <w:tcW w:w="460" w:type="dxa"/>
            <w:vAlign w:val="bottom"/>
            <w:tcBorders>
              <w:bottom w:val="single" w:sz="8" w:color="auto"/>
            </w:tcBorders>
          </w:tcPr>
          <w:p>
            <w:pPr>
              <w:ind w:left="60"/>
              <w:spacing w:after="0" w:line="210" w:lineRule="exact"/>
              <w:rPr>
                <w:sz w:val="20"/>
                <w:szCs w:val="20"/>
                <w:color w:val="auto"/>
              </w:rPr>
            </w:pPr>
            <w:r>
              <w:rPr>
                <w:rFonts w:ascii="Arial" w:cs="Arial" w:eastAsia="Arial" w:hAnsi="Arial"/>
                <w:sz w:val="20"/>
                <w:szCs w:val="20"/>
                <w:color w:val="auto"/>
              </w:rPr>
              <w:t>$</w:t>
            </w:r>
          </w:p>
        </w:tc>
        <w:tc>
          <w:tcPr>
            <w:tcW w:w="6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(23)</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60"/>
              <w:spacing w:after="0" w:line="210" w:lineRule="exact"/>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(77)</w:t>
            </w:r>
          </w:p>
        </w:tc>
        <w:tc>
          <w:tcPr>
            <w:tcW w:w="80" w:type="dxa"/>
            <w:vAlign w:val="bottom"/>
          </w:tcPr>
          <w:p>
            <w:pPr>
              <w:spacing w:after="0"/>
              <w:rPr>
                <w:sz w:val="18"/>
                <w:szCs w:val="18"/>
                <w:color w:val="auto"/>
              </w:rPr>
            </w:pPr>
          </w:p>
        </w:tc>
        <w:tc>
          <w:tcPr>
            <w:tcW w:w="140" w:type="dxa"/>
            <w:vAlign w:val="bottom"/>
            <w:tcBorders>
              <w:bottom w:val="single" w:sz="8" w:color="auto"/>
            </w:tcBorders>
          </w:tcPr>
          <w:p>
            <w:pPr>
              <w:ind w:left="40"/>
              <w:spacing w:after="0" w:line="210" w:lineRule="exact"/>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(43)</w:t>
            </w:r>
          </w:p>
        </w:tc>
        <w:tc>
          <w:tcPr>
            <w:tcW w:w="80" w:type="dxa"/>
            <w:vAlign w:val="bottom"/>
          </w:tcPr>
          <w:p>
            <w:pPr>
              <w:spacing w:after="0"/>
              <w:rPr>
                <w:sz w:val="18"/>
                <w:szCs w:val="18"/>
                <w:color w:val="auto"/>
              </w:rPr>
            </w:pPr>
          </w:p>
        </w:tc>
        <w:tc>
          <w:tcPr>
            <w:tcW w:w="260" w:type="dxa"/>
            <w:vAlign w:val="bottom"/>
            <w:tcBorders>
              <w:bottom w:val="single" w:sz="8" w:color="auto"/>
            </w:tcBorders>
          </w:tcPr>
          <w:p>
            <w:pPr>
              <w:ind w:left="40"/>
              <w:spacing w:after="0" w:line="210"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(61)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(204)</w:t>
            </w:r>
          </w:p>
        </w:tc>
      </w:tr>
      <w:tr>
        <w:trPr>
          <w:trHeight w:val="20"/>
        </w:trPr>
        <w:tc>
          <w:tcPr>
            <w:tcW w:w="1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-506730</wp:posOffset>
            </wp:positionV>
            <wp:extent cx="6410325" cy="1841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extLst>
                    </a:blip>
                    <a:srcRect/>
                    <a:stretch>
                      <a:fillRect/>
                    </a:stretch>
                  </pic:blipFill>
                  <pic:spPr bwMode="auto">
                    <a:xfrm>
                      <a:off x="0" y="0"/>
                      <a:ext cx="6410325" cy="18415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-189865</wp:posOffset>
            </wp:positionV>
            <wp:extent cx="6410325"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extLst>
                    </a:blip>
                    <a:srcRect/>
                    <a:stretch>
                      <a:fillRect/>
                    </a:stretch>
                  </pic:blipFill>
                  <pic:spPr bwMode="auto">
                    <a:xfrm>
                      <a:off x="0" y="0"/>
                      <a:ext cx="6410325" cy="196850"/>
                    </a:xfrm>
                    <a:prstGeom prst="rect">
                      <a:avLst/>
                    </a:prstGeom>
                    <a:noFill/>
                  </pic:spPr>
                </pic:pic>
              </a:graphicData>
            </a:graphic>
          </wp:anchor>
        </w:drawing>
      </w:r>
    </w:p>
    <w:p>
      <w:pPr>
        <w:spacing w:after="0" w:line="164"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The Company has elected to disclose derivative assets and liabilities on a trade-by-trade basis and does not offset amounts at the counterparty master agreement level.</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89"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7"/>
          <w:szCs w:val="17"/>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9"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 xml:space="preserve">The Company’s significant accounting policies are summarized in Item 15 — Note 2, </w:t>
      </w:r>
      <w:r>
        <w:rPr>
          <w:rFonts w:ascii="Arial" w:cs="Arial" w:eastAsia="Arial" w:hAnsi="Arial"/>
          <w:sz w:val="17"/>
          <w:szCs w:val="17"/>
          <w:b w:val="1"/>
          <w:bCs w:val="1"/>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Policies</w:t>
      </w:r>
      <w:r>
        <w:rPr>
          <w:rFonts w:ascii="Arial" w:cs="Arial" w:eastAsia="Arial" w:hAnsi="Arial"/>
          <w:sz w:val="17"/>
          <w:szCs w:val="17"/>
          <w:color w:val="auto"/>
        </w:rPr>
        <w:t>. The Company identifies its most critical accounting policies as those that are the most pervasive and important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and determining the fair value of financial instruments.</w:t>
      </w:r>
    </w:p>
    <w:p>
      <w:pPr>
        <w:sectPr>
          <w:pgSz w:w="11880" w:h="15480" w:orient="portrait"/>
          <w:cols w:equalWidth="0" w:num="1">
            <w:col w:w="10040"/>
          </w:cols>
          <w:pgMar w:left="920" w:top="57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10040"/>
          </w:cols>
          <w:pgMar w:left="920" w:top="577" w:right="920" w:bottom="0" w:gutter="0" w:footer="0" w:header="0"/>
          <w:type w:val="continuous"/>
        </w:sectPr>
      </w:pPr>
    </w:p>
    <w:bookmarkStart w:id="69" w:name="page70"/>
    <w:bookmarkEnd w:id="69"/>
    <w:p>
      <w:pPr>
        <w:ind w:left="40"/>
        <w:spacing w:after="0"/>
        <w:tabs>
          <w:tab w:leader="none" w:pos="5380" w:val="left"/>
        </w:tabs>
        <w:rPr>
          <w:sz w:val="20"/>
          <w:szCs w:val="20"/>
          <w:color w:val="auto"/>
        </w:rPr>
      </w:pPr>
      <w:r>
        <w:rPr>
          <w:rFonts w:ascii="Arial" w:cs="Arial" w:eastAsia="Arial" w:hAnsi="Arial"/>
          <w:sz w:val="16"/>
          <w:szCs w:val="16"/>
          <w:b w:val="1"/>
          <w:bCs w:val="1"/>
          <w:u w:val="single" w:color="auto"/>
          <w:color w:val="auto"/>
        </w:rPr>
        <w:t>Accounting Policy</w:t>
      </w:r>
      <w:r>
        <w:rPr>
          <w:sz w:val="20"/>
          <w:szCs w:val="20"/>
          <w:color w:val="auto"/>
        </w:rPr>
        <w:tab/>
      </w:r>
      <w:r>
        <w:rPr>
          <w:rFonts w:ascii="Arial" w:cs="Arial" w:eastAsia="Arial" w:hAnsi="Arial"/>
          <w:sz w:val="13"/>
          <w:szCs w:val="13"/>
          <w:b w:val="1"/>
          <w:bCs w:val="1"/>
          <w:color w:val="auto"/>
        </w:rPr>
        <w:t>Judgments/Uncertainties Affecting Application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3392805</wp:posOffset>
                </wp:positionH>
                <wp:positionV relativeFrom="paragraph">
                  <wp:posOffset>24130</wp:posOffset>
                </wp:positionV>
                <wp:extent cx="297751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75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15pt,1.9pt" to="501.6pt,1.9pt" o:allowincell="f" strokecolor="#000000" strokeweight="1pt"/>
            </w:pict>
          </mc:Fallback>
        </mc:AlternateContent>
      </w:r>
    </w:p>
    <w:p>
      <w:pPr>
        <w:spacing w:after="0" w:line="149" w:lineRule="exact"/>
        <w:rPr>
          <w:sz w:val="20"/>
          <w:szCs w:val="20"/>
          <w:color w:val="auto"/>
        </w:rPr>
      </w:pPr>
    </w:p>
    <w:p>
      <w:pPr>
        <w:ind w:left="5400" w:right="520" w:hanging="5350"/>
        <w:spacing w:after="0" w:line="235" w:lineRule="auto"/>
        <w:rPr>
          <w:sz w:val="20"/>
          <w:szCs w:val="20"/>
          <w:color w:val="auto"/>
        </w:rPr>
      </w:pPr>
      <w:r>
        <w:rPr>
          <w:rFonts w:ascii="Arial" w:cs="Arial" w:eastAsia="Arial" w:hAnsi="Arial"/>
          <w:sz w:val="20"/>
          <w:szCs w:val="20"/>
          <w:color w:val="auto"/>
        </w:rPr>
        <w:t xml:space="preserve">Income Taxes and Valuation Allowance for Deferred Tax Assets </w:t>
      </w:r>
      <w:r>
        <w:rPr>
          <w:rFonts w:ascii="Arial" w:cs="Arial" w:eastAsia="Arial" w:hAnsi="Arial"/>
          <w:sz w:val="20"/>
          <w:szCs w:val="20"/>
          <w:color w:val="B4B4B4"/>
        </w:rPr>
        <w:t>.</w:t>
      </w:r>
      <w:r>
        <w:rPr>
          <w:rFonts w:ascii="Arial" w:cs="Arial" w:eastAsia="Arial" w:hAnsi="Arial"/>
          <w:sz w:val="20"/>
          <w:szCs w:val="20"/>
          <w:color w:val="auto"/>
        </w:rPr>
        <w:t xml:space="preserve"> Ability to withstand legal challenges of tax authority decisions or appeals</w:t>
      </w:r>
    </w:p>
    <w:p>
      <w:pPr>
        <w:spacing w:after="0" w:line="3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Anticipated future decisions of tax authorities</w:t>
      </w:r>
    </w:p>
    <w:p>
      <w:pPr>
        <w:spacing w:after="0" w:line="49"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Application of tax statutes and regulations to transactions</w:t>
      </w:r>
    </w:p>
    <w:p>
      <w:pPr>
        <w:spacing w:after="0" w:line="84"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Ability to utilize tax benefits through carry backs to prior</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periods and carryforwards to future periods</w:t>
      </w:r>
    </w:p>
    <w:p>
      <w:pPr>
        <w:spacing w:after="0" w:line="37" w:lineRule="exact"/>
        <w:rPr>
          <w:sz w:val="20"/>
          <w:szCs w:val="20"/>
          <w:color w:val="auto"/>
        </w:rPr>
      </w:pPr>
    </w:p>
    <w:p>
      <w:pPr>
        <w:ind w:left="5400" w:right="760" w:hanging="5350"/>
        <w:spacing w:after="0" w:line="235" w:lineRule="auto"/>
        <w:rPr>
          <w:sz w:val="20"/>
          <w:szCs w:val="20"/>
          <w:color w:val="auto"/>
        </w:rPr>
      </w:pPr>
      <w:r>
        <w:rPr>
          <w:rFonts w:ascii="Arial" w:cs="Arial" w:eastAsia="Arial" w:hAnsi="Arial"/>
          <w:sz w:val="20"/>
          <w:szCs w:val="20"/>
          <w:color w:val="auto"/>
        </w:rPr>
        <w:t xml:space="preserve">Hypothetical Liquidation at Book Value (HLBV) </w:t>
      </w:r>
      <w:r>
        <w:rPr>
          <w:rFonts w:ascii="Arial" w:cs="Arial" w:eastAsia="Arial" w:hAnsi="Arial"/>
          <w:sz w:val="20"/>
          <w:szCs w:val="20"/>
          <w:color w:val="B4B4B4"/>
        </w:rPr>
        <w:t>. . . . . . . . . . . . . .</w:t>
      </w:r>
      <w:r>
        <w:rPr>
          <w:rFonts w:ascii="Arial" w:cs="Arial" w:eastAsia="Arial" w:hAnsi="Arial"/>
          <w:sz w:val="20"/>
          <w:szCs w:val="20"/>
          <w:color w:val="auto"/>
        </w:rPr>
        <w:t xml:space="preserve"> Estimates of taxable income (loss) and tax capital accounts</w:t>
      </w:r>
    </w:p>
    <w:p>
      <w:pPr>
        <w:spacing w:after="0" w:line="20"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Estimated calculation of specified target investor returns</w:t>
      </w:r>
    </w:p>
    <w:p>
      <w:pPr>
        <w:spacing w:after="0" w:line="72"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Application of liquidation provisions of operating</w:t>
      </w:r>
    </w:p>
    <w:p>
      <w:pPr>
        <w:ind w:left="5400"/>
        <w:spacing w:after="0"/>
        <w:rPr>
          <w:sz w:val="20"/>
          <w:szCs w:val="20"/>
          <w:color w:val="auto"/>
        </w:rPr>
      </w:pPr>
      <w:r>
        <w:rPr>
          <w:rFonts w:ascii="Arial" w:cs="Arial" w:eastAsia="Arial" w:hAnsi="Arial"/>
          <w:sz w:val="20"/>
          <w:szCs w:val="20"/>
          <w:color w:val="auto"/>
        </w:rPr>
        <w:t>agreements</w:t>
      </w:r>
    </w:p>
    <w:p>
      <w:pPr>
        <w:spacing w:after="0" w:line="8" w:lineRule="exact"/>
        <w:rPr>
          <w:sz w:val="20"/>
          <w:szCs w:val="20"/>
          <w:color w:val="auto"/>
        </w:rPr>
      </w:pPr>
    </w:p>
    <w:p>
      <w:pPr>
        <w:ind w:left="5400" w:right="280" w:hanging="5350"/>
        <w:spacing w:after="0" w:line="313" w:lineRule="auto"/>
        <w:rPr>
          <w:sz w:val="20"/>
          <w:szCs w:val="20"/>
          <w:color w:val="auto"/>
        </w:rPr>
      </w:pPr>
      <w:r>
        <w:rPr>
          <w:rFonts w:ascii="Arial" w:cs="Arial" w:eastAsia="Arial" w:hAnsi="Arial"/>
          <w:sz w:val="17"/>
          <w:szCs w:val="17"/>
          <w:color w:val="auto"/>
        </w:rPr>
        <w:t xml:space="preserve">Financial Instruments </w:t>
      </w:r>
      <w:r>
        <w:rPr>
          <w:rFonts w:ascii="Arial" w:cs="Arial" w:eastAsia="Arial" w:hAnsi="Arial"/>
          <w:sz w:val="17"/>
          <w:szCs w:val="17"/>
          <w:color w:val="B4B4B4"/>
        </w:rPr>
        <w:t>. . . . . . . . . . . . . . . . . . . . . . . . . . . . . . . . . . . .</w:t>
      </w:r>
      <w:r>
        <w:rPr>
          <w:rFonts w:ascii="Arial" w:cs="Arial" w:eastAsia="Arial" w:hAnsi="Arial"/>
          <w:sz w:val="17"/>
          <w:szCs w:val="17"/>
          <w:color w:val="auto"/>
        </w:rPr>
        <w:t xml:space="preserve"> Use of unobservable market inputs such as future electricity prices, future interest rates and discount rates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Income Taxes and Valuation Allowance for Deferred Tax Assets</w:t>
      </w:r>
    </w:p>
    <w:p>
      <w:pPr>
        <w:spacing w:after="0" w:line="189"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In determining whether a valuation allowance is required for deferred tax assets, the Company must assess whether it believes it is more likely than not that the results of future operations will generate sufficient taxable income which includes the future reversal of existing taxable temporary differences to realize deferred tax assets. The Company considers the timing and future realization of net deferred tax assets, the profit before tax generated in recent years as well as projections of future earnings and estimates of taxable income in arriving at this conclusion. The realization of deferred tax assets is primarily dependent upon earnings in federal and various state and local jurisdictions. Judgment is also required to continually assess changing tax regulations, interpretations and new legislation to determine the impact on the Company’s tax position.</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Hypothetical Liquidation at Book Value (HLBV)</w:t>
      </w:r>
    </w:p>
    <w:p>
      <w:pPr>
        <w:spacing w:after="0" w:line="189" w:lineRule="exact"/>
        <w:rPr>
          <w:sz w:val="20"/>
          <w:szCs w:val="20"/>
          <w:color w:val="auto"/>
        </w:rPr>
      </w:pPr>
    </w:p>
    <w:p>
      <w:pPr>
        <w:jc w:val="both"/>
        <w:ind w:firstLine="441"/>
        <w:spacing w:after="0" w:line="292" w:lineRule="auto"/>
        <w:rPr>
          <w:sz w:val="20"/>
          <w:szCs w:val="20"/>
          <w:color w:val="auto"/>
        </w:rPr>
      </w:pPr>
      <w:r>
        <w:rPr>
          <w:rFonts w:ascii="Arial" w:cs="Arial" w:eastAsia="Arial" w:hAnsi="Arial"/>
          <w:sz w:val="17"/>
          <w:szCs w:val="17"/>
          <w:color w:val="auto"/>
        </w:rPr>
        <w:t>Certain portions of the Company’s redeemable noncontrolling interest in subsidiaries and noncontrolling interest represent third-party interests in the net assets under tax equity arrangements, which are consolidated by the Company, that were established to finance the cost of facilities eligible for certain tax credits and benefits. The Company has determined that the provisions in the contractual agreements of these redeemable noncontrolling interests and noncontrolling interests represent substantive profit sharing arrangements. Further, the Company has determined that the appropriate methodology for calculating the redeemable noncontrolling and noncontrolling interest that reflects the substantive profit sharing arrangements is a balance sheet approach utilizing the HLBV method. Under the HLBV method, the amounts reported as redeemable noncontrolling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operations using a systematic and rational method over the period during which the investor is expected to achieve its target return. In certain cases, the Company must apply judgment in determining the methodology for applying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operations.</w:t>
      </w:r>
    </w:p>
    <w:p>
      <w:pPr>
        <w:sectPr>
          <w:pgSz w:w="11880" w:h="15480" w:orient="portrait"/>
          <w:cols w:equalWidth="0" w:num="1">
            <w:col w:w="10040"/>
          </w:cols>
          <w:pgMar w:left="920" w:top="70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10040"/>
          </w:cols>
          <w:pgMar w:left="920" w:top="702" w:right="920" w:bottom="0" w:gutter="0" w:footer="0" w:header="0"/>
          <w:type w:val="continuous"/>
        </w:sectPr>
      </w:pPr>
    </w:p>
    <w:bookmarkStart w:id="70" w:name="page71"/>
    <w:bookmarkEnd w:id="70"/>
    <w:p>
      <w:pPr>
        <w:ind w:left="440"/>
        <w:spacing w:after="0"/>
        <w:rPr>
          <w:sz w:val="20"/>
          <w:szCs w:val="20"/>
          <w:color w:val="auto"/>
        </w:rPr>
      </w:pPr>
      <w:r>
        <w:rPr>
          <w:rFonts w:ascii="Arial" w:cs="Arial" w:eastAsia="Arial" w:hAnsi="Arial"/>
          <w:sz w:val="20"/>
          <w:szCs w:val="20"/>
          <w:b w:val="1"/>
          <w:bCs w:val="1"/>
          <w:i w:val="1"/>
          <w:iCs w:val="1"/>
          <w:color w:val="auto"/>
        </w:rPr>
        <w:t>Financial Instruments</w:t>
      </w:r>
    </w:p>
    <w:p>
      <w:pPr>
        <w:spacing w:after="0" w:line="186"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20"/>
          <w:szCs w:val="20"/>
          <w:color w:val="auto"/>
        </w:rPr>
        <w:t>The Company records its financial instruments, which primarily consist of derivative financial instruments, at fair value. The Company determines the fair value of its financial instruments using discounted cash flow models that require the use of assumptions concerning the amount of estimated future cash flows. The assumptions are determined using external, observable market inputs when available. When observable market inputs are not available, the Company must apply significant judgment to determine market participant assumptions such as future electricity prices, future natural gas prices, future interest rates and discount rates. As these inputs are based on estimates, fair values may not reflect the amounts actually realized from the related transaction.</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Recent Accounting Developments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See Item 15 — Note 2, </w:t>
      </w:r>
      <w:r>
        <w:rPr>
          <w:rFonts w:ascii="Arial" w:cs="Arial" w:eastAsia="Arial" w:hAnsi="Arial"/>
          <w:sz w:val="17"/>
          <w:szCs w:val="17"/>
          <w:b w:val="1"/>
          <w:bCs w:val="1"/>
          <w:i w:val="1"/>
          <w:iCs w:val="1"/>
          <w:color w:val="auto"/>
        </w:rPr>
        <w:t>Summary of Significant Accounting Policies</w:t>
      </w:r>
      <w:r>
        <w:rPr>
          <w:rFonts w:ascii="Arial" w:cs="Arial" w:eastAsia="Arial" w:hAnsi="Arial"/>
          <w:sz w:val="17"/>
          <w:szCs w:val="17"/>
          <w:color w:val="auto"/>
        </w:rPr>
        <w:t>, for a discussion of recent accounting developments.</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10040"/>
          </w:cols>
          <w:pgMar w:left="920" w:top="580" w:right="920" w:bottom="0" w:gutter="0" w:footer="0" w:header="0"/>
          <w:type w:val="continuous"/>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Item 7A — Quantitative and Qualitative Disclosures About Market Risk</w:t>
      </w:r>
    </w:p>
    <w:p>
      <w:pPr>
        <w:spacing w:after="0" w:line="18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Commodity Price Risk</w:t>
      </w:r>
    </w:p>
    <w:p>
      <w:pPr>
        <w:spacing w:after="0" w:line="189"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 xml:space="preserve">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 See Item 15 — Note 7, </w:t>
      </w:r>
      <w:r>
        <w:rPr>
          <w:rFonts w:ascii="Arial" w:cs="Arial" w:eastAsia="Arial" w:hAnsi="Arial"/>
          <w:sz w:val="19"/>
          <w:szCs w:val="19"/>
          <w:b w:val="1"/>
          <w:bCs w:val="1"/>
          <w:i w:val="1"/>
          <w:iCs w:val="1"/>
          <w:color w:val="auto"/>
        </w:rPr>
        <w:t>Accounting for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Derivative Instruments and Hedging Activities</w:t>
      </w:r>
      <w:r>
        <w:rPr>
          <w:rFonts w:ascii="Arial" w:cs="Arial" w:eastAsia="Arial" w:hAnsi="Arial"/>
          <w:sz w:val="19"/>
          <w:szCs w:val="19"/>
          <w:color w:val="auto"/>
        </w:rPr>
        <w:t>, for more information.</w:t>
      </w:r>
    </w:p>
    <w:p>
      <w:pPr>
        <w:spacing w:after="0" w:line="135"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Based on a sensitivity analysis using simplified assumptions, the impact of a $0.50 per MWh increase or decrease in power prices across the term of the long-term power commodity contracts would cause a change of approximately $4 million to the net value of the related derivatives as of December 31, 2025.</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189"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Note 7, </w:t>
      </w:r>
      <w:r>
        <w:rPr>
          <w:rFonts w:ascii="Arial" w:cs="Arial" w:eastAsia="Arial" w:hAnsi="Arial"/>
          <w:sz w:val="17"/>
          <w:szCs w:val="17"/>
          <w:b w:val="1"/>
          <w:bCs w:val="1"/>
          <w:i w:val="1"/>
          <w:iCs w:val="1"/>
          <w:color w:val="auto"/>
        </w:rPr>
        <w:t xml:space="preserve">Accounting for Derivative Instruments and Hedging Activities, </w:t>
      </w:r>
      <w:r>
        <w:rPr>
          <w:rFonts w:ascii="Arial" w:cs="Arial" w:eastAsia="Arial" w:hAnsi="Arial"/>
          <w:sz w:val="17"/>
          <w:szCs w:val="17"/>
          <w:color w:val="auto"/>
        </w:rPr>
        <w:t>for more information.</w:t>
      </w:r>
    </w:p>
    <w:p>
      <w:pPr>
        <w:spacing w:after="0" w:line="106" w:lineRule="exact"/>
        <w:rPr>
          <w:sz w:val="20"/>
          <w:szCs w:val="20"/>
          <w:color w:val="auto"/>
        </w:rPr>
      </w:pPr>
    </w:p>
    <w:p>
      <w:pPr>
        <w:jc w:val="both"/>
        <w:ind w:firstLine="441"/>
        <w:spacing w:after="0" w:line="278" w:lineRule="auto"/>
        <w:rPr>
          <w:sz w:val="20"/>
          <w:szCs w:val="20"/>
          <w:color w:val="auto"/>
        </w:rPr>
      </w:pPr>
      <w:r>
        <w:rPr>
          <w:rFonts w:ascii="Arial" w:cs="Arial" w:eastAsia="Arial" w:hAnsi="Arial"/>
          <w:sz w:val="19"/>
          <w:szCs w:val="19"/>
          <w:color w:val="auto"/>
        </w:rPr>
        <w:t xml:space="preserve">The Company and most of its subsidiaries enter into interest rate swaps intended to hedge the risks associated with interest rates on non-recourse facility level debt or any potential refinancing of the Senior Notes. See Item 15 — Note 10, </w:t>
      </w:r>
      <w:r>
        <w:rPr>
          <w:rFonts w:ascii="Arial" w:cs="Arial" w:eastAsia="Arial" w:hAnsi="Arial"/>
          <w:sz w:val="19"/>
          <w:szCs w:val="19"/>
          <w:b w:val="1"/>
          <w:bCs w:val="1"/>
          <w:i w:val="1"/>
          <w:iCs w:val="1"/>
          <w:color w:val="auto"/>
        </w:rPr>
        <w:t>Long-term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Debt</w:t>
      </w:r>
      <w:r>
        <w:rPr>
          <w:rFonts w:ascii="Arial" w:cs="Arial" w:eastAsia="Arial" w:hAnsi="Arial"/>
          <w:sz w:val="19"/>
          <w:szCs w:val="19"/>
          <w:color w:val="auto"/>
        </w:rPr>
        <w:t>, for more information about interest rate swaps of the Company’s subsidiaries.</w:t>
      </w:r>
    </w:p>
    <w:p>
      <w:pPr>
        <w:spacing w:after="0" w:line="123"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If all of the above swaps had been discontinued on December 31, 2025, the counterparties would have owed the Company $116 million. Based on the credit ratings of the counterparties, the Company believes its exposure to credit risk due to nonperformance by counterparties to its hedge contracts to be insignificant.</w:t>
      </w:r>
    </w:p>
    <w:p>
      <w:pPr>
        <w:spacing w:after="0" w:line="140"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Company has long-term debt instruments that subject it to the risk of loss associated with movements in market interest rates. As of December 31, 2025, a 1% change in interest rates would result in an approximately $6 million change in interest expense on a rolling twelve-month basis.</w:t>
      </w:r>
    </w:p>
    <w:p>
      <w:pPr>
        <w:spacing w:after="0" w:line="140"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As of December 31, 2025, the fair value of the Company’s debt was $8,382 million and the carrying value was $8,676 million. The Company estimates that a 1% decrease in market interest rates would have increased the fair value of its long-term debt by $291 million.</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Risk</w:t>
      </w:r>
    </w:p>
    <w:p>
      <w:pPr>
        <w:spacing w:after="0" w:line="18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Liquidity risk arises from the general funding needs of the Company’s activities and in the management of the Company’s assets and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Counterparty Credit Risk</w:t>
      </w:r>
    </w:p>
    <w:p>
      <w:pPr>
        <w:spacing w:after="0" w:line="189"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Note 6, </w:t>
      </w:r>
      <w:r>
        <w:rPr>
          <w:rFonts w:ascii="Arial" w:cs="Arial" w:eastAsia="Arial" w:hAnsi="Arial"/>
          <w:sz w:val="17"/>
          <w:szCs w:val="17"/>
          <w:b w:val="1"/>
          <w:bCs w:val="1"/>
          <w:i w:val="1"/>
          <w:iCs w:val="1"/>
          <w:color w:val="auto"/>
        </w:rPr>
        <w:t>Fair Value of Financial Instruments</w:t>
      </w:r>
      <w:r>
        <w:rPr>
          <w:rFonts w:ascii="Arial" w:cs="Arial" w:eastAsia="Arial" w:hAnsi="Arial"/>
          <w:sz w:val="17"/>
          <w:szCs w:val="17"/>
          <w:color w:val="auto"/>
        </w:rPr>
        <w:t>, for more information about concentration of credit risk.</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 Financial Statements and Supplementary Data</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financial statements and schedules are listed in Part IV, Item 15 of this Form 10-K.</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10040"/>
          </w:cols>
          <w:pgMar w:left="920" w:top="577" w:right="92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Item 9 — Changes in and Disagreements with Accountants on Accounting and Financial Disclosure</w:t>
      </w:r>
    </w:p>
    <w:p>
      <w:pPr>
        <w:spacing w:after="0" w:line="18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9"/>
          <w:szCs w:val="19"/>
          <w:color w:val="auto"/>
        </w:rPr>
        <w:t>As previously reported in the Company’s Current Report on Form 8-K filed on May 10, 2024, the Audit Committee of the Board of Directors of the Company dismissed Ernst &amp; Young LLP as the Company’s independent registered public accounting firm and appointed PricewaterhouseCoopers LLP, an independent registered public accounting firm, to audit the consolidated financial statements of the Company and its subsidiaries for the fiscal year ended December 31, 2024. For more information, please refer to the Company’s Current Report on Form 8-K filed on May 10, 2024.</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 Controls and Procedures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89"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Under the supervision and with the participation of the Company’s management, including its principal executive officer, its principal financial officer and its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Company’s disclosure controls and procedures were not effective as of December 31, 2025, the end of the period covered by this Annual Report on Form 10-K, as a result of the material weakness in internal control over financial reporting identified during the fourth quarter of 2025, as described below.</w:t>
      </w:r>
    </w:p>
    <w:p>
      <w:pPr>
        <w:spacing w:after="0" w:line="11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Notwithstanding the identified material weakness, as of the date of the filing of this Annual Report on Form 10-K, the Company’s management believes that the audited consolidated financial statements contained in this Annual Report on Form 10-K fairly present, in all material respects, the Company’s financial position, results of operations and cash flows for the periods presented and such financial statements are presented in accordance with GAAP.</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Inherent Limitations over Internal Control over Financial Reporting</w:t>
      </w:r>
    </w:p>
    <w:p>
      <w:pPr>
        <w:spacing w:after="0" w:line="189" w:lineRule="exact"/>
        <w:rPr>
          <w:sz w:val="20"/>
          <w:szCs w:val="20"/>
          <w:color w:val="auto"/>
        </w:rPr>
      </w:pPr>
    </w:p>
    <w:p>
      <w:pPr>
        <w:jc w:val="both"/>
        <w:ind w:firstLine="441"/>
        <w:spacing w:after="0" w:line="325" w:lineRule="auto"/>
        <w:rPr>
          <w:sz w:val="20"/>
          <w:szCs w:val="20"/>
          <w:color w:val="auto"/>
        </w:rPr>
      </w:pPr>
      <w:r>
        <w:rPr>
          <w:rFonts w:ascii="Arial" w:cs="Arial" w:eastAsia="Arial" w:hAnsi="Arial"/>
          <w:sz w:val="17"/>
          <w:szCs w:val="17"/>
          <w:color w:val="auto"/>
        </w:rPr>
        <w:t>The Company’s internal control over financial reporting is a process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88" w:lineRule="exact"/>
        <w:rPr>
          <w:sz w:val="20"/>
          <w:szCs w:val="20"/>
          <w:color w:val="auto"/>
        </w:rPr>
      </w:pPr>
    </w:p>
    <w:p>
      <w:pPr>
        <w:ind w:firstLine="434"/>
        <w:spacing w:after="0" w:line="271" w:lineRule="auto"/>
        <w:tabs>
          <w:tab w:leader="none" w:pos="677" w:val="left"/>
        </w:tabs>
        <w:numPr>
          <w:ilvl w:val="0"/>
          <w:numId w:val="37"/>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the Company’s assets;</w:t>
      </w:r>
    </w:p>
    <w:p>
      <w:pPr>
        <w:spacing w:after="0" w:line="127" w:lineRule="exact"/>
        <w:rPr>
          <w:rFonts w:ascii="Arial" w:cs="Arial" w:eastAsia="Arial" w:hAnsi="Arial"/>
          <w:sz w:val="20"/>
          <w:szCs w:val="20"/>
          <w:color w:val="auto"/>
        </w:rPr>
      </w:pPr>
    </w:p>
    <w:p>
      <w:pPr>
        <w:jc w:val="both"/>
        <w:ind w:firstLine="434"/>
        <w:spacing w:after="0" w:line="258" w:lineRule="auto"/>
        <w:tabs>
          <w:tab w:leader="none" w:pos="641"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140" w:lineRule="exact"/>
        <w:rPr>
          <w:rFonts w:ascii="Arial" w:cs="Arial" w:eastAsia="Arial" w:hAnsi="Arial"/>
          <w:sz w:val="20"/>
          <w:szCs w:val="20"/>
          <w:color w:val="auto"/>
        </w:rPr>
      </w:pPr>
    </w:p>
    <w:p>
      <w:pPr>
        <w:ind w:firstLine="434"/>
        <w:spacing w:after="0" w:line="271" w:lineRule="auto"/>
        <w:tabs>
          <w:tab w:leader="none" w:pos="638"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Provide reasonable assurance regarding prevention or timely detection of unauthorized acquisition, use or disposition of the Company’s assets that could have a material effect on the consolidated financial statements.</w:t>
      </w:r>
    </w:p>
    <w:p>
      <w:pPr>
        <w:spacing w:after="0" w:line="127" w:lineRule="exact"/>
        <w:rPr>
          <w:sz w:val="20"/>
          <w:szCs w:val="20"/>
          <w:color w:val="auto"/>
        </w:rPr>
      </w:pPr>
    </w:p>
    <w:p>
      <w:pPr>
        <w:jc w:val="both"/>
        <w:ind w:firstLine="441"/>
        <w:spacing w:after="0" w:line="32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189"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 xml:space="preserve">The Company’s management is responsible for establishing and maintaining adequate internal control over financial reporting, as such term is defined in Exchange Act Rule 13a-15(f) or 15d-15(f). Under the supervision and with the participation of the Company’s management, including its principal executive officer, its principal financial officer and its principal accounting officer, the Company conducted an evaluation of the effectiveness of the Company’s internal control over financial reporting as of December 31, 2025 using the criteria described in </w:t>
      </w:r>
      <w:r>
        <w:rPr>
          <w:rFonts w:ascii="Arial" w:cs="Arial" w:eastAsia="Arial" w:hAnsi="Arial"/>
          <w:sz w:val="19"/>
          <w:szCs w:val="19"/>
          <w:b w:val="1"/>
          <w:bCs w:val="1"/>
          <w:i w:val="1"/>
          <w:iCs w:val="1"/>
          <w:color w:val="auto"/>
        </w:rPr>
        <w:t>Internal Control — Integrated Framework (2013)</w:t>
      </w:r>
      <w:r>
        <w:rPr>
          <w:rFonts w:ascii="Arial" w:cs="Arial" w:eastAsia="Arial" w:hAnsi="Arial"/>
          <w:sz w:val="19"/>
          <w:szCs w:val="19"/>
          <w:color w:val="auto"/>
        </w:rPr>
        <w:t xml:space="preserve"> issued by the Committee of Sponsoring Organizations of the Treadway Commission.</w:t>
      </w:r>
    </w:p>
    <w:p>
      <w:pPr>
        <w:spacing w:after="0" w:line="135"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A material weakness is a deficiency, or combination of deficiencies, in internal control over financial reporting such that there is a reasonable possibility that a material misstatement of the Company’s annual or interim consolidated financial statements may not be prevented or detected on a timely basis.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0040"/>
          </w:cols>
          <w:pgMar w:left="920" w:top="577" w:right="920" w:bottom="0" w:gutter="0" w:footer="0" w:header="0"/>
          <w:type w:val="continuous"/>
        </w:sectPr>
      </w:pPr>
    </w:p>
    <w:bookmarkStart w:id="73" w:name="page74"/>
    <w:bookmarkEnd w:id="73"/>
    <w:p>
      <w:pPr>
        <w:jc w:val="both"/>
        <w:ind w:firstLine="441"/>
        <w:spacing w:after="0" w:line="296" w:lineRule="auto"/>
        <w:rPr>
          <w:sz w:val="20"/>
          <w:szCs w:val="20"/>
          <w:color w:val="auto"/>
        </w:rPr>
      </w:pPr>
      <w:r>
        <w:rPr>
          <w:rFonts w:ascii="Arial" w:cs="Arial" w:eastAsia="Arial" w:hAnsi="Arial"/>
          <w:sz w:val="17"/>
          <w:szCs w:val="17"/>
          <w:color w:val="auto"/>
        </w:rPr>
        <w:t xml:space="preserve">Based on the evaluation described above, the Company’s management identified a material weakness in its internal control over financial reporting due to ineffective controls over the review of certain calculations of hypothetical liquidation at book value (HLBV) accounting used to allocate net income (loss) to the Company’s redeemable noncontrolling interests and noncontrolling interests in tax equity partnerships. This material weakness resulted in immaterial errors in the previously issued Quarterly Reports on Form 10-Q for the interim periods within the fiscal year ended December 31, 2025, which is disclosed in Note 18, </w:t>
      </w:r>
      <w:r>
        <w:rPr>
          <w:rFonts w:ascii="Arial" w:cs="Arial" w:eastAsia="Arial" w:hAnsi="Arial"/>
          <w:sz w:val="17"/>
          <w:szCs w:val="17"/>
          <w:b w:val="1"/>
          <w:bCs w:val="1"/>
          <w:i w:val="1"/>
          <w:iCs w:val="1"/>
          <w:color w:val="auto"/>
        </w:rPr>
        <w:t>Revision of Previously Issued Unaudited Financial Information (Unaudited)</w:t>
      </w:r>
      <w:r>
        <w:rPr>
          <w:rFonts w:ascii="Arial" w:cs="Arial" w:eastAsia="Arial" w:hAnsi="Arial"/>
          <w:sz w:val="17"/>
          <w:szCs w:val="17"/>
          <w:color w:val="auto"/>
        </w:rPr>
        <w:t>. Additionally, the material weakness could result in misstatements of the aforementioned account balances that would result in a material misstatement of the Company’s annual or interim consolidated financial statements that would not be prevented or detected. As a result of the material weakness described above, management has concluded that the Company’s internal control over financial reporting was not effective as of December 31, 2025.</w:t>
      </w:r>
    </w:p>
    <w:p>
      <w:pPr>
        <w:spacing w:after="0" w:line="118"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effectiveness of the Company’s internal control over financial reporting as of December 31, 2025, has been audited by PricewaterhouseCoopers LLP, an independent registered public accounting firm, as stated in their report which is included in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Material Weakness Remediation Plan and Activities</w:t>
      </w:r>
    </w:p>
    <w:p>
      <w:pPr>
        <w:spacing w:after="0" w:line="189"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The Company is committed to addressing the material weakness described above and has begun to implement changes in processes designed to improve its internal control over financial reporting. To remediate the material weakness, the Company has implemented enhancements to its existing controls over the review of HLBV calculations used to allocate net income (loss) to the Company’s redeemable noncontrolling interests and noncontrolling interests in tax equity arrangements. These enhancements include (i) additional procedures to review the completeness and accuracy of key inputs and the mathematical accuracy of HLBV models during funding periods, (ii) the use of additional review tools to ensure that unique circumstances related to funding periods are reflected accurately and (iii) increased precision in the review of HLBV models, including specific procedures designed to identify and evaluate changes to the models subsequent to their initial setup, as well as additional levels of review for model updates, contract amendments and during funding periods. During the fourth quarter of 2025, the Company effectively operated the enhanced controls over the review of HLBV calculations.</w:t>
      </w:r>
    </w:p>
    <w:p>
      <w:pPr>
        <w:spacing w:after="0" w:line="118"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Although the Company is in the process of remediating the material weakness and believes, based on its evaluation to date, that the material weakness will be remediated in a timely fashion, it cannot provide assurance that this will occur within a specific timeframe. The material weakness will not be remediated until all necessary internal controls have been tested and determined to be operating effectively for a sufficient period of time. In addition, the Company may need to take additional measures to address the material weakness or modify the planned remediation steps.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8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Other than the identified enhancements discussed in the “Material Weakness Remediation Plan and Activities” section above, there were no changes in the Company’s internal control over financial reporting (as such term is defined in Rule 13a-15(f) or 15d-15(f) under the Exchange Act) during the quarter ended December 31, 2025, that materially affected, or are reasonably likely to materially affect, the Company’s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 Other Information</w:t>
      </w:r>
    </w:p>
    <w:p>
      <w:pPr>
        <w:spacing w:after="0" w:line="189"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During the three months ended December 31, 2025, no director or officer (as defined in Rule 16a-1(f) under the Exchange Act) of the Company adopted, modified or terminated a “Rule 10b5-1 trading arrangement” or “non-Rule 10b5-1 trading arrangement,” as each term is defined in Item 408(a) of Regulation S-K.</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0040"/>
          </w:cols>
          <w:pgMar w:left="920" w:top="584" w:right="920" w:bottom="0" w:gutter="0" w:footer="0" w:header="0"/>
          <w:type w:val="continuous"/>
        </w:sectPr>
      </w:pPr>
    </w:p>
    <w:bookmarkStart w:id="74" w:name="page75"/>
    <w:bookmarkEnd w:id="74"/>
    <w:p>
      <w:pPr>
        <w:ind w:left="4627"/>
        <w:spacing w:after="0"/>
        <w:rPr>
          <w:sz w:val="20"/>
          <w:szCs w:val="20"/>
          <w:color w:val="auto"/>
        </w:rPr>
      </w:pPr>
      <w:r>
        <w:rPr>
          <w:rFonts w:ascii="Arial" w:cs="Arial" w:eastAsia="Arial" w:hAnsi="Arial"/>
          <w:sz w:val="20"/>
          <w:szCs w:val="20"/>
          <w:b w:val="1"/>
          <w:bCs w:val="1"/>
          <w:color w:val="auto"/>
        </w:rPr>
        <w:t>PART III</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10 — Information about Directors, Executive Officers and Corporate Governance</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Directors</w:t>
      </w:r>
    </w:p>
    <w:p>
      <w:pPr>
        <w:spacing w:after="0" w:line="187" w:lineRule="exact"/>
        <w:rPr>
          <w:sz w:val="20"/>
          <w:szCs w:val="20"/>
          <w:color w:val="auto"/>
        </w:rPr>
      </w:pPr>
    </w:p>
    <w:p>
      <w:pPr>
        <w:jc w:val="both"/>
        <w:ind w:left="7" w:firstLine="441"/>
        <w:spacing w:after="0" w:line="301" w:lineRule="auto"/>
        <w:rPr>
          <w:sz w:val="20"/>
          <w:szCs w:val="20"/>
          <w:color w:val="auto"/>
        </w:rPr>
      </w:pPr>
      <w:r>
        <w:rPr>
          <w:rFonts w:ascii="Arial" w:cs="Arial" w:eastAsia="Arial" w:hAnsi="Arial"/>
          <w:sz w:val="17"/>
          <w:szCs w:val="17"/>
          <w:b w:val="1"/>
          <w:bCs w:val="1"/>
          <w:i w:val="1"/>
          <w:iCs w:val="1"/>
          <w:color w:val="auto"/>
        </w:rPr>
        <w:t xml:space="preserve">Nathaniel Anschuetz, 38, </w:t>
      </w:r>
      <w:r>
        <w:rPr>
          <w:rFonts w:ascii="Arial" w:cs="Arial" w:eastAsia="Arial" w:hAnsi="Arial"/>
          <w:sz w:val="17"/>
          <w:szCs w:val="17"/>
          <w:color w:val="auto"/>
        </w:rPr>
        <w:t>has served as a director since August 2018. Mr. Anschuetz is a Partner at GIP. Prior to joining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GIP in 2012, Mr. Anschuetz was an Analyst in the Power &amp; Utilities Coverage Group at Citigroup from June 2010 through June 2012. Mr. Anschuetz is also a member of the board of directors of Zephyr Acquisition Holdings, L.P., or Zephyr Acquisition Holdings, the indirect parent of CEG and Eolian, L.P. Mr. Anschuetz served as a board member on the board of directors of SunPower Corporation from September 2022 to October 2024.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spacing w:after="0" w:line="107" w:lineRule="exact"/>
        <w:rPr>
          <w:sz w:val="20"/>
          <w:szCs w:val="20"/>
          <w:color w:val="auto"/>
        </w:rPr>
      </w:pPr>
    </w:p>
    <w:p>
      <w:pPr>
        <w:jc w:val="both"/>
        <w:ind w:left="7" w:firstLine="441"/>
        <w:spacing w:after="0" w:line="296" w:lineRule="auto"/>
        <w:rPr>
          <w:sz w:val="20"/>
          <w:szCs w:val="20"/>
          <w:color w:val="auto"/>
        </w:rPr>
      </w:pPr>
      <w:r>
        <w:rPr>
          <w:rFonts w:ascii="Arial" w:cs="Arial" w:eastAsia="Arial" w:hAnsi="Arial"/>
          <w:sz w:val="17"/>
          <w:szCs w:val="17"/>
          <w:b w:val="1"/>
          <w:bCs w:val="1"/>
          <w:i w:val="1"/>
          <w:iCs w:val="1"/>
          <w:color w:val="auto"/>
        </w:rPr>
        <w:t xml:space="preserve">Jonathan Bram, 60, </w:t>
      </w:r>
      <w:r>
        <w:rPr>
          <w:rFonts w:ascii="Arial" w:cs="Arial" w:eastAsia="Arial" w:hAnsi="Arial"/>
          <w:sz w:val="17"/>
          <w:szCs w:val="17"/>
          <w:color w:val="auto"/>
        </w:rPr>
        <w:t>has served as a director and Chairman of the Company’s Board of Directors since August 2018.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Bram is a Senior Managing Director and Founding Partner at GIP and serves on its Equity and Credit Investment Committees. Prior to the formation of GIP in 2006, Mr. Bram spent 15 years at Credit Suisse as a managing director in the Investment Banking Division, where he served in a variety of positions including co-head of the Global Industrial and Services Group, chief operating officer of the Investment Banking Division, and co-head of corporate finance for the 150-person U.S. Energy Group. He has experience financing and investing in renewables companies and projects that utilize wind, solar, geothermal and hydroelectric technologies. Mr. Bram is a member of the board of directors of Zephyr Acquisition Holdings, Allete, Eolian, L.P. and Chile Renovables, SpA. He previously served on the boards of Terra-Gen Power, Guacolda Energy, Channelview Cogeneration and SunPower Corporation. Mr. Bram holds a B.A. in economics from Columbia College. Mr. Bram’s significant experience in investment banking for, and investments in, energy and power companies, as well as his leadership role at GIP, provide strong financial and transactional experience to the Company’s Board of Directors.</w:t>
      </w:r>
    </w:p>
    <w:p>
      <w:pPr>
        <w:spacing w:after="0" w:line="112" w:lineRule="exact"/>
        <w:rPr>
          <w:sz w:val="20"/>
          <w:szCs w:val="20"/>
          <w:color w:val="auto"/>
        </w:rPr>
      </w:pPr>
    </w:p>
    <w:p>
      <w:pPr>
        <w:jc w:val="both"/>
        <w:ind w:left="7" w:firstLine="441"/>
        <w:spacing w:after="0" w:line="262" w:lineRule="auto"/>
        <w:rPr>
          <w:sz w:val="20"/>
          <w:szCs w:val="20"/>
          <w:color w:val="auto"/>
        </w:rPr>
      </w:pPr>
      <w:r>
        <w:rPr>
          <w:rFonts w:ascii="Arial" w:cs="Arial" w:eastAsia="Arial" w:hAnsi="Arial"/>
          <w:sz w:val="19"/>
          <w:szCs w:val="19"/>
          <w:b w:val="1"/>
          <w:bCs w:val="1"/>
          <w:i w:val="1"/>
          <w:iCs w:val="1"/>
          <w:color w:val="auto"/>
        </w:rPr>
        <w:t xml:space="preserve">Brian R. Ford, 77, </w:t>
      </w:r>
      <w:r>
        <w:rPr>
          <w:rFonts w:ascii="Arial" w:cs="Arial" w:eastAsia="Arial" w:hAnsi="Arial"/>
          <w:sz w:val="19"/>
          <w:szCs w:val="19"/>
          <w:color w:val="auto"/>
        </w:rPr>
        <w:t>has served as a director since July 2013 and Lead Independent Director since January 2019. Mr. Ford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was the Chief Executive Officer of Washington Philadelphia Partners, 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Company’s Board of Directors.</w:t>
      </w:r>
    </w:p>
    <w:p>
      <w:pPr>
        <w:spacing w:after="0" w:line="143" w:lineRule="exact"/>
        <w:rPr>
          <w:sz w:val="20"/>
          <w:szCs w:val="20"/>
          <w:color w:val="auto"/>
        </w:rPr>
      </w:pPr>
    </w:p>
    <w:p>
      <w:pPr>
        <w:jc w:val="both"/>
        <w:ind w:left="7" w:firstLine="441"/>
        <w:spacing w:after="0" w:line="263" w:lineRule="auto"/>
        <w:rPr>
          <w:sz w:val="20"/>
          <w:szCs w:val="20"/>
          <w:color w:val="auto"/>
        </w:rPr>
      </w:pPr>
      <w:r>
        <w:rPr>
          <w:rFonts w:ascii="Arial" w:cs="Arial" w:eastAsia="Arial" w:hAnsi="Arial"/>
          <w:sz w:val="19"/>
          <w:szCs w:val="19"/>
          <w:b w:val="1"/>
          <w:bCs w:val="1"/>
          <w:i w:val="1"/>
          <w:iCs w:val="1"/>
          <w:color w:val="auto"/>
        </w:rPr>
        <w:t xml:space="preserve">Bruce MacLennan, 59, </w:t>
      </w:r>
      <w:r>
        <w:rPr>
          <w:rFonts w:ascii="Arial" w:cs="Arial" w:eastAsia="Arial" w:hAnsi="Arial"/>
          <w:sz w:val="19"/>
          <w:szCs w:val="19"/>
          <w:color w:val="auto"/>
        </w:rPr>
        <w:t>has served as a director since August 2018. Mr. MacLennan is a Partner at GIP and focuses on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energy and power sectors. Prior to joining GIP at its formation in 2006, Mr. MacLennan was a Director in the Investment Banking Division of Credit Suisse. During his time at Credit Suisse, he worked in the Global Energy Group, the Global Project Finance Group and the Global Industrial and Services Group. Mr. MacLennan holds an A.B. from Harvard University and an M.B.A. from the Wharton School of the University of Pennsylvania. He is currently a member of the board of directors of Eolian, L.P. and Greenlane Infrastructure, and previously served on the boards of Competitive Power Ventures and Zephyr Acquisition Holdings. Mr. MacLennan’s significant experience in investment banking for, and investments in, energy and power companies, as well as his leadership role at GIP, provide strong financial and transactional experience to the Company’s Board of Directors.</w:t>
      </w:r>
    </w:p>
    <w:p>
      <w:pPr>
        <w:spacing w:after="0" w:line="138" w:lineRule="exact"/>
        <w:rPr>
          <w:sz w:val="20"/>
          <w:szCs w:val="20"/>
          <w:color w:val="auto"/>
        </w:rPr>
      </w:pPr>
    </w:p>
    <w:p>
      <w:pPr>
        <w:jc w:val="both"/>
        <w:ind w:left="7" w:firstLine="441"/>
        <w:spacing w:after="0" w:line="301" w:lineRule="auto"/>
        <w:rPr>
          <w:sz w:val="20"/>
          <w:szCs w:val="20"/>
          <w:color w:val="auto"/>
        </w:rPr>
      </w:pPr>
      <w:r>
        <w:rPr>
          <w:rFonts w:ascii="Arial" w:cs="Arial" w:eastAsia="Arial" w:hAnsi="Arial"/>
          <w:sz w:val="17"/>
          <w:szCs w:val="17"/>
          <w:b w:val="1"/>
          <w:bCs w:val="1"/>
          <w:i w:val="1"/>
          <w:iCs w:val="1"/>
          <w:color w:val="auto"/>
        </w:rPr>
        <w:t xml:space="preserve">Daniel B. More, 69, </w:t>
      </w:r>
      <w:r>
        <w:rPr>
          <w:rFonts w:ascii="Arial" w:cs="Arial" w:eastAsia="Arial" w:hAnsi="Arial"/>
          <w:sz w:val="17"/>
          <w:szCs w:val="17"/>
          <w:color w:val="auto"/>
        </w:rPr>
        <w:t>has served as a director since February 2019. Mr. More was a Senior Advisor with Guggenheim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from October 2015 until August 2025. Mr. More retired as a Managing Director and Global Head of Utility Mergers</w:t>
      </w:r>
    </w:p>
    <w:p>
      <w:pPr>
        <w:spacing w:after="0" w:line="2" w:lineRule="exact"/>
        <w:rPr>
          <w:sz w:val="20"/>
          <w:szCs w:val="20"/>
          <w:color w:val="auto"/>
        </w:rPr>
      </w:pPr>
    </w:p>
    <w:p>
      <w:pPr>
        <w:jc w:val="both"/>
        <w:ind w:left="7" w:hanging="7"/>
        <w:spacing w:after="0" w:line="261" w:lineRule="auto"/>
        <w:tabs>
          <w:tab w:leader="none" w:pos="224" w:val="left"/>
        </w:tabs>
        <w:numPr>
          <w:ilvl w:val="0"/>
          <w:numId w:val="38"/>
        </w:numPr>
        <w:rPr>
          <w:rFonts w:ascii="Arial" w:cs="Arial" w:eastAsia="Arial" w:hAnsi="Arial"/>
          <w:sz w:val="19"/>
          <w:szCs w:val="19"/>
          <w:color w:val="auto"/>
        </w:rPr>
      </w:pPr>
      <w:r>
        <w:rPr>
          <w:rFonts w:ascii="Arial" w:cs="Arial" w:eastAsia="Arial" w:hAnsi="Arial"/>
          <w:sz w:val="19"/>
          <w:szCs w:val="19"/>
          <w:color w:val="auto"/>
        </w:rPr>
        <w:t>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sectPr>
          <w:pgSz w:w="11880" w:h="15480" w:orient="portrait"/>
          <w:cols w:equalWidth="0" w:num="1">
            <w:col w:w="10047"/>
          </w:cols>
          <w:pgMar w:left="913"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10047"/>
          </w:cols>
          <w:pgMar w:left="913" w:top="577" w:right="920" w:bottom="0" w:gutter="0" w:footer="0" w:header="0"/>
          <w:type w:val="continuous"/>
        </w:sectPr>
      </w:pPr>
    </w:p>
    <w:bookmarkStart w:id="75" w:name="page76"/>
    <w:bookmarkEnd w:id="75"/>
    <w:p>
      <w:pPr>
        <w:jc w:val="both"/>
        <w:ind w:firstLine="441"/>
        <w:spacing w:after="0" w:line="277" w:lineRule="auto"/>
        <w:rPr>
          <w:sz w:val="20"/>
          <w:szCs w:val="20"/>
          <w:color w:val="auto"/>
        </w:rPr>
      </w:pPr>
      <w:r>
        <w:rPr>
          <w:rFonts w:ascii="Arial" w:cs="Arial" w:eastAsia="Arial" w:hAnsi="Arial"/>
          <w:sz w:val="18"/>
          <w:szCs w:val="18"/>
          <w:b w:val="1"/>
          <w:bCs w:val="1"/>
          <w:i w:val="1"/>
          <w:iCs w:val="1"/>
          <w:color w:val="auto"/>
        </w:rPr>
        <w:t xml:space="preserve">E. Stanley O’Neal, 74, </w:t>
      </w:r>
      <w:r>
        <w:rPr>
          <w:rFonts w:ascii="Arial" w:cs="Arial" w:eastAsia="Arial" w:hAnsi="Arial"/>
          <w:sz w:val="18"/>
          <w:szCs w:val="18"/>
          <w:color w:val="auto"/>
        </w:rPr>
        <w:t>has served as a director since August 2018. Mr. O’Neal</w:t>
      </w:r>
      <w:r>
        <w:rPr>
          <w:rFonts w:ascii="Arial" w:cs="Arial" w:eastAsia="Arial" w:hAnsi="Arial"/>
          <w:sz w:val="18"/>
          <w:szCs w:val="18"/>
          <w:b w:val="1"/>
          <w:bCs w:val="1"/>
          <w:i w:val="1"/>
          <w:iCs w:val="1"/>
          <w:color w:val="auto"/>
        </w:rPr>
        <w:t xml:space="preserve"> </w:t>
      </w:r>
      <w:r>
        <w:rPr>
          <w:rFonts w:ascii="Arial" w:cs="Arial" w:eastAsia="Arial" w:hAnsi="Arial"/>
          <w:sz w:val="21"/>
          <w:szCs w:val="21"/>
          <w:color w:val="auto"/>
        </w:rPr>
        <w:t>s</w:t>
      </w:r>
      <w:r>
        <w:rPr>
          <w:rFonts w:ascii="Arial" w:cs="Arial" w:eastAsia="Arial" w:hAnsi="Arial"/>
          <w:sz w:val="18"/>
          <w:szCs w:val="18"/>
          <w:color w:val="auto"/>
        </w:rPr>
        <w:t>erved as Chairman of the Board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Mr. O’Neal is also a director and member of the nominating and governance committee of Element Solutions Inc. (formerly Platform Specialty Products Corporation), a global, diversified producer of high technology specialty chemical products and provider of technical services. Mr. O’Neal is also a director and member of the audit committee of Hut 8 Corp, a cryptocurrency mining company, which was formed in November 2023 as a merger between Hut 8 Mining Corp and U.S. Data Mining Group, Inc. Mr. O’Neal is also a member of the board of directors of Allete. Mr. O’Neal was a director of General Motors Corporation from 2001 to 2006, chairman of the board of Merrill Lynch &amp; Co., Inc. from 2003 to 2007, a director of American Beacon Advisors, Inc. (investment advisor registered with the SEC) from 2009 to September 2012 and a director of Arconic Corp., an aluminum manufacturing company, from 2020 to 2023. Mr. O’Neal’s extensive executive experience, financial expertise and leadership skills enable him to provide unique guidance to the Board of Directors and the Company’s management team.</w:t>
      </w:r>
    </w:p>
    <w:p>
      <w:pPr>
        <w:spacing w:after="0" w:line="134"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b w:val="1"/>
          <w:bCs w:val="1"/>
          <w:i w:val="1"/>
          <w:iCs w:val="1"/>
          <w:color w:val="auto"/>
        </w:rPr>
        <w:t xml:space="preserve">Jennifer Lowry, 57, </w:t>
      </w:r>
      <w:r>
        <w:rPr>
          <w:rFonts w:ascii="Arial" w:cs="Arial" w:eastAsia="Arial" w:hAnsi="Arial"/>
          <w:sz w:val="17"/>
          <w:szCs w:val="17"/>
          <w:color w:val="auto"/>
        </w:rPr>
        <w:t>has served as a director since February 2022. Ms. Lowry served as Vice President of Risk, Treasury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Corporate Finance for McCormick &amp; Company, Inc. from October 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Chair of the Maryland Zoo Board of Trustees. Ms. Lowry served on the board of Electriq Power Holdings, Inc. from August 2023 to May 2024 and served on its compensation committee. Ms. Lowry served on the board of TPI Composites, Inc. from November 2024 to May 2025. As of May 2025, she serves on the board of MGP Ingredients as chair of the audit committee. Ms. Lowry has also been a member of the board of directors of MYR Group, Inc. since 2018, and is currently chair of its Audit Committee. Ms. Lowry’s financial and energy industry experience provides significant value to the Company’s Board of Directors.</w:t>
      </w:r>
    </w:p>
    <w:p>
      <w:pPr>
        <w:spacing w:after="0" w:line="347" w:lineRule="exact"/>
        <w:rPr>
          <w:sz w:val="20"/>
          <w:szCs w:val="20"/>
          <w:color w:val="auto"/>
        </w:rPr>
      </w:pPr>
    </w:p>
    <w:p>
      <w:pPr>
        <w:jc w:val="both"/>
        <w:ind w:firstLine="441"/>
        <w:spacing w:after="0" w:line="295" w:lineRule="auto"/>
        <w:rPr>
          <w:sz w:val="20"/>
          <w:szCs w:val="20"/>
          <w:color w:val="auto"/>
        </w:rPr>
      </w:pPr>
      <w:r>
        <w:rPr>
          <w:rFonts w:ascii="Arial" w:cs="Arial" w:eastAsia="Arial" w:hAnsi="Arial"/>
          <w:sz w:val="17"/>
          <w:szCs w:val="17"/>
          <w:b w:val="1"/>
          <w:bCs w:val="1"/>
          <w:i w:val="1"/>
          <w:iCs w:val="1"/>
          <w:color w:val="auto"/>
        </w:rPr>
        <w:t xml:space="preserve">Olivier Jouny, 45, </w:t>
      </w:r>
      <w:r>
        <w:rPr>
          <w:rFonts w:ascii="Arial" w:cs="Arial" w:eastAsia="Arial" w:hAnsi="Arial"/>
          <w:sz w:val="17"/>
          <w:szCs w:val="17"/>
          <w:color w:val="auto"/>
        </w:rPr>
        <w:t>has served as a director since October 2024. Mr. Jouny currently serves as Senior Vice President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Renewables division of TotalEnergies. He began his career in the Gas &amp; Power Division of TotalEnergies, serving in marketing activities on the European gas markets and then LNG downstream developments in North &amp; Central Americas. In 2008, he joined the Exploration &amp; Production branch where he held several positions in Yemen, France and the Republic of Congo. He was successively Commercial Manager of Yemen LNG, Head of E&amp;P New Ventures Economics Department and Business Development Manager of Total E&amp;P Congo based in Pointe Noire. In September 2016, he joined the Marketing &amp; Services branch where he was appointed Managing Director of Total Marine Fuels, TotalEnergies’ worldwide business unit in charge of bunkering activities, based in Singapore. Mr. Jouny then served as Managing Director of TotalEnergies E&amp;P in Angola. He was, during this period, also the country chair for TotalEnergies in Angola. From January 2023 to August 2024, he was Senior Vice President of the Integrated Power division of TotalEnergies within the Gas, Renewables and Power branch, where he developed an expertise in electricity markets and flexible power generation assets. Mr. Jouny graduated as a mechanical engineer from the Mines Paris Tech. Mr. Jouny’s engineering, energy and leadership experience provides significant value to the Company’s Board of Directors.</w:t>
      </w:r>
    </w:p>
    <w:p>
      <w:pPr>
        <w:spacing w:after="0" w:line="351"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b w:val="1"/>
          <w:bCs w:val="1"/>
          <w:i w:val="1"/>
          <w:iCs w:val="1"/>
          <w:color w:val="auto"/>
        </w:rPr>
        <w:t xml:space="preserve">Marc-Antoine Pignon, 41, </w:t>
      </w:r>
      <w:r>
        <w:rPr>
          <w:rFonts w:ascii="Arial" w:cs="Arial" w:eastAsia="Arial" w:hAnsi="Arial"/>
          <w:sz w:val="17"/>
          <w:szCs w:val="17"/>
          <w:color w:val="auto"/>
        </w:rPr>
        <w:t>has served as a director since December 2024. Mr. Pignon currently serves as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TotalEnergies Renewables USA. He has been employed by TotalEnergies since 2006, when he joined as an economist for upstream operations in Congo and the Middle East. Between 2008 and 2016, Mr. Pignon was successively appointed as Business Development Economist at TotalEnergies EP Norge AS, EPC Manager at TotalEnergies EP Nigeria Ltd and Head of Development &amp; Long-Term Planning at TotalEnergies EP Australia. In 2016, he became Head of TotalEnergies Solar France, which is the French renewables arm of TotalEnergies. In 2019, he moved to the United States within SunPower Corporation and then TotalEnergies Renewables USA to lead TotalEnergies’ renewables efforts in the U.S. He served as a director on the Board of Directors of SunPower Corporation from July 2024 to November 2024. Mr. Pignon is a science and executive engineering graduate from Mines ParisTech. Mr. Pignon’s economics, engineering and leadership experience provides significant value to the Company’s Board of Directors.</w:t>
      </w:r>
    </w:p>
    <w:p>
      <w:pPr>
        <w:sectPr>
          <w:pgSz w:w="11880" w:h="15480" w:orient="portrait"/>
          <w:cols w:equalWidth="0" w:num="1">
            <w:col w:w="10040"/>
          </w:cols>
          <w:pgMar w:left="920" w:top="57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0040"/>
          </w:cols>
          <w:pgMar w:left="920" w:top="573" w:right="920" w:bottom="0" w:gutter="0" w:footer="0" w:header="0"/>
          <w:type w:val="continuous"/>
        </w:sectPr>
      </w:pPr>
    </w:p>
    <w:bookmarkStart w:id="76" w:name="page77"/>
    <w:bookmarkEnd w:id="76"/>
    <w:p>
      <w:pPr>
        <w:jc w:val="both"/>
        <w:ind w:firstLine="441"/>
        <w:spacing w:after="0" w:line="265" w:lineRule="auto"/>
        <w:rPr>
          <w:sz w:val="20"/>
          <w:szCs w:val="20"/>
          <w:color w:val="auto"/>
        </w:rPr>
      </w:pPr>
      <w:r>
        <w:rPr>
          <w:rFonts w:ascii="Arial" w:cs="Arial" w:eastAsia="Arial" w:hAnsi="Arial"/>
          <w:sz w:val="19"/>
          <w:szCs w:val="19"/>
          <w:b w:val="1"/>
          <w:bCs w:val="1"/>
          <w:i w:val="1"/>
          <w:iCs w:val="1"/>
          <w:color w:val="auto"/>
        </w:rPr>
        <w:t>Paige Goodwin, 41</w:t>
      </w:r>
      <w:r>
        <w:rPr>
          <w:rFonts w:ascii="Arial" w:cs="Arial" w:eastAsia="Arial" w:hAnsi="Arial"/>
          <w:sz w:val="19"/>
          <w:szCs w:val="19"/>
          <w:color w:val="auto"/>
        </w:rPr>
        <w:t>, has served as a director since July 2025. Ms. Goodwin currently serves as VP – U.S. Renewables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Portfolio for TotalEnergies. She has been employed by TotalEnergies since 2014 and has held a variety of business and legal leadership roles, including as Senior Manager – U.S. Petrochemicals JVs and New Ventures; Assistant General Counsel – U.S. Litigation; and Assistant General Counsel – U.S. Refining &amp; Chemicals. Prior to joining TotalEnergies, Ms. Goodwin was a litigation attorney at Baker Botts L.L.P. in Houston, Texas. Ms. Goodwin received her Juris Doctor from the University of Pennsylvania Law School, and her Bachelor of Arts from Duke University. Ms. Goodwin’s legal, energy industry and leadership experience provides significant value to the Board.</w:t>
      </w:r>
    </w:p>
    <w:p>
      <w:pPr>
        <w:spacing w:after="0" w:line="134"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9"/>
          <w:szCs w:val="19"/>
          <w:b w:val="1"/>
          <w:bCs w:val="1"/>
          <w:i w:val="1"/>
          <w:iCs w:val="1"/>
          <w:color w:val="auto"/>
        </w:rPr>
        <w:t xml:space="preserve">Craig Cornelius, 46, </w:t>
      </w:r>
      <w:r>
        <w:rPr>
          <w:rFonts w:ascii="Arial" w:cs="Arial" w:eastAsia="Arial" w:hAnsi="Arial"/>
          <w:sz w:val="19"/>
          <w:szCs w:val="19"/>
          <w:color w:val="auto"/>
        </w:rPr>
        <w:t>has served as President and Chief Executive Officer of the Company since July 2024 and as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 of the Company since July 2024. He has been CEG’s chief executive officer since its formation through a spin-out of NRG Energy, Inc.’s clean energy businesses in 2018. Previously, Mr. Cornelius was President of NRG’s renewables division. In this capacity, he oversaw origination, development, engineering and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 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 Mr. Cornelius is also a member of the board of directors of Sunrun Inc., where he also serves as a member of its audit committee and nominating, governance and sustainability committee. As President and Chief Executive Officer of the Company, Mr. Cornelius provides the Board of Directors with management’s perspective regarding the Company’s day to day operations and overall strategic plan.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w:t>
      </w:r>
    </w:p>
    <w:p>
      <w:pPr>
        <w:spacing w:after="0" w:line="187"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20"/>
          <w:szCs w:val="20"/>
          <w:b w:val="1"/>
          <w:bCs w:val="1"/>
          <w:i w:val="1"/>
          <w:iCs w:val="1"/>
          <w:color w:val="auto"/>
        </w:rPr>
        <w:t xml:space="preserve">Craig Cornelius </w:t>
      </w:r>
      <w:r>
        <w:rPr>
          <w:rFonts w:ascii="Arial" w:cs="Arial" w:eastAsia="Arial" w:hAnsi="Arial"/>
          <w:sz w:val="20"/>
          <w:szCs w:val="20"/>
          <w:color w:val="auto"/>
        </w:rPr>
        <w:t>has served as President and Chief Executive Officer and as a director of the Company since July 2024.</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additional biographical information for Mr. Cornelius, see above under “Directors.”</w:t>
      </w:r>
    </w:p>
    <w:p>
      <w:pPr>
        <w:spacing w:after="0" w:line="124" w:lineRule="exact"/>
        <w:rPr>
          <w:sz w:val="20"/>
          <w:szCs w:val="20"/>
          <w:color w:val="auto"/>
        </w:rPr>
      </w:pPr>
    </w:p>
    <w:p>
      <w:pPr>
        <w:jc w:val="both"/>
        <w:ind w:firstLine="441"/>
        <w:spacing w:after="0" w:line="298" w:lineRule="auto"/>
        <w:rPr>
          <w:sz w:val="20"/>
          <w:szCs w:val="20"/>
          <w:color w:val="auto"/>
        </w:rPr>
      </w:pPr>
      <w:r>
        <w:rPr>
          <w:rFonts w:ascii="Arial" w:cs="Arial" w:eastAsia="Arial" w:hAnsi="Arial"/>
          <w:sz w:val="17"/>
          <w:szCs w:val="17"/>
          <w:b w:val="1"/>
          <w:bCs w:val="1"/>
          <w:i w:val="1"/>
          <w:iCs w:val="1"/>
          <w:color w:val="auto"/>
        </w:rPr>
        <w:t xml:space="preserve">Sarah Rubenstein, 48, </w:t>
      </w:r>
      <w:r>
        <w:rPr>
          <w:rFonts w:ascii="Arial" w:cs="Arial" w:eastAsia="Arial" w:hAnsi="Arial"/>
          <w:sz w:val="17"/>
          <w:szCs w:val="17"/>
          <w:color w:val="auto"/>
        </w:rPr>
        <w:t>has served as Executive Vice President and Chief Financial Officer of the Company since April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2023 and previously served as Senior Vice President and Chief Accounting 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10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b w:val="1"/>
          <w:bCs w:val="1"/>
          <w:i w:val="1"/>
          <w:iCs w:val="1"/>
          <w:color w:val="auto"/>
        </w:rPr>
        <w:t xml:space="preserve">Kevin P. Malcarney, 59, </w:t>
      </w:r>
      <w:r>
        <w:rPr>
          <w:rFonts w:ascii="Arial" w:cs="Arial" w:eastAsia="Arial" w:hAnsi="Arial"/>
          <w:sz w:val="19"/>
          <w:szCs w:val="19"/>
          <w:color w:val="auto"/>
        </w:rPr>
        <w:t>has served as the Company’s General Counsel, Corporate Secretary and Chief Compliance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 since May 2018, and was promoted from Senior Vice President to Executive Vice President in January 2022. He was previously Vice President and Deputy General Counsel at NRG responsible for new businesses, mergers and acquisitions, divestitures and project financings, and managed a large team of lawyers that operated across all geographic regions and business areas of the company. Prior to NRG, Mr. Malcarney worked at two AmLaw 100 firms in Princeton, New Jersey and Philadelphia, Pennsylvania, and handled mergers and acquisitions, project financing and general corporate matters. Mr. Malcarney received his JD/MBA from Rutgers University School of Law, Camden, and his BBA in Marketing from the Wharton School, University of Pennsylvania.</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Ethics</w:t>
      </w:r>
    </w:p>
    <w:p>
      <w:pPr>
        <w:spacing w:after="0" w:line="189"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 xml:space="preserve">The Company has adopted a code of ethics entitled “Clearway Energy, Inc. Code of Business Conduct and Ethics” that applies to all of the Company’s directors and employees, including the Company’s Officers (e.g., CEO, CFO, and Principal Accounting Officer). It may be accessed through the “Corporate Governance” section of the Company’s website at </w:t>
      </w:r>
      <w:r>
        <w:rPr>
          <w:rFonts w:ascii="Arial" w:cs="Arial" w:eastAsia="Arial" w:hAnsi="Arial"/>
          <w:sz w:val="17"/>
          <w:szCs w:val="17"/>
          <w:b w:val="1"/>
          <w:bCs w:val="1"/>
          <w:i w:val="1"/>
          <w:iCs w:val="1"/>
          <w:color w:val="auto"/>
        </w:rPr>
        <w:t>http://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www.clearwayenergy.com. </w:t>
      </w:r>
      <w:r>
        <w:rPr>
          <w:rFonts w:ascii="Arial" w:cs="Arial" w:eastAsia="Arial" w:hAnsi="Arial"/>
          <w:sz w:val="17"/>
          <w:szCs w:val="17"/>
          <w:color w:val="auto"/>
        </w:rPr>
        <w:t>The Company also elects to disclose the information required by Form 8-K, Item 5.05,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“Amendments to the Registrant’s Code of Ethics, or Waiver of a Provision of the Code of Ethics,” through the Company’s website, and such information will remain available on this website for at least a 12-month period. A copy of the “Clearway Energy, Inc. Code of Business Conduct and Ethics” is available in print to any stockholder who requests it.</w:t>
      </w:r>
    </w:p>
    <w:p>
      <w:pPr>
        <w:spacing w:after="0" w:line="11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Other information required by this Item will be incorporated by reference to the similarly named section of the Company’s Definitive Proxy Statement for its 2026 Annual Meeting of Stockholders.</w:t>
      </w:r>
    </w:p>
    <w:p>
      <w:pPr>
        <w:sectPr>
          <w:pgSz w:w="11880" w:h="15480" w:orient="portrait"/>
          <w:cols w:equalWidth="0" w:num="1">
            <w:col w:w="10040"/>
          </w:cols>
          <w:pgMar w:left="920" w:top="58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10040"/>
          </w:cols>
          <w:pgMar w:left="920" w:top="583" w:right="920" w:bottom="0"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b w:val="1"/>
          <w:bCs w:val="1"/>
          <w:color w:val="auto"/>
        </w:rPr>
        <w:t>Item 11 — Executive Compensation</w:t>
      </w:r>
    </w:p>
    <w:p>
      <w:pPr>
        <w:spacing w:after="0" w:line="189" w:lineRule="exact"/>
        <w:rPr>
          <w:sz w:val="20"/>
          <w:szCs w:val="20"/>
          <w:color w:val="auto"/>
        </w:rPr>
      </w:pPr>
    </w:p>
    <w:p>
      <w:pPr>
        <w:ind w:firstLine="441"/>
        <w:spacing w:after="0" w:line="271" w:lineRule="auto"/>
        <w:rPr>
          <w:sz w:val="20"/>
          <w:szCs w:val="20"/>
          <w:color w:val="auto"/>
        </w:rPr>
      </w:pPr>
      <w:r>
        <w:rPr>
          <w:rFonts w:ascii="Arial" w:cs="Arial" w:eastAsia="Arial" w:hAnsi="Arial"/>
          <w:sz w:val="20"/>
          <w:szCs w:val="20"/>
          <w:color w:val="auto"/>
        </w:rPr>
        <w:t>Information required by this Item will be incorporated by reference to the similarly named section of the Company’s Definitive Proxy Statement for its 2026 Annual Meeting of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 Security Ownership of Certain Beneficial Owners and Management and Related Stockholder Matters</w:t>
      </w:r>
    </w:p>
    <w:p>
      <w:pPr>
        <w:spacing w:after="0" w:line="193" w:lineRule="exact"/>
        <w:rPr>
          <w:sz w:val="20"/>
          <w:szCs w:val="20"/>
          <w:color w:val="auto"/>
        </w:rPr>
      </w:pPr>
    </w:p>
    <w:p>
      <w:pPr>
        <w:spacing w:after="0" w:line="275" w:lineRule="auto"/>
        <w:rPr>
          <w:sz w:val="20"/>
          <w:szCs w:val="20"/>
          <w:color w:val="auto"/>
        </w:rPr>
      </w:pPr>
      <w:r>
        <w:rPr>
          <w:rFonts w:ascii="Arial" w:cs="Arial" w:eastAsia="Arial" w:hAnsi="Arial"/>
          <w:sz w:val="20"/>
          <w:szCs w:val="20"/>
          <w:b w:val="1"/>
          <w:bCs w:val="1"/>
          <w:color w:val="auto"/>
        </w:rPr>
        <w:t>Securities Authorized for Issuance under the Clearway Energy, Inc. Amended and Restated 2013 Equity Compensation Plan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1"/>
              </w:rPr>
              <w:t>(c)</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8"/>
              </w:rPr>
              <w:t>Number of Securities</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97"/>
              </w:rPr>
              <w:t>(b)</w:t>
            </w:r>
          </w:p>
        </w:tc>
        <w:tc>
          <w:tcPr>
            <w:tcW w:w="80" w:type="dxa"/>
            <w:vAlign w:val="bottom"/>
          </w:tcPr>
          <w:p>
            <w:pPr>
              <w:spacing w:after="0"/>
              <w:rPr>
                <w:sz w:val="13"/>
                <w:szCs w:val="13"/>
                <w:color w:val="auto"/>
              </w:rPr>
            </w:pPr>
          </w:p>
        </w:tc>
        <w:tc>
          <w:tcPr>
            <w:tcW w:w="16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9"/>
              </w:rPr>
              <w:t>Remaining Available</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8"/>
              </w:rPr>
              <w:t>for Future Issuance</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70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8"/>
              </w:rPr>
              <w:t>Number of Securities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center"/>
              <w:ind w:right="53"/>
              <w:spacing w:after="0" w:line="157" w:lineRule="exact"/>
              <w:rPr>
                <w:sz w:val="20"/>
                <w:szCs w:val="20"/>
                <w:color w:val="auto"/>
              </w:rPr>
            </w:pPr>
            <w:r>
              <w:rPr>
                <w:rFonts w:ascii="Arial" w:cs="Arial" w:eastAsia="Arial" w:hAnsi="Arial"/>
                <w:sz w:val="16"/>
                <w:szCs w:val="16"/>
                <w:b w:val="1"/>
                <w:bCs w:val="1"/>
                <w:color w:val="auto"/>
                <w:w w:val="88"/>
              </w:rPr>
              <w:t>Weighted-Average</w:t>
            </w:r>
          </w:p>
        </w:tc>
        <w:tc>
          <w:tcPr>
            <w:tcW w:w="80" w:type="dxa"/>
            <w:vAlign w:val="bottom"/>
          </w:tcPr>
          <w:p>
            <w:pPr>
              <w:spacing w:after="0"/>
              <w:rPr>
                <w:sz w:val="13"/>
                <w:szCs w:val="13"/>
                <w:color w:val="auto"/>
              </w:rPr>
            </w:pPr>
          </w:p>
        </w:tc>
        <w:tc>
          <w:tcPr>
            <w:tcW w:w="16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92"/>
              </w:rPr>
              <w:t>Under Equity</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70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6"/>
              </w:rPr>
              <w:t>to be Issued Upon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center"/>
              <w:ind w:right="53"/>
              <w:spacing w:after="0" w:line="157" w:lineRule="exact"/>
              <w:rPr>
                <w:sz w:val="20"/>
                <w:szCs w:val="20"/>
                <w:color w:val="auto"/>
              </w:rPr>
            </w:pPr>
            <w:r>
              <w:rPr>
                <w:rFonts w:ascii="Arial" w:cs="Arial" w:eastAsia="Arial" w:hAnsi="Arial"/>
                <w:sz w:val="16"/>
                <w:szCs w:val="16"/>
                <w:b w:val="1"/>
                <w:bCs w:val="1"/>
                <w:color w:val="auto"/>
                <w:w w:val="85"/>
              </w:rPr>
              <w:t>Exercise</w:t>
            </w:r>
          </w:p>
        </w:tc>
        <w:tc>
          <w:tcPr>
            <w:tcW w:w="80" w:type="dxa"/>
            <w:vAlign w:val="bottom"/>
          </w:tcPr>
          <w:p>
            <w:pPr>
              <w:spacing w:after="0"/>
              <w:rPr>
                <w:sz w:val="13"/>
                <w:szCs w:val="13"/>
                <w:color w:val="auto"/>
              </w:rPr>
            </w:pPr>
          </w:p>
        </w:tc>
        <w:tc>
          <w:tcPr>
            <w:tcW w:w="16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6"/>
              </w:rPr>
              <w:t>Compensation</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70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6"/>
              </w:rPr>
              <w:t>Exercise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center"/>
              <w:ind w:right="53"/>
              <w:spacing w:after="0" w:line="157" w:lineRule="exact"/>
              <w:rPr>
                <w:sz w:val="20"/>
                <w:szCs w:val="20"/>
                <w:color w:val="auto"/>
              </w:rPr>
            </w:pPr>
            <w:r>
              <w:rPr>
                <w:rFonts w:ascii="Arial" w:cs="Arial" w:eastAsia="Arial" w:hAnsi="Arial"/>
                <w:sz w:val="16"/>
                <w:szCs w:val="16"/>
                <w:b w:val="1"/>
                <w:bCs w:val="1"/>
                <w:color w:val="auto"/>
                <w:w w:val="88"/>
              </w:rPr>
              <w:t>Price of Outstanding</w:t>
            </w:r>
          </w:p>
        </w:tc>
        <w:tc>
          <w:tcPr>
            <w:tcW w:w="80" w:type="dxa"/>
            <w:vAlign w:val="bottom"/>
          </w:tcPr>
          <w:p>
            <w:pPr>
              <w:spacing w:after="0"/>
              <w:rPr>
                <w:sz w:val="13"/>
                <w:szCs w:val="13"/>
                <w:color w:val="auto"/>
              </w:rPr>
            </w:pPr>
          </w:p>
        </w:tc>
        <w:tc>
          <w:tcPr>
            <w:tcW w:w="16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8"/>
              </w:rPr>
              <w:t>Plans (Excluding</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47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170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8"/>
              </w:rPr>
              <w:t>Outstanding Options,</w:t>
            </w:r>
          </w:p>
        </w:tc>
        <w:tc>
          <w:tcPr>
            <w:tcW w:w="80" w:type="dxa"/>
            <w:vAlign w:val="bottom"/>
          </w:tcPr>
          <w:p>
            <w:pPr>
              <w:spacing w:after="0"/>
              <w:rPr>
                <w:sz w:val="13"/>
                <w:szCs w:val="13"/>
                <w:color w:val="auto"/>
              </w:rPr>
            </w:pPr>
          </w:p>
        </w:tc>
        <w:tc>
          <w:tcPr>
            <w:tcW w:w="168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90"/>
              </w:rPr>
              <w:t>Options, Warrants and</w:t>
            </w:r>
          </w:p>
        </w:tc>
        <w:tc>
          <w:tcPr>
            <w:tcW w:w="80" w:type="dxa"/>
            <w:vAlign w:val="bottom"/>
          </w:tcPr>
          <w:p>
            <w:pPr>
              <w:spacing w:after="0"/>
              <w:rPr>
                <w:sz w:val="13"/>
                <w:szCs w:val="13"/>
                <w:color w:val="auto"/>
              </w:rPr>
            </w:pPr>
          </w:p>
        </w:tc>
        <w:tc>
          <w:tcPr>
            <w:tcW w:w="16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86"/>
              </w:rPr>
              <w:t>Securities Reflected</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780" w:type="dxa"/>
            <w:vAlign w:val="bottom"/>
            <w:gridSpan w:val="3"/>
            <w:vMerge w:val="continue"/>
          </w:tcPr>
          <w:p>
            <w:pPr>
              <w:spacing w:after="0"/>
              <w:rPr>
                <w:sz w:val="14"/>
                <w:szCs w:val="14"/>
                <w:color w:val="auto"/>
              </w:rPr>
            </w:pPr>
          </w:p>
        </w:tc>
        <w:tc>
          <w:tcPr>
            <w:tcW w:w="1700" w:type="dxa"/>
            <w:vAlign w:val="bottom"/>
          </w:tcPr>
          <w:p>
            <w:pPr>
              <w:jc w:val="center"/>
              <w:spacing w:after="0" w:line="170" w:lineRule="exact"/>
              <w:rPr>
                <w:sz w:val="20"/>
                <w:szCs w:val="20"/>
                <w:color w:val="auto"/>
              </w:rPr>
            </w:pPr>
            <w:r>
              <w:rPr>
                <w:rFonts w:ascii="Arial" w:cs="Arial" w:eastAsia="Arial" w:hAnsi="Arial"/>
                <w:sz w:val="16"/>
                <w:szCs w:val="16"/>
                <w:b w:val="1"/>
                <w:bCs w:val="1"/>
                <w:color w:val="auto"/>
                <w:w w:val="90"/>
              </w:rPr>
              <w:t>Warrants and Rights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right="53"/>
              <w:spacing w:after="0" w:line="170" w:lineRule="exact"/>
              <w:rPr>
                <w:sz w:val="20"/>
                <w:szCs w:val="20"/>
                <w:color w:val="auto"/>
              </w:rPr>
            </w:pPr>
            <w:r>
              <w:rPr>
                <w:rFonts w:ascii="Arial" w:cs="Arial" w:eastAsia="Arial" w:hAnsi="Arial"/>
                <w:sz w:val="16"/>
                <w:szCs w:val="16"/>
                <w:b w:val="1"/>
                <w:bCs w:val="1"/>
                <w:color w:val="auto"/>
                <w:w w:val="88"/>
              </w:rPr>
              <w:t>Rights</w:t>
            </w:r>
          </w:p>
        </w:tc>
        <w:tc>
          <w:tcPr>
            <w:tcW w:w="80" w:type="dxa"/>
            <w:vAlign w:val="bottom"/>
          </w:tcPr>
          <w:p>
            <w:pPr>
              <w:spacing w:after="0"/>
              <w:rPr>
                <w:sz w:val="14"/>
                <w:szCs w:val="14"/>
                <w:color w:val="auto"/>
              </w:rPr>
            </w:pPr>
          </w:p>
        </w:tc>
        <w:tc>
          <w:tcPr>
            <w:tcW w:w="1680" w:type="dxa"/>
            <w:vAlign w:val="bottom"/>
          </w:tcPr>
          <w:p>
            <w:pPr>
              <w:jc w:val="center"/>
              <w:spacing w:after="0" w:line="170" w:lineRule="exact"/>
              <w:rPr>
                <w:sz w:val="20"/>
                <w:szCs w:val="20"/>
                <w:color w:val="auto"/>
              </w:rPr>
            </w:pPr>
            <w:r>
              <w:rPr>
                <w:rFonts w:ascii="Arial" w:cs="Arial" w:eastAsia="Arial" w:hAnsi="Arial"/>
                <w:sz w:val="15"/>
                <w:szCs w:val="15"/>
                <w:b w:val="1"/>
                <w:bCs w:val="1"/>
                <w:color w:val="auto"/>
                <w:w w:val="94"/>
              </w:rPr>
              <w:t xml:space="preserve">in Column (a)) </w:t>
            </w:r>
            <w:r>
              <w:rPr>
                <w:rFonts w:ascii="Arial" w:cs="Arial" w:eastAsia="Arial" w:hAnsi="Arial"/>
                <w:sz w:val="19"/>
                <w:szCs w:val="19"/>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780" w:type="dxa"/>
            <w:vAlign w:val="bottom"/>
            <w:gridSpan w:val="3"/>
            <w:vMerge w:val="restart"/>
          </w:tcPr>
          <w:p>
            <w:pPr>
              <w:spacing w:after="0"/>
              <w:rPr>
                <w:sz w:val="20"/>
                <w:szCs w:val="20"/>
                <w:color w:val="auto"/>
              </w:rPr>
            </w:pPr>
            <w:r>
              <w:rPr>
                <w:rFonts w:ascii="Arial" w:cs="Arial" w:eastAsia="Arial" w:hAnsi="Arial"/>
                <w:sz w:val="20"/>
                <w:szCs w:val="20"/>
                <w:color w:val="auto"/>
                <w:w w:val="92"/>
              </w:rPr>
              <w:t>Equity compensation plans approved by security holders -</w:t>
            </w: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4780" w:type="dxa"/>
            <w:vAlign w:val="bottom"/>
            <w:gridSpan w:val="3"/>
            <w:vMerge w:val="continue"/>
          </w:tcPr>
          <w:p>
            <w:pPr>
              <w:spacing w:after="0"/>
              <w:rPr>
                <w:sz w:val="18"/>
                <w:szCs w:val="18"/>
                <w:color w:val="auto"/>
              </w:rPr>
            </w:pP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8,674</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540" w:type="dxa"/>
            <w:vAlign w:val="bottom"/>
            <w:vMerge w:val="restart"/>
          </w:tcPr>
          <w:p>
            <w:pPr>
              <w:jc w:val="center"/>
              <w:ind w:left="1093"/>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780" w:type="dxa"/>
            <w:vAlign w:val="bottom"/>
            <w:gridSpan w:val="3"/>
          </w:tcPr>
          <w:p>
            <w:pPr>
              <w:ind w:left="260"/>
              <w:spacing w:after="0"/>
              <w:rPr>
                <w:sz w:val="20"/>
                <w:szCs w:val="20"/>
                <w:color w:val="auto"/>
              </w:rPr>
            </w:pPr>
            <w:r>
              <w:rPr>
                <w:rFonts w:ascii="Arial" w:cs="Arial" w:eastAsia="Arial" w:hAnsi="Arial"/>
                <w:sz w:val="20"/>
                <w:szCs w:val="20"/>
                <w:color w:val="auto"/>
                <w:w w:val="89"/>
              </w:rPr>
              <w:t xml:space="preserve">Class A common stock </w:t>
            </w:r>
            <w:r>
              <w:rPr>
                <w:rFonts w:ascii="Arial" w:cs="Arial" w:eastAsia="Arial" w:hAnsi="Arial"/>
                <w:sz w:val="20"/>
                <w:szCs w:val="20"/>
                <w:color w:val="B4B4B4"/>
                <w:w w:val="89"/>
              </w:rPr>
              <w:t>. . . . . . . . . . . . . . . . . . . . . . . . . . .</w:t>
            </w:r>
          </w:p>
        </w:tc>
        <w:tc>
          <w:tcPr>
            <w:tcW w:w="170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20"/>
                <w:szCs w:val="20"/>
                <w:color w:val="auto"/>
                <w:w w:val="92"/>
              </w:rPr>
              <w:t>Equity compensation plans approved by security holders -</w:t>
            </w: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746,207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vMerge w:val="restart"/>
          </w:tcPr>
          <w:p>
            <w:pPr>
              <w:jc w:val="center"/>
              <w:ind w:left="1093"/>
              <w:spacing w:after="0"/>
              <w:rPr>
                <w:sz w:val="20"/>
                <w:szCs w:val="20"/>
                <w:color w:val="auto"/>
              </w:rPr>
            </w:pPr>
            <w:r>
              <w:rPr>
                <w:rFonts w:ascii="Arial" w:cs="Arial" w:eastAsia="Arial" w:hAnsi="Arial"/>
                <w:sz w:val="20"/>
                <w:szCs w:val="20"/>
                <w:color w:val="auto"/>
                <w:w w:val="99"/>
              </w:rPr>
              <w:t>—</w:t>
            </w:r>
          </w:p>
        </w:tc>
        <w:tc>
          <w:tcPr>
            <w:tcW w:w="1760" w:type="dxa"/>
            <w:vAlign w:val="bottom"/>
            <w:gridSpan w:val="2"/>
            <w:vMerge w:val="restart"/>
          </w:tcPr>
          <w:p>
            <w:pPr>
              <w:jc w:val="right"/>
              <w:spacing w:after="0"/>
              <w:rPr>
                <w:sz w:val="20"/>
                <w:szCs w:val="20"/>
                <w:color w:val="auto"/>
              </w:rPr>
            </w:pPr>
            <w:r>
              <w:rPr>
                <w:rFonts w:ascii="Arial" w:cs="Arial" w:eastAsia="Arial" w:hAnsi="Arial"/>
                <w:sz w:val="20"/>
                <w:szCs w:val="20"/>
                <w:color w:val="auto"/>
              </w:rPr>
              <w:t>2,561,831</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780" w:type="dxa"/>
            <w:vAlign w:val="bottom"/>
            <w:gridSpan w:val="3"/>
          </w:tcPr>
          <w:p>
            <w:pPr>
              <w:ind w:left="260"/>
              <w:spacing w:after="0"/>
              <w:rPr>
                <w:sz w:val="20"/>
                <w:szCs w:val="20"/>
                <w:color w:val="auto"/>
              </w:rPr>
            </w:pPr>
            <w:r>
              <w:rPr>
                <w:rFonts w:ascii="Arial" w:cs="Arial" w:eastAsia="Arial" w:hAnsi="Arial"/>
                <w:sz w:val="20"/>
                <w:szCs w:val="20"/>
                <w:color w:val="auto"/>
                <w:w w:val="89"/>
              </w:rPr>
              <w:t xml:space="preserve">Class C common stock </w:t>
            </w:r>
            <w:r>
              <w:rPr>
                <w:rFonts w:ascii="Arial" w:cs="Arial" w:eastAsia="Arial" w:hAnsi="Arial"/>
                <w:sz w:val="20"/>
                <w:szCs w:val="20"/>
                <w:color w:val="B4B4B4"/>
                <w:w w:val="89"/>
              </w:rPr>
              <w:t>. . . . . . . . . . . . . . . . . . . . . . . . . . .</w:t>
            </w:r>
          </w:p>
        </w:tc>
        <w:tc>
          <w:tcPr>
            <w:tcW w:w="17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vMerge w:val="continue"/>
          </w:tcPr>
          <w:p>
            <w:pPr>
              <w:spacing w:after="0"/>
              <w:rPr>
                <w:sz w:val="22"/>
                <w:szCs w:val="22"/>
                <w:color w:val="auto"/>
              </w:rPr>
            </w:pPr>
          </w:p>
        </w:tc>
        <w:tc>
          <w:tcPr>
            <w:tcW w:w="17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780" w:type="dxa"/>
            <w:vAlign w:val="bottom"/>
            <w:gridSpan w:val="3"/>
          </w:tcPr>
          <w:p>
            <w:pPr>
              <w:spacing w:after="0"/>
              <w:rPr>
                <w:sz w:val="20"/>
                <w:szCs w:val="20"/>
                <w:color w:val="auto"/>
              </w:rPr>
            </w:pPr>
            <w:r>
              <w:rPr>
                <w:rFonts w:ascii="Arial" w:cs="Arial" w:eastAsia="Arial" w:hAnsi="Arial"/>
                <w:sz w:val="20"/>
                <w:szCs w:val="20"/>
                <w:color w:val="auto"/>
              </w:rPr>
              <w:t>Equity compensation plans not approved by security</w:t>
            </w: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vMerge w:val="restart"/>
          </w:tcPr>
          <w:p>
            <w:pPr>
              <w:jc w:val="center"/>
              <w:ind w:left="1093"/>
              <w:spacing w:after="0"/>
              <w:rPr>
                <w:sz w:val="20"/>
                <w:szCs w:val="20"/>
                <w:color w:val="auto"/>
              </w:rPr>
            </w:pPr>
            <w:r>
              <w:rPr>
                <w:rFonts w:ascii="Arial" w:cs="Arial" w:eastAsia="Arial" w:hAnsi="Arial"/>
                <w:sz w:val="20"/>
                <w:szCs w:val="20"/>
                <w:color w:val="auto"/>
                <w:w w:val="95"/>
              </w:rPr>
              <w:t>N/A</w:t>
            </w:r>
          </w:p>
        </w:tc>
        <w:tc>
          <w:tcPr>
            <w:tcW w:w="80" w:type="dxa"/>
            <w:vAlign w:val="bottom"/>
          </w:tcPr>
          <w:p>
            <w:pPr>
              <w:spacing w:after="0"/>
              <w:rPr>
                <w:sz w:val="20"/>
                <w:szCs w:val="20"/>
                <w:color w:val="auto"/>
              </w:rPr>
            </w:pPr>
          </w:p>
        </w:tc>
        <w:tc>
          <w:tcPr>
            <w:tcW w:w="16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780" w:type="dxa"/>
            <w:vAlign w:val="bottom"/>
            <w:gridSpan w:val="3"/>
          </w:tcPr>
          <w:p>
            <w:pPr>
              <w:ind w:left="260"/>
              <w:spacing w:after="0"/>
              <w:rPr>
                <w:sz w:val="20"/>
                <w:szCs w:val="20"/>
                <w:color w:val="auto"/>
              </w:rPr>
            </w:pPr>
            <w:r>
              <w:rPr>
                <w:rFonts w:ascii="Arial" w:cs="Arial" w:eastAsia="Arial" w:hAnsi="Arial"/>
                <w:sz w:val="20"/>
                <w:szCs w:val="20"/>
                <w:color w:val="auto"/>
                <w:w w:val="90"/>
              </w:rPr>
              <w:t xml:space="preserve">holders </w:t>
            </w:r>
            <w:r>
              <w:rPr>
                <w:rFonts w:ascii="Arial" w:cs="Arial" w:eastAsia="Arial" w:hAnsi="Arial"/>
                <w:sz w:val="20"/>
                <w:szCs w:val="20"/>
                <w:color w:val="B4B4B4"/>
                <w:w w:val="90"/>
              </w:rPr>
              <w:t>. . . . . . . . . . . . . . . . . . . . . . . . . . . . . . . . . . . . . . .</w:t>
            </w:r>
          </w:p>
        </w:tc>
        <w:tc>
          <w:tcPr>
            <w:tcW w:w="17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4780" w:type="dxa"/>
            <w:vAlign w:val="bottom"/>
            <w:gridSpan w:val="3"/>
          </w:tcPr>
          <w:p>
            <w:pPr>
              <w:spacing w:after="0"/>
              <w:rPr>
                <w:sz w:val="20"/>
                <w:szCs w:val="20"/>
                <w:color w:val="auto"/>
              </w:rPr>
            </w:pPr>
            <w:r>
              <w:rPr>
                <w:rFonts w:ascii="Arial" w:cs="Arial" w:eastAsia="Arial" w:hAnsi="Arial"/>
                <w:sz w:val="20"/>
                <w:szCs w:val="20"/>
                <w:color w:val="auto"/>
                <w:w w:val="89"/>
              </w:rPr>
              <w:t xml:space="preserve">Total </w:t>
            </w:r>
            <w:r>
              <w:rPr>
                <w:rFonts w:ascii="Arial" w:cs="Arial" w:eastAsia="Arial" w:hAnsi="Arial"/>
                <w:sz w:val="20"/>
                <w:szCs w:val="20"/>
                <w:color w:val="B4B4B4"/>
                <w:w w:val="89"/>
              </w:rPr>
              <w:t>. . . . . . . . . . . . . . . . . . . . . . . . . . . . . . . . . . . . . . . . . . . .</w:t>
            </w:r>
          </w:p>
        </w:tc>
        <w:tc>
          <w:tcPr>
            <w:tcW w:w="1700" w:type="dxa"/>
            <w:vAlign w:val="bottom"/>
          </w:tcPr>
          <w:p>
            <w:pPr>
              <w:jc w:val="right"/>
              <w:spacing w:after="0"/>
              <w:rPr>
                <w:sz w:val="20"/>
                <w:szCs w:val="20"/>
                <w:color w:val="auto"/>
              </w:rPr>
            </w:pPr>
            <w:r>
              <w:rPr>
                <w:rFonts w:ascii="Arial" w:cs="Arial" w:eastAsia="Arial" w:hAnsi="Arial"/>
                <w:sz w:val="20"/>
                <w:szCs w:val="20"/>
                <w:color w:val="auto"/>
              </w:rPr>
              <w:t>754,881</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center"/>
              <w:ind w:left="1093"/>
              <w:spacing w:after="0"/>
              <w:rPr>
                <w:sz w:val="20"/>
                <w:szCs w:val="20"/>
                <w:color w:val="auto"/>
              </w:rPr>
            </w:pPr>
            <w:r>
              <w:rPr>
                <w:rFonts w:ascii="Arial" w:cs="Arial" w:eastAsia="Arial" w:hAnsi="Arial"/>
                <w:sz w:val="20"/>
                <w:szCs w:val="20"/>
                <w:color w:val="auto"/>
                <w:w w:val="99"/>
              </w:rPr>
              <w:t>—</w:t>
            </w:r>
          </w:p>
        </w:tc>
        <w:tc>
          <w:tcPr>
            <w:tcW w:w="1760" w:type="dxa"/>
            <w:vAlign w:val="bottom"/>
            <w:gridSpan w:val="2"/>
          </w:tcPr>
          <w:p>
            <w:pPr>
              <w:jc w:val="right"/>
              <w:spacing w:after="0"/>
              <w:rPr>
                <w:sz w:val="20"/>
                <w:szCs w:val="20"/>
                <w:color w:val="auto"/>
              </w:rPr>
            </w:pPr>
            <w:r>
              <w:rPr>
                <w:rFonts w:ascii="Arial" w:cs="Arial" w:eastAsia="Arial" w:hAnsi="Arial"/>
                <w:sz w:val="20"/>
                <w:szCs w:val="20"/>
                <w:color w:val="auto"/>
              </w:rPr>
              <w:t>2,561,831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-1238250</wp:posOffset>
            </wp:positionV>
            <wp:extent cx="6410325" cy="1148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extLst>
                    </a:blip>
                    <a:srcRect/>
                    <a:stretch>
                      <a:fillRect/>
                    </a:stretch>
                  </pic:blipFill>
                  <pic:spPr bwMode="auto">
                    <a:xfrm>
                      <a:off x="0" y="0"/>
                      <a:ext cx="6410325" cy="1148715"/>
                    </a:xfrm>
                    <a:prstGeom prst="rect">
                      <a:avLst/>
                    </a:prstGeom>
                    <a:noFill/>
                  </pic:spPr>
                </pic:pic>
              </a:graphicData>
            </a:graphic>
          </wp:anchor>
        </w:drawing>
      </w:r>
    </w:p>
    <w:p>
      <w:pPr>
        <w:spacing w:after="0" w:line="33" w:lineRule="exact"/>
        <w:rPr>
          <w:sz w:val="20"/>
          <w:szCs w:val="20"/>
          <w:color w:val="auto"/>
        </w:rPr>
      </w:pPr>
    </w:p>
    <w:p>
      <w:pPr>
        <w:ind w:left="80" w:firstLine="1"/>
        <w:spacing w:after="0" w:line="214" w:lineRule="auto"/>
        <w:tabs>
          <w:tab w:leader="none" w:pos="275" w:val="left"/>
        </w:tabs>
        <w:numPr>
          <w:ilvl w:val="0"/>
          <w:numId w:val="39"/>
        </w:numPr>
        <w:rPr>
          <w:rFonts w:ascii="Arial" w:cs="Arial" w:eastAsia="Arial" w:hAnsi="Arial"/>
          <w:sz w:val="23"/>
          <w:szCs w:val="23"/>
          <w:color w:val="auto"/>
          <w:vertAlign w:val="superscript"/>
        </w:rPr>
      </w:pPr>
      <w:r>
        <w:rPr>
          <w:rFonts w:ascii="Arial" w:cs="Arial" w:eastAsia="Arial" w:hAnsi="Arial"/>
          <w:sz w:val="16"/>
          <w:szCs w:val="16"/>
          <w:color w:val="auto"/>
        </w:rPr>
        <w:t>Beginning in May 2015, awards to be granted and associated dividend equivalent rights to be issued under the Clearway Energy, Inc. Amended and Restated 2013 Equity Incentive Plan convert to Class C common stock upon vesting.</w:t>
      </w:r>
    </w:p>
    <w:p>
      <w:pPr>
        <w:spacing w:after="0" w:line="151" w:lineRule="exact"/>
        <w:rPr>
          <w:sz w:val="20"/>
          <w:szCs w:val="20"/>
          <w:color w:val="auto"/>
        </w:rPr>
      </w:pPr>
    </w:p>
    <w:p>
      <w:pPr>
        <w:ind w:firstLine="441"/>
        <w:spacing w:after="0" w:line="271" w:lineRule="auto"/>
        <w:rPr>
          <w:sz w:val="20"/>
          <w:szCs w:val="20"/>
          <w:color w:val="auto"/>
        </w:rPr>
      </w:pPr>
      <w:r>
        <w:rPr>
          <w:rFonts w:ascii="Arial" w:cs="Arial" w:eastAsia="Arial" w:hAnsi="Arial"/>
          <w:sz w:val="20"/>
          <w:szCs w:val="20"/>
          <w:color w:val="auto"/>
        </w:rPr>
        <w:t>Other information required by this Item will be incorporated by reference to the similarly named section of the Company’s Definitive Proxy Statement for its 2026 Annual Meeting of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 Certain Relationships and Related Transactions, and Director Independence</w:t>
      </w:r>
    </w:p>
    <w:p>
      <w:pPr>
        <w:spacing w:after="0" w:line="189" w:lineRule="exact"/>
        <w:rPr>
          <w:sz w:val="20"/>
          <w:szCs w:val="20"/>
          <w:color w:val="auto"/>
        </w:rPr>
      </w:pPr>
    </w:p>
    <w:p>
      <w:pPr>
        <w:ind w:firstLine="441"/>
        <w:spacing w:after="0" w:line="271" w:lineRule="auto"/>
        <w:rPr>
          <w:sz w:val="20"/>
          <w:szCs w:val="20"/>
          <w:color w:val="auto"/>
        </w:rPr>
      </w:pPr>
      <w:r>
        <w:rPr>
          <w:rFonts w:ascii="Arial" w:cs="Arial" w:eastAsia="Arial" w:hAnsi="Arial"/>
          <w:sz w:val="20"/>
          <w:szCs w:val="20"/>
          <w:color w:val="auto"/>
        </w:rPr>
        <w:t>Information required by this Item will be incorporated by reference to the similarly named section of the Company’s Definitive Proxy Statement for its 2026 Annual Meeting of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 Principal Accounting Fees and Services</w:t>
      </w:r>
    </w:p>
    <w:p>
      <w:pPr>
        <w:spacing w:after="0" w:line="189" w:lineRule="exact"/>
        <w:rPr>
          <w:sz w:val="20"/>
          <w:szCs w:val="20"/>
          <w:color w:val="auto"/>
        </w:rPr>
      </w:pPr>
    </w:p>
    <w:p>
      <w:pPr>
        <w:ind w:firstLine="441"/>
        <w:spacing w:after="0" w:line="271" w:lineRule="auto"/>
        <w:rPr>
          <w:sz w:val="20"/>
          <w:szCs w:val="20"/>
          <w:color w:val="auto"/>
        </w:rPr>
      </w:pPr>
      <w:r>
        <w:rPr>
          <w:rFonts w:ascii="Arial" w:cs="Arial" w:eastAsia="Arial" w:hAnsi="Arial"/>
          <w:sz w:val="20"/>
          <w:szCs w:val="20"/>
          <w:color w:val="auto"/>
        </w:rPr>
        <w:t>Information required by this Item will be incorporated by reference to the similarly named section of the Company’s Definitive Proxy Statement for its 2026 Annual Meeting of Stockholders.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0040"/>
          </w:cols>
          <w:pgMar w:left="920" w:top="577" w:right="920" w:bottom="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PART IV</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 Exhibits, Financial Statement Schedules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(a)(1) Financial Statements</w:t>
      </w:r>
    </w:p>
    <w:p>
      <w:pPr>
        <w:spacing w:after="0" w:line="182" w:lineRule="exact"/>
        <w:rPr>
          <w:sz w:val="20"/>
          <w:szCs w:val="20"/>
          <w:color w:val="auto"/>
        </w:rPr>
      </w:pPr>
    </w:p>
    <w:p>
      <w:pPr>
        <w:jc w:val="both"/>
        <w:ind w:left="1060" w:hanging="264"/>
        <w:spacing w:after="0" w:line="254" w:lineRule="auto"/>
        <w:rPr>
          <w:sz w:val="20"/>
          <w:szCs w:val="20"/>
          <w:color w:val="auto"/>
        </w:rPr>
      </w:pPr>
      <w:r>
        <w:rPr>
          <w:rFonts w:ascii="Arial" w:cs="Arial" w:eastAsia="Arial" w:hAnsi="Arial"/>
          <w:sz w:val="20"/>
          <w:szCs w:val="20"/>
          <w:color w:val="auto"/>
        </w:rPr>
        <w:t>The following consolidated financial statements of Clearway Energy, Inc. and related notes thereto, together with the Report of Independent Registered Public Accounting Firm of PricewaterhouseCoopers LLP (PCAOB ID: 238) and Report of Independent Registered Public Accounting Firm of Ernst &amp; Young LLP (PCAOB ID: 42) thereon, are included herein:</w:t>
      </w:r>
    </w:p>
    <w:p>
      <w:pPr>
        <w:spacing w:after="0" w:line="144" w:lineRule="exact"/>
        <w:rPr>
          <w:sz w:val="20"/>
          <w:szCs w:val="20"/>
          <w:color w:val="auto"/>
        </w:rPr>
      </w:pPr>
    </w:p>
    <w:p>
      <w:pPr>
        <w:ind w:left="780"/>
        <w:spacing w:after="0"/>
        <w:rPr>
          <w:sz w:val="20"/>
          <w:szCs w:val="20"/>
          <w:color w:val="auto"/>
        </w:rPr>
      </w:pPr>
      <w:r>
        <w:rPr>
          <w:rFonts w:ascii="Arial" w:cs="Arial" w:eastAsia="Arial" w:hAnsi="Arial"/>
          <w:sz w:val="20"/>
          <w:szCs w:val="20"/>
          <w:color w:val="auto"/>
        </w:rPr>
        <w:t>Consolidated Statements of Operations — Years ended December 31, 2025, 2024 and 2023</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19"/>
          <w:szCs w:val="19"/>
          <w:color w:val="auto"/>
        </w:rPr>
        <w:t>Consolidated Statements of Comprehensive Income — Years ended December 31, 2025, 2024 and 2023</w:t>
      </w:r>
    </w:p>
    <w:p>
      <w:pPr>
        <w:spacing w:after="0" w:line="193" w:lineRule="exact"/>
        <w:rPr>
          <w:sz w:val="20"/>
          <w:szCs w:val="20"/>
          <w:color w:val="auto"/>
        </w:rPr>
      </w:pPr>
    </w:p>
    <w:p>
      <w:pPr>
        <w:ind w:left="780"/>
        <w:spacing w:after="0"/>
        <w:rPr>
          <w:sz w:val="20"/>
          <w:szCs w:val="20"/>
          <w:color w:val="auto"/>
        </w:rPr>
      </w:pPr>
      <w:r>
        <w:rPr>
          <w:rFonts w:ascii="Arial" w:cs="Arial" w:eastAsia="Arial" w:hAnsi="Arial"/>
          <w:sz w:val="20"/>
          <w:szCs w:val="20"/>
          <w:color w:val="auto"/>
        </w:rPr>
        <w:t>Consolidated Balance Sheets — As of December 31, 2025 and 2024</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20"/>
          <w:szCs w:val="20"/>
          <w:color w:val="auto"/>
        </w:rPr>
        <w:t>Consolidated Statements of Cash Flows — Years ended December 31, 2025, 2024 and 2023</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20"/>
          <w:szCs w:val="20"/>
          <w:color w:val="auto"/>
        </w:rPr>
        <w:t>Consolidated Statements of Stockholders’ Equity — Years ended December 31, 2025, 2024 and 2023</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20"/>
          <w:szCs w:val="20"/>
          <w:color w:val="auto"/>
        </w:rPr>
        <w:t>Notes to Consolidated Financial Statements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(a)(2) Financial Statement Schedules</w:t>
      </w:r>
    </w:p>
    <w:p>
      <w:pPr>
        <w:spacing w:after="0" w:line="182" w:lineRule="exact"/>
        <w:rPr>
          <w:sz w:val="20"/>
          <w:szCs w:val="20"/>
          <w:color w:val="auto"/>
        </w:rPr>
      </w:pPr>
    </w:p>
    <w:p>
      <w:pPr>
        <w:jc w:val="both"/>
        <w:ind w:left="1060"/>
        <w:spacing w:after="0" w:line="271" w:lineRule="auto"/>
        <w:rPr>
          <w:sz w:val="20"/>
          <w:szCs w:val="20"/>
          <w:color w:val="auto"/>
        </w:rPr>
      </w:pPr>
      <w:r>
        <w:rPr>
          <w:rFonts w:ascii="Arial" w:cs="Arial" w:eastAsia="Arial" w:hAnsi="Arial"/>
          <w:sz w:val="20"/>
          <w:szCs w:val="20"/>
          <w:color w:val="auto"/>
        </w:rPr>
        <w:t>The following schedules of Clearway Energy, Inc. are filed as part of Item 15 of this report and should be read in conjunction with the Consolidated Financial Statements:</w:t>
      </w:r>
    </w:p>
    <w:p>
      <w:pPr>
        <w:spacing w:after="0" w:line="127" w:lineRule="exact"/>
        <w:rPr>
          <w:sz w:val="20"/>
          <w:szCs w:val="20"/>
          <w:color w:val="auto"/>
        </w:rPr>
      </w:pPr>
    </w:p>
    <w:p>
      <w:pPr>
        <w:jc w:val="both"/>
        <w:ind w:left="1060"/>
        <w:spacing w:after="0" w:line="278" w:lineRule="auto"/>
        <w:rPr>
          <w:sz w:val="20"/>
          <w:szCs w:val="20"/>
          <w:color w:val="auto"/>
        </w:rPr>
      </w:pPr>
      <w:r>
        <w:rPr>
          <w:rFonts w:ascii="Arial" w:cs="Arial" w:eastAsia="Arial" w:hAnsi="Arial"/>
          <w:sz w:val="19"/>
          <w:szCs w:val="19"/>
          <w:color w:val="auto"/>
        </w:rPr>
        <w:t>Schedule I — Clearway Energy, Inc. (Parent) Condensed Financial Statements as of December 31, 2025 and 2024 and for the years ended December 31, 2025, 2024 and 2023, are included in Clearway Energy, Inc.’s Annual Report on Form 10-K pursuant to the requirements of Rule 5-04(c) of Regulation S-X</w:t>
      </w:r>
    </w:p>
    <w:p>
      <w:pPr>
        <w:spacing w:after="0" w:line="123"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Schedule II — Valuation and Qualifying Accounts for the years ended December 31, 2025, 2024 and 2023</w:t>
      </w:r>
    </w:p>
    <w:p>
      <w:pPr>
        <w:spacing w:after="0" w:line="193" w:lineRule="exact"/>
        <w:rPr>
          <w:sz w:val="20"/>
          <w:szCs w:val="20"/>
          <w:color w:val="auto"/>
        </w:rPr>
      </w:pPr>
    </w:p>
    <w:p>
      <w:pPr>
        <w:jc w:val="both"/>
        <w:ind w:left="1060"/>
        <w:spacing w:after="0" w:line="258" w:lineRule="auto"/>
        <w:rPr>
          <w:sz w:val="20"/>
          <w:szCs w:val="20"/>
          <w:color w:val="auto"/>
        </w:rPr>
      </w:pPr>
      <w:r>
        <w:rPr>
          <w:rFonts w:ascii="Arial" w:cs="Arial" w:eastAsia="Arial" w:hAnsi="Arial"/>
          <w:sz w:val="20"/>
          <w:szCs w:val="20"/>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(a)(3) Exhibits: See Exhibit Index submitted as a separate section of this report</w:t>
      </w:r>
    </w:p>
    <w:p>
      <w:pPr>
        <w:spacing w:after="0" w:line="182" w:lineRule="exact"/>
        <w:rPr>
          <w:sz w:val="20"/>
          <w:szCs w:val="20"/>
          <w:color w:val="auto"/>
        </w:rPr>
      </w:pPr>
    </w:p>
    <w:p>
      <w:pPr>
        <w:ind w:left="800" w:hanging="278"/>
        <w:spacing w:after="0"/>
        <w:tabs>
          <w:tab w:leader="none" w:pos="8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Exhibits</w:t>
      </w:r>
    </w:p>
    <w:p>
      <w:pPr>
        <w:spacing w:after="0" w:line="181" w:lineRule="exact"/>
        <w:rPr>
          <w:rFonts w:ascii="Arial" w:cs="Arial" w:eastAsia="Arial" w:hAnsi="Arial"/>
          <w:sz w:val="20"/>
          <w:szCs w:val="20"/>
          <w:color w:val="auto"/>
        </w:rPr>
      </w:pPr>
    </w:p>
    <w:p>
      <w:pPr>
        <w:ind w:left="780"/>
        <w:spacing w:after="0"/>
        <w:rPr>
          <w:rFonts w:ascii="Arial" w:cs="Arial" w:eastAsia="Arial" w:hAnsi="Arial"/>
          <w:sz w:val="20"/>
          <w:szCs w:val="20"/>
          <w:color w:val="auto"/>
        </w:rPr>
      </w:pPr>
      <w:r>
        <w:rPr>
          <w:rFonts w:ascii="Arial" w:cs="Arial" w:eastAsia="Arial" w:hAnsi="Arial"/>
          <w:sz w:val="20"/>
          <w:szCs w:val="20"/>
          <w:color w:val="auto"/>
        </w:rPr>
        <w:t>See Exhibit Index submitted as a separate section of this report</w:t>
      </w:r>
    </w:p>
    <w:p>
      <w:pPr>
        <w:spacing w:after="0" w:line="181" w:lineRule="exact"/>
        <w:rPr>
          <w:rFonts w:ascii="Arial" w:cs="Arial" w:eastAsia="Arial" w:hAnsi="Arial"/>
          <w:sz w:val="20"/>
          <w:szCs w:val="20"/>
          <w:color w:val="auto"/>
        </w:rPr>
      </w:pPr>
    </w:p>
    <w:p>
      <w:pPr>
        <w:ind w:left="780" w:hanging="258"/>
        <w:spacing w:after="0"/>
        <w:tabs>
          <w:tab w:leader="none" w:pos="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Not applicable</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10040"/>
          </w:cols>
          <w:pgMar w:left="920" w:top="577" w:right="920" w:bottom="0" w:gutter="0" w:footer="0" w:header="0"/>
          <w:type w:val="continuous"/>
        </w:sectPr>
      </w:pPr>
    </w:p>
    <w:bookmarkStart w:id="79" w:name="page80"/>
    <w:bookmarkEnd w:id="79"/>
    <w:p>
      <w:pPr>
        <w:ind w:left="25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Clearway Energy, Inc.</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189"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 xml:space="preserve">We have audited the accompanying consolidated balance sheets of Clearway Energy, Inc. and its subsidiaries (the “Company”) as of December 31, 2025 and 2024, and the related consolidated statements of operations, of comprehensive income, of stockholders’ equity and of cash flows for the years then ended, including the related notes and schedule of Clearway Energy, Inc. (Parent) condensed financial statements as of December 31, 2025 and 2024 and for the years then ended and schedule of valuation and qualifying accounts for the years ended December 31, 2025 and 2024 appearing under Item 15 (collectively referred to as the “consolidated financial statements”). We also have audited the Company’s internal control over financial reporting as of December 31, 2025, based on criteria established in </w:t>
      </w:r>
      <w:r>
        <w:rPr>
          <w:rFonts w:ascii="Arial" w:cs="Arial" w:eastAsia="Arial" w:hAnsi="Arial"/>
          <w:sz w:val="17"/>
          <w:szCs w:val="17"/>
          <w:b w:val="1"/>
          <w:bCs w:val="1"/>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10"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 Also in our opinion, the Company did not maintain, in all material respects, effective internal control over financial reporting as of December 31, 2025, based on criteria established in </w:t>
      </w:r>
      <w:r>
        <w:rPr>
          <w:rFonts w:ascii="Arial" w:cs="Arial" w:eastAsia="Arial" w:hAnsi="Arial"/>
          <w:sz w:val="17"/>
          <w:szCs w:val="17"/>
          <w:b w:val="1"/>
          <w:bCs w:val="1"/>
          <w:i w:val="1"/>
          <w:iCs w:val="1"/>
          <w:color w:val="auto"/>
        </w:rPr>
        <w:t>Internal Control - Integrated Framework</w:t>
      </w:r>
      <w:r>
        <w:rPr>
          <w:rFonts w:ascii="Arial" w:cs="Arial" w:eastAsia="Arial" w:hAnsi="Arial"/>
          <w:sz w:val="17"/>
          <w:szCs w:val="17"/>
          <w:color w:val="auto"/>
        </w:rPr>
        <w:t xml:space="preserve"> (2013) issued by the COSO because a material weakness in internal control over financial reporting existed as of that date related to ineffective controls over the review of certain calculations of hypothetical liquidation at book value (HLBV) accounting used to allocate net income (loss) to redeemable noncontrolling interests and noncontrolling interests in tax equity partnerships.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2025 consolidated financial statements, and our opinion regarding the effectiveness of the Company’s internal control over financial reporting does not affect our opinion on those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r>
        <w:rPr>
          <w:rFonts w:ascii="Arial" w:cs="Arial" w:eastAsia="Arial" w:hAnsi="Arial"/>
          <w:sz w:val="20"/>
          <w:szCs w:val="20"/>
          <w:b w:val="1"/>
          <w:bCs w:val="1"/>
          <w:color w:val="auto"/>
        </w:rPr>
        <w: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4"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10040"/>
          </w:cols>
          <w:pgMar w:left="920" w:top="577" w:right="920" w:bottom="0" w:gutter="0" w:footer="0" w:header="0"/>
          <w:type w:val="continuous"/>
        </w:sectPr>
      </w:pPr>
    </w:p>
    <w:bookmarkStart w:id="80" w:name="page81"/>
    <w:bookmarkEnd w:id="80"/>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20"/>
          <w:szCs w:val="20"/>
          <w:b w:val="1"/>
          <w:bCs w:val="1"/>
          <w:i w:val="1"/>
          <w:iCs w:val="1"/>
          <w:color w:val="auto"/>
        </w:rPr>
        <w:t>Hypothetical Liquidation at Book Value (HLBV) Calculation of Net Loss Attributable to Redeemable Noncontrolling Interests and Noncontrolling Interests in Tax Equity Arrangements</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As described in Note 2 to the consolidated financial statements, certain portions of the Company’s redeemable noncontrolling interest in subsidiaries and noncontrolling interest represent third-party interests in the net assets under tax equity arrangements, which are consolidated by the Company, that have been entered into to finance the cost of facilities eligible for certain tax credits and benefits. Management has determined that the provisions in the contractual agreements of these redeemable noncontrolling interests and noncontrolling interests represent substantive profit-sharing arrangements, for which management uses a balance sheet approach utilizing the hypothetical liquidation at book value, or HLBV, method to calculate the redeemable noncontrolling interest and noncontrolling interest.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 disclosed by management, management must apply judgment in determining the methodology for applying the HLBV method and changes in certain factors may have a significant impact on the amounts that an investor would receive upon a hypothetical liquidation. For the year ended December 31, 2025, the net loss attributable to noncontrolling interests and redeemable noncontrolling interests was $400 million, of which a majority represents third-party interests in the net assets under tax equity arrangements.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The principal considerations for our determination that performing procedures relating to the HLBV calculation of net loss attributable to redeemable noncontrolling interests and noncontrolling interests in tax equity arrangements is a critical audit matter are (i) the significant judgment by management in applying the HLBV method to determine the income or loss each redeemable noncontrolling interest and noncontrolling interest would hypothetically receive at each balance sheet date under the liquidation provisions of the contractual agreements; (ii) a high degree of auditor judgment, subjectivity, and effort in performing procedures and evaluating audit evidence related to management’s judgments applied in using the HLBV method to calculate the redeemable noncontrolling interests and noncontrolling interests in tax equity arrangements; and (iii) the audit effort involved the use of professionals with specialized skill and knowledge. As described in the “Opinions on the Financial Statements and Internal Control over Financial Reporting” section, a material weakness was identified related to this matter.</w:t>
      </w:r>
    </w:p>
    <w:p>
      <w:pPr>
        <w:sectPr>
          <w:pgSz w:w="11880" w:h="15480" w:orient="portrait"/>
          <w:cols w:equalWidth="0" w:num="1">
            <w:col w:w="10040"/>
          </w:cols>
          <w:pgMar w:left="920" w:top="58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10040"/>
          </w:cols>
          <w:pgMar w:left="920" w:top="581" w:right="920" w:bottom="0" w:gutter="0" w:footer="0" w:header="0"/>
          <w:type w:val="continuous"/>
        </w:sectPr>
      </w:pPr>
    </w:p>
    <w:bookmarkStart w:id="81" w:name="page82"/>
    <w:bookmarkEnd w:id="81"/>
    <w:p>
      <w:pPr>
        <w:jc w:val="both"/>
        <w:spacing w:after="0" w:line="29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the control relating to management's assessment of the accounting model used for tax equity arrangements. These procedures also included, among others (i) testing the completeness and accuracy of the underlying data used by management and (ii) the involvement of professionals with specialized skill and knowledge to assist in (a) evaluating the appropriateness of the HLBV method based on the terms of the contractual agreements and (b) developing independent calculations of the income or loss attributable to the redeemable noncontrolling interests and noncontrolling interests based on the terms of the contractual agreements and comparing the independent calculations to management's calculations.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Baltimore, Maryland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2026</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2024.</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0040"/>
          </w:cols>
          <w:pgMar w:left="920" w:top="584" w:right="920" w:bottom="0" w:gutter="0" w:footer="0" w:header="0"/>
          <w:type w:val="continuous"/>
        </w:sectPr>
      </w:pPr>
    </w:p>
    <w:bookmarkStart w:id="82" w:name="page83"/>
    <w:bookmarkEnd w:id="82"/>
    <w:p>
      <w:pPr>
        <w:ind w:left="25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Clearway Energy, Inc.</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Financial Statements</w:t>
      </w:r>
    </w:p>
    <w:p>
      <w:pPr>
        <w:spacing w:after="0" w:line="18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have audited the accompanying consolidated statements of operations, comprehensive income, stockholders’ equity and cash flows of Clearway Energy, Inc. (the Company) for the year ended December 31, 2023, and the related notes and financial statement schedules listed in the Index at Item 15(a)(2) (collectively referred to as the “consolidated financial statements”). In our opinion, the consolidated financial statements present fairly, in all material respects, the results of its operations and its cash flows for the year ended December 31, 2023, in conformity with U.S. generally accepted accounting principles.</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We served as the Company’s auditor from 2021 to 2024.</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22, 2024</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10040"/>
          </w:cols>
          <w:pgMar w:left="920" w:top="577" w:right="920" w:bottom="0" w:gutter="0" w:footer="0" w:header="0"/>
          <w:type w:val="continuous"/>
        </w:sectPr>
      </w:pPr>
    </w:p>
    <w:bookmarkStart w:id="83" w:name="page84"/>
    <w:bookmarkEnd w:id="83"/>
    <w:p>
      <w:pPr>
        <w:jc w:val="center"/>
        <w:ind w:right="60"/>
        <w:spacing w:after="0"/>
        <w:rPr>
          <w:sz w:val="20"/>
          <w:szCs w:val="20"/>
          <w:color w:val="auto"/>
        </w:rPr>
      </w:pPr>
      <w:r>
        <w:rPr>
          <w:rFonts w:ascii="Arial" w:cs="Arial" w:eastAsia="Arial" w:hAnsi="Arial"/>
          <w:sz w:val="20"/>
          <w:szCs w:val="20"/>
          <w:b w:val="1"/>
          <w:bCs w:val="1"/>
          <w:color w:val="auto"/>
        </w:rPr>
        <w:t>CLEARWAY ENERGY, INC.</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512"/>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74"/>
        </w:trPr>
        <w:tc>
          <w:tcPr>
            <w:tcW w:w="7040" w:type="dxa"/>
            <w:vAlign w:val="bottom"/>
          </w:tcPr>
          <w:p>
            <w:pPr>
              <w:spacing w:after="0"/>
              <w:rPr>
                <w:sz w:val="20"/>
                <w:szCs w:val="20"/>
                <w:color w:val="auto"/>
              </w:rPr>
            </w:pPr>
            <w:r>
              <w:rPr>
                <w:rFonts w:ascii="Arial" w:cs="Arial" w:eastAsia="Arial" w:hAnsi="Arial"/>
                <w:sz w:val="16"/>
                <w:szCs w:val="16"/>
                <w:b w:val="1"/>
                <w:bCs w:val="1"/>
                <w:color w:val="auto"/>
              </w:rPr>
              <w:t>(In millions, except per share amounts)</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56"/>
        </w:trPr>
        <w:tc>
          <w:tcPr>
            <w:tcW w:w="7040" w:type="dxa"/>
            <w:vAlign w:val="bottom"/>
          </w:tcPr>
          <w:p>
            <w:pPr>
              <w:spacing w:after="0"/>
              <w:rPr>
                <w:sz w:val="20"/>
                <w:szCs w:val="20"/>
                <w:color w:val="auto"/>
              </w:rPr>
            </w:pPr>
            <w:r>
              <w:rPr>
                <w:rFonts w:ascii="Arial" w:cs="Arial" w:eastAsia="Arial" w:hAnsi="Arial"/>
                <w:sz w:val="20"/>
                <w:szCs w:val="20"/>
                <w:b w:val="1"/>
                <w:bCs w:val="1"/>
                <w:color w:val="auto"/>
              </w:rPr>
              <w:t>Operating Revenues</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040" w:type="dxa"/>
            <w:vAlign w:val="bottom"/>
          </w:tcPr>
          <w:p>
            <w:pPr>
              <w:jc w:val="right"/>
              <w:spacing w:after="0"/>
              <w:rPr>
                <w:sz w:val="20"/>
                <w:szCs w:val="20"/>
                <w:color w:val="auto"/>
              </w:rPr>
            </w:pPr>
            <w:r>
              <w:rPr>
                <w:rFonts w:ascii="Arial" w:cs="Arial" w:eastAsia="Arial" w:hAnsi="Arial"/>
                <w:sz w:val="20"/>
                <w:szCs w:val="20"/>
                <w:color w:val="auto"/>
                <w:w w:val="91"/>
              </w:rPr>
              <w:t xml:space="preserve">Total operating revenues </w:t>
            </w:r>
            <w:r>
              <w:rPr>
                <w:rFonts w:ascii="Arial" w:cs="Arial" w:eastAsia="Arial" w:hAnsi="Arial"/>
                <w:sz w:val="20"/>
                <w:szCs w:val="20"/>
                <w:color w:val="B4B4B4"/>
                <w:w w:val="91"/>
              </w:rPr>
              <w:t>. . . . . . . . . . . . . . . . . . . . . . . . . . . . . . . . . . . . . . . . . . . . . . . . .</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1,429</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56"/>
        </w:trPr>
        <w:tc>
          <w:tcPr>
            <w:tcW w:w="7040" w:type="dxa"/>
            <w:vAlign w:val="bottom"/>
          </w:tcPr>
          <w:p>
            <w:pPr>
              <w:spacing w:after="0"/>
              <w:rPr>
                <w:sz w:val="20"/>
                <w:szCs w:val="20"/>
                <w:color w:val="auto"/>
              </w:rPr>
            </w:pPr>
            <w:r>
              <w:rPr>
                <w:rFonts w:ascii="Arial" w:cs="Arial" w:eastAsia="Arial" w:hAnsi="Arial"/>
                <w:sz w:val="20"/>
                <w:szCs w:val="20"/>
                <w:b w:val="1"/>
                <w:bCs w:val="1"/>
                <w:color w:val="auto"/>
              </w:rPr>
              <w:t>Operating Costs and Expenses</w:t>
            </w: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040" w:type="dxa"/>
            <w:vAlign w:val="bottom"/>
          </w:tcPr>
          <w:p>
            <w:pPr>
              <w:ind w:left="140"/>
              <w:spacing w:after="0"/>
              <w:rPr>
                <w:sz w:val="20"/>
                <w:szCs w:val="20"/>
                <w:color w:val="auto"/>
              </w:rPr>
            </w:pPr>
            <w:r>
              <w:rPr>
                <w:rFonts w:ascii="Arial" w:cs="Arial" w:eastAsia="Arial" w:hAnsi="Arial"/>
                <w:sz w:val="20"/>
                <w:szCs w:val="20"/>
                <w:color w:val="auto"/>
                <w:w w:val="98"/>
              </w:rPr>
              <w:t>Cost of operations, exclusive of depreciation, amortization and accretion shown</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040" w:type="dxa"/>
            <w:vAlign w:val="bottom"/>
          </w:tcPr>
          <w:p>
            <w:pPr>
              <w:jc w:val="right"/>
              <w:spacing w:after="0"/>
              <w:rPr>
                <w:sz w:val="20"/>
                <w:szCs w:val="20"/>
                <w:color w:val="auto"/>
              </w:rPr>
            </w:pPr>
            <w:r>
              <w:rPr>
                <w:rFonts w:ascii="Arial" w:cs="Arial" w:eastAsia="Arial" w:hAnsi="Arial"/>
                <w:sz w:val="20"/>
                <w:szCs w:val="20"/>
                <w:color w:val="auto"/>
                <w:w w:val="92"/>
              </w:rPr>
              <w:t xml:space="preserve">separately below </w:t>
            </w:r>
            <w:r>
              <w:rPr>
                <w:rFonts w:ascii="Arial" w:cs="Arial" w:eastAsia="Arial" w:hAnsi="Arial"/>
                <w:sz w:val="20"/>
                <w:szCs w:val="20"/>
                <w:color w:val="B4B4B4"/>
                <w:w w:val="92"/>
              </w:rPr>
              <w:t>. . . . . . . . . . . . . . . . . . . . . . . . . . . . . . . . . . . . . . . . . . . . . . . . . . . . . .</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9"/>
        </w:trPr>
        <w:tc>
          <w:tcPr>
            <w:tcW w:w="7040" w:type="dxa"/>
            <w:vAlign w:val="bottom"/>
          </w:tcPr>
          <w:p>
            <w:pPr>
              <w:jc w:val="right"/>
              <w:spacing w:after="0"/>
              <w:rPr>
                <w:sz w:val="20"/>
                <w:szCs w:val="20"/>
                <w:color w:val="auto"/>
              </w:rPr>
            </w:pPr>
            <w:r>
              <w:rPr>
                <w:rFonts w:ascii="Arial" w:cs="Arial" w:eastAsia="Arial" w:hAnsi="Arial"/>
                <w:sz w:val="20"/>
                <w:szCs w:val="20"/>
                <w:color w:val="auto"/>
                <w:w w:val="90"/>
              </w:rPr>
              <w:t xml:space="preserve">Depreciation, amortization and accretion </w:t>
            </w:r>
            <w:r>
              <w:rPr>
                <w:rFonts w:ascii="Arial" w:cs="Arial" w:eastAsia="Arial" w:hAnsi="Arial"/>
                <w:sz w:val="20"/>
                <w:szCs w:val="20"/>
                <w:color w:val="B4B4B4"/>
                <w:w w:val="90"/>
              </w:rPr>
              <w:t>. . . . . . . . . . . . . . . . . . . . . . . . . . . . . . . . . . . . .</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9"/>
        </w:trPr>
        <w:tc>
          <w:tcPr>
            <w:tcW w:w="7040" w:type="dxa"/>
            <w:vAlign w:val="bottom"/>
          </w:tcPr>
          <w:p>
            <w:pPr>
              <w:jc w:val="right"/>
              <w:spacing w:after="0"/>
              <w:rPr>
                <w:sz w:val="20"/>
                <w:szCs w:val="20"/>
                <w:color w:val="auto"/>
              </w:rPr>
            </w:pPr>
            <w:r>
              <w:rPr>
                <w:rFonts w:ascii="Arial" w:cs="Arial" w:eastAsia="Arial" w:hAnsi="Arial"/>
                <w:sz w:val="20"/>
                <w:szCs w:val="20"/>
                <w:color w:val="auto"/>
                <w:w w:val="90"/>
              </w:rPr>
              <w:t xml:space="preserve">Impairment losses </w:t>
            </w:r>
            <w:r>
              <w:rPr>
                <w:rFonts w:ascii="Arial" w:cs="Arial" w:eastAsia="Arial" w:hAnsi="Arial"/>
                <w:sz w:val="20"/>
                <w:szCs w:val="20"/>
                <w:color w:val="B4B4B4"/>
                <w:w w:val="90"/>
              </w:rPr>
              <w:t>. . . . . . . . . . . . . . . . . . . . . . . . . . . . . . . . . . . . . . . . . . . . . . . . . . . . . . .</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9"/>
        </w:trPr>
        <w:tc>
          <w:tcPr>
            <w:tcW w:w="7040" w:type="dxa"/>
            <w:vAlign w:val="bottom"/>
          </w:tcPr>
          <w:p>
            <w:pPr>
              <w:jc w:val="right"/>
              <w:spacing w:after="0"/>
              <w:rPr>
                <w:sz w:val="20"/>
                <w:szCs w:val="20"/>
                <w:color w:val="auto"/>
              </w:rPr>
            </w:pPr>
            <w:r>
              <w:rPr>
                <w:rFonts w:ascii="Arial" w:cs="Arial" w:eastAsia="Arial" w:hAnsi="Arial"/>
                <w:sz w:val="20"/>
                <w:szCs w:val="20"/>
                <w:color w:val="auto"/>
                <w:w w:val="90"/>
              </w:rPr>
              <w:t xml:space="preserve">General and administrative </w:t>
            </w:r>
            <w:r>
              <w:rPr>
                <w:rFonts w:ascii="Arial" w:cs="Arial" w:eastAsia="Arial" w:hAnsi="Arial"/>
                <w:sz w:val="20"/>
                <w:szCs w:val="20"/>
                <w:color w:val="B4B4B4"/>
                <w:w w:val="90"/>
              </w:rPr>
              <w:t>. . . . . . . . . . . . . . . . . . . . . . . . . . . . . . . . . . . . . . . . . . . . . . . .</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83"/>
        </w:trPr>
        <w:tc>
          <w:tcPr>
            <w:tcW w:w="7040" w:type="dxa"/>
            <w:vAlign w:val="bottom"/>
          </w:tcPr>
          <w:p>
            <w:pPr>
              <w:jc w:val="right"/>
              <w:spacing w:after="0"/>
              <w:rPr>
                <w:sz w:val="20"/>
                <w:szCs w:val="20"/>
                <w:color w:val="auto"/>
              </w:rPr>
            </w:pPr>
            <w:r>
              <w:rPr>
                <w:rFonts w:ascii="Arial" w:cs="Arial" w:eastAsia="Arial" w:hAnsi="Arial"/>
                <w:sz w:val="20"/>
                <w:szCs w:val="20"/>
                <w:color w:val="auto"/>
                <w:w w:val="90"/>
              </w:rPr>
              <w:t xml:space="preserve">Transaction and integration costs </w:t>
            </w:r>
            <w:r>
              <w:rPr>
                <w:rFonts w:ascii="Arial" w:cs="Arial" w:eastAsia="Arial" w:hAnsi="Arial"/>
                <w:sz w:val="20"/>
                <w:szCs w:val="20"/>
                <w:color w:val="B4B4B4"/>
                <w:w w:val="90"/>
              </w:rPr>
              <w:t>. . . . . . . . . . . . . . . . . . . . . . . . . . . . . . . . . . . . . . . . . . .</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9"/>
        </w:trPr>
        <w:tc>
          <w:tcPr>
            <w:tcW w:w="7040" w:type="dxa"/>
            <w:vAlign w:val="bottom"/>
          </w:tcPr>
          <w:p>
            <w:pPr>
              <w:jc w:val="right"/>
              <w:spacing w:after="0"/>
              <w:rPr>
                <w:sz w:val="20"/>
                <w:szCs w:val="20"/>
                <w:color w:val="auto"/>
              </w:rPr>
            </w:pPr>
            <w:r>
              <w:rPr>
                <w:rFonts w:ascii="Arial" w:cs="Arial" w:eastAsia="Arial" w:hAnsi="Arial"/>
                <w:sz w:val="20"/>
                <w:szCs w:val="20"/>
                <w:color w:val="auto"/>
                <w:w w:val="90"/>
              </w:rPr>
              <w:t xml:space="preserve">Total operating costs and expenses </w:t>
            </w:r>
            <w:r>
              <w:rPr>
                <w:rFonts w:ascii="Arial" w:cs="Arial" w:eastAsia="Arial" w:hAnsi="Arial"/>
                <w:sz w:val="20"/>
                <w:szCs w:val="20"/>
                <w:color w:val="B4B4B4"/>
                <w:w w:val="90"/>
              </w:rPr>
              <w:t>. . . . . . . . . . . . . . . . . . . . . . . . . . . . . . . . . . . . . . . . .</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59"/>
        </w:trPr>
        <w:tc>
          <w:tcPr>
            <w:tcW w:w="7040" w:type="dxa"/>
            <w:vAlign w:val="bottom"/>
          </w:tcPr>
          <w:p>
            <w:pPr>
              <w:spacing w:after="0"/>
              <w:rPr>
                <w:sz w:val="20"/>
                <w:szCs w:val="20"/>
                <w:color w:val="auto"/>
              </w:rPr>
            </w:pPr>
            <w:r>
              <w:rPr>
                <w:rFonts w:ascii="Arial" w:cs="Arial" w:eastAsia="Arial" w:hAnsi="Arial"/>
                <w:sz w:val="20"/>
                <w:szCs w:val="20"/>
                <w:b w:val="1"/>
                <w:bCs w:val="1"/>
                <w:color w:val="auto"/>
              </w:rPr>
              <w:t>Operating Income</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6"/>
        </w:trPr>
        <w:tc>
          <w:tcPr>
            <w:tcW w:w="7040" w:type="dxa"/>
            <w:vAlign w:val="bottom"/>
          </w:tcPr>
          <w:p>
            <w:pPr>
              <w:spacing w:after="0"/>
              <w:rPr>
                <w:sz w:val="20"/>
                <w:szCs w:val="20"/>
                <w:color w:val="auto"/>
              </w:rPr>
            </w:pPr>
            <w:r>
              <w:rPr>
                <w:rFonts w:ascii="Arial" w:cs="Arial" w:eastAsia="Arial" w:hAnsi="Arial"/>
                <w:sz w:val="20"/>
                <w:szCs w:val="20"/>
                <w:b w:val="1"/>
                <w:bCs w:val="1"/>
                <w:color w:val="auto"/>
              </w:rPr>
              <w:t>Other Income (Expense)</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7040" w:type="dxa"/>
            <w:vAlign w:val="bottom"/>
          </w:tcPr>
          <w:p>
            <w:pPr>
              <w:jc w:val="right"/>
              <w:spacing w:after="0"/>
              <w:rPr>
                <w:sz w:val="20"/>
                <w:szCs w:val="20"/>
                <w:color w:val="auto"/>
              </w:rPr>
            </w:pPr>
            <w:r>
              <w:rPr>
                <w:rFonts w:ascii="Arial" w:cs="Arial" w:eastAsia="Arial" w:hAnsi="Arial"/>
                <w:sz w:val="20"/>
                <w:szCs w:val="20"/>
                <w:color w:val="auto"/>
                <w:w w:val="90"/>
              </w:rPr>
              <w:t xml:space="preserve">Equity in earnings of unconsolidated affiliates </w:t>
            </w:r>
            <w:r>
              <w:rPr>
                <w:rFonts w:ascii="Arial" w:cs="Arial" w:eastAsia="Arial" w:hAnsi="Arial"/>
                <w:sz w:val="20"/>
                <w:szCs w:val="20"/>
                <w:color w:val="B4B4B4"/>
                <w:w w:val="90"/>
              </w:rPr>
              <w:t>. . . . . . . . . . . . . . . . . . . . . . . . . . . . . . . . .</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9"/>
        </w:trPr>
        <w:tc>
          <w:tcPr>
            <w:tcW w:w="7040" w:type="dxa"/>
            <w:vAlign w:val="bottom"/>
          </w:tcPr>
          <w:p>
            <w:pPr>
              <w:jc w:val="right"/>
              <w:spacing w:after="0"/>
              <w:rPr>
                <w:sz w:val="20"/>
                <w:szCs w:val="20"/>
                <w:color w:val="auto"/>
              </w:rPr>
            </w:pPr>
            <w:r>
              <w:rPr>
                <w:rFonts w:ascii="Arial" w:cs="Arial" w:eastAsia="Arial" w:hAnsi="Arial"/>
                <w:sz w:val="20"/>
                <w:szCs w:val="20"/>
                <w:color w:val="auto"/>
                <w:w w:val="90"/>
              </w:rPr>
              <w:t xml:space="preserve">Other income, net </w:t>
            </w:r>
            <w:r>
              <w:rPr>
                <w:rFonts w:ascii="Arial" w:cs="Arial" w:eastAsia="Arial" w:hAnsi="Arial"/>
                <w:sz w:val="20"/>
                <w:szCs w:val="20"/>
                <w:color w:val="B4B4B4"/>
                <w:w w:val="90"/>
              </w:rPr>
              <w:t>. . . . . . . . . . . . . . . . . . . . . . . . . . . . . . . . . . . . . . . . . . . . . . . . . . . . . . .</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9"/>
        </w:trPr>
        <w:tc>
          <w:tcPr>
            <w:tcW w:w="7040" w:type="dxa"/>
            <w:vAlign w:val="bottom"/>
          </w:tcPr>
          <w:p>
            <w:pPr>
              <w:jc w:val="right"/>
              <w:spacing w:after="0"/>
              <w:rPr>
                <w:sz w:val="20"/>
                <w:szCs w:val="20"/>
                <w:color w:val="auto"/>
              </w:rPr>
            </w:pPr>
            <w:r>
              <w:rPr>
                <w:rFonts w:ascii="Arial" w:cs="Arial" w:eastAsia="Arial" w:hAnsi="Arial"/>
                <w:sz w:val="20"/>
                <w:szCs w:val="20"/>
                <w:color w:val="auto"/>
                <w:w w:val="89"/>
              </w:rPr>
              <w:t xml:space="preserve">Loss on debt extinguishment </w:t>
            </w:r>
            <w:r>
              <w:rPr>
                <w:rFonts w:ascii="Arial" w:cs="Arial" w:eastAsia="Arial" w:hAnsi="Arial"/>
                <w:sz w:val="20"/>
                <w:szCs w:val="20"/>
                <w:color w:val="B4B4B4"/>
                <w:w w:val="89"/>
              </w:rPr>
              <w:t>. . . . . . . . . . . . . . . . . . . . . . . . . . . . . . . . . . . . . . . . . . . . . . .</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3"/>
        </w:trPr>
        <w:tc>
          <w:tcPr>
            <w:tcW w:w="7040" w:type="dxa"/>
            <w:vAlign w:val="bottom"/>
          </w:tcPr>
          <w:p>
            <w:pPr>
              <w:jc w:val="right"/>
              <w:spacing w:after="0"/>
              <w:rPr>
                <w:sz w:val="20"/>
                <w:szCs w:val="20"/>
                <w:color w:val="auto"/>
              </w:rPr>
            </w:pPr>
            <w:r>
              <w:rPr>
                <w:rFonts w:ascii="Arial" w:cs="Arial" w:eastAsia="Arial" w:hAnsi="Arial"/>
                <w:sz w:val="20"/>
                <w:szCs w:val="20"/>
                <w:color w:val="auto"/>
                <w:w w:val="89"/>
              </w:rPr>
              <w:t xml:space="preserve">Interest expense </w:t>
            </w:r>
            <w:r>
              <w:rPr>
                <w:rFonts w:ascii="Arial" w:cs="Arial" w:eastAsia="Arial" w:hAnsi="Arial"/>
                <w:sz w:val="20"/>
                <w:szCs w:val="20"/>
                <w:color w:val="B4B4B4"/>
                <w:w w:val="89"/>
              </w:rPr>
              <w:t>. . . . . . . . . . . . . . . . . . . . . . . . . . . . . . . . . . . . . . . . . . . . . . . . . . . . . . . . .</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59"/>
        </w:trPr>
        <w:tc>
          <w:tcPr>
            <w:tcW w:w="7040" w:type="dxa"/>
            <w:vAlign w:val="bottom"/>
          </w:tcPr>
          <w:p>
            <w:pPr>
              <w:jc w:val="right"/>
              <w:spacing w:after="0"/>
              <w:rPr>
                <w:sz w:val="20"/>
                <w:szCs w:val="20"/>
                <w:color w:val="auto"/>
              </w:rPr>
            </w:pPr>
            <w:r>
              <w:rPr>
                <w:rFonts w:ascii="Arial" w:cs="Arial" w:eastAsia="Arial" w:hAnsi="Arial"/>
                <w:sz w:val="20"/>
                <w:szCs w:val="20"/>
                <w:color w:val="auto"/>
                <w:w w:val="90"/>
              </w:rPr>
              <w:t xml:space="preserve">Total other expense, net  </w:t>
            </w:r>
            <w:r>
              <w:rPr>
                <w:rFonts w:ascii="Arial" w:cs="Arial" w:eastAsia="Arial" w:hAnsi="Arial"/>
                <w:sz w:val="20"/>
                <w:szCs w:val="20"/>
                <w:color w:val="B4B4B4"/>
                <w:w w:val="90"/>
              </w:rPr>
              <w:t>. . . . . . . . . . . . . . . . . . . . . . . . . . . . . . . . . . . . . . . . . . . . . . . . .</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56"/>
        </w:trPr>
        <w:tc>
          <w:tcPr>
            <w:tcW w:w="7040" w:type="dxa"/>
            <w:vAlign w:val="bottom"/>
          </w:tcPr>
          <w:p>
            <w:pPr>
              <w:jc w:val="right"/>
              <w:spacing w:after="0"/>
              <w:rPr>
                <w:sz w:val="20"/>
                <w:szCs w:val="20"/>
                <w:color w:val="auto"/>
              </w:rPr>
            </w:pPr>
            <w:r>
              <w:rPr>
                <w:rFonts w:ascii="Arial" w:cs="Arial" w:eastAsia="Arial" w:hAnsi="Arial"/>
                <w:sz w:val="20"/>
                <w:szCs w:val="20"/>
                <w:b w:val="1"/>
                <w:bCs w:val="1"/>
                <w:color w:val="B4B4B4"/>
                <w:w w:val="91"/>
              </w:rPr>
              <w:t>. . . . . . . . . . . . . . . . . . . . . . . . . . . . . . . . . . . . . . . . . . . . . . . .</w:t>
            </w:r>
            <w:r>
              <w:rPr>
                <w:rFonts w:ascii="Arial" w:cs="Arial" w:eastAsia="Arial" w:hAnsi="Arial"/>
                <w:sz w:val="20"/>
                <w:szCs w:val="20"/>
                <w:b w:val="1"/>
                <w:bCs w:val="1"/>
                <w:color w:val="000000"/>
                <w:w w:val="91"/>
              </w:rPr>
              <w:t>LossBeforeIncomeTaxes</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3"/>
        </w:trPr>
        <w:tc>
          <w:tcPr>
            <w:tcW w:w="7040" w:type="dxa"/>
            <w:vAlign w:val="bottom"/>
          </w:tcPr>
          <w:p>
            <w:pPr>
              <w:jc w:val="right"/>
              <w:spacing w:after="0"/>
              <w:rPr>
                <w:sz w:val="20"/>
                <w:szCs w:val="20"/>
                <w:color w:val="auto"/>
              </w:rPr>
            </w:pPr>
            <w:r>
              <w:rPr>
                <w:rFonts w:ascii="Arial" w:cs="Arial" w:eastAsia="Arial" w:hAnsi="Arial"/>
                <w:sz w:val="20"/>
                <w:szCs w:val="20"/>
                <w:color w:val="auto"/>
                <w:w w:val="90"/>
              </w:rPr>
              <w:t xml:space="preserve">Income tax expense (benefit) </w:t>
            </w:r>
            <w:r>
              <w:rPr>
                <w:rFonts w:ascii="Arial" w:cs="Arial" w:eastAsia="Arial" w:hAnsi="Arial"/>
                <w:sz w:val="20"/>
                <w:szCs w:val="20"/>
                <w:color w:val="B4B4B4"/>
                <w:w w:val="90"/>
              </w:rPr>
              <w:t>. . . . . . . . . . . . . . . . . . . . . . . . . . . . . . . . . . . . . . . . . . . . . .</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9"/>
        </w:trPr>
        <w:tc>
          <w:tcPr>
            <w:tcW w:w="7040" w:type="dxa"/>
            <w:vAlign w:val="bottom"/>
          </w:tcPr>
          <w:p>
            <w:pPr>
              <w:jc w:val="right"/>
              <w:spacing w:after="0"/>
              <w:rPr>
                <w:sz w:val="20"/>
                <w:szCs w:val="20"/>
                <w:color w:val="auto"/>
              </w:rPr>
            </w:pPr>
            <w:r>
              <w:rPr>
                <w:rFonts w:ascii="Arial" w:cs="Arial" w:eastAsia="Arial" w:hAnsi="Arial"/>
                <w:sz w:val="20"/>
                <w:szCs w:val="20"/>
                <w:b w:val="1"/>
                <w:bCs w:val="1"/>
                <w:color w:val="B4B4B4"/>
                <w:w w:val="88"/>
              </w:rPr>
              <w:t>. . . . . . . . . . . . . . . . . . . . . . . . . . . . . . . . . . . . . . . . . . . . . . . . . . . . . . . . . . . . . . . .</w:t>
            </w:r>
            <w:r>
              <w:rPr>
                <w:rFonts w:ascii="Arial" w:cs="Arial" w:eastAsia="Arial" w:hAnsi="Arial"/>
                <w:sz w:val="20"/>
                <w:szCs w:val="20"/>
                <w:b w:val="1"/>
                <w:bCs w:val="1"/>
                <w:color w:val="000000"/>
                <w:w w:val="88"/>
              </w:rPr>
              <w:t>NetLoss</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8"/>
        </w:trPr>
        <w:tc>
          <w:tcPr>
            <w:tcW w:w="7040" w:type="dxa"/>
            <w:vAlign w:val="bottom"/>
          </w:tcPr>
          <w:p>
            <w:pPr>
              <w:ind w:left="140"/>
              <w:spacing w:after="0" w:line="207" w:lineRule="exact"/>
              <w:rPr>
                <w:sz w:val="20"/>
                <w:szCs w:val="20"/>
                <w:color w:val="auto"/>
              </w:rPr>
            </w:pPr>
            <w:r>
              <w:rPr>
                <w:rFonts w:ascii="Arial" w:cs="Arial" w:eastAsia="Arial" w:hAnsi="Arial"/>
                <w:sz w:val="20"/>
                <w:szCs w:val="20"/>
                <w:color w:val="auto"/>
                <w:w w:val="92"/>
              </w:rPr>
              <w:t>Less: Net loss attributable to noncontrolling interests and redeemable noncontrolling</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040" w:type="dxa"/>
            <w:vAlign w:val="bottom"/>
          </w:tcPr>
          <w:p>
            <w:pPr>
              <w:jc w:val="right"/>
              <w:spacing w:after="0"/>
              <w:rPr>
                <w:sz w:val="20"/>
                <w:szCs w:val="20"/>
                <w:color w:val="auto"/>
              </w:rPr>
            </w:pPr>
            <w:r>
              <w:rPr>
                <w:rFonts w:ascii="Arial" w:cs="Arial" w:eastAsia="Arial" w:hAnsi="Arial"/>
                <w:sz w:val="20"/>
                <w:szCs w:val="20"/>
                <w:color w:val="auto"/>
                <w:w w:val="92"/>
              </w:rPr>
              <w:t xml:space="preserve">interests </w:t>
            </w:r>
            <w:r>
              <w:rPr>
                <w:rFonts w:ascii="Arial" w:cs="Arial" w:eastAsia="Arial" w:hAnsi="Arial"/>
                <w:sz w:val="20"/>
                <w:szCs w:val="20"/>
                <w:color w:val="B4B4B4"/>
                <w:w w:val="92"/>
              </w:rPr>
              <w:t>. . . . . . . . . . . . . . . . . . . . . . . . . . . . . . . . . . . . . . . . . . . . . . . . . . . . . . . . . . . . .</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0"/>
        </w:trPr>
        <w:tc>
          <w:tcPr>
            <w:tcW w:w="7040" w:type="dxa"/>
            <w:vAlign w:val="bottom"/>
          </w:tcPr>
          <w:p>
            <w:pPr>
              <w:jc w:val="right"/>
              <w:spacing w:after="0"/>
              <w:rPr>
                <w:sz w:val="20"/>
                <w:szCs w:val="20"/>
                <w:color w:val="auto"/>
              </w:rPr>
            </w:pPr>
            <w:r>
              <w:rPr>
                <w:rFonts w:ascii="Arial" w:cs="Arial" w:eastAsia="Arial" w:hAnsi="Arial"/>
                <w:sz w:val="20"/>
                <w:szCs w:val="20"/>
                <w:b w:val="1"/>
                <w:bCs w:val="1"/>
                <w:color w:val="auto"/>
                <w:w w:val="94"/>
              </w:rPr>
              <w:t xml:space="preserve">. </w:t>
            </w:r>
            <w:r>
              <w:rPr>
                <w:rFonts w:ascii="Arial" w:cs="Arial" w:eastAsia="Arial" w:hAnsi="Arial"/>
                <w:sz w:val="20"/>
                <w:szCs w:val="20"/>
                <w:b w:val="1"/>
                <w:bCs w:val="1"/>
                <w:color w:val="B4B4B4"/>
                <w:w w:val="94"/>
              </w:rPr>
              <w:t>. . . . . . . . . . . . . . . . . . . . . . . . . . . .</w:t>
            </w:r>
            <w:r>
              <w:rPr>
                <w:rFonts w:ascii="Arial" w:cs="Arial" w:eastAsia="Arial" w:hAnsi="Arial"/>
                <w:sz w:val="20"/>
                <w:szCs w:val="20"/>
                <w:b w:val="1"/>
                <w:bCs w:val="1"/>
                <w:color w:val="auto"/>
                <w:w w:val="94"/>
              </w:rPr>
              <w:t>NetIncomeAttributabletoClearwayEnergy,Inc</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line="212" w:lineRule="exact"/>
              <w:rPr>
                <w:sz w:val="20"/>
                <w:szCs w:val="20"/>
                <w:color w:val="auto"/>
              </w:rPr>
            </w:pPr>
            <w:r>
              <w:rPr>
                <w:rFonts w:ascii="Arial" w:cs="Arial" w:eastAsia="Arial" w:hAnsi="Arial"/>
                <w:sz w:val="20"/>
                <w:szCs w:val="20"/>
                <w:b w:val="1"/>
                <w:bCs w:val="1"/>
                <w:color w:val="auto"/>
                <w:w w:val="95"/>
              </w:rPr>
              <w:t>Earnings Per Share Attributable to Clearway Energy, Inc. Class A and Class 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7040" w:type="dxa"/>
            <w:vAlign w:val="bottom"/>
          </w:tcPr>
          <w:p>
            <w:pPr>
              <w:jc w:val="right"/>
              <w:ind w:right="4863"/>
              <w:spacing w:after="0"/>
              <w:rPr>
                <w:sz w:val="20"/>
                <w:szCs w:val="20"/>
                <w:color w:val="auto"/>
              </w:rPr>
            </w:pPr>
            <w:r>
              <w:rPr>
                <w:rFonts w:ascii="Arial" w:cs="Arial" w:eastAsia="Arial" w:hAnsi="Arial"/>
                <w:sz w:val="20"/>
                <w:szCs w:val="20"/>
                <w:b w:val="1"/>
                <w:bCs w:val="1"/>
                <w:color w:val="auto"/>
                <w:w w:val="94"/>
              </w:rPr>
              <w:t>Common Stockholders</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7040" w:type="dxa"/>
            <w:vAlign w:val="bottom"/>
          </w:tcPr>
          <w:p>
            <w:pPr>
              <w:jc w:val="right"/>
              <w:spacing w:after="0"/>
              <w:rPr>
                <w:sz w:val="20"/>
                <w:szCs w:val="20"/>
                <w:color w:val="auto"/>
              </w:rPr>
            </w:pPr>
            <w:r>
              <w:rPr>
                <w:rFonts w:ascii="Arial" w:cs="Arial" w:eastAsia="Arial" w:hAnsi="Arial"/>
                <w:sz w:val="20"/>
                <w:szCs w:val="20"/>
                <w:color w:val="auto"/>
                <w:w w:val="89"/>
              </w:rPr>
              <w:t xml:space="preserve">Weighted average number of Class A common shares outstanding - basic and diluted </w:t>
            </w:r>
            <w:r>
              <w:rPr>
                <w:rFonts w:ascii="Arial" w:cs="Arial" w:eastAsia="Arial" w:hAnsi="Arial"/>
                <w:sz w:val="20"/>
                <w:szCs w:val="20"/>
                <w:color w:val="B4B4B4"/>
                <w:w w:val="89"/>
              </w:rPr>
              <w:t>. .</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9"/>
        </w:trPr>
        <w:tc>
          <w:tcPr>
            <w:tcW w:w="7040" w:type="dxa"/>
            <w:vAlign w:val="bottom"/>
          </w:tcPr>
          <w:p>
            <w:pPr>
              <w:jc w:val="right"/>
              <w:spacing w:after="0"/>
              <w:rPr>
                <w:sz w:val="20"/>
                <w:szCs w:val="20"/>
                <w:color w:val="auto"/>
              </w:rPr>
            </w:pPr>
            <w:r>
              <w:rPr>
                <w:rFonts w:ascii="Arial" w:cs="Arial" w:eastAsia="Arial" w:hAnsi="Arial"/>
                <w:sz w:val="20"/>
                <w:szCs w:val="20"/>
                <w:color w:val="auto"/>
                <w:w w:val="89"/>
              </w:rPr>
              <w:t xml:space="preserve">Weighted average number of Class C common shares outstanding - basic and diluted </w:t>
            </w:r>
            <w:r>
              <w:rPr>
                <w:rFonts w:ascii="Arial" w:cs="Arial" w:eastAsia="Arial" w:hAnsi="Arial"/>
                <w:sz w:val="20"/>
                <w:szCs w:val="20"/>
                <w:color w:val="B4B4B4"/>
                <w:w w:val="89"/>
              </w:rPr>
              <w:t>. .</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20"/>
                <w:szCs w:val="20"/>
                <w:b w:val="1"/>
                <w:bCs w:val="1"/>
                <w:color w:val="auto"/>
                <w:w w:val="91"/>
              </w:rPr>
              <w:t>Earnings per Weighted Average Class A and Class C Common Share - Basic and</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40" w:type="dxa"/>
            <w:vAlign w:val="bottom"/>
          </w:tcPr>
          <w:p>
            <w:pPr>
              <w:jc w:val="right"/>
              <w:spacing w:after="0"/>
              <w:rPr>
                <w:sz w:val="20"/>
                <w:szCs w:val="20"/>
                <w:color w:val="auto"/>
              </w:rPr>
            </w:pPr>
            <w:r>
              <w:rPr>
                <w:rFonts w:ascii="Arial" w:cs="Arial" w:eastAsia="Arial" w:hAnsi="Arial"/>
                <w:sz w:val="20"/>
                <w:szCs w:val="20"/>
                <w:b w:val="1"/>
                <w:bCs w:val="1"/>
                <w:color w:val="auto"/>
                <w:w w:val="90"/>
              </w:rPr>
              <w:t xml:space="preserve">Diluted </w:t>
            </w:r>
            <w:r>
              <w:rPr>
                <w:rFonts w:ascii="Arial" w:cs="Arial" w:eastAsia="Arial" w:hAnsi="Arial"/>
                <w:sz w:val="20"/>
                <w:szCs w:val="20"/>
                <w:b w:val="1"/>
                <w:bCs w:val="1"/>
                <w:color w:val="B4B4B4"/>
                <w:w w:val="90"/>
              </w:rPr>
              <w:t>. . . . . . . . . . . . . . . . . . . . . . . . . . . . . . . . . . . . . . . . . . . . . . . . . . . . . . . . . . . . . . .</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6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20"/>
                <w:szCs w:val="20"/>
                <w:b w:val="1"/>
                <w:bCs w:val="1"/>
                <w:color w:val="auto"/>
              </w:rPr>
              <w:t>Dividends Per Class A Common Share</w:t>
            </w: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040" w:type="dxa"/>
            <w:vAlign w:val="bottom"/>
            <w:vMerge w:val="continue"/>
          </w:tcPr>
          <w:p>
            <w:pPr>
              <w:jc w:val="right"/>
              <w:spacing w:after="0" w:line="178" w:lineRule="exact"/>
              <w:rPr>
                <w:sz w:val="20"/>
                <w:szCs w:val="20"/>
                <w:color w:val="auto"/>
              </w:rPr>
            </w:pPr>
            <w:r>
              <w:rPr>
                <w:rFonts w:ascii="Arial" w:cs="Arial" w:eastAsia="Arial" w:hAnsi="Arial"/>
                <w:sz w:val="20"/>
                <w:szCs w:val="20"/>
                <w:b w:val="1"/>
                <w:bCs w:val="1"/>
                <w:color w:val="B4B4B4"/>
              </w:rPr>
              <w:t>. . . . . . . . . . . . . . . . . . . . . . . . . . . . . . . . . . . . .</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20"/>
                <w:szCs w:val="20"/>
                <w:b w:val="1"/>
                <w:bCs w:val="1"/>
                <w:color w:val="auto"/>
              </w:rPr>
              <w:t>Dividends Per Class C Common Share</w:t>
            </w: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040" w:type="dxa"/>
            <w:vAlign w:val="bottom"/>
            <w:vMerge w:val="continue"/>
          </w:tcPr>
          <w:p>
            <w:pPr>
              <w:jc w:val="right"/>
              <w:spacing w:after="0" w:line="178" w:lineRule="exact"/>
              <w:rPr>
                <w:sz w:val="20"/>
                <w:szCs w:val="20"/>
                <w:color w:val="auto"/>
              </w:rPr>
            </w:pPr>
            <w:r>
              <w:rPr>
                <w:rFonts w:ascii="Arial" w:cs="Arial" w:eastAsia="Arial" w:hAnsi="Arial"/>
                <w:sz w:val="20"/>
                <w:szCs w:val="20"/>
                <w:b w:val="1"/>
                <w:bCs w:val="1"/>
                <w:color w:val="B4B4B4"/>
              </w:rPr>
              <w:t>. . . . . . . . . . . . . . . . . . . . . . . . . . . . . . . . . . . . .</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1.77</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-5332730</wp:posOffset>
            </wp:positionV>
            <wp:extent cx="6391275" cy="5339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extLst>
                    </a:blip>
                    <a:srcRect/>
                    <a:stretch>
                      <a:fillRect/>
                    </a:stretch>
                  </pic:blipFill>
                  <pic:spPr bwMode="auto">
                    <a:xfrm>
                      <a:off x="0" y="0"/>
                      <a:ext cx="6391275" cy="5339715"/>
                    </a:xfrm>
                    <a:prstGeom prst="rect">
                      <a:avLst/>
                    </a:prstGeom>
                    <a:noFill/>
                  </pic:spPr>
                </pic:pic>
              </a:graphicData>
            </a:graphic>
          </wp:anchor>
        </w:drawing>
      </w:r>
    </w:p>
    <w:p>
      <w:pPr>
        <w:spacing w:after="0" w:line="16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consolidated financial statements</w:t>
      </w:r>
      <w:r>
        <w:rPr>
          <w:rFonts w:ascii="Arial" w:cs="Arial" w:eastAsia="Arial" w:hAnsi="Arial"/>
          <w:sz w:val="15"/>
          <w:szCs w:val="15"/>
          <w:color w:val="auto"/>
        </w:rPr>
        <w:t>.</w:t>
      </w:r>
    </w:p>
    <w:p>
      <w:pPr>
        <w:sectPr>
          <w:pgSz w:w="11880" w:h="15480" w:orient="portrait"/>
          <w:cols w:equalWidth="0" w:num="1">
            <w:col w:w="9980"/>
          </w:cols>
          <w:pgMar w:left="98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9980"/>
          </w:cols>
          <w:pgMar w:left="980" w:top="577" w:right="920" w:bottom="0" w:gutter="0" w:footer="0" w:header="0"/>
          <w:type w:val="continuous"/>
        </w:sectPr>
      </w:pPr>
    </w:p>
    <w:bookmarkStart w:id="84" w:name="page85"/>
    <w:bookmarkEnd w:id="84"/>
    <w:p>
      <w:pPr>
        <w:jc w:val="center"/>
        <w:ind w:right="40"/>
        <w:spacing w:after="0"/>
        <w:rPr>
          <w:sz w:val="20"/>
          <w:szCs w:val="20"/>
          <w:color w:val="auto"/>
        </w:rPr>
      </w:pPr>
      <w:r>
        <w:rPr>
          <w:rFonts w:ascii="Arial" w:cs="Arial" w:eastAsia="Arial" w:hAnsi="Arial"/>
          <w:sz w:val="20"/>
          <w:szCs w:val="20"/>
          <w:b w:val="1"/>
          <w:bCs w:val="1"/>
          <w:color w:val="auto"/>
        </w:rPr>
        <w:t>CLEARWAY ENERGY, INC.</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7"/>
          </w:tcPr>
          <w:p>
            <w:pPr>
              <w:jc w:val="right"/>
              <w:ind w:right="493"/>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7120" w:type="dxa"/>
            <w:vAlign w:val="bottom"/>
          </w:tcPr>
          <w:p>
            <w:pPr>
              <w:jc w:val="right"/>
              <w:spacing w:after="0"/>
              <w:rPr>
                <w:sz w:val="20"/>
                <w:szCs w:val="20"/>
                <w:color w:val="auto"/>
              </w:rPr>
            </w:pPr>
            <w:r>
              <w:rPr>
                <w:rFonts w:ascii="Arial" w:cs="Arial" w:eastAsia="Arial" w:hAnsi="Arial"/>
                <w:sz w:val="18"/>
                <w:szCs w:val="18"/>
                <w:b w:val="1"/>
                <w:bCs w:val="1"/>
                <w:color w:val="auto"/>
                <w:w w:val="88"/>
              </w:rPr>
              <w:t xml:space="preserve">Net Loss </w:t>
            </w:r>
            <w:r>
              <w:rPr>
                <w:rFonts w:ascii="Arial" w:cs="Arial" w:eastAsia="Arial" w:hAnsi="Arial"/>
                <w:sz w:val="18"/>
                <w:szCs w:val="18"/>
                <w:b w:val="1"/>
                <w:bCs w:val="1"/>
                <w:color w:val="B4B4B4"/>
                <w:w w:val="88"/>
              </w:rPr>
              <w:t>. . . . . . . . . . . . . . . . . . . . . . . . . .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9"/>
        </w:trPr>
        <w:tc>
          <w:tcPr>
            <w:tcW w:w="7120" w:type="dxa"/>
            <w:vAlign w:val="bottom"/>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120" w:type="dxa"/>
            <w:vAlign w:val="bottom"/>
          </w:tcPr>
          <w:p>
            <w:pPr>
              <w:jc w:val="right"/>
              <w:spacing w:after="0"/>
              <w:rPr>
                <w:sz w:val="20"/>
                <w:szCs w:val="20"/>
                <w:color w:val="auto"/>
              </w:rPr>
            </w:pPr>
            <w:r>
              <w:rPr>
                <w:rFonts w:ascii="Arial" w:cs="Arial" w:eastAsia="Arial" w:hAnsi="Arial"/>
                <w:sz w:val="18"/>
                <w:szCs w:val="18"/>
                <w:color w:val="auto"/>
                <w:w w:val="90"/>
              </w:rPr>
              <w:t>Unrealized loss on derivatives and changes in accumulated OCI, net of income tax benefit of $(2),</w:t>
            </w: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4"/>
        </w:trPr>
        <w:tc>
          <w:tcPr>
            <w:tcW w:w="7120" w:type="dxa"/>
            <w:vAlign w:val="bottom"/>
          </w:tcPr>
          <w:p>
            <w:pPr>
              <w:jc w:val="right"/>
              <w:spacing w:after="0"/>
              <w:rPr>
                <w:sz w:val="20"/>
                <w:szCs w:val="20"/>
                <w:color w:val="auto"/>
              </w:rPr>
            </w:pPr>
            <w:r>
              <w:rPr>
                <w:rFonts w:ascii="Arial" w:cs="Arial" w:eastAsia="Arial" w:hAnsi="Arial"/>
                <w:sz w:val="18"/>
                <w:szCs w:val="18"/>
                <w:color w:val="auto"/>
                <w:w w:val="92"/>
              </w:rPr>
              <w:t xml:space="preserve">$(1) and $(1) </w:t>
            </w:r>
            <w:r>
              <w:rPr>
                <w:rFonts w:ascii="Arial" w:cs="Arial" w:eastAsia="Arial" w:hAnsi="Arial"/>
                <w:sz w:val="18"/>
                <w:szCs w:val="18"/>
                <w:color w:val="B4B4B4"/>
                <w:w w:val="92"/>
              </w:rPr>
              <w:t>. . . . . . . . . .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120" w:type="dxa"/>
            <w:vAlign w:val="bottom"/>
          </w:tcPr>
          <w:p>
            <w:pPr>
              <w:jc w:val="right"/>
              <w:spacing w:after="0"/>
              <w:rPr>
                <w:sz w:val="20"/>
                <w:szCs w:val="20"/>
                <w:color w:val="auto"/>
              </w:rPr>
            </w:pPr>
            <w:r>
              <w:rPr>
                <w:rFonts w:ascii="Arial" w:cs="Arial" w:eastAsia="Arial" w:hAnsi="Arial"/>
                <w:sz w:val="18"/>
                <w:szCs w:val="18"/>
                <w:color w:val="auto"/>
                <w:w w:val="89"/>
              </w:rPr>
              <w:t xml:space="preserve">Other comprehensive loss  </w:t>
            </w:r>
            <w:r>
              <w:rPr>
                <w:rFonts w:ascii="Arial" w:cs="Arial" w:eastAsia="Arial" w:hAnsi="Arial"/>
                <w:sz w:val="18"/>
                <w:szCs w:val="18"/>
                <w:color w:val="B4B4B4"/>
                <w:w w:val="89"/>
              </w:rPr>
              <w:t>. . . . . . . . . . . . . . . . . . . . . . . . . . . . . . . . . . . . . . . . . . . . . . . . . . . . . . . . .</w:t>
            </w: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9"/>
        </w:trPr>
        <w:tc>
          <w:tcPr>
            <w:tcW w:w="7120" w:type="dxa"/>
            <w:vAlign w:val="bottom"/>
          </w:tcPr>
          <w:p>
            <w:pPr>
              <w:jc w:val="right"/>
              <w:spacing w:after="0"/>
              <w:rPr>
                <w:sz w:val="20"/>
                <w:szCs w:val="20"/>
                <w:color w:val="auto"/>
              </w:rPr>
            </w:pPr>
            <w:r>
              <w:rPr>
                <w:rFonts w:ascii="Arial" w:cs="Arial" w:eastAsia="Arial" w:hAnsi="Arial"/>
                <w:sz w:val="18"/>
                <w:szCs w:val="18"/>
                <w:b w:val="1"/>
                <w:bCs w:val="1"/>
                <w:color w:val="auto"/>
                <w:w w:val="87"/>
              </w:rPr>
              <w:t xml:space="preserve">Comprehensive Loss </w:t>
            </w:r>
            <w:r>
              <w:rPr>
                <w:rFonts w:ascii="Arial" w:cs="Arial" w:eastAsia="Arial" w:hAnsi="Arial"/>
                <w:sz w:val="18"/>
                <w:szCs w:val="18"/>
                <w:b w:val="1"/>
                <w:bCs w:val="1"/>
                <w:color w:val="B4B4B4"/>
                <w:w w:val="87"/>
              </w:rPr>
              <w:t>. . . . . . . . . . . . . . . . . . . . . . . . . . . . . . . . . . . . . . . . . . . . . . . . . . . . . . . . . . . . . .</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7"/>
        </w:trPr>
        <w:tc>
          <w:tcPr>
            <w:tcW w:w="7120" w:type="dxa"/>
            <w:vAlign w:val="bottom"/>
          </w:tcPr>
          <w:p>
            <w:pPr>
              <w:jc w:val="right"/>
              <w:ind w:right="73"/>
              <w:spacing w:after="0"/>
              <w:rPr>
                <w:sz w:val="20"/>
                <w:szCs w:val="20"/>
                <w:color w:val="auto"/>
              </w:rPr>
            </w:pPr>
            <w:r>
              <w:rPr>
                <w:rFonts w:ascii="Arial" w:cs="Arial" w:eastAsia="Arial" w:hAnsi="Arial"/>
                <w:sz w:val="18"/>
                <w:szCs w:val="18"/>
                <w:color w:val="auto"/>
                <w:w w:val="90"/>
              </w:rPr>
              <w:t>Less: Comprehensive loss attributable to noncontrolling interests and redeemable noncontrolling</w:t>
            </w:r>
          </w:p>
        </w:tc>
        <w:tc>
          <w:tcPr>
            <w:tcW w:w="2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4"/>
        </w:trPr>
        <w:tc>
          <w:tcPr>
            <w:tcW w:w="7120" w:type="dxa"/>
            <w:vAlign w:val="bottom"/>
          </w:tcPr>
          <w:p>
            <w:pPr>
              <w:jc w:val="right"/>
              <w:spacing w:after="0"/>
              <w:rPr>
                <w:sz w:val="20"/>
                <w:szCs w:val="20"/>
                <w:color w:val="auto"/>
              </w:rPr>
            </w:pPr>
            <w:r>
              <w:rPr>
                <w:rFonts w:ascii="Arial" w:cs="Arial" w:eastAsia="Arial" w:hAnsi="Arial"/>
                <w:sz w:val="18"/>
                <w:szCs w:val="18"/>
                <w:color w:val="auto"/>
                <w:w w:val="91"/>
              </w:rPr>
              <w:t xml:space="preserve">interests </w:t>
            </w:r>
            <w:r>
              <w:rPr>
                <w:rFonts w:ascii="Arial" w:cs="Arial" w:eastAsia="Arial" w:hAnsi="Arial"/>
                <w:sz w:val="18"/>
                <w:szCs w:val="18"/>
                <w:color w:val="B4B4B4"/>
                <w:w w:val="91"/>
              </w:rPr>
              <w:t>. . . . . . . . . . . . . .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120" w:type="dxa"/>
            <w:vAlign w:val="bottom"/>
          </w:tcPr>
          <w:p>
            <w:pPr>
              <w:jc w:val="right"/>
              <w:spacing w:after="0"/>
              <w:rPr>
                <w:sz w:val="20"/>
                <w:szCs w:val="20"/>
                <w:color w:val="auto"/>
              </w:rPr>
            </w:pPr>
            <w:r>
              <w:rPr>
                <w:rFonts w:ascii="Arial" w:cs="Arial" w:eastAsia="Arial" w:hAnsi="Arial"/>
                <w:sz w:val="18"/>
                <w:szCs w:val="18"/>
                <w:b w:val="1"/>
                <w:bCs w:val="1"/>
                <w:color w:val="auto"/>
                <w:w w:val="89"/>
              </w:rPr>
              <w:t xml:space="preserve">Comprehensive Income Attributable to Clearway Energy, Inc.  </w:t>
            </w:r>
            <w:r>
              <w:rPr>
                <w:rFonts w:ascii="Arial" w:cs="Arial" w:eastAsia="Arial" w:hAnsi="Arial"/>
                <w:sz w:val="18"/>
                <w:szCs w:val="18"/>
                <w:b w:val="1"/>
                <w:bCs w:val="1"/>
                <w:color w:val="B4B4B4"/>
                <w:w w:val="89"/>
              </w:rPr>
              <w:t>. . . . . . . . . . . . . . . . . . . . . . . . .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-1533525</wp:posOffset>
            </wp:positionV>
            <wp:extent cx="6410325" cy="1540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extLst>
                    </a:blip>
                    <a:srcRect/>
                    <a:stretch>
                      <a:fillRect/>
                    </a:stretch>
                  </pic:blipFill>
                  <pic:spPr bwMode="auto">
                    <a:xfrm>
                      <a:off x="0" y="0"/>
                      <a:ext cx="6410325" cy="154051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10000"/>
          </w:cols>
          <w:pgMar w:left="96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0000"/>
          </w:cols>
          <w:pgMar w:left="960" w:top="577" w:right="920" w:bottom="0" w:gutter="0" w:footer="0" w:header="0"/>
          <w:type w:val="continuous"/>
        </w:sectPr>
      </w:pPr>
    </w:p>
    <w:bookmarkStart w:id="85" w:name="page86"/>
    <w:bookmarkEnd w:id="85"/>
    <w:p>
      <w:pPr>
        <w:jc w:val="center"/>
        <w:ind w:right="60"/>
        <w:spacing w:after="0"/>
        <w:rPr>
          <w:sz w:val="20"/>
          <w:szCs w:val="20"/>
          <w:color w:val="auto"/>
        </w:rPr>
      </w:pPr>
      <w:r>
        <w:rPr>
          <w:rFonts w:ascii="Arial" w:cs="Arial" w:eastAsia="Arial" w:hAnsi="Arial"/>
          <w:sz w:val="20"/>
          <w:szCs w:val="20"/>
          <w:b w:val="1"/>
          <w:bCs w:val="1"/>
          <w:color w:val="auto"/>
        </w:rPr>
        <w:t>CLEARWAY ENERGY, INC.</w:t>
      </w:r>
    </w:p>
    <w:p>
      <w:pPr>
        <w:spacing w:after="0" w:line="64"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CONSOLIDATED BALANCE SHEETS</w:t>
      </w:r>
    </w:p>
    <w:p>
      <w:pPr>
        <w:sectPr>
          <w:pgSz w:w="11880" w:h="15480" w:orient="portrait"/>
          <w:cols w:equalWidth="0" w:num="1">
            <w:col w:w="9980"/>
          </w:cols>
          <w:pgMar w:left="980" w:top="572" w:right="920" w:bottom="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millions, except shares)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1270</wp:posOffset>
            </wp:positionV>
            <wp:extent cx="6391275" cy="7794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extLst>
                    </a:blip>
                    <a:srcRect/>
                    <a:stretch>
                      <a:fillRect/>
                    </a:stretch>
                  </pic:blipFill>
                  <pic:spPr bwMode="auto">
                    <a:xfrm>
                      <a:off x="0" y="0"/>
                      <a:ext cx="6391275" cy="77946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Current Assets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Cash and cash equivalents </w:t>
      </w:r>
      <w:r>
        <w:rPr>
          <w:rFonts w:ascii="Arial" w:cs="Arial" w:eastAsia="Arial" w:hAnsi="Arial"/>
          <w:sz w:val="15"/>
          <w:szCs w:val="15"/>
          <w:color w:val="B4B4B4"/>
        </w:rPr>
        <w:t>. . . . . . . . . . . . . . . . . . . . . . . . . . . . . . . . . . . . . . . . . . . . . . . . . . . . .</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Restricted cash </w:t>
      </w:r>
      <w:r>
        <w:rPr>
          <w:rFonts w:ascii="Arial" w:cs="Arial" w:eastAsia="Arial" w:hAnsi="Arial"/>
          <w:sz w:val="15"/>
          <w:szCs w:val="15"/>
          <w:color w:val="B4B4B4"/>
        </w:rPr>
        <w:t>. . . . . . . . . . . . . . . . . . . . . . . . . . . . . . . . . . . . . . . . . . . . . . . . . . . . . . . . . . . . . .</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Accounts receivable — trade </w:t>
      </w:r>
      <w:r>
        <w:rPr>
          <w:rFonts w:ascii="Arial" w:cs="Arial" w:eastAsia="Arial" w:hAnsi="Arial"/>
          <w:sz w:val="15"/>
          <w:szCs w:val="15"/>
          <w:color w:val="B4B4B4"/>
        </w:rPr>
        <w:t>. . . . . . . . . . . . . . . . . . . . . . . . . . . . . . . . . . . . . . . . . . . . . . . . . . .</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Accounts receivable — affiliates </w:t>
      </w:r>
      <w:r>
        <w:rPr>
          <w:rFonts w:ascii="Arial" w:cs="Arial" w:eastAsia="Arial" w:hAnsi="Arial"/>
          <w:sz w:val="15"/>
          <w:szCs w:val="15"/>
          <w:color w:val="B4B4B4"/>
        </w:rPr>
        <w:t>. . . . . . . . . . . . . . . . . . . . . . . . . . . . . . . . . . . . . . . . . . . . . . . .</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Inventory  </w:t>
      </w:r>
      <w:r>
        <w:rPr>
          <w:rFonts w:ascii="Arial" w:cs="Arial" w:eastAsia="Arial" w:hAnsi="Arial"/>
          <w:sz w:val="15"/>
          <w:szCs w:val="15"/>
          <w:color w:val="B4B4B4"/>
        </w:rPr>
        <w:t>. . . . . . . . . . . . . . . . . . . . . . . . . . . . . . . . . . . . . . . . . . . . . . . . . . . . . . . . . . . . . . . . . .</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Derivative instruments </w:t>
      </w:r>
      <w:r>
        <w:rPr>
          <w:rFonts w:ascii="Arial" w:cs="Arial" w:eastAsia="Arial" w:hAnsi="Arial"/>
          <w:sz w:val="15"/>
          <w:szCs w:val="15"/>
          <w:color w:val="B4B4B4"/>
        </w:rPr>
        <w:t>. . . . . . . . . . . . . . . . . . . . . . . . . . . . . . . . . . . . . . . . . . . . . . . . . . . . . . . .</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Prepayments and other current assets </w:t>
      </w:r>
      <w:r>
        <w:rPr>
          <w:rFonts w:ascii="Arial" w:cs="Arial" w:eastAsia="Arial" w:hAnsi="Arial"/>
          <w:sz w:val="15"/>
          <w:szCs w:val="15"/>
          <w:color w:val="B4B4B4"/>
        </w:rPr>
        <w:t>. . . . . . . . . . . . . . . . . . . . . . . . . . . . . . . . . . . . . . . . . . . . .</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Total current assets </w:t>
      </w:r>
      <w:r>
        <w:rPr>
          <w:rFonts w:ascii="Arial" w:cs="Arial" w:eastAsia="Arial" w:hAnsi="Arial"/>
          <w:sz w:val="15"/>
          <w:szCs w:val="15"/>
          <w:color w:val="B4B4B4"/>
        </w:rPr>
        <w:t>. . . . . . . . . . . . . . . . . . . . . . . . . . . . . . . . . . . . . . . . . . . . . . . . . . . . . . . .</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highlight w:val="white"/>
        </w:rPr>
        <w:t xml:space="preserve">Property, plant and equipment, net </w:t>
      </w:r>
      <w:r>
        <w:rPr>
          <w:rFonts w:ascii="Arial" w:cs="Arial" w:eastAsia="Arial" w:hAnsi="Arial"/>
          <w:sz w:val="15"/>
          <w:szCs w:val="15"/>
          <w:b w:val="1"/>
          <w:bCs w:val="1"/>
          <w:color w:val="B4B4B4"/>
          <w:highlight w:val="white"/>
        </w:rPr>
        <w:t>. . . . . . . . . . . . . . . . . . . . . . . . . . . . . . . . . . . . . . . . . . . . .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Equity investments in affiliates </w:t>
      </w:r>
      <w:r>
        <w:rPr>
          <w:rFonts w:ascii="Arial" w:cs="Arial" w:eastAsia="Arial" w:hAnsi="Arial"/>
          <w:sz w:val="15"/>
          <w:szCs w:val="15"/>
          <w:color w:val="B4B4B4"/>
        </w:rPr>
        <w:t>. . . . . . . . . . . . . . . . . . . . . . . . . . . . . . . . . . . . . . . . . . . . . . . . .</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Intangible assets for power purchase agreements, net </w:t>
      </w:r>
      <w:r>
        <w:rPr>
          <w:rFonts w:ascii="Arial" w:cs="Arial" w:eastAsia="Arial" w:hAnsi="Arial"/>
          <w:sz w:val="15"/>
          <w:szCs w:val="15"/>
          <w:color w:val="B4B4B4"/>
        </w:rPr>
        <w:t>. . . . . . . . . . . . . . . . . . . . . . . . . . . . . . . .</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Other intangible assets, net </w:t>
      </w:r>
      <w:r>
        <w:rPr>
          <w:rFonts w:ascii="Arial" w:cs="Arial" w:eastAsia="Arial" w:hAnsi="Arial"/>
          <w:sz w:val="15"/>
          <w:szCs w:val="15"/>
          <w:color w:val="B4B4B4"/>
        </w:rPr>
        <w:t>. . . . . . . . . . . . . . . . . . . . . . . . . . . . . . . . . . . . . . . . . . . . . . . . . . . . .</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Deferred income taxes </w:t>
      </w:r>
      <w:r>
        <w:rPr>
          <w:rFonts w:ascii="Arial" w:cs="Arial" w:eastAsia="Arial" w:hAnsi="Arial"/>
          <w:sz w:val="15"/>
          <w:szCs w:val="15"/>
          <w:color w:val="B4B4B4"/>
        </w:rPr>
        <w:t>. . . . . . . . . . . . . . . . . . . . . . . . . . . . . . . . . . . . . . . . . . . . . . . . . . . . . . . .</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Derivative instruments </w:t>
      </w:r>
      <w:r>
        <w:rPr>
          <w:rFonts w:ascii="Arial" w:cs="Arial" w:eastAsia="Arial" w:hAnsi="Arial"/>
          <w:sz w:val="15"/>
          <w:szCs w:val="15"/>
          <w:color w:val="B4B4B4"/>
        </w:rPr>
        <w:t>. . . . . . . . . . . . . . . . . . . . . . . . . . . . . . . . . . . . . . . . . . . . . . . . . . . . . . . .</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Right-of-use assets, net  </w:t>
      </w:r>
      <w:r>
        <w:rPr>
          <w:rFonts w:ascii="Arial" w:cs="Arial" w:eastAsia="Arial" w:hAnsi="Arial"/>
          <w:sz w:val="15"/>
          <w:szCs w:val="15"/>
          <w:color w:val="B4B4B4"/>
        </w:rPr>
        <w:t>. . . . . . . . . . . . . . . . . . . . . . . . . . . . . . . . . . . . . . . . . . . . . . . . . . . . . . .</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Other non-current assets </w:t>
      </w:r>
      <w:r>
        <w:rPr>
          <w:rFonts w:ascii="Arial" w:cs="Arial" w:eastAsia="Arial" w:hAnsi="Arial"/>
          <w:sz w:val="15"/>
          <w:szCs w:val="15"/>
          <w:color w:val="B4B4B4"/>
        </w:rPr>
        <w:t>. . . . . . . . . . . . . . . . . . . . . . . . . . . . . . . . . . . . . . . . . . . . . . . . . . . . . . .</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Total other assets </w:t>
      </w:r>
      <w:r>
        <w:rPr>
          <w:rFonts w:ascii="Arial" w:cs="Arial" w:eastAsia="Arial" w:hAnsi="Arial"/>
          <w:sz w:val="15"/>
          <w:szCs w:val="15"/>
          <w:color w:val="B4B4B4"/>
        </w:rPr>
        <w:t>. . . . . . . . . . . . . . . . . . . . . . . . . . . . . . . . . . . . . . . . . . . . . . . . . . . . . . . . . .</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Total Assets </w:t>
      </w:r>
      <w:r>
        <w:rPr>
          <w:rFonts w:ascii="Arial" w:cs="Arial" w:eastAsia="Arial" w:hAnsi="Arial"/>
          <w:sz w:val="15"/>
          <w:szCs w:val="15"/>
          <w:b w:val="1"/>
          <w:bCs w:val="1"/>
          <w:color w:val="B4B4B4"/>
        </w:rPr>
        <w:t>. . . . . . . . . . . . . . . . . . . . . . . . . . . . . . . . . . . . . . . . . . . . . . . . . . . . . . . . . . . . . . . . .</w:t>
      </w:r>
    </w:p>
    <w:p>
      <w:pPr>
        <w:spacing w:after="0" w:line="59"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LIABILITIES AND STOCKHOLDERS’ EQUITY</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Liabilities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Current portion of long-term debt </w:t>
      </w:r>
      <w:r>
        <w:rPr>
          <w:rFonts w:ascii="Arial" w:cs="Arial" w:eastAsia="Arial" w:hAnsi="Arial"/>
          <w:sz w:val="15"/>
          <w:szCs w:val="15"/>
          <w:color w:val="B4B4B4"/>
        </w:rPr>
        <w:t>. . . . . . . . . . . . . . . . . . . . . . . . . . . . . . . . . . . . . . . . . . . . . . .</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Accounts payable — trade </w:t>
      </w:r>
      <w:r>
        <w:rPr>
          <w:rFonts w:ascii="Arial" w:cs="Arial" w:eastAsia="Arial" w:hAnsi="Arial"/>
          <w:sz w:val="15"/>
          <w:szCs w:val="15"/>
          <w:color w:val="B4B4B4"/>
        </w:rPr>
        <w:t>. . . . . . . . . . . . . . . . . . . . . . . . . . . . . . . . . . . . . . . . . . . . . . . . . . . . .</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Accounts payable — affiliates </w:t>
      </w:r>
      <w:r>
        <w:rPr>
          <w:rFonts w:ascii="Arial" w:cs="Arial" w:eastAsia="Arial" w:hAnsi="Arial"/>
          <w:sz w:val="15"/>
          <w:szCs w:val="15"/>
          <w:color w:val="B4B4B4"/>
        </w:rPr>
        <w:t>. . . . . . . . . . . . . . . . . . . . . . . . . . . . . . . . . . . . . . . . . . . . . . . . . .</w:t>
      </w:r>
    </w:p>
    <w:p>
      <w:pPr>
        <w:spacing w:after="0" w:line="62" w:lineRule="exact"/>
        <w:rPr>
          <w:sz w:val="20"/>
          <w:szCs w:val="20"/>
          <w:color w:val="auto"/>
        </w:rPr>
      </w:pPr>
    </w:p>
    <w:p>
      <w:pPr>
        <w:ind w:left="140"/>
        <w:spacing w:after="0"/>
        <w:tabs>
          <w:tab w:leader="none" w:pos="188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5"/>
          <w:szCs w:val="15"/>
          <w:color w:val="B4B4B4"/>
        </w:rPr>
        <w:t>. . . . . . . . . . . . . . . . . . . . . . . . . . . . . . . . . . . . . . . . . . . . . . . . . . . . . . .</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Accrued interest expense </w:t>
      </w:r>
      <w:r>
        <w:rPr>
          <w:rFonts w:ascii="Arial" w:cs="Arial" w:eastAsia="Arial" w:hAnsi="Arial"/>
          <w:sz w:val="15"/>
          <w:szCs w:val="15"/>
          <w:color w:val="B4B4B4"/>
        </w:rPr>
        <w:t>. . . . . . . . . . . . . . . . . . . . . . . . . . . . . . . . . . . . . . . . . . . . . . . . . . . . . .</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Accrued expenses and other current liabilities </w:t>
      </w:r>
      <w:r>
        <w:rPr>
          <w:rFonts w:ascii="Arial" w:cs="Arial" w:eastAsia="Arial" w:hAnsi="Arial"/>
          <w:sz w:val="15"/>
          <w:szCs w:val="15"/>
          <w:color w:val="B4B4B4"/>
        </w:rPr>
        <w:t>. . . . . . . . . . . . . . . . . . . . . . . . . . . . . . . . . . . . . .</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Total current liabilities </w:t>
      </w:r>
      <w:r>
        <w:rPr>
          <w:rFonts w:ascii="Arial" w:cs="Arial" w:eastAsia="Arial" w:hAnsi="Arial"/>
          <w:sz w:val="15"/>
          <w:szCs w:val="15"/>
          <w:color w:val="B4B4B4"/>
        </w:rPr>
        <w:t>. . . . . . . . . . . . . . . . . . . . . . . . . . . . . . . . . . . . . . . . . . . . . . . . . . . . .</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Long-term debt </w:t>
      </w:r>
      <w:r>
        <w:rPr>
          <w:rFonts w:ascii="Arial" w:cs="Arial" w:eastAsia="Arial" w:hAnsi="Arial"/>
          <w:sz w:val="15"/>
          <w:szCs w:val="15"/>
          <w:color w:val="B4B4B4"/>
        </w:rPr>
        <w:t>. . . . . . . . . . . . . . . . . . . . . . . . . . . . . . . . . . . . . . . . . . . . . . . . . . . . . . . . . . . . . .</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Deferred income taxes </w:t>
      </w:r>
      <w:r>
        <w:rPr>
          <w:rFonts w:ascii="Arial" w:cs="Arial" w:eastAsia="Arial" w:hAnsi="Arial"/>
          <w:sz w:val="15"/>
          <w:szCs w:val="15"/>
          <w:color w:val="B4B4B4"/>
        </w:rPr>
        <w:t>. . . . . . . . . . . . . . . . . . . . . . . . . . . . . . . . . . . . . . . . . . . . . . . . . . . . . . . .</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Derivative instruments </w:t>
      </w:r>
      <w:r>
        <w:rPr>
          <w:rFonts w:ascii="Arial" w:cs="Arial" w:eastAsia="Arial" w:hAnsi="Arial"/>
          <w:sz w:val="15"/>
          <w:szCs w:val="15"/>
          <w:color w:val="B4B4B4"/>
        </w:rPr>
        <w:t>. . . . . . . . . . . . . . . . . . . . . . . . . . . . . . . . . . . . . . . . . . . . . . . . . . . . . . . .</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Long-term lease liabilities </w:t>
      </w:r>
      <w:r>
        <w:rPr>
          <w:rFonts w:ascii="Arial" w:cs="Arial" w:eastAsia="Arial" w:hAnsi="Arial"/>
          <w:sz w:val="15"/>
          <w:szCs w:val="15"/>
          <w:color w:val="B4B4B4"/>
        </w:rPr>
        <w:t>. . . . . . . . . . . . . . . . . . . . . . . . . . . . . . . . . . . . . . . . . . . . . . . . . . . . .</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Other non-current liabilities </w:t>
      </w:r>
      <w:r>
        <w:rPr>
          <w:rFonts w:ascii="Arial" w:cs="Arial" w:eastAsia="Arial" w:hAnsi="Arial"/>
          <w:sz w:val="15"/>
          <w:szCs w:val="15"/>
          <w:color w:val="B4B4B4"/>
        </w:rPr>
        <w:t>. . . . . . . . . . . . . . . . . . . . . . . . . . . . . . . . . . . . . . . . . . . . . . . . . . . .</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Total other liabilities </w:t>
      </w:r>
      <w:r>
        <w:rPr>
          <w:rFonts w:ascii="Arial" w:cs="Arial" w:eastAsia="Arial" w:hAnsi="Arial"/>
          <w:sz w:val="15"/>
          <w:szCs w:val="15"/>
          <w:color w:val="B4B4B4"/>
        </w:rPr>
        <w:t>. . . . . . . . . . . . . . . . . . . . . . . . . . . . . . . . . . . . . . . . . . . . . . . . . . . . . . .</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Total Liabilities </w:t>
      </w:r>
      <w:r>
        <w:rPr>
          <w:rFonts w:ascii="Arial" w:cs="Arial" w:eastAsia="Arial" w:hAnsi="Arial"/>
          <w:sz w:val="15"/>
          <w:szCs w:val="15"/>
          <w:b w:val="1"/>
          <w:bCs w:val="1"/>
          <w:color w:val="B4B4B4"/>
        </w:rPr>
        <w:t>. . . . . . . . . . . . . . . . . . . . . . . . . . . . . . . . . . . . . . . . . . . . . . . . . . . . . . . . . . . . . .</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Redeemable noncontrolling interest in subsidiaries </w:t>
      </w:r>
      <w:r>
        <w:rPr>
          <w:rFonts w:ascii="Arial" w:cs="Arial" w:eastAsia="Arial" w:hAnsi="Arial"/>
          <w:sz w:val="15"/>
          <w:szCs w:val="15"/>
          <w:b w:val="1"/>
          <w:bCs w:val="1"/>
          <w:color w:val="B4B4B4"/>
        </w:rPr>
        <w:t>. . . . . . . . . . . . . . . . . . . . . . . . . . . . . . . .</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9" w:lineRule="exact"/>
        <w:rPr>
          <w:sz w:val="20"/>
          <w:szCs w:val="20"/>
          <w:color w:val="auto"/>
        </w:rPr>
      </w:pPr>
    </w:p>
    <w:p>
      <w:pPr>
        <w:ind w:left="140"/>
        <w:spacing w:after="0"/>
        <w:tabs>
          <w:tab w:leader="none" w:pos="5580" w:val="left"/>
        </w:tabs>
        <w:rPr>
          <w:sz w:val="20"/>
          <w:szCs w:val="20"/>
          <w:color w:val="auto"/>
        </w:rPr>
      </w:pPr>
      <w:r>
        <w:rPr>
          <w:rFonts w:ascii="Arial" w:cs="Arial" w:eastAsia="Arial" w:hAnsi="Arial"/>
          <w:sz w:val="18"/>
          <w:szCs w:val="18"/>
          <w:color w:val="auto"/>
        </w:rPr>
        <w:t>Preferred stock, $0.01 par value; 10,000,000 shares authorized; none issued</w:t>
      </w:r>
      <w:r>
        <w:rPr>
          <w:sz w:val="20"/>
          <w:szCs w:val="20"/>
          <w:color w:val="auto"/>
        </w:rPr>
        <w:tab/>
      </w:r>
      <w:r>
        <w:rPr>
          <w:rFonts w:ascii="Arial" w:cs="Arial" w:eastAsia="Arial" w:hAnsi="Arial"/>
          <w:sz w:val="15"/>
          <w:szCs w:val="15"/>
          <w:color w:val="B4B4B4"/>
        </w:rPr>
        <w:t>. . . . . . . . . . . . .</w:t>
      </w:r>
    </w:p>
    <w:p>
      <w:pPr>
        <w:spacing w:after="0" w:line="73" w:lineRule="exact"/>
        <w:rPr>
          <w:sz w:val="20"/>
          <w:szCs w:val="20"/>
          <w:color w:val="auto"/>
        </w:rPr>
      </w:pPr>
    </w:p>
    <w:p>
      <w:pPr>
        <w:ind w:left="140" w:right="20"/>
        <w:spacing w:after="0" w:line="252" w:lineRule="auto"/>
        <w:rPr>
          <w:sz w:val="20"/>
          <w:szCs w:val="20"/>
          <w:color w:val="auto"/>
        </w:rPr>
      </w:pPr>
      <w:r>
        <w:rPr>
          <w:rFonts w:ascii="Arial" w:cs="Arial" w:eastAsia="Arial" w:hAnsi="Arial"/>
          <w:sz w:val="15"/>
          <w:szCs w:val="15"/>
          <w:color w:val="auto"/>
        </w:rPr>
        <w:t>Class A, Class B, Class C and Class D common stock, $0.01 par value; 3,000,000,000 shares authorized (Class A 500,000,000, Class B 500,000,000, Class C 1,000,000,000, Class D 1,000,000,000); 203,773,674 shares issued and outstanding (Class A 34,613,853, Class B 42,738,750, Class C 84,844,929, Class D 41,576,142) at December 31, 2025 and</w:t>
      </w:r>
    </w:p>
    <w:p>
      <w:pPr>
        <w:spacing w:after="0" w:line="1" w:lineRule="exact"/>
        <w:rPr>
          <w:sz w:val="20"/>
          <w:szCs w:val="20"/>
          <w:color w:val="auto"/>
        </w:rPr>
      </w:pPr>
    </w:p>
    <w:p>
      <w:pPr>
        <w:ind w:left="140"/>
        <w:spacing w:after="0" w:line="272" w:lineRule="auto"/>
        <w:rPr>
          <w:sz w:val="20"/>
          <w:szCs w:val="20"/>
          <w:color w:val="auto"/>
        </w:rPr>
      </w:pPr>
      <w:r>
        <w:rPr>
          <w:rFonts w:ascii="Arial" w:cs="Arial" w:eastAsia="Arial" w:hAnsi="Arial"/>
          <w:sz w:val="15"/>
          <w:szCs w:val="15"/>
          <w:color w:val="auto"/>
        </w:rPr>
        <w:t xml:space="preserve">202,147,579 shares issued and outstanding (Class A 34,613,853, Class B 42,738,750, Class C 82,833,226, Class D 41,961,750) at December 31, 2024 </w:t>
      </w:r>
      <w:r>
        <w:rPr>
          <w:rFonts w:ascii="Arial" w:cs="Arial" w:eastAsia="Arial" w:hAnsi="Arial"/>
          <w:sz w:val="15"/>
          <w:szCs w:val="15"/>
          <w:color w:val="B4B4B4"/>
        </w:rPr>
        <w:t>. . . . . . . . . . . . . . . . . . . .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Additional paid-in capital </w:t>
      </w:r>
      <w:r>
        <w:rPr>
          <w:rFonts w:ascii="Arial" w:cs="Arial" w:eastAsia="Arial" w:hAnsi="Arial"/>
          <w:sz w:val="15"/>
          <w:szCs w:val="15"/>
          <w:color w:val="B4B4B4"/>
        </w:rPr>
        <w:t>. . . . . . . . . . . . . . . . . . . . . . . . . . . . . . . . . . . . . . . . . . . . . . . . . . . . .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Retained earnings </w:t>
      </w:r>
      <w:r>
        <w:rPr>
          <w:rFonts w:ascii="Arial" w:cs="Arial" w:eastAsia="Arial" w:hAnsi="Arial"/>
          <w:sz w:val="15"/>
          <w:szCs w:val="15"/>
          <w:color w:val="B4B4B4"/>
        </w:rPr>
        <w:t>. . . . . . . . . . . . . . . . . . . . . . . . . . . . . . . . . . . . . . . . . . . . . . . . . . . . . . . . . . .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Accumulated other comprehensive (loss) income </w:t>
      </w:r>
      <w:r>
        <w:rPr>
          <w:rFonts w:ascii="Arial" w:cs="Arial" w:eastAsia="Arial" w:hAnsi="Arial"/>
          <w:sz w:val="15"/>
          <w:szCs w:val="15"/>
          <w:color w:val="B4B4B4"/>
        </w:rPr>
        <w:t>. . . . . . . . . . . . . . . . . . . . . . . . . . . . . . . . . .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Noncontrolling interest </w:t>
      </w:r>
      <w:r>
        <w:rPr>
          <w:rFonts w:ascii="Arial" w:cs="Arial" w:eastAsia="Arial" w:hAnsi="Arial"/>
          <w:sz w:val="15"/>
          <w:szCs w:val="15"/>
          <w:color w:val="B4B4B4"/>
        </w:rPr>
        <w:t>. . . . . . . . . . . . . . . . . . . . . . . . . . . . . . . . . . . . . . . . . . . . . . . . . . . . . . . .</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 xml:space="preserve">Total Stockholders’ Equity </w:t>
      </w:r>
      <w:r>
        <w:rPr>
          <w:rFonts w:ascii="Arial" w:cs="Arial" w:eastAsia="Arial" w:hAnsi="Arial"/>
          <w:sz w:val="15"/>
          <w:szCs w:val="15"/>
          <w:b w:val="1"/>
          <w:bCs w:val="1"/>
          <w:color w:val="B4B4B4"/>
        </w:rPr>
        <w:t>. . . . . . . . . . . . . . . . . . . . . . . . . . . . . . . . . . . . . . . . . . . . . . . . . . . .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 xml:space="preserve">Total Liabilities and Stockholders’ Equity </w:t>
      </w:r>
      <w:r>
        <w:rPr>
          <w:rFonts w:ascii="Arial" w:cs="Arial" w:eastAsia="Arial" w:hAnsi="Arial"/>
          <w:sz w:val="15"/>
          <w:szCs w:val="15"/>
          <w:b w:val="1"/>
          <w:bCs w:val="1"/>
          <w:color w:val="B4B4B4"/>
        </w:rPr>
        <w:t>. . . . . . . . . . . . . . . . . . . . . . . . . . . . . . . . . . . . . . .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86"/>
              </w:rPr>
              <w:t>December 31, 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87"/>
              </w:rPr>
              <w:t>December 31, 2024</w:t>
            </w:r>
          </w:p>
        </w:tc>
      </w:tr>
      <w:tr>
        <w:trPr>
          <w:trHeight w:val="708"/>
        </w:trPr>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3"/>
        </w:trPr>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r>
      <w:tr>
        <w:trPr>
          <w:trHeight w:val="215"/>
        </w:trPr>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9,944</w:t>
            </w:r>
          </w:p>
        </w:tc>
      </w:tr>
      <w:tr>
        <w:trPr>
          <w:trHeight w:val="473"/>
        </w:trPr>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2,125</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13"/>
        </w:trPr>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15"/>
        </w:trPr>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w:t>
            </w:r>
          </w:p>
        </w:tc>
      </w:tr>
      <w:tr>
        <w:trPr>
          <w:trHeight w:val="196"/>
        </w:trPr>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16,655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14,329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88"/>
        </w:trPr>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3"/>
        </w:trPr>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r>
      <w:tr>
        <w:trPr>
          <w:trHeight w:val="473"/>
        </w:trPr>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7,898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6,750</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35"/>
        </w:trPr>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13"/>
        </w:trPr>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215"/>
        </w:trPr>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w:t>
            </w:r>
          </w:p>
        </w:tc>
      </w:tr>
      <w:tr>
        <w:trPr>
          <w:trHeight w:val="215"/>
        </w:trPr>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w:t>
            </w:r>
          </w:p>
        </w:tc>
      </w:tr>
      <w:tr>
        <w:trPr>
          <w:trHeight w:val="215"/>
        </w:trPr>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708"/>
        </w:trPr>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1,715</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35"/>
        </w:trPr>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35"/>
        </w:trPr>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3"/>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r>
      <w:tr>
        <w:trPr>
          <w:trHeight w:val="215"/>
        </w:trPr>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w:t>
            </w:r>
          </w:p>
        </w:tc>
      </w:tr>
      <w:tr>
        <w:trPr>
          <w:trHeight w:val="196"/>
        </w:trPr>
        <w:tc>
          <w:tcPr>
            <w:tcW w:w="580" w:type="dxa"/>
            <w:vAlign w:val="bottom"/>
            <w:tcBorders>
              <w:bottom w:val="single" w:sz="8" w:color="auto"/>
            </w:tcBorders>
          </w:tcPr>
          <w:p>
            <w:pPr>
              <w:jc w:val="right"/>
              <w:ind w:right="352"/>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16,655</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ind w:right="352"/>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14,329</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ectPr>
          <w:pgSz w:w="11880" w:h="15480" w:orient="portrait"/>
          <w:cols w:equalWidth="0" w:num="2">
            <w:col w:w="6720" w:space="40"/>
            <w:col w:w="3220"/>
          </w:cols>
          <w:pgMar w:left="980" w:top="572" w:right="920" w:bottom="0" w:gutter="0" w:footer="0" w:header="0"/>
          <w:type w:val="continuous"/>
        </w:sectPr>
      </w:pPr>
    </w:p>
    <w:p>
      <w:pPr>
        <w:jc w:val="center"/>
        <w:ind w:right="60"/>
        <w:spacing w:after="0"/>
        <w:rPr>
          <w:sz w:val="20"/>
          <w:szCs w:val="20"/>
          <w:color w:val="auto"/>
        </w:rPr>
      </w:pPr>
      <w:r>
        <w:rPr>
          <w:rFonts w:ascii="Arial" w:cs="Arial" w:eastAsia="Arial" w:hAnsi="Arial"/>
          <w:sz w:val="17"/>
          <w:szCs w:val="17"/>
          <w:color w:val="auto"/>
        </w:rPr>
        <w:t>See accompanying notes to consolidated financial statements.</w:t>
      </w:r>
    </w:p>
    <w:p>
      <w:pPr>
        <w:sectPr>
          <w:pgSz w:w="11880" w:h="15480" w:orient="portrait"/>
          <w:cols w:equalWidth="0" w:num="1">
            <w:col w:w="9980"/>
          </w:cols>
          <w:pgMar w:left="980" w:top="572"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9980"/>
          </w:cols>
          <w:pgMar w:left="980" w:top="572" w:right="920" w:bottom="0" w:gutter="0" w:footer="0" w:header="0"/>
          <w:type w:val="continuous"/>
        </w:sectPr>
      </w:pPr>
    </w:p>
    <w:bookmarkStart w:id="86" w:name="page87"/>
    <w:bookmarkEnd w:id="86"/>
    <w:p>
      <w:pPr>
        <w:jc w:val="center"/>
        <w:ind w:right="60"/>
        <w:spacing w:after="0"/>
        <w:rPr>
          <w:sz w:val="20"/>
          <w:szCs w:val="20"/>
          <w:color w:val="auto"/>
        </w:rPr>
      </w:pPr>
      <w:r>
        <w:rPr>
          <w:rFonts w:ascii="Arial" w:cs="Arial" w:eastAsia="Arial" w:hAnsi="Arial"/>
          <w:sz w:val="20"/>
          <w:szCs w:val="20"/>
          <w:b w:val="1"/>
          <w:bCs w:val="1"/>
          <w:color w:val="auto"/>
        </w:rPr>
        <w:t>CLEARWAY ENERGY,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right"/>
              <w:ind w:right="532"/>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15"/>
        </w:trPr>
        <w:tc>
          <w:tcPr>
            <w:tcW w:w="7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w w:val="97"/>
              </w:rPr>
              <w:t>(In millions)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580" w:type="dxa"/>
            <w:vAlign w:val="bottom"/>
          </w:tcPr>
          <w:p>
            <w:pPr>
              <w:spacing w:after="0"/>
              <w:rPr>
                <w:sz w:val="20"/>
                <w:szCs w:val="20"/>
                <w:color w:val="auto"/>
              </w:rPr>
            </w:pPr>
            <w:r>
              <w:rPr>
                <w:rFonts w:ascii="Arial" w:cs="Arial" w:eastAsia="Arial" w:hAnsi="Arial"/>
                <w:sz w:val="18"/>
                <w:szCs w:val="18"/>
                <w:color w:val="auto"/>
                <w:w w:val="89"/>
              </w:rPr>
              <w:t xml:space="preserve">Net loss </w:t>
            </w:r>
            <w:r>
              <w:rPr>
                <w:rFonts w:ascii="Arial" w:cs="Arial" w:eastAsia="Arial" w:hAnsi="Arial"/>
                <w:sz w:val="18"/>
                <w:szCs w:val="18"/>
                <w:color w:val="B4B4B4"/>
                <w:w w:val="89"/>
              </w:rPr>
              <w:t>. . . . . . . . . . . . . . . . . . . . . . . . . . . . . . . .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5"/>
        </w:trPr>
        <w:tc>
          <w:tcPr>
            <w:tcW w:w="7580" w:type="dxa"/>
            <w:vAlign w:val="bottom"/>
          </w:tcPr>
          <w:p>
            <w:pPr>
              <w:jc w:val="right"/>
              <w:ind w:right="1892"/>
              <w:spacing w:after="0"/>
              <w:rPr>
                <w:sz w:val="20"/>
                <w:szCs w:val="20"/>
                <w:color w:val="auto"/>
              </w:rPr>
            </w:pPr>
            <w:r>
              <w:rPr>
                <w:rFonts w:ascii="Arial" w:cs="Arial" w:eastAsia="Arial" w:hAnsi="Arial"/>
                <w:sz w:val="18"/>
                <w:szCs w:val="18"/>
                <w:color w:val="auto"/>
                <w:w w:val="90"/>
              </w:rPr>
              <w:t>Adjustments to reconcile net loss to net cash provided by operating activities: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4"/>
              </w:rPr>
              <w:t xml:space="preserve">Equity in earnings of unconsolidated affiliates  </w:t>
            </w:r>
            <w:r>
              <w:rPr>
                <w:rFonts w:ascii="Arial" w:cs="Arial" w:eastAsia="Arial" w:hAnsi="Arial"/>
                <w:sz w:val="18"/>
                <w:szCs w:val="18"/>
                <w:color w:val="B4B4B4"/>
                <w:w w:val="94"/>
              </w:rPr>
              <w:t>.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4"/>
              </w:rPr>
              <w:t xml:space="preserve">Distributions from unconsolidated affiliates </w:t>
            </w:r>
            <w:r>
              <w:rPr>
                <w:rFonts w:ascii="Arial" w:cs="Arial" w:eastAsia="Arial" w:hAnsi="Arial"/>
                <w:sz w:val="18"/>
                <w:szCs w:val="18"/>
                <w:color w:val="B4B4B4"/>
                <w:w w:val="94"/>
              </w:rPr>
              <w:t>.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Depreciation, amortization and accretion </w:t>
            </w:r>
            <w:r>
              <w:rPr>
                <w:rFonts w:ascii="Arial" w:cs="Arial" w:eastAsia="Arial" w:hAnsi="Arial"/>
                <w:sz w:val="18"/>
                <w:szCs w:val="18"/>
                <w:color w:val="B4B4B4"/>
                <w:w w:val="93"/>
              </w:rPr>
              <w:t>.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Amortization of financing costs and debt discounts </w:t>
            </w:r>
            <w:r>
              <w:rPr>
                <w:rFonts w:ascii="Arial" w:cs="Arial" w:eastAsia="Arial" w:hAnsi="Arial"/>
                <w:sz w:val="18"/>
                <w:szCs w:val="18"/>
                <w:color w:val="B4B4B4"/>
                <w:w w:val="93"/>
              </w:rPr>
              <w:t>.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Amortization of intangibles </w:t>
            </w:r>
            <w:r>
              <w:rPr>
                <w:rFonts w:ascii="Arial" w:cs="Arial" w:eastAsia="Arial" w:hAnsi="Arial"/>
                <w:sz w:val="18"/>
                <w:szCs w:val="18"/>
                <w:color w:val="B4B4B4"/>
                <w:w w:val="93"/>
              </w:rPr>
              <w:t>. . . . .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Loss on debt extinguishment  </w:t>
            </w:r>
            <w:r>
              <w:rPr>
                <w:rFonts w:ascii="Arial" w:cs="Arial" w:eastAsia="Arial" w:hAnsi="Arial"/>
                <w:sz w:val="18"/>
                <w:szCs w:val="18"/>
                <w:color w:val="B4B4B4"/>
                <w:w w:val="93"/>
              </w:rPr>
              <w:t>. . .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2"/>
              </w:rPr>
              <w:t xml:space="preserve">Reduction in carrying amount of right-of-use assets </w:t>
            </w:r>
            <w:r>
              <w:rPr>
                <w:rFonts w:ascii="Arial" w:cs="Arial" w:eastAsia="Arial" w:hAnsi="Arial"/>
                <w:sz w:val="18"/>
                <w:szCs w:val="18"/>
                <w:color w:val="B4B4B4"/>
                <w:w w:val="92"/>
              </w:rPr>
              <w:t>.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2"/>
              </w:rPr>
              <w:t xml:space="preserve">Impairment losses </w:t>
            </w:r>
            <w:r>
              <w:rPr>
                <w:rFonts w:ascii="Arial" w:cs="Arial" w:eastAsia="Arial" w:hAnsi="Arial"/>
                <w:sz w:val="18"/>
                <w:szCs w:val="18"/>
                <w:color w:val="B4B4B4"/>
                <w:w w:val="92"/>
              </w:rPr>
              <w:t>. . . . . . . . . . . .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2"/>
              </w:rPr>
              <w:t xml:space="preserve">Changes in deferred income taxes </w:t>
            </w:r>
            <w:r>
              <w:rPr>
                <w:rFonts w:ascii="Arial" w:cs="Arial" w:eastAsia="Arial" w:hAnsi="Arial"/>
                <w:sz w:val="18"/>
                <w:szCs w:val="18"/>
                <w:color w:val="B4B4B4"/>
                <w:w w:val="92"/>
              </w:rPr>
              <w:t>.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Changes in derivative instruments and amortization of accumulated OCI </w:t>
            </w:r>
            <w:r>
              <w:rPr>
                <w:rFonts w:ascii="Arial" w:cs="Arial" w:eastAsia="Arial" w:hAnsi="Arial"/>
                <w:sz w:val="18"/>
                <w:szCs w:val="18"/>
                <w:color w:val="B4B4B4"/>
                <w:w w:val="93"/>
              </w:rPr>
              <w:t>.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1"/>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Changes in other working capital </w:t>
            </w:r>
            <w:r>
              <w:rPr>
                <w:rFonts w:ascii="Arial" w:cs="Arial" w:eastAsia="Arial" w:hAnsi="Arial"/>
                <w:sz w:val="18"/>
                <w:szCs w:val="18"/>
                <w:color w:val="B4B4B4"/>
                <w:w w:val="93"/>
              </w:rPr>
              <w:t>.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5"/>
        </w:trPr>
        <w:tc>
          <w:tcPr>
            <w:tcW w:w="7580" w:type="dxa"/>
            <w:vAlign w:val="bottom"/>
          </w:tcPr>
          <w:p>
            <w:pPr>
              <w:jc w:val="right"/>
              <w:spacing w:after="0"/>
              <w:rPr>
                <w:sz w:val="20"/>
                <w:szCs w:val="20"/>
                <w:color w:val="auto"/>
              </w:rPr>
            </w:pPr>
            <w:r>
              <w:rPr>
                <w:rFonts w:ascii="Arial" w:cs="Arial" w:eastAsia="Arial" w:hAnsi="Arial"/>
                <w:sz w:val="18"/>
                <w:szCs w:val="18"/>
                <w:b w:val="1"/>
                <w:bCs w:val="1"/>
                <w:color w:val="B4B4B4"/>
                <w:w w:val="92"/>
              </w:rPr>
              <w:t>. . . . . . . . . . . . . . . . . . . . . . . . . . . . . . . . . . . . . . . . . . . . . . . .</w:t>
            </w:r>
            <w:r>
              <w:rPr>
                <w:rFonts w:ascii="Arial" w:cs="Arial" w:eastAsia="Arial" w:hAnsi="Arial"/>
                <w:sz w:val="18"/>
                <w:szCs w:val="18"/>
                <w:b w:val="1"/>
                <w:bCs w:val="1"/>
                <w:color w:val="000000"/>
                <w:w w:val="92"/>
              </w:rPr>
              <w:t>NetCashProvidedbyOperatingActivities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80" w:type="dxa"/>
            <w:vAlign w:val="bottom"/>
          </w:tcPr>
          <w:p>
            <w:pPr>
              <w:jc w:val="right"/>
              <w:spacing w:after="0"/>
              <w:rPr>
                <w:sz w:val="20"/>
                <w:szCs w:val="20"/>
                <w:color w:val="auto"/>
              </w:rPr>
            </w:pPr>
            <w:r>
              <w:rPr>
                <w:rFonts w:ascii="Arial" w:cs="Arial" w:eastAsia="Arial" w:hAnsi="Arial"/>
                <w:sz w:val="18"/>
                <w:szCs w:val="18"/>
                <w:color w:val="auto"/>
                <w:w w:val="92"/>
              </w:rPr>
              <w:t xml:space="preserve">Acquisitions, net of cash acquired </w:t>
            </w:r>
            <w:r>
              <w:rPr>
                <w:rFonts w:ascii="Arial" w:cs="Arial" w:eastAsia="Arial" w:hAnsi="Arial"/>
                <w:sz w:val="18"/>
                <w:szCs w:val="18"/>
                <w:color w:val="B4B4B4"/>
                <w:w w:val="92"/>
              </w:rPr>
              <w:t>.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Acquisition of Drop Down Assets, net of cash acquired  </w:t>
            </w:r>
            <w:r>
              <w:rPr>
                <w:rFonts w:ascii="Arial" w:cs="Arial" w:eastAsia="Arial" w:hAnsi="Arial"/>
                <w:sz w:val="18"/>
                <w:szCs w:val="18"/>
                <w:color w:val="B4B4B4"/>
                <w:w w:val="93"/>
              </w:rPr>
              <w:t>.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2"/>
              </w:rPr>
              <w:t xml:space="preserve">Proceeds from transfer of assets </w:t>
            </w:r>
            <w:r>
              <w:rPr>
                <w:rFonts w:ascii="Arial" w:cs="Arial" w:eastAsia="Arial" w:hAnsi="Arial"/>
                <w:sz w:val="18"/>
                <w:szCs w:val="18"/>
                <w:color w:val="B4B4B4"/>
                <w:w w:val="92"/>
              </w:rPr>
              <w:t>.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Capital expenditures </w:t>
            </w:r>
            <w:r>
              <w:rPr>
                <w:rFonts w:ascii="Arial" w:cs="Arial" w:eastAsia="Arial" w:hAnsi="Arial"/>
                <w:sz w:val="18"/>
                <w:szCs w:val="18"/>
                <w:color w:val="B4B4B4"/>
                <w:w w:val="93"/>
              </w:rPr>
              <w:t>. . . . . . . . . .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2"/>
              </w:rPr>
              <w:t xml:space="preserve">Payment for equipment deposit </w:t>
            </w:r>
            <w:r>
              <w:rPr>
                <w:rFonts w:ascii="Arial" w:cs="Arial" w:eastAsia="Arial" w:hAnsi="Arial"/>
                <w:sz w:val="18"/>
                <w:szCs w:val="18"/>
                <w:color w:val="B4B4B4"/>
                <w:w w:val="92"/>
              </w:rPr>
              <w:t>. .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Payment for equipment deposit and asset purchase from affiliate </w:t>
            </w:r>
            <w:r>
              <w:rPr>
                <w:rFonts w:ascii="Arial" w:cs="Arial" w:eastAsia="Arial" w:hAnsi="Arial"/>
                <w:sz w:val="18"/>
                <w:szCs w:val="18"/>
                <w:color w:val="B4B4B4"/>
                <w:w w:val="93"/>
              </w:rPr>
              <w:t>.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Return of investments from unconsolidated affiliates </w:t>
            </w:r>
            <w:r>
              <w:rPr>
                <w:rFonts w:ascii="Arial" w:cs="Arial" w:eastAsia="Arial" w:hAnsi="Arial"/>
                <w:sz w:val="18"/>
                <w:szCs w:val="18"/>
                <w:color w:val="B4B4B4"/>
                <w:w w:val="93"/>
              </w:rPr>
              <w:t>.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Decrease (increase) in note receivable — affiliate </w:t>
            </w:r>
            <w:r>
              <w:rPr>
                <w:rFonts w:ascii="Arial" w:cs="Arial" w:eastAsia="Arial" w:hAnsi="Arial"/>
                <w:sz w:val="18"/>
                <w:szCs w:val="18"/>
                <w:color w:val="B4B4B4"/>
                <w:w w:val="93"/>
              </w:rPr>
              <w:t>.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Investments in unconsolidated affiliates </w:t>
            </w:r>
            <w:r>
              <w:rPr>
                <w:rFonts w:ascii="Arial" w:cs="Arial" w:eastAsia="Arial" w:hAnsi="Arial"/>
                <w:sz w:val="18"/>
                <w:szCs w:val="18"/>
                <w:color w:val="B4B4B4"/>
                <w:w w:val="93"/>
              </w:rPr>
              <w:t>.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1"/>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Other </w:t>
            </w:r>
            <w:r>
              <w:rPr>
                <w:rFonts w:ascii="Arial" w:cs="Arial" w:eastAsia="Arial" w:hAnsi="Arial"/>
                <w:sz w:val="18"/>
                <w:szCs w:val="18"/>
                <w:color w:val="B4B4B4"/>
                <w:w w:val="93"/>
              </w:rPr>
              <w:t>. . . . . . . . . . . . . . . . . . . .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7580" w:type="dxa"/>
            <w:vAlign w:val="bottom"/>
          </w:tcPr>
          <w:p>
            <w:pPr>
              <w:jc w:val="right"/>
              <w:spacing w:after="0"/>
              <w:rPr>
                <w:sz w:val="20"/>
                <w:szCs w:val="20"/>
                <w:color w:val="auto"/>
              </w:rPr>
            </w:pPr>
            <w:r>
              <w:rPr>
                <w:rFonts w:ascii="Arial" w:cs="Arial" w:eastAsia="Arial" w:hAnsi="Arial"/>
                <w:sz w:val="18"/>
                <w:szCs w:val="18"/>
                <w:b w:val="1"/>
                <w:bCs w:val="1"/>
                <w:color w:val="B4B4B4"/>
                <w:w w:val="91"/>
              </w:rPr>
              <w:t>. . . . . . . . . . . . . . . . . . . . . . . . . . . . . . . . . . . . . . . . . . . . . . . . . . . . .</w:t>
            </w:r>
            <w:r>
              <w:rPr>
                <w:rFonts w:ascii="Arial" w:cs="Arial" w:eastAsia="Arial" w:hAnsi="Arial"/>
                <w:sz w:val="18"/>
                <w:szCs w:val="18"/>
                <w:b w:val="1"/>
                <w:bCs w:val="1"/>
                <w:color w:val="000000"/>
                <w:w w:val="91"/>
              </w:rPr>
              <w:t>NetCashUsedinInvestingActivities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1"/>
        </w:trPr>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80" w:type="dxa"/>
            <w:vAlign w:val="bottom"/>
          </w:tcPr>
          <w:p>
            <w:pPr>
              <w:jc w:val="right"/>
              <w:spacing w:after="0"/>
              <w:rPr>
                <w:sz w:val="20"/>
                <w:szCs w:val="20"/>
                <w:color w:val="auto"/>
              </w:rPr>
            </w:pPr>
            <w:r>
              <w:rPr>
                <w:rFonts w:ascii="Arial" w:cs="Arial" w:eastAsia="Arial" w:hAnsi="Arial"/>
                <w:sz w:val="18"/>
                <w:szCs w:val="18"/>
                <w:color w:val="auto"/>
                <w:w w:val="94"/>
              </w:rPr>
              <w:t xml:space="preserve">Contributions from noncontrolling interests, net of distributions </w:t>
            </w:r>
            <w:r>
              <w:rPr>
                <w:rFonts w:ascii="Arial" w:cs="Arial" w:eastAsia="Arial" w:hAnsi="Arial"/>
                <w:sz w:val="18"/>
                <w:szCs w:val="18"/>
                <w:color w:val="B4B4B4"/>
                <w:w w:val="94"/>
              </w:rPr>
              <w:t>.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2"/>
              </w:rPr>
              <w:t xml:space="preserve">Proceeds from the issuance of Class C common stock </w:t>
            </w:r>
            <w:r>
              <w:rPr>
                <w:rFonts w:ascii="Arial" w:cs="Arial" w:eastAsia="Arial" w:hAnsi="Arial"/>
                <w:sz w:val="18"/>
                <w:szCs w:val="18"/>
                <w:color w:val="B4B4B4"/>
                <w:w w:val="92"/>
              </w:rPr>
              <w:t>.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Payments of dividends and distributions  </w:t>
            </w:r>
            <w:r>
              <w:rPr>
                <w:rFonts w:ascii="Arial" w:cs="Arial" w:eastAsia="Arial" w:hAnsi="Arial"/>
                <w:sz w:val="18"/>
                <w:szCs w:val="18"/>
                <w:color w:val="B4B4B4"/>
                <w:w w:val="93"/>
              </w:rPr>
              <w:t>.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Pro-rata distributions to CEG </w:t>
            </w:r>
            <w:r>
              <w:rPr>
                <w:rFonts w:ascii="Arial" w:cs="Arial" w:eastAsia="Arial" w:hAnsi="Arial"/>
                <w:sz w:val="18"/>
                <w:szCs w:val="18"/>
                <w:color w:val="B4B4B4"/>
                <w:w w:val="93"/>
              </w:rPr>
              <w:t>. . .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Tax-related distributions </w:t>
            </w:r>
            <w:r>
              <w:rPr>
                <w:rFonts w:ascii="Arial" w:cs="Arial" w:eastAsia="Arial" w:hAnsi="Arial"/>
                <w:sz w:val="18"/>
                <w:szCs w:val="18"/>
                <w:color w:val="B4B4B4"/>
                <w:w w:val="93"/>
              </w:rPr>
              <w:t>. . . . . . .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Buyouts of noncontrolling interest and redeemable noncontrolling interest </w:t>
            </w:r>
            <w:r>
              <w:rPr>
                <w:rFonts w:ascii="Arial" w:cs="Arial" w:eastAsia="Arial" w:hAnsi="Arial"/>
                <w:sz w:val="18"/>
                <w:szCs w:val="18"/>
                <w:color w:val="B4B4B4"/>
                <w:w w:val="93"/>
              </w:rPr>
              <w:t>.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Proceeds from the revolving credit facility </w:t>
            </w:r>
            <w:r>
              <w:rPr>
                <w:rFonts w:ascii="Arial" w:cs="Arial" w:eastAsia="Arial" w:hAnsi="Arial"/>
                <w:sz w:val="18"/>
                <w:szCs w:val="18"/>
                <w:color w:val="B4B4B4"/>
                <w:w w:val="93"/>
              </w:rPr>
              <w:t>.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4"/>
              </w:rPr>
              <w:t xml:space="preserve">Payments for the revolving credit facility </w:t>
            </w:r>
            <w:r>
              <w:rPr>
                <w:rFonts w:ascii="Arial" w:cs="Arial" w:eastAsia="Arial" w:hAnsi="Arial"/>
                <w:sz w:val="18"/>
                <w:szCs w:val="18"/>
                <w:color w:val="B4B4B4"/>
                <w:w w:val="94"/>
              </w:rPr>
              <w:t>.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2"/>
              </w:rPr>
              <w:t xml:space="preserve">Proceeds from issuance of long-term debt  </w:t>
            </w:r>
            <w:r>
              <w:rPr>
                <w:rFonts w:ascii="Arial" w:cs="Arial" w:eastAsia="Arial" w:hAnsi="Arial"/>
                <w:sz w:val="18"/>
                <w:szCs w:val="18"/>
                <w:color w:val="B4B4B4"/>
                <w:w w:val="92"/>
              </w:rPr>
              <w:t>.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Payments for long-term debt  </w:t>
            </w:r>
            <w:r>
              <w:rPr>
                <w:rFonts w:ascii="Arial" w:cs="Arial" w:eastAsia="Arial" w:hAnsi="Arial"/>
                <w:sz w:val="18"/>
                <w:szCs w:val="18"/>
                <w:color w:val="B4B4B4"/>
                <w:w w:val="93"/>
              </w:rPr>
              <w:t>. . .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2"/>
              </w:rPr>
              <w:t xml:space="preserve">Payments of debt issuance costs </w:t>
            </w:r>
            <w:r>
              <w:rPr>
                <w:rFonts w:ascii="Arial" w:cs="Arial" w:eastAsia="Arial" w:hAnsi="Arial"/>
                <w:sz w:val="18"/>
                <w:szCs w:val="18"/>
                <w:color w:val="B4B4B4"/>
                <w:w w:val="92"/>
              </w:rPr>
              <w:t>. . . . . . . .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1"/>
        </w:trPr>
        <w:tc>
          <w:tcPr>
            <w:tcW w:w="7580" w:type="dxa"/>
            <w:vAlign w:val="bottom"/>
          </w:tcPr>
          <w:p>
            <w:pPr>
              <w:jc w:val="right"/>
              <w:spacing w:after="0"/>
              <w:rPr>
                <w:sz w:val="20"/>
                <w:szCs w:val="20"/>
                <w:color w:val="auto"/>
              </w:rPr>
            </w:pPr>
            <w:r>
              <w:rPr>
                <w:rFonts w:ascii="Arial" w:cs="Arial" w:eastAsia="Arial" w:hAnsi="Arial"/>
                <w:sz w:val="18"/>
                <w:szCs w:val="18"/>
                <w:color w:val="auto"/>
                <w:w w:val="93"/>
              </w:rPr>
              <w:t xml:space="preserve">Other </w:t>
            </w:r>
            <w:r>
              <w:rPr>
                <w:rFonts w:ascii="Arial" w:cs="Arial" w:eastAsia="Arial" w:hAnsi="Arial"/>
                <w:sz w:val="18"/>
                <w:szCs w:val="18"/>
                <w:color w:val="B4B4B4"/>
                <w:w w:val="93"/>
              </w:rPr>
              <w:t>. . . . . . . . . . . . . . . . . . . .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7580" w:type="dxa"/>
            <w:vAlign w:val="bottom"/>
          </w:tcPr>
          <w:p>
            <w:pPr>
              <w:jc w:val="right"/>
              <w:spacing w:after="0"/>
              <w:rPr>
                <w:sz w:val="20"/>
                <w:szCs w:val="20"/>
                <w:color w:val="auto"/>
              </w:rPr>
            </w:pPr>
            <w:r>
              <w:rPr>
                <w:rFonts w:ascii="Arial" w:cs="Arial" w:eastAsia="Arial" w:hAnsi="Arial"/>
                <w:sz w:val="18"/>
                <w:szCs w:val="18"/>
                <w:b w:val="1"/>
                <w:bCs w:val="1"/>
                <w:color w:val="B4B4B4"/>
                <w:w w:val="93"/>
              </w:rPr>
              <w:t>. . . . . . . . . . . . . . . . . . . . . . . . . . . . . . . . . . . . . . . .</w:t>
            </w:r>
            <w:r>
              <w:rPr>
                <w:rFonts w:ascii="Arial" w:cs="Arial" w:eastAsia="Arial" w:hAnsi="Arial"/>
                <w:sz w:val="18"/>
                <w:szCs w:val="18"/>
                <w:b w:val="1"/>
                <w:bCs w:val="1"/>
                <w:color w:val="000000"/>
                <w:w w:val="93"/>
              </w:rPr>
              <w:t>NetCashProvidedby(Usedin)FinancingActivities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5"/>
        </w:trPr>
        <w:tc>
          <w:tcPr>
            <w:tcW w:w="7580" w:type="dxa"/>
            <w:vAlign w:val="bottom"/>
          </w:tcPr>
          <w:p>
            <w:pPr>
              <w:jc w:val="right"/>
              <w:spacing w:after="0"/>
              <w:rPr>
                <w:sz w:val="20"/>
                <w:szCs w:val="20"/>
                <w:color w:val="auto"/>
              </w:rPr>
            </w:pPr>
            <w:r>
              <w:rPr>
                <w:rFonts w:ascii="Arial" w:cs="Arial" w:eastAsia="Arial" w:hAnsi="Arial"/>
                <w:sz w:val="18"/>
                <w:szCs w:val="18"/>
                <w:b w:val="1"/>
                <w:bCs w:val="1"/>
                <w:color w:val="B4B4B4"/>
                <w:w w:val="93"/>
              </w:rPr>
              <w:t>. . . . . . . . . . . . . . . . . . . . . . . .</w:t>
            </w:r>
            <w:r>
              <w:rPr>
                <w:rFonts w:ascii="Arial" w:cs="Arial" w:eastAsia="Arial" w:hAnsi="Arial"/>
                <w:sz w:val="18"/>
                <w:szCs w:val="18"/>
                <w:b w:val="1"/>
                <w:bCs w:val="1"/>
                <w:color w:val="000000"/>
                <w:w w:val="93"/>
              </w:rPr>
              <w:t>NetIncrease(Decrease)inCash,CashEquivalentsandRestrictedCash</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5"/>
        </w:trPr>
        <w:tc>
          <w:tcPr>
            <w:tcW w:w="7580" w:type="dxa"/>
            <w:vAlign w:val="bottom"/>
          </w:tcPr>
          <w:p>
            <w:pPr>
              <w:jc w:val="right"/>
              <w:spacing w:after="0"/>
              <w:rPr>
                <w:sz w:val="20"/>
                <w:szCs w:val="20"/>
                <w:color w:val="auto"/>
              </w:rPr>
            </w:pPr>
            <w:r>
              <w:rPr>
                <w:rFonts w:ascii="Arial" w:cs="Arial" w:eastAsia="Arial" w:hAnsi="Arial"/>
                <w:sz w:val="18"/>
                <w:szCs w:val="18"/>
                <w:b w:val="1"/>
                <w:bCs w:val="1"/>
                <w:color w:val="B4B4B4"/>
                <w:w w:val="93"/>
              </w:rPr>
              <w:t>. . . . . . . . . . . . . . . . . . . . . . . . . . .</w:t>
            </w:r>
            <w:r>
              <w:rPr>
                <w:rFonts w:ascii="Arial" w:cs="Arial" w:eastAsia="Arial" w:hAnsi="Arial"/>
                <w:sz w:val="18"/>
                <w:szCs w:val="18"/>
                <w:b w:val="1"/>
                <w:bCs w:val="1"/>
                <w:color w:val="000000"/>
                <w:w w:val="93"/>
              </w:rPr>
              <w:t>Cash,CashEquivalentsandRestrictedCashatBeginningofPeriod</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196"/>
        </w:trPr>
        <w:tc>
          <w:tcPr>
            <w:tcW w:w="7580" w:type="dxa"/>
            <w:vAlign w:val="bottom"/>
          </w:tcPr>
          <w:p>
            <w:pPr>
              <w:jc w:val="right"/>
              <w:spacing w:after="0" w:line="195" w:lineRule="exact"/>
              <w:rPr>
                <w:sz w:val="20"/>
                <w:szCs w:val="20"/>
                <w:color w:val="auto"/>
              </w:rPr>
            </w:pPr>
            <w:r>
              <w:rPr>
                <w:rFonts w:ascii="Arial" w:cs="Arial" w:eastAsia="Arial" w:hAnsi="Arial"/>
                <w:sz w:val="18"/>
                <w:szCs w:val="18"/>
                <w:b w:val="1"/>
                <w:bCs w:val="1"/>
                <w:color w:val="B4B4B4"/>
                <w:w w:val="94"/>
              </w:rPr>
              <w:t>. . . . . . . . . . . . . . . . . . . . . . . . . . . . . . . .</w:t>
            </w:r>
            <w:r>
              <w:rPr>
                <w:rFonts w:ascii="Arial" w:cs="Arial" w:eastAsia="Arial" w:hAnsi="Arial"/>
                <w:sz w:val="18"/>
                <w:szCs w:val="18"/>
                <w:b w:val="1"/>
                <w:bCs w:val="1"/>
                <w:color w:val="000000"/>
                <w:w w:val="94"/>
              </w:rPr>
              <w:t>Cash,CashEquivalentsandRestrictedCashatEndofPeriod</w:t>
            </w: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818</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40"/>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733</w:t>
            </w:r>
          </w:p>
        </w:tc>
        <w:tc>
          <w:tcPr>
            <w:tcW w:w="60" w:type="dxa"/>
            <w:vAlign w:val="bottom"/>
          </w:tcPr>
          <w:p>
            <w:pPr>
              <w:spacing w:after="0"/>
              <w:rPr>
                <w:sz w:val="17"/>
                <w:szCs w:val="17"/>
                <w:color w:val="auto"/>
              </w:rPr>
            </w:pPr>
          </w:p>
        </w:tc>
        <w:tc>
          <w:tcPr>
            <w:tcW w:w="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1"/>
              </w:rPr>
              <w:t xml:space="preserve">Interest paid, net of amount capitalized </w:t>
            </w:r>
            <w:r>
              <w:rPr>
                <w:rFonts w:ascii="Arial" w:cs="Arial" w:eastAsia="Arial" w:hAnsi="Arial"/>
                <w:sz w:val="18"/>
                <w:szCs w:val="18"/>
                <w:color w:val="B4B4B4"/>
                <w:w w:val="91"/>
              </w:rPr>
              <w:t>. . . . .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0"/>
              </w:rPr>
              <w:t xml:space="preserve">Income taxes paid, net of refunds received  </w:t>
            </w:r>
            <w:r>
              <w:rPr>
                <w:rFonts w:ascii="Arial" w:cs="Arial" w:eastAsia="Arial" w:hAnsi="Arial"/>
                <w:sz w:val="18"/>
                <w:szCs w:val="18"/>
                <w:color w:val="B4B4B4"/>
                <w:w w:val="90"/>
              </w:rPr>
              <w:t>. .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5"/>
        </w:trPr>
        <w:tc>
          <w:tcPr>
            <w:tcW w:w="7580" w:type="dxa"/>
            <w:vAlign w:val="bottom"/>
          </w:tcPr>
          <w:p>
            <w:pPr>
              <w:spacing w:after="0"/>
              <w:rPr>
                <w:sz w:val="20"/>
                <w:szCs w:val="20"/>
                <w:color w:val="auto"/>
              </w:rPr>
            </w:pPr>
            <w:r>
              <w:rPr>
                <w:rFonts w:ascii="Arial" w:cs="Arial" w:eastAsia="Arial" w:hAnsi="Arial"/>
                <w:sz w:val="18"/>
                <w:szCs w:val="18"/>
                <w:b w:val="1"/>
                <w:bCs w:val="1"/>
                <w:color w:val="auto"/>
              </w:rPr>
              <w:t>Non-cash financing activity:</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580" w:type="dxa"/>
            <w:vAlign w:val="bottom"/>
          </w:tcPr>
          <w:p>
            <w:pPr>
              <w:jc w:val="right"/>
              <w:spacing w:after="0"/>
              <w:rPr>
                <w:sz w:val="20"/>
                <w:szCs w:val="20"/>
                <w:color w:val="auto"/>
              </w:rPr>
            </w:pPr>
            <w:r>
              <w:rPr>
                <w:rFonts w:ascii="Arial" w:cs="Arial" w:eastAsia="Arial" w:hAnsi="Arial"/>
                <w:sz w:val="18"/>
                <w:szCs w:val="18"/>
                <w:color w:val="auto"/>
                <w:w w:val="90"/>
              </w:rPr>
              <w:t xml:space="preserve">Non-cash adjustment for change in tax basis </w:t>
            </w:r>
            <w:r>
              <w:rPr>
                <w:rFonts w:ascii="Arial" w:cs="Arial" w:eastAsia="Arial" w:hAnsi="Arial"/>
                <w:sz w:val="18"/>
                <w:szCs w:val="18"/>
                <w:color w:val="B4B4B4"/>
                <w:w w:val="90"/>
              </w:rPr>
              <w:t>. . . . . . . . . . . . . . . . . . . . . . . . . . . . . . . . . . . . . . . . . . . . . . .</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-7404735</wp:posOffset>
            </wp:positionV>
            <wp:extent cx="6746240" cy="7427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4">
                      <a:extLst>
                        <a:ext uri="{28A0092B-C50C-407E-A947-70E740481C1C}"/>
                      </a:extLst>
                    </a:blip>
                    <a:srcRect/>
                    <a:stretch>
                      <a:fillRect/>
                    </a:stretch>
                  </pic:blipFill>
                  <pic:spPr bwMode="auto">
                    <a:xfrm>
                      <a:off x="0" y="0"/>
                      <a:ext cx="6746240" cy="7427595"/>
                    </a:xfrm>
                    <a:prstGeom prst="rect">
                      <a:avLst/>
                    </a:prstGeom>
                    <a:noFill/>
                  </pic:spPr>
                </pic:pic>
              </a:graphicData>
            </a:graphic>
          </wp:anchor>
        </w:drawing>
      </w: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10540"/>
          </w:cols>
          <w:pgMar w:left="700" w:top="445"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10540"/>
          </w:cols>
          <w:pgMar w:left="700" w:top="445" w:right="640" w:bottom="0" w:gutter="0" w:footer="0" w:header="0"/>
          <w:type w:val="continuous"/>
        </w:sectPr>
      </w:pPr>
    </w:p>
    <w:bookmarkStart w:id="87" w:name="page88"/>
    <w:bookmarkEnd w:id="87"/>
    <w:p>
      <w:pPr>
        <w:jc w:val="center"/>
        <w:ind w:right="40"/>
        <w:spacing w:after="0"/>
        <w:rPr>
          <w:sz w:val="20"/>
          <w:szCs w:val="20"/>
          <w:color w:val="auto"/>
        </w:rPr>
      </w:pPr>
      <w:r>
        <w:rPr>
          <w:rFonts w:ascii="Arial" w:cs="Arial" w:eastAsia="Arial" w:hAnsi="Arial"/>
          <w:sz w:val="20"/>
          <w:szCs w:val="20"/>
          <w:b w:val="1"/>
          <w:bCs w:val="1"/>
          <w:color w:val="auto"/>
        </w:rPr>
        <w:t>CLEARWAY ENERGY, INC.</w:t>
      </w:r>
    </w:p>
    <w:p>
      <w:pPr>
        <w:spacing w:after="0" w:line="6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7"/>
        </w:trPr>
        <w:tc>
          <w:tcPr>
            <w:tcW w:w="39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Common</w:t>
            </w: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42"/>
              <w:spacing w:after="0" w:line="13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02"/>
              <w:spacing w:after="0" w:line="137"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87"/>
              </w:rPr>
              <w:t>Comprehensive</w:t>
            </w:r>
          </w:p>
        </w:tc>
        <w:tc>
          <w:tcPr>
            <w:tcW w:w="80" w:type="dxa"/>
            <w:vAlign w:val="bottom"/>
          </w:tcPr>
          <w:p>
            <w:pPr>
              <w:spacing w:after="0"/>
              <w:rPr>
                <w:sz w:val="11"/>
                <w:szCs w:val="11"/>
                <w:color w:val="auto"/>
              </w:rPr>
            </w:pPr>
          </w:p>
        </w:tc>
        <w:tc>
          <w:tcPr>
            <w:tcW w:w="760" w:type="dxa"/>
            <w:vAlign w:val="bottom"/>
            <w:gridSpan w:val="2"/>
          </w:tcPr>
          <w:p>
            <w:pPr>
              <w:ind w:left="60"/>
              <w:spacing w:after="0" w:line="137"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11"/>
                <w:szCs w:val="11"/>
                <w:color w:val="auto"/>
              </w:rPr>
            </w:pPr>
          </w:p>
        </w:tc>
        <w:tc>
          <w:tcPr>
            <w:tcW w:w="94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6"/>
        </w:trPr>
        <w:tc>
          <w:tcPr>
            <w:tcW w:w="39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86"/>
              </w:rPr>
              <w:t>Interest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6"/>
                <w:szCs w:val="16"/>
                <w:b w:val="1"/>
                <w:bCs w:val="1"/>
                <w:color w:val="auto"/>
              </w:rPr>
              <w:t>Balances at December 31, 2022</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1,761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1,792</w:t>
            </w:r>
          </w:p>
        </w:tc>
        <w:tc>
          <w:tcPr>
            <w:tcW w:w="280" w:type="dxa"/>
            <w:vAlign w:val="bottom"/>
            <w:gridSpan w:val="2"/>
          </w:tcPr>
          <w:p>
            <w:pPr>
              <w:jc w:val="right"/>
              <w:ind w:right="1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4,026</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1"/>
              </w:rPr>
              <w:t xml:space="preserve">Net income (loss) </w:t>
            </w:r>
            <w:r>
              <w:rPr>
                <w:rFonts w:ascii="Arial" w:cs="Arial" w:eastAsia="Arial" w:hAnsi="Arial"/>
                <w:sz w:val="16"/>
                <w:szCs w:val="16"/>
                <w:color w:val="B4B4B4"/>
                <w:w w:val="91"/>
              </w:rPr>
              <w:t>. . . . . . . . . . . . . . . . . . .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7"/>
        </w:trPr>
        <w:tc>
          <w:tcPr>
            <w:tcW w:w="3980" w:type="dxa"/>
            <w:vAlign w:val="bottom"/>
          </w:tcPr>
          <w:p>
            <w:pPr>
              <w:jc w:val="right"/>
              <w:ind w:right="82"/>
              <w:spacing w:after="0"/>
              <w:rPr>
                <w:sz w:val="20"/>
                <w:szCs w:val="20"/>
                <w:color w:val="auto"/>
              </w:rPr>
            </w:pPr>
            <w:r>
              <w:rPr>
                <w:rFonts w:ascii="Arial" w:cs="Arial" w:eastAsia="Arial" w:hAnsi="Arial"/>
                <w:sz w:val="16"/>
                <w:szCs w:val="16"/>
                <w:color w:val="auto"/>
                <w:w w:val="90"/>
              </w:rPr>
              <w:t>Unrealized loss on derivatives and changes in accumulated</w:t>
            </w:r>
          </w:p>
        </w:tc>
        <w:tc>
          <w:tcPr>
            <w:tcW w:w="160" w:type="dxa"/>
            <w:vAlign w:val="bottom"/>
          </w:tcPr>
          <w:p>
            <w:pPr>
              <w:spacing w:after="0"/>
              <w:rPr>
                <w:sz w:val="17"/>
                <w:szCs w:val="17"/>
                <w:color w:val="auto"/>
              </w:rPr>
            </w:pPr>
          </w:p>
        </w:tc>
        <w:tc>
          <w:tcPr>
            <w:tcW w:w="52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4"/>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OCI, net of tax </w:t>
            </w:r>
            <w:r>
              <w:rPr>
                <w:rFonts w:ascii="Arial" w:cs="Arial" w:eastAsia="Arial" w:hAnsi="Arial"/>
                <w:sz w:val="16"/>
                <w:szCs w:val="16"/>
                <w:color w:val="B4B4B4"/>
                <w:w w:val="92"/>
              </w:rPr>
              <w:t>. . . . . . . . . . . . . . . . . . . . . . . . . . . . . . . . . . . .</w:t>
            </w: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Distributions to CEG, net of contributions, cash </w:t>
            </w:r>
            <w:r>
              <w:rPr>
                <w:rFonts w:ascii="Arial" w:cs="Arial" w:eastAsia="Arial" w:hAnsi="Arial"/>
                <w:sz w:val="16"/>
                <w:szCs w:val="16"/>
                <w:color w:val="B4B4B4"/>
                <w:w w:val="92"/>
              </w:rPr>
              <w:t>.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0"/>
        </w:trPr>
        <w:tc>
          <w:tcPr>
            <w:tcW w:w="3980" w:type="dxa"/>
            <w:vAlign w:val="bottom"/>
          </w:tcPr>
          <w:p>
            <w:pPr>
              <w:ind w:left="100"/>
              <w:spacing w:after="0"/>
              <w:rPr>
                <w:sz w:val="20"/>
                <w:szCs w:val="20"/>
                <w:color w:val="auto"/>
              </w:rPr>
            </w:pPr>
            <w:r>
              <w:rPr>
                <w:rFonts w:ascii="Arial" w:cs="Arial" w:eastAsia="Arial" w:hAnsi="Arial"/>
                <w:sz w:val="16"/>
                <w:szCs w:val="16"/>
                <w:color w:val="auto"/>
              </w:rPr>
              <w:t>Contributions from noncontrolling interests, net of</w:t>
            </w:r>
          </w:p>
        </w:tc>
        <w:tc>
          <w:tcPr>
            <w:tcW w:w="160" w:type="dxa"/>
            <w:vAlign w:val="bottom"/>
          </w:tcPr>
          <w:p>
            <w:pPr>
              <w:spacing w:after="0"/>
              <w:rPr>
                <w:sz w:val="17"/>
                <w:szCs w:val="17"/>
                <w:color w:val="auto"/>
              </w:rPr>
            </w:pPr>
          </w:p>
        </w:tc>
        <w:tc>
          <w:tcPr>
            <w:tcW w:w="52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1,123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208"/>
        </w:trPr>
        <w:tc>
          <w:tcPr>
            <w:tcW w:w="3980" w:type="dxa"/>
            <w:vAlign w:val="bottom"/>
          </w:tcPr>
          <w:p>
            <w:pPr>
              <w:jc w:val="right"/>
              <w:spacing w:after="0"/>
              <w:rPr>
                <w:sz w:val="20"/>
                <w:szCs w:val="20"/>
                <w:color w:val="auto"/>
              </w:rPr>
            </w:pPr>
            <w:r>
              <w:rPr>
                <w:rFonts w:ascii="Arial" w:cs="Arial" w:eastAsia="Arial" w:hAnsi="Arial"/>
                <w:sz w:val="16"/>
                <w:szCs w:val="16"/>
                <w:color w:val="auto"/>
                <w:w w:val="91"/>
              </w:rPr>
              <w:t xml:space="preserve">distributions, cash </w:t>
            </w:r>
            <w:r>
              <w:rPr>
                <w:rFonts w:ascii="Arial" w:cs="Arial" w:eastAsia="Arial" w:hAnsi="Arial"/>
                <w:sz w:val="16"/>
                <w:szCs w:val="16"/>
                <w:color w:val="B4B4B4"/>
                <w:w w:val="91"/>
              </w:rPr>
              <w:t>. . . . . . . . . . . . . . . . . . . . . . . . . . . . . . . . . .</w:t>
            </w: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Distributions to noncontrolling interests, non-cash </w:t>
            </w:r>
            <w:r>
              <w:rPr>
                <w:rFonts w:ascii="Arial" w:cs="Arial" w:eastAsia="Arial" w:hAnsi="Arial"/>
                <w:sz w:val="16"/>
                <w:szCs w:val="16"/>
                <w:color w:val="B4B4B4"/>
                <w:w w:val="92"/>
              </w:rPr>
              <w:t>. . . . . . . .</w:t>
            </w:r>
          </w:p>
        </w:tc>
        <w:tc>
          <w:tcPr>
            <w:tcW w:w="16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1"/>
              </w:rPr>
              <w:t xml:space="preserve">Tax-related distributions </w:t>
            </w:r>
            <w:r>
              <w:rPr>
                <w:rFonts w:ascii="Arial" w:cs="Arial" w:eastAsia="Arial" w:hAnsi="Arial"/>
                <w:sz w:val="16"/>
                <w:szCs w:val="16"/>
                <w:color w:val="B4B4B4"/>
                <w:w w:val="91"/>
              </w:rPr>
              <w:t>. . . . . . . . . . . . . .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Transfer of assets under common control </w:t>
            </w:r>
            <w:r>
              <w:rPr>
                <w:rFonts w:ascii="Arial" w:cs="Arial" w:eastAsia="Arial" w:hAnsi="Arial"/>
                <w:sz w:val="16"/>
                <w:szCs w:val="16"/>
                <w:color w:val="B4B4B4"/>
                <w:w w:val="90"/>
              </w:rPr>
              <w:t>.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Buyout of noncontrolling interest </w:t>
            </w:r>
            <w:r>
              <w:rPr>
                <w:rFonts w:ascii="Arial" w:cs="Arial" w:eastAsia="Arial" w:hAnsi="Arial"/>
                <w:sz w:val="16"/>
                <w:szCs w:val="16"/>
                <w:color w:val="B4B4B4"/>
                <w:w w:val="92"/>
              </w:rPr>
              <w:t>. . . . . . .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Buyout of redeemable noncontrolling interest </w:t>
            </w:r>
            <w:r>
              <w:rPr>
                <w:rFonts w:ascii="Arial" w:cs="Arial" w:eastAsia="Arial" w:hAnsi="Arial"/>
                <w:sz w:val="16"/>
                <w:szCs w:val="16"/>
                <w:color w:val="B4B4B4"/>
                <w:w w:val="92"/>
              </w:rPr>
              <w:t>.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3"/>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Non-cash adjustments for change in tax basis </w:t>
            </w:r>
            <w:r>
              <w:rPr>
                <w:rFonts w:ascii="Arial" w:cs="Arial" w:eastAsia="Arial" w:hAnsi="Arial"/>
                <w:sz w:val="16"/>
                <w:szCs w:val="16"/>
                <w:color w:val="B4B4B4"/>
                <w:w w:val="90"/>
              </w:rPr>
              <w:t>. . . . . . . . . . . .</w:t>
            </w:r>
          </w:p>
        </w:tc>
        <w:tc>
          <w:tcPr>
            <w:tcW w:w="16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6"/>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Stock-based compensation </w:t>
            </w:r>
            <w:r>
              <w:rPr>
                <w:rFonts w:ascii="Arial" w:cs="Arial" w:eastAsia="Arial" w:hAnsi="Arial"/>
                <w:sz w:val="16"/>
                <w:szCs w:val="16"/>
                <w:color w:val="B4B4B4"/>
                <w:w w:val="90"/>
              </w:rPr>
              <w:t>. . . . . . . . . . . .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3980" w:type="dxa"/>
            <w:vAlign w:val="bottom"/>
          </w:tcPr>
          <w:p>
            <w:pPr>
              <w:ind w:left="100"/>
              <w:spacing w:after="0"/>
              <w:rPr>
                <w:sz w:val="20"/>
                <w:szCs w:val="20"/>
                <w:color w:val="auto"/>
              </w:rPr>
            </w:pPr>
            <w:r>
              <w:rPr>
                <w:rFonts w:ascii="Arial" w:cs="Arial" w:eastAsia="Arial" w:hAnsi="Arial"/>
                <w:sz w:val="16"/>
                <w:szCs w:val="16"/>
                <w:color w:val="auto"/>
                <w:w w:val="99"/>
              </w:rPr>
              <w:t>Common stock dividends and distributions to CEG unit</w:t>
            </w:r>
          </w:p>
        </w:tc>
        <w:tc>
          <w:tcPr>
            <w:tcW w:w="160" w:type="dxa"/>
            <w:vAlign w:val="bottom"/>
          </w:tcPr>
          <w:p>
            <w:pPr>
              <w:spacing w:after="0"/>
              <w:rPr>
                <w:sz w:val="17"/>
                <w:szCs w:val="17"/>
                <w:color w:val="auto"/>
              </w:rPr>
            </w:pPr>
          </w:p>
        </w:tc>
        <w:tc>
          <w:tcPr>
            <w:tcW w:w="52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5"/>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holders </w:t>
            </w:r>
            <w:r>
              <w:rPr>
                <w:rFonts w:ascii="Arial" w:cs="Arial" w:eastAsia="Arial" w:hAnsi="Arial"/>
                <w:sz w:val="16"/>
                <w:szCs w:val="16"/>
                <w:color w:val="B4B4B4"/>
                <w:w w:val="90"/>
              </w:rPr>
              <w:t>. . . . . . . . . . . . . . . . . . . . . . . . . . . . . . . . . . . . . . . . . . .</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jc w:val="right"/>
              <w:spacing w:after="0"/>
              <w:rPr>
                <w:sz w:val="20"/>
                <w:szCs w:val="20"/>
                <w:color w:val="auto"/>
              </w:rPr>
            </w:pPr>
            <w:r>
              <w:rPr>
                <w:rFonts w:ascii="Arial" w:cs="Arial" w:eastAsia="Arial" w:hAnsi="Arial"/>
                <w:sz w:val="16"/>
                <w:szCs w:val="16"/>
                <w:b w:val="1"/>
                <w:bCs w:val="1"/>
                <w:color w:val="auto"/>
                <w:w w:val="88"/>
              </w:rPr>
              <w:t xml:space="preserve">Balances at December 31, 2023 </w:t>
            </w:r>
            <w:r>
              <w:rPr>
                <w:rFonts w:ascii="Arial" w:cs="Arial" w:eastAsia="Arial" w:hAnsi="Arial"/>
                <w:sz w:val="16"/>
                <w:szCs w:val="16"/>
                <w:b w:val="1"/>
                <w:bCs w:val="1"/>
                <w:color w:val="B4B4B4"/>
                <w:w w:val="88"/>
              </w:rPr>
              <w:t>. . . . . . . . . . . . . . . . . . . . . . .</w:t>
            </w:r>
          </w:p>
        </w:tc>
        <w:tc>
          <w:tcPr>
            <w:tcW w:w="160" w:type="dxa"/>
            <w:vAlign w:val="bottom"/>
          </w:tcPr>
          <w:p>
            <w:pPr>
              <w:spacing w:after="0"/>
              <w:rPr>
                <w:sz w:val="19"/>
                <w:szCs w:val="19"/>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4,994</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1"/>
              </w:rPr>
              <w:t xml:space="preserve">Net income (loss) </w:t>
            </w:r>
            <w:r>
              <w:rPr>
                <w:rFonts w:ascii="Arial" w:cs="Arial" w:eastAsia="Arial" w:hAnsi="Arial"/>
                <w:sz w:val="16"/>
                <w:szCs w:val="16"/>
                <w:color w:val="B4B4B4"/>
                <w:w w:val="91"/>
              </w:rPr>
              <w:t>. . . . . . . . . . . . . . . . . . .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7"/>
        </w:trPr>
        <w:tc>
          <w:tcPr>
            <w:tcW w:w="3980" w:type="dxa"/>
            <w:vAlign w:val="bottom"/>
          </w:tcPr>
          <w:p>
            <w:pPr>
              <w:jc w:val="right"/>
              <w:ind w:right="82"/>
              <w:spacing w:after="0"/>
              <w:rPr>
                <w:sz w:val="20"/>
                <w:szCs w:val="20"/>
                <w:color w:val="auto"/>
              </w:rPr>
            </w:pPr>
            <w:r>
              <w:rPr>
                <w:rFonts w:ascii="Arial" w:cs="Arial" w:eastAsia="Arial" w:hAnsi="Arial"/>
                <w:sz w:val="16"/>
                <w:szCs w:val="16"/>
                <w:color w:val="auto"/>
                <w:w w:val="90"/>
              </w:rPr>
              <w:t>Unrealized loss on derivatives and changes in accumulated</w:t>
            </w:r>
          </w:p>
        </w:tc>
        <w:tc>
          <w:tcPr>
            <w:tcW w:w="160" w:type="dxa"/>
            <w:vAlign w:val="bottom"/>
          </w:tcPr>
          <w:p>
            <w:pPr>
              <w:spacing w:after="0"/>
              <w:rPr>
                <w:sz w:val="17"/>
                <w:szCs w:val="17"/>
                <w:color w:val="auto"/>
              </w:rPr>
            </w:pPr>
          </w:p>
        </w:tc>
        <w:tc>
          <w:tcPr>
            <w:tcW w:w="52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4"/>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OCI, net of tax </w:t>
            </w:r>
            <w:r>
              <w:rPr>
                <w:rFonts w:ascii="Arial" w:cs="Arial" w:eastAsia="Arial" w:hAnsi="Arial"/>
                <w:sz w:val="16"/>
                <w:szCs w:val="16"/>
                <w:color w:val="B4B4B4"/>
                <w:w w:val="92"/>
              </w:rPr>
              <w:t>. . . . . . . . . . . . . . . . . . . . . . . . . . . . . . . . . . . .</w:t>
            </w: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Contributions from CEG, net of distributions, cash </w:t>
            </w:r>
            <w:r>
              <w:rPr>
                <w:rFonts w:ascii="Arial" w:cs="Arial" w:eastAsia="Arial" w:hAnsi="Arial"/>
                <w:sz w:val="16"/>
                <w:szCs w:val="16"/>
                <w:color w:val="B4B4B4"/>
                <w:w w:val="92"/>
              </w:rPr>
              <w:t>.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4"/>
        </w:trPr>
        <w:tc>
          <w:tcPr>
            <w:tcW w:w="3980" w:type="dxa"/>
            <w:vAlign w:val="bottom"/>
          </w:tcPr>
          <w:p>
            <w:pPr>
              <w:ind w:left="100"/>
              <w:spacing w:after="0"/>
              <w:rPr>
                <w:sz w:val="20"/>
                <w:szCs w:val="20"/>
                <w:color w:val="auto"/>
              </w:rPr>
            </w:pPr>
            <w:r>
              <w:rPr>
                <w:rFonts w:ascii="Arial" w:cs="Arial" w:eastAsia="Arial" w:hAnsi="Arial"/>
                <w:sz w:val="16"/>
                <w:szCs w:val="16"/>
                <w:color w:val="auto"/>
              </w:rPr>
              <w:t>Contributions from noncontrolling interests, net of</w:t>
            </w:r>
          </w:p>
        </w:tc>
        <w:tc>
          <w:tcPr>
            <w:tcW w:w="160" w:type="dxa"/>
            <w:vAlign w:val="bottom"/>
          </w:tcPr>
          <w:p>
            <w:pPr>
              <w:spacing w:after="0"/>
              <w:rPr>
                <w:sz w:val="17"/>
                <w:szCs w:val="17"/>
                <w:color w:val="auto"/>
              </w:rPr>
            </w:pPr>
          </w:p>
        </w:tc>
        <w:tc>
          <w:tcPr>
            <w:tcW w:w="52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1,321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08"/>
        </w:trPr>
        <w:tc>
          <w:tcPr>
            <w:tcW w:w="3980" w:type="dxa"/>
            <w:vAlign w:val="bottom"/>
          </w:tcPr>
          <w:p>
            <w:pPr>
              <w:jc w:val="right"/>
              <w:spacing w:after="0"/>
              <w:rPr>
                <w:sz w:val="20"/>
                <w:szCs w:val="20"/>
                <w:color w:val="auto"/>
              </w:rPr>
            </w:pPr>
            <w:r>
              <w:rPr>
                <w:rFonts w:ascii="Arial" w:cs="Arial" w:eastAsia="Arial" w:hAnsi="Arial"/>
                <w:sz w:val="16"/>
                <w:szCs w:val="16"/>
                <w:color w:val="auto"/>
                <w:w w:val="91"/>
              </w:rPr>
              <w:t xml:space="preserve">distributions, cash </w:t>
            </w:r>
            <w:r>
              <w:rPr>
                <w:rFonts w:ascii="Arial" w:cs="Arial" w:eastAsia="Arial" w:hAnsi="Arial"/>
                <w:sz w:val="16"/>
                <w:szCs w:val="16"/>
                <w:color w:val="B4B4B4"/>
                <w:w w:val="91"/>
              </w:rPr>
              <w:t>. . . . . . . . . . . . . . . . . . . . . . . . . . . . . . . . . .</w:t>
            </w: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Distributions to noncontrolling interests, non-cash </w:t>
            </w:r>
            <w:r>
              <w:rPr>
                <w:rFonts w:ascii="Arial" w:cs="Arial" w:eastAsia="Arial" w:hAnsi="Arial"/>
                <w:sz w:val="16"/>
                <w:szCs w:val="16"/>
                <w:color w:val="B4B4B4"/>
                <w:w w:val="92"/>
              </w:rPr>
              <w:t>. . . . . . . .</w:t>
            </w:r>
          </w:p>
        </w:tc>
        <w:tc>
          <w:tcPr>
            <w:tcW w:w="16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1"/>
              </w:rPr>
              <w:t xml:space="preserve">Tax-related distributions </w:t>
            </w:r>
            <w:r>
              <w:rPr>
                <w:rFonts w:ascii="Arial" w:cs="Arial" w:eastAsia="Arial" w:hAnsi="Arial"/>
                <w:sz w:val="16"/>
                <w:szCs w:val="16"/>
                <w:color w:val="B4B4B4"/>
                <w:w w:val="91"/>
              </w:rPr>
              <w:t>. . . . . . . . . . . . . .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Transfer of assets under common control </w:t>
            </w:r>
            <w:r>
              <w:rPr>
                <w:rFonts w:ascii="Arial" w:cs="Arial" w:eastAsia="Arial" w:hAnsi="Arial"/>
                <w:sz w:val="16"/>
                <w:szCs w:val="16"/>
                <w:color w:val="B4B4B4"/>
                <w:w w:val="90"/>
              </w:rPr>
              <w:t>.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Buyout of noncontrolling interest </w:t>
            </w:r>
            <w:r>
              <w:rPr>
                <w:rFonts w:ascii="Arial" w:cs="Arial" w:eastAsia="Arial" w:hAnsi="Arial"/>
                <w:sz w:val="16"/>
                <w:szCs w:val="16"/>
                <w:color w:val="B4B4B4"/>
                <w:w w:val="92"/>
              </w:rPr>
              <w:t>. . . . . . .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Buyout of redeemable noncontrolling interest </w:t>
            </w:r>
            <w:r>
              <w:rPr>
                <w:rFonts w:ascii="Arial" w:cs="Arial" w:eastAsia="Arial" w:hAnsi="Arial"/>
                <w:sz w:val="16"/>
                <w:szCs w:val="16"/>
                <w:color w:val="B4B4B4"/>
                <w:w w:val="92"/>
              </w:rPr>
              <w:t>.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3"/>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Non-cash adjustments for change in tax basis </w:t>
            </w:r>
            <w:r>
              <w:rPr>
                <w:rFonts w:ascii="Arial" w:cs="Arial" w:eastAsia="Arial" w:hAnsi="Arial"/>
                <w:sz w:val="16"/>
                <w:szCs w:val="16"/>
                <w:color w:val="B4B4B4"/>
                <w:w w:val="90"/>
              </w:rPr>
              <w:t>. . . . . . . . . . . .</w:t>
            </w:r>
          </w:p>
        </w:tc>
        <w:tc>
          <w:tcPr>
            <w:tcW w:w="16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46"/>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Stock-based compensation </w:t>
            </w:r>
            <w:r>
              <w:rPr>
                <w:rFonts w:ascii="Arial" w:cs="Arial" w:eastAsia="Arial" w:hAnsi="Arial"/>
                <w:sz w:val="16"/>
                <w:szCs w:val="16"/>
                <w:color w:val="B4B4B4"/>
                <w:w w:val="90"/>
              </w:rPr>
              <w:t>. . . . . . . . . . . .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3980" w:type="dxa"/>
            <w:vAlign w:val="bottom"/>
          </w:tcPr>
          <w:p>
            <w:pPr>
              <w:ind w:left="100"/>
              <w:spacing w:after="0"/>
              <w:rPr>
                <w:sz w:val="20"/>
                <w:szCs w:val="20"/>
                <w:color w:val="auto"/>
              </w:rPr>
            </w:pPr>
            <w:r>
              <w:rPr>
                <w:rFonts w:ascii="Arial" w:cs="Arial" w:eastAsia="Arial" w:hAnsi="Arial"/>
                <w:sz w:val="16"/>
                <w:szCs w:val="16"/>
                <w:color w:val="auto"/>
                <w:w w:val="99"/>
              </w:rPr>
              <w:t>Common stock dividends and distributions to CEG unit</w:t>
            </w:r>
          </w:p>
        </w:tc>
        <w:tc>
          <w:tcPr>
            <w:tcW w:w="160" w:type="dxa"/>
            <w:vAlign w:val="bottom"/>
          </w:tcPr>
          <w:p>
            <w:pPr>
              <w:spacing w:after="0"/>
              <w:rPr>
                <w:sz w:val="17"/>
                <w:szCs w:val="17"/>
                <w:color w:val="auto"/>
              </w:rPr>
            </w:pPr>
          </w:p>
        </w:tc>
        <w:tc>
          <w:tcPr>
            <w:tcW w:w="52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4"/>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holders </w:t>
            </w:r>
            <w:r>
              <w:rPr>
                <w:rFonts w:ascii="Arial" w:cs="Arial" w:eastAsia="Arial" w:hAnsi="Arial"/>
                <w:sz w:val="16"/>
                <w:szCs w:val="16"/>
                <w:color w:val="B4B4B4"/>
                <w:w w:val="90"/>
              </w:rPr>
              <w:t>. . . . . . . . . . . . . . . . . . . . . . . . . . . . . . . . . . . . . . . . . . .</w:t>
            </w: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Other </w:t>
            </w:r>
            <w:r>
              <w:rPr>
                <w:rFonts w:ascii="Arial" w:cs="Arial" w:eastAsia="Arial" w:hAnsi="Arial"/>
                <w:sz w:val="16"/>
                <w:szCs w:val="16"/>
                <w:color w:val="B4B4B4"/>
                <w:w w:val="90"/>
              </w:rPr>
              <w:t>. . . . . . . . . . . . . . . . . . . . . . . . . . . . . . . . . . . . . . . . . . . .</w:t>
            </w: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3980" w:type="dxa"/>
            <w:vAlign w:val="bottom"/>
          </w:tcPr>
          <w:p>
            <w:pPr>
              <w:jc w:val="right"/>
              <w:spacing w:after="0"/>
              <w:rPr>
                <w:sz w:val="20"/>
                <w:szCs w:val="20"/>
                <w:color w:val="auto"/>
              </w:rPr>
            </w:pPr>
            <w:r>
              <w:rPr>
                <w:rFonts w:ascii="Arial" w:cs="Arial" w:eastAsia="Arial" w:hAnsi="Arial"/>
                <w:sz w:val="16"/>
                <w:szCs w:val="16"/>
                <w:b w:val="1"/>
                <w:bCs w:val="1"/>
                <w:color w:val="auto"/>
                <w:w w:val="88"/>
              </w:rPr>
              <w:t xml:space="preserve">Balances at December 31, 2024 </w:t>
            </w:r>
            <w:r>
              <w:rPr>
                <w:rFonts w:ascii="Arial" w:cs="Arial" w:eastAsia="Arial" w:hAnsi="Arial"/>
                <w:sz w:val="16"/>
                <w:szCs w:val="16"/>
                <w:b w:val="1"/>
                <w:bCs w:val="1"/>
                <w:color w:val="B4B4B4"/>
                <w:w w:val="88"/>
              </w:rPr>
              <w:t>. . . . . . . . . . . . . . . . . . . . . . .</w:t>
            </w:r>
          </w:p>
        </w:tc>
        <w:tc>
          <w:tcPr>
            <w:tcW w:w="160" w:type="dxa"/>
            <w:vAlign w:val="bottom"/>
          </w:tcPr>
          <w:p>
            <w:pPr>
              <w:spacing w:after="0"/>
              <w:rPr>
                <w:sz w:val="19"/>
                <w:szCs w:val="19"/>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253"/>
        </w:trPr>
        <w:tc>
          <w:tcPr>
            <w:tcW w:w="3980" w:type="dxa"/>
            <w:vAlign w:val="bottom"/>
          </w:tcPr>
          <w:p>
            <w:pPr>
              <w:jc w:val="right"/>
              <w:spacing w:after="0"/>
              <w:rPr>
                <w:sz w:val="20"/>
                <w:szCs w:val="20"/>
                <w:color w:val="auto"/>
              </w:rPr>
            </w:pPr>
            <w:r>
              <w:rPr>
                <w:rFonts w:ascii="Arial" w:cs="Arial" w:eastAsia="Arial" w:hAnsi="Arial"/>
                <w:sz w:val="16"/>
                <w:szCs w:val="16"/>
                <w:color w:val="auto"/>
                <w:w w:val="91"/>
              </w:rPr>
              <w:t xml:space="preserve">Net income (loss) </w:t>
            </w:r>
            <w:r>
              <w:rPr>
                <w:rFonts w:ascii="Arial" w:cs="Arial" w:eastAsia="Arial" w:hAnsi="Arial"/>
                <w:sz w:val="16"/>
                <w:szCs w:val="16"/>
                <w:color w:val="B4B4B4"/>
                <w:w w:val="91"/>
              </w:rPr>
              <w:t>. . . . . . . . . . . . . . . . . . . . . . . . . . . . . . . . . .</w:t>
            </w:r>
          </w:p>
        </w:tc>
        <w:tc>
          <w:tcPr>
            <w:tcW w:w="16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3"/>
        </w:trPr>
        <w:tc>
          <w:tcPr>
            <w:tcW w:w="3980" w:type="dxa"/>
            <w:vAlign w:val="bottom"/>
          </w:tcPr>
          <w:p>
            <w:pPr>
              <w:ind w:left="100"/>
              <w:spacing w:after="0"/>
              <w:rPr>
                <w:sz w:val="20"/>
                <w:szCs w:val="20"/>
                <w:color w:val="auto"/>
              </w:rPr>
            </w:pPr>
            <w:r>
              <w:rPr>
                <w:rFonts w:ascii="Arial" w:cs="Arial" w:eastAsia="Arial" w:hAnsi="Arial"/>
                <w:sz w:val="16"/>
                <w:szCs w:val="16"/>
                <w:color w:val="auto"/>
              </w:rPr>
              <w:t>Unrealized gain (loss) on derivatives and changes in</w:t>
            </w:r>
          </w:p>
        </w:tc>
        <w:tc>
          <w:tcPr>
            <w:tcW w:w="160" w:type="dxa"/>
            <w:vAlign w:val="bottom"/>
          </w:tcPr>
          <w:p>
            <w:pPr>
              <w:spacing w:after="0"/>
              <w:rPr>
                <w:sz w:val="16"/>
                <w:szCs w:val="16"/>
                <w:color w:val="auto"/>
              </w:rPr>
            </w:pPr>
          </w:p>
        </w:tc>
        <w:tc>
          <w:tcPr>
            <w:tcW w:w="52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3980" w:type="dxa"/>
            <w:vAlign w:val="bottom"/>
          </w:tcPr>
          <w:p>
            <w:pPr>
              <w:jc w:val="right"/>
              <w:spacing w:after="0"/>
              <w:rPr>
                <w:sz w:val="20"/>
                <w:szCs w:val="20"/>
                <w:color w:val="auto"/>
              </w:rPr>
            </w:pPr>
            <w:r>
              <w:rPr>
                <w:rFonts w:ascii="Arial" w:cs="Arial" w:eastAsia="Arial" w:hAnsi="Arial"/>
                <w:sz w:val="16"/>
                <w:szCs w:val="16"/>
                <w:color w:val="auto"/>
                <w:w w:val="91"/>
              </w:rPr>
              <w:t xml:space="preserve">accumulated OCI, net of tax </w:t>
            </w:r>
            <w:r>
              <w:rPr>
                <w:rFonts w:ascii="Arial" w:cs="Arial" w:eastAsia="Arial" w:hAnsi="Arial"/>
                <w:sz w:val="16"/>
                <w:szCs w:val="16"/>
                <w:color w:val="B4B4B4"/>
                <w:w w:val="91"/>
              </w:rPr>
              <w:t>. . . . . . . . . . . . . . . . . . . . . . . . . .</w:t>
            </w: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Contributions from CEG, net of distributions, cash </w:t>
            </w:r>
            <w:r>
              <w:rPr>
                <w:rFonts w:ascii="Arial" w:cs="Arial" w:eastAsia="Arial" w:hAnsi="Arial"/>
                <w:sz w:val="16"/>
                <w:szCs w:val="16"/>
                <w:color w:val="B4B4B4"/>
                <w:w w:val="92"/>
              </w:rPr>
              <w:t>.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97"/>
        </w:trPr>
        <w:tc>
          <w:tcPr>
            <w:tcW w:w="3980" w:type="dxa"/>
            <w:vAlign w:val="bottom"/>
          </w:tcPr>
          <w:p>
            <w:pPr>
              <w:ind w:left="100"/>
              <w:spacing w:after="0"/>
              <w:rPr>
                <w:sz w:val="20"/>
                <w:szCs w:val="20"/>
                <w:color w:val="auto"/>
              </w:rPr>
            </w:pPr>
            <w:r>
              <w:rPr>
                <w:rFonts w:ascii="Arial" w:cs="Arial" w:eastAsia="Arial" w:hAnsi="Arial"/>
                <w:sz w:val="16"/>
                <w:szCs w:val="16"/>
                <w:color w:val="auto"/>
              </w:rPr>
              <w:t>Contributions from noncontrolling interests, net of</w:t>
            </w:r>
          </w:p>
        </w:tc>
        <w:tc>
          <w:tcPr>
            <w:tcW w:w="160" w:type="dxa"/>
            <w:vAlign w:val="bottom"/>
          </w:tcPr>
          <w:p>
            <w:pPr>
              <w:spacing w:after="0"/>
              <w:rPr>
                <w:sz w:val="17"/>
                <w:szCs w:val="17"/>
                <w:color w:val="auto"/>
              </w:rPr>
            </w:pPr>
          </w:p>
        </w:tc>
        <w:tc>
          <w:tcPr>
            <w:tcW w:w="52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4"/>
        </w:trPr>
        <w:tc>
          <w:tcPr>
            <w:tcW w:w="3980" w:type="dxa"/>
            <w:vAlign w:val="bottom"/>
          </w:tcPr>
          <w:p>
            <w:pPr>
              <w:jc w:val="right"/>
              <w:spacing w:after="0"/>
              <w:rPr>
                <w:sz w:val="20"/>
                <w:szCs w:val="20"/>
                <w:color w:val="auto"/>
              </w:rPr>
            </w:pPr>
            <w:r>
              <w:rPr>
                <w:rFonts w:ascii="Arial" w:cs="Arial" w:eastAsia="Arial" w:hAnsi="Arial"/>
                <w:sz w:val="16"/>
                <w:szCs w:val="16"/>
                <w:color w:val="auto"/>
                <w:w w:val="91"/>
              </w:rPr>
              <w:t xml:space="preserve">distributions, cash </w:t>
            </w:r>
            <w:r>
              <w:rPr>
                <w:rFonts w:ascii="Arial" w:cs="Arial" w:eastAsia="Arial" w:hAnsi="Arial"/>
                <w:sz w:val="16"/>
                <w:szCs w:val="16"/>
                <w:color w:val="B4B4B4"/>
                <w:w w:val="91"/>
              </w:rPr>
              <w:t>. . . . . . . . . . . . . . . . . . . . . . . . . . . . . . . . . .</w:t>
            </w: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Distributions to noncontrolling interests, non-cash </w:t>
            </w:r>
            <w:r>
              <w:rPr>
                <w:rFonts w:ascii="Arial" w:cs="Arial" w:eastAsia="Arial" w:hAnsi="Arial"/>
                <w:sz w:val="16"/>
                <w:szCs w:val="16"/>
                <w:color w:val="B4B4B4"/>
                <w:w w:val="92"/>
              </w:rPr>
              <w:t>.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Pro-rata distributions to CEG, cash  </w:t>
            </w:r>
            <w:r>
              <w:rPr>
                <w:rFonts w:ascii="Arial" w:cs="Arial" w:eastAsia="Arial" w:hAnsi="Arial"/>
                <w:sz w:val="16"/>
                <w:szCs w:val="16"/>
                <w:color w:val="B4B4B4"/>
                <w:w w:val="90"/>
              </w:rPr>
              <w:t>. . . . .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6"/>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Transfer of assets under common control </w:t>
            </w:r>
            <w:r>
              <w:rPr>
                <w:rFonts w:ascii="Arial" w:cs="Arial" w:eastAsia="Arial" w:hAnsi="Arial"/>
                <w:sz w:val="16"/>
                <w:szCs w:val="16"/>
                <w:color w:val="B4B4B4"/>
                <w:w w:val="90"/>
              </w:rPr>
              <w:t>.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92"/>
              </w:rPr>
              <w:t xml:space="preserve">Buyout of noncontrolling interest </w:t>
            </w:r>
            <w:r>
              <w:rPr>
                <w:rFonts w:ascii="Arial" w:cs="Arial" w:eastAsia="Arial" w:hAnsi="Arial"/>
                <w:sz w:val="16"/>
                <w:szCs w:val="16"/>
                <w:color w:val="B4B4B4"/>
                <w:w w:val="92"/>
              </w:rPr>
              <w:t>. . . . . . .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3980" w:type="dxa"/>
            <w:vAlign w:val="bottom"/>
          </w:tcPr>
          <w:p>
            <w:pPr>
              <w:jc w:val="right"/>
              <w:spacing w:after="0"/>
              <w:rPr>
                <w:sz w:val="20"/>
                <w:szCs w:val="20"/>
                <w:color w:val="auto"/>
              </w:rPr>
            </w:pPr>
            <w:r>
              <w:rPr>
                <w:rFonts w:ascii="Arial" w:cs="Arial" w:eastAsia="Arial" w:hAnsi="Arial"/>
                <w:sz w:val="16"/>
                <w:szCs w:val="16"/>
                <w:color w:val="auto"/>
                <w:w w:val="89"/>
              </w:rPr>
              <w:t xml:space="preserve">Proceeds from the issuance of Class C common stock </w:t>
            </w:r>
            <w:r>
              <w:rPr>
                <w:rFonts w:ascii="Arial" w:cs="Arial" w:eastAsia="Arial" w:hAnsi="Arial"/>
                <w:sz w:val="16"/>
                <w:szCs w:val="16"/>
                <w:color w:val="B4B4B4"/>
                <w:w w:val="89"/>
              </w:rPr>
              <w:t>.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53"/>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Non-cash adjustments for change in tax basis </w:t>
            </w:r>
            <w:r>
              <w:rPr>
                <w:rFonts w:ascii="Arial" w:cs="Arial" w:eastAsia="Arial" w:hAnsi="Arial"/>
                <w:sz w:val="16"/>
                <w:szCs w:val="16"/>
                <w:color w:val="B4B4B4"/>
                <w:w w:val="90"/>
              </w:rPr>
              <w:t>. . . . . . . . . . . .</w:t>
            </w:r>
          </w:p>
        </w:tc>
        <w:tc>
          <w:tcPr>
            <w:tcW w:w="16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6"/>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Stock-based compensation </w:t>
            </w:r>
            <w:r>
              <w:rPr>
                <w:rFonts w:ascii="Arial" w:cs="Arial" w:eastAsia="Arial" w:hAnsi="Arial"/>
                <w:sz w:val="16"/>
                <w:szCs w:val="16"/>
                <w:color w:val="B4B4B4"/>
                <w:w w:val="90"/>
              </w:rPr>
              <w:t>. . . . . . . . . . . . . . . . . . . . . . . . . . .</w:t>
            </w:r>
          </w:p>
        </w:tc>
        <w:tc>
          <w:tcPr>
            <w:tcW w:w="1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7"/>
        </w:trPr>
        <w:tc>
          <w:tcPr>
            <w:tcW w:w="3980" w:type="dxa"/>
            <w:vAlign w:val="bottom"/>
          </w:tcPr>
          <w:p>
            <w:pPr>
              <w:ind w:left="100"/>
              <w:spacing w:after="0"/>
              <w:rPr>
                <w:sz w:val="20"/>
                <w:szCs w:val="20"/>
                <w:color w:val="auto"/>
              </w:rPr>
            </w:pPr>
            <w:r>
              <w:rPr>
                <w:rFonts w:ascii="Arial" w:cs="Arial" w:eastAsia="Arial" w:hAnsi="Arial"/>
                <w:sz w:val="16"/>
                <w:szCs w:val="16"/>
                <w:color w:val="auto"/>
                <w:w w:val="99"/>
              </w:rPr>
              <w:t>Common stock dividends and distributions to CEG unit</w:t>
            </w:r>
          </w:p>
        </w:tc>
        <w:tc>
          <w:tcPr>
            <w:tcW w:w="160" w:type="dxa"/>
            <w:vAlign w:val="bottom"/>
          </w:tcPr>
          <w:p>
            <w:pPr>
              <w:spacing w:after="0"/>
              <w:rPr>
                <w:sz w:val="17"/>
                <w:szCs w:val="17"/>
                <w:color w:val="auto"/>
              </w:rPr>
            </w:pPr>
          </w:p>
        </w:tc>
        <w:tc>
          <w:tcPr>
            <w:tcW w:w="52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04"/>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holders </w:t>
            </w:r>
            <w:r>
              <w:rPr>
                <w:rFonts w:ascii="Arial" w:cs="Arial" w:eastAsia="Arial" w:hAnsi="Arial"/>
                <w:sz w:val="16"/>
                <w:szCs w:val="16"/>
                <w:color w:val="B4B4B4"/>
                <w:w w:val="90"/>
              </w:rPr>
              <w:t>. . . . . . . . . . . . . . . . . . . . . . . . . . . . . . . . . . . . . . . . . . .</w:t>
            </w: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980" w:type="dxa"/>
            <w:vAlign w:val="bottom"/>
          </w:tcPr>
          <w:p>
            <w:pPr>
              <w:jc w:val="right"/>
              <w:spacing w:after="0"/>
              <w:rPr>
                <w:sz w:val="20"/>
                <w:szCs w:val="20"/>
                <w:color w:val="auto"/>
              </w:rPr>
            </w:pPr>
            <w:r>
              <w:rPr>
                <w:rFonts w:ascii="Arial" w:cs="Arial" w:eastAsia="Arial" w:hAnsi="Arial"/>
                <w:sz w:val="16"/>
                <w:szCs w:val="16"/>
                <w:color w:val="auto"/>
                <w:w w:val="90"/>
              </w:rPr>
              <w:t xml:space="preserve">Other </w:t>
            </w:r>
            <w:r>
              <w:rPr>
                <w:rFonts w:ascii="Arial" w:cs="Arial" w:eastAsia="Arial" w:hAnsi="Arial"/>
                <w:sz w:val="16"/>
                <w:szCs w:val="16"/>
                <w:color w:val="B4B4B4"/>
                <w:w w:val="90"/>
              </w:rPr>
              <w:t>. . . . . . . . . . . . . . . . . . . . . . . . . . . . . . . . . . . . . . . . . . . .</w:t>
            </w: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980" w:type="dxa"/>
            <w:vAlign w:val="bottom"/>
          </w:tcPr>
          <w:p>
            <w:pPr>
              <w:jc w:val="right"/>
              <w:spacing w:after="0"/>
              <w:rPr>
                <w:sz w:val="20"/>
                <w:szCs w:val="20"/>
                <w:color w:val="auto"/>
              </w:rPr>
            </w:pPr>
            <w:r>
              <w:rPr>
                <w:rFonts w:ascii="Arial" w:cs="Arial" w:eastAsia="Arial" w:hAnsi="Arial"/>
                <w:sz w:val="16"/>
                <w:szCs w:val="16"/>
                <w:b w:val="1"/>
                <w:bCs w:val="1"/>
                <w:color w:val="auto"/>
                <w:w w:val="88"/>
              </w:rPr>
              <w:t xml:space="preserve">Balances at December 31, 2025 </w:t>
            </w:r>
            <w:r>
              <w:rPr>
                <w:rFonts w:ascii="Arial" w:cs="Arial" w:eastAsia="Arial" w:hAnsi="Arial"/>
                <w:sz w:val="16"/>
                <w:szCs w:val="16"/>
                <w:b w:val="1"/>
                <w:bCs w:val="1"/>
                <w:color w:val="B4B4B4"/>
                <w:w w:val="88"/>
              </w:rPr>
              <w:t>. . . . . . . . . . . . . . . . . . . . . . .</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1,715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3,887</w:t>
            </w:r>
          </w:p>
        </w:tc>
        <w:tc>
          <w:tcPr>
            <w:tcW w:w="280" w:type="dxa"/>
            <w:vAlign w:val="bottom"/>
            <w:gridSpan w:val="2"/>
          </w:tcPr>
          <w:p>
            <w:pPr>
              <w:jc w:val="right"/>
              <w:ind w:right="11"/>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-7442200</wp:posOffset>
            </wp:positionV>
            <wp:extent cx="6597015" cy="74491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5">
                      <a:extLst>
                        <a:ext uri="{28A0092B-C50C-407E-A947-70E740481C1C}"/>
                      </a:extLst>
                    </a:blip>
                    <a:srcRect/>
                    <a:stretch>
                      <a:fillRect/>
                    </a:stretch>
                  </pic:blipFill>
                  <pic:spPr bwMode="auto">
                    <a:xfrm>
                      <a:off x="0" y="0"/>
                      <a:ext cx="6597015" cy="744918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See accompanying notes to consolidated financial statements.</w:t>
      </w:r>
    </w:p>
    <w:p>
      <w:pPr>
        <w:sectPr>
          <w:pgSz w:w="11880" w:h="15480" w:orient="portrait"/>
          <w:cols w:equalWidth="0" w:num="1">
            <w:col w:w="10300"/>
          </w:cols>
          <w:pgMar w:left="720" w:top="445"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0300"/>
          </w:cols>
          <w:pgMar w:left="720" w:top="445" w:right="860" w:bottom="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20"/>
          <w:szCs w:val="20"/>
          <w:b w:val="1"/>
          <w:bCs w:val="1"/>
          <w:color w:val="auto"/>
        </w:rPr>
        <w:t>CLEARWAY ENERGY, INC.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Business</w:t>
      </w:r>
    </w:p>
    <w:p>
      <w:pPr>
        <w:spacing w:after="0" w:line="189" w:lineRule="exact"/>
        <w:rPr>
          <w:sz w:val="20"/>
          <w:szCs w:val="20"/>
          <w:color w:val="auto"/>
        </w:rPr>
      </w:pPr>
    </w:p>
    <w:p>
      <w:pPr>
        <w:jc w:val="both"/>
        <w:ind w:firstLine="441"/>
        <w:spacing w:after="0" w:line="278" w:lineRule="auto"/>
        <w:rPr>
          <w:sz w:val="20"/>
          <w:szCs w:val="20"/>
          <w:color w:val="auto"/>
        </w:rPr>
      </w:pPr>
      <w:r>
        <w:rPr>
          <w:rFonts w:ascii="Arial" w:cs="Arial" w:eastAsia="Arial" w:hAnsi="Arial"/>
          <w:sz w:val="19"/>
          <w:szCs w:val="19"/>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w:t>
      </w:r>
    </w:p>
    <w:p>
      <w:pPr>
        <w:spacing w:after="0" w:line="12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color w:val="auto"/>
        </w:rPr>
        <w:t>The Company is one of the largest owners of clean energy generation assets in the U.S. The Company’s portfolio comprises approximately 12.9 GW of gross capacity in 27 states, including approximately 10.1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The majority of the Company’s revenues are derived from long-term contractual arrangements for the output or capacity from these assets.</w:t>
      </w:r>
    </w:p>
    <w:p>
      <w:pPr>
        <w:spacing w:after="0" w:line="140"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0"/>
          <w:szCs w:val="20"/>
          <w:color w:val="auto"/>
        </w:rPr>
        <w:t>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150" w:lineRule="exact"/>
        <w:rPr>
          <w:sz w:val="20"/>
          <w:szCs w:val="20"/>
          <w:color w:val="auto"/>
        </w:rPr>
      </w:pPr>
    </w:p>
    <w:p>
      <w:pPr>
        <w:jc w:val="both"/>
        <w:ind w:firstLine="441"/>
        <w:spacing w:after="0" w:line="361" w:lineRule="auto"/>
        <w:rPr>
          <w:sz w:val="20"/>
          <w:szCs w:val="20"/>
          <w:color w:val="auto"/>
        </w:rPr>
      </w:pPr>
      <w:r>
        <w:rPr>
          <w:rFonts w:ascii="Arial" w:cs="Arial" w:eastAsia="Arial" w:hAnsi="Arial"/>
          <w:sz w:val="17"/>
          <w:szCs w:val="17"/>
          <w:color w:val="auto"/>
        </w:rPr>
        <w:t xml:space="preserve">As of December 31, 2025, the Company owned 58.62% of the economic interests of Clearway Energy LLC, with CEG owning 41.38% of the economic interests of Clearway Energy LLC. For further discussion, see Note 12, </w:t>
      </w:r>
      <w:r>
        <w:rPr>
          <w:rFonts w:ascii="Arial" w:cs="Arial" w:eastAsia="Arial" w:hAnsi="Arial"/>
          <w:sz w:val="17"/>
          <w:szCs w:val="17"/>
          <w:b w:val="1"/>
          <w:bCs w:val="1"/>
          <w:i w:val="1"/>
          <w:iCs w:val="1"/>
          <w:color w:val="auto"/>
        </w:rPr>
        <w:t>Stockholders’ Equity.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diagram below represents a summarized structure of the Company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6384925" cy="3706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extLst>
                    </a:blip>
                    <a:srcRect/>
                    <a:stretch>
                      <a:fillRect/>
                    </a:stretch>
                  </pic:blipFill>
                  <pic:spPr bwMode="auto">
                    <a:xfrm>
                      <a:off x="0" y="0"/>
                      <a:ext cx="6384925" cy="370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 and Principles of Consolidation</w:t>
      </w:r>
    </w:p>
    <w:p>
      <w:pPr>
        <w:spacing w:after="0" w:line="189" w:lineRule="exact"/>
        <w:rPr>
          <w:sz w:val="20"/>
          <w:szCs w:val="20"/>
          <w:color w:val="auto"/>
        </w:rPr>
      </w:pPr>
    </w:p>
    <w:p>
      <w:pPr>
        <w:jc w:val="both"/>
        <w:ind w:firstLine="441"/>
        <w:spacing w:after="0" w:line="325" w:lineRule="auto"/>
        <w:rPr>
          <w:sz w:val="20"/>
          <w:szCs w:val="20"/>
          <w:color w:val="auto"/>
        </w:rPr>
      </w:pPr>
      <w:r>
        <w:rPr>
          <w:rFonts w:ascii="Arial" w:cs="Arial" w:eastAsia="Arial" w:hAnsi="Arial"/>
          <w:sz w:val="17"/>
          <w:szCs w:val="17"/>
          <w:color w:val="auto"/>
        </w:rPr>
        <w:t>The Company’s consolidated financial statements have been prepared in accordance with GAAP. The FASB ASC is the source of authoritative GAAP to be applied by nongovernmental entities. In addition, the rules and interpretative releases of the SEC under authority of federal securities laws are also sources of authoritative GAAP for SEC registrants.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10040"/>
          </w:cols>
          <w:pgMar w:left="920" w:top="577" w:right="920" w:bottom="0" w:gutter="0" w:footer="0" w:header="0"/>
          <w:type w:val="continuous"/>
        </w:sectPr>
      </w:pPr>
    </w:p>
    <w:bookmarkStart w:id="89" w:name="page90"/>
    <w:bookmarkEnd w:id="89"/>
    <w:p>
      <w:pPr>
        <w:jc w:val="both"/>
        <w:ind w:right="60" w:firstLine="441"/>
        <w:spacing w:after="0" w:line="249" w:lineRule="auto"/>
        <w:rPr>
          <w:sz w:val="20"/>
          <w:szCs w:val="20"/>
          <w:color w:val="auto"/>
        </w:rPr>
      </w:pPr>
      <w:r>
        <w:rPr>
          <w:rFonts w:ascii="Arial" w:cs="Arial" w:eastAsia="Arial" w:hAnsi="Arial"/>
          <w:sz w:val="20"/>
          <w:szCs w:val="20"/>
          <w:color w:val="auto"/>
        </w:rPr>
        <w:t xml:space="preserve">The consolidated financial statements include the Company’s accounts and operations and those of its subsidiaries in which it has a controlling financial interest. All significant intercompany transactions and balances have been eliminated in consolidation. The usual condition for a controlling financial interest is ownership of the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20"/>
          <w:szCs w:val="20"/>
          <w:b w:val="1"/>
          <w:bCs w:val="1"/>
          <w:i w:val="1"/>
          <w:iCs w:val="1"/>
          <w:color w:val="auto"/>
        </w:rPr>
        <w:t>Consolidations</w:t>
      </w:r>
      <w:r>
        <w:rPr>
          <w:rFonts w:ascii="Arial" w:cs="Arial" w:eastAsia="Arial" w:hAnsi="Arial"/>
          <w:sz w:val="20"/>
          <w:szCs w:val="20"/>
          <w:color w:val="auto"/>
        </w:rPr>
        <w:t>, to determine when an entity that is insufficiently capitalized or not controlled through its voting interests, referred to as a variable interest entity, or VIE, should be consolidated.</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Cash Equivalents and Restricted Cash</w:t>
      </w:r>
    </w:p>
    <w:p>
      <w:pPr>
        <w:spacing w:after="0" w:line="189" w:lineRule="exact"/>
        <w:rPr>
          <w:sz w:val="20"/>
          <w:szCs w:val="20"/>
          <w:color w:val="auto"/>
        </w:rPr>
      </w:pPr>
    </w:p>
    <w:p>
      <w:pPr>
        <w:jc w:val="both"/>
        <w:ind w:right="60" w:firstLine="441"/>
        <w:spacing w:after="0" w:line="361"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subsidiary facilities was $194 million as of both December 31, 2025 and 2024.</w:t>
      </w:r>
    </w:p>
    <w:p>
      <w:pPr>
        <w:spacing w:after="0" w:line="59" w:lineRule="exact"/>
        <w:rPr>
          <w:sz w:val="20"/>
          <w:szCs w:val="20"/>
          <w:color w:val="auto"/>
        </w:rPr>
      </w:pPr>
    </w:p>
    <w:p>
      <w:pPr>
        <w:jc w:val="both"/>
        <w:ind w:right="60" w:firstLine="441"/>
        <w:spacing w:after="0" w:line="361"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58"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Borders>
              <w:bottom w:val="single" w:sz="8" w:color="auto"/>
            </w:tcBorders>
            <w:gridSpan w:val="4"/>
          </w:tcPr>
          <w:p>
            <w:pPr>
              <w:jc w:val="right"/>
              <w:ind w:right="222"/>
              <w:spacing w:after="0"/>
              <w:rPr>
                <w:sz w:val="20"/>
                <w:szCs w:val="20"/>
                <w:color w:val="auto"/>
              </w:rPr>
            </w:pPr>
            <w:r>
              <w:rPr>
                <w:rFonts w:ascii="Arial" w:cs="Arial" w:eastAsia="Arial" w:hAnsi="Arial"/>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r>
      <w:tr>
        <w:trPr>
          <w:trHeight w:val="230"/>
        </w:trPr>
        <w:tc>
          <w:tcPr>
            <w:tcW w:w="7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r>
      <w:tr>
        <w:trPr>
          <w:trHeight w:val="223"/>
        </w:trPr>
        <w:tc>
          <w:tcPr>
            <w:tcW w:w="7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9"/>
                <w:szCs w:val="19"/>
                <w:color w:val="auto"/>
              </w:rPr>
            </w:pPr>
          </w:p>
        </w:tc>
      </w:tr>
      <w:tr>
        <w:trPr>
          <w:trHeight w:val="298"/>
        </w:trPr>
        <w:tc>
          <w:tcPr>
            <w:tcW w:w="7540" w:type="dxa"/>
            <w:vAlign w:val="bottom"/>
          </w:tcPr>
          <w:p>
            <w:pPr>
              <w:spacing w:after="0"/>
              <w:rPr>
                <w:sz w:val="20"/>
                <w:szCs w:val="20"/>
                <w:color w:val="auto"/>
              </w:rPr>
            </w:pPr>
            <w:r>
              <w:rPr>
                <w:rFonts w:ascii="Arial" w:cs="Arial" w:eastAsia="Arial" w:hAnsi="Arial"/>
                <w:sz w:val="20"/>
                <w:szCs w:val="20"/>
                <w:color w:val="auto"/>
                <w:w w:val="88"/>
              </w:rPr>
              <w:t xml:space="preserve">Cash and cash equivalents </w:t>
            </w:r>
            <w:r>
              <w:rPr>
                <w:rFonts w:ascii="Arial" w:cs="Arial" w:eastAsia="Arial" w:hAnsi="Arial"/>
                <w:sz w:val="20"/>
                <w:szCs w:val="20"/>
                <w:color w:val="B4B4B4"/>
                <w:w w:val="88"/>
              </w:rPr>
              <w:t>. . . . . . . . . . . . . . . . . . . . . . . . . . . . . . . . . . . . . . . . . . . . . . . . . . . . . . .</w:t>
            </w:r>
          </w:p>
        </w:tc>
        <w:tc>
          <w:tcPr>
            <w:tcW w:w="860" w:type="dxa"/>
            <w:vAlign w:val="bottom"/>
            <w:gridSpan w:val="2"/>
          </w:tcPr>
          <w:p>
            <w:pPr>
              <w:ind w:left="40"/>
              <w:spacing w:after="0"/>
              <w:rPr>
                <w:sz w:val="20"/>
                <w:szCs w:val="20"/>
                <w:color w:val="auto"/>
              </w:rPr>
            </w:pPr>
            <w:r>
              <w:rPr>
                <w:rFonts w:ascii="Arial" w:cs="Arial" w:eastAsia="Arial" w:hAnsi="Arial"/>
                <w:sz w:val="20"/>
                <w:szCs w:val="20"/>
                <w:color w:val="B4B4B4"/>
              </w:rPr>
              <w:t xml:space="preserve">. </w:t>
            </w:r>
            <w:r>
              <w:rPr>
                <w:rFonts w:ascii="Arial" w:cs="Arial" w:eastAsia="Arial" w:hAnsi="Arial"/>
                <w:sz w:val="20"/>
                <w:szCs w:val="20"/>
                <w:color w:val="000000"/>
              </w:rPr>
              <w:t>$</w:t>
            </w:r>
          </w:p>
        </w:tc>
        <w:tc>
          <w:tcPr>
            <w:tcW w:w="400" w:type="dxa"/>
            <w:vAlign w:val="bottom"/>
          </w:tcPr>
          <w:p>
            <w:pPr>
              <w:ind w:left="20"/>
              <w:spacing w:after="0"/>
              <w:rPr>
                <w:sz w:val="20"/>
                <w:szCs w:val="20"/>
                <w:color w:val="auto"/>
              </w:rPr>
            </w:pPr>
            <w:r>
              <w:rPr>
                <w:rFonts w:ascii="Arial" w:cs="Arial" w:eastAsia="Arial" w:hAnsi="Arial"/>
                <w:sz w:val="20"/>
                <w:szCs w:val="20"/>
                <w:color w:val="auto"/>
              </w:rPr>
              <w:t>231</w:t>
            </w:r>
          </w:p>
        </w:tc>
        <w:tc>
          <w:tcPr>
            <w:tcW w:w="800" w:type="dxa"/>
            <w:vAlign w:val="bottom"/>
            <w:gridSpan w:val="2"/>
          </w:tcPr>
          <w:p>
            <w:pPr>
              <w:jc w:val="right"/>
              <w:ind w:right="502"/>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w w:val="83"/>
              </w:rPr>
              <w:t>332</w:t>
            </w:r>
          </w:p>
        </w:tc>
      </w:tr>
      <w:tr>
        <w:trPr>
          <w:trHeight w:val="298"/>
        </w:trPr>
        <w:tc>
          <w:tcPr>
            <w:tcW w:w="7540" w:type="dxa"/>
            <w:vAlign w:val="bottom"/>
          </w:tcPr>
          <w:p>
            <w:pPr>
              <w:spacing w:after="0"/>
              <w:rPr>
                <w:sz w:val="20"/>
                <w:szCs w:val="20"/>
                <w:color w:val="auto"/>
              </w:rPr>
            </w:pPr>
            <w:r>
              <w:rPr>
                <w:rFonts w:ascii="Arial" w:cs="Arial" w:eastAsia="Arial" w:hAnsi="Arial"/>
                <w:sz w:val="20"/>
                <w:szCs w:val="20"/>
                <w:color w:val="auto"/>
                <w:w w:val="88"/>
              </w:rPr>
              <w:t xml:space="preserve">Restricted cash </w:t>
            </w:r>
            <w:r>
              <w:rPr>
                <w:rFonts w:ascii="Arial" w:cs="Arial" w:eastAsia="Arial" w:hAnsi="Arial"/>
                <w:sz w:val="20"/>
                <w:szCs w:val="20"/>
                <w:color w:val="B4B4B4"/>
                <w:w w:val="88"/>
              </w:rPr>
              <w:t>. . . . . . . . . . . . . . . . . . . . . . . . . . . . . . . . . . . . . . . . . . . . . . . . . . . . . . . . . . . . . . . .</w:t>
            </w:r>
          </w:p>
        </w:tc>
        <w:tc>
          <w:tcPr>
            <w:tcW w:w="140" w:type="dxa"/>
            <w:vAlign w:val="bottom"/>
          </w:tcPr>
          <w:p>
            <w:pPr>
              <w:ind w:left="40"/>
              <w:spacing w:after="0"/>
              <w:rPr>
                <w:sz w:val="20"/>
                <w:szCs w:val="20"/>
                <w:color w:val="auto"/>
              </w:rPr>
            </w:pPr>
            <w:r>
              <w:rPr>
                <w:rFonts w:ascii="Arial" w:cs="Arial" w:eastAsia="Arial" w:hAnsi="Arial"/>
                <w:sz w:val="20"/>
                <w:szCs w:val="20"/>
                <w:color w:val="B4B4B4"/>
              </w:rPr>
              <w:t>.</w:t>
            </w: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587</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3"/>
              </w:rPr>
              <w:t>401</w:t>
            </w:r>
          </w:p>
        </w:tc>
      </w:tr>
      <w:tr>
        <w:trPr>
          <w:trHeight w:val="269"/>
        </w:trPr>
        <w:tc>
          <w:tcPr>
            <w:tcW w:w="7540" w:type="dxa"/>
            <w:vAlign w:val="bottom"/>
          </w:tcPr>
          <w:p>
            <w:pPr>
              <w:ind w:left="120"/>
              <w:spacing w:after="0"/>
              <w:rPr>
                <w:sz w:val="20"/>
                <w:szCs w:val="20"/>
                <w:color w:val="auto"/>
              </w:rPr>
            </w:pPr>
            <w:r>
              <w:rPr>
                <w:rFonts w:ascii="Arial" w:cs="Arial" w:eastAsia="Arial" w:hAnsi="Arial"/>
                <w:sz w:val="20"/>
                <w:szCs w:val="20"/>
                <w:color w:val="auto"/>
                <w:w w:val="87"/>
              </w:rPr>
              <w:t>Cash, cash equivalents and restricted cash shown in the consolidated statements of cash flows</w:t>
            </w:r>
          </w:p>
        </w:tc>
        <w:tc>
          <w:tcPr>
            <w:tcW w:w="860" w:type="dxa"/>
            <w:vAlign w:val="bottom"/>
            <w:gridSpan w:val="2"/>
          </w:tcPr>
          <w:p>
            <w:pPr>
              <w:ind w:left="40"/>
              <w:spacing w:after="0"/>
              <w:rPr>
                <w:sz w:val="20"/>
                <w:szCs w:val="20"/>
                <w:color w:val="auto"/>
              </w:rPr>
            </w:pPr>
            <w:r>
              <w:rPr>
                <w:rFonts w:ascii="Arial" w:cs="Arial" w:eastAsia="Arial" w:hAnsi="Arial"/>
                <w:sz w:val="20"/>
                <w:szCs w:val="20"/>
                <w:color w:val="B4B4B4"/>
              </w:rPr>
              <w:t xml:space="preserve">. </w:t>
            </w:r>
            <w:r>
              <w:rPr>
                <w:rFonts w:ascii="Arial" w:cs="Arial" w:eastAsia="Arial" w:hAnsi="Arial"/>
                <w:sz w:val="20"/>
                <w:szCs w:val="20"/>
                <w:color w:val="000000"/>
              </w:rPr>
              <w:t>$</w:t>
            </w:r>
          </w:p>
        </w:tc>
        <w:tc>
          <w:tcPr>
            <w:tcW w:w="400" w:type="dxa"/>
            <w:vAlign w:val="bottom"/>
          </w:tcPr>
          <w:p>
            <w:pPr>
              <w:ind w:left="20"/>
              <w:spacing w:after="0"/>
              <w:rPr>
                <w:sz w:val="20"/>
                <w:szCs w:val="20"/>
                <w:color w:val="auto"/>
              </w:rPr>
            </w:pPr>
            <w:r>
              <w:rPr>
                <w:rFonts w:ascii="Arial" w:cs="Arial" w:eastAsia="Arial" w:hAnsi="Arial"/>
                <w:sz w:val="20"/>
                <w:szCs w:val="20"/>
                <w:color w:val="auto"/>
              </w:rPr>
              <w:t>818</w:t>
            </w:r>
          </w:p>
        </w:tc>
        <w:tc>
          <w:tcPr>
            <w:tcW w:w="800" w:type="dxa"/>
            <w:vAlign w:val="bottom"/>
            <w:gridSpan w:val="2"/>
          </w:tcPr>
          <w:p>
            <w:pPr>
              <w:jc w:val="right"/>
              <w:ind w:right="502"/>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w w:val="83"/>
              </w:rPr>
              <w:t>733</w:t>
            </w:r>
          </w:p>
        </w:tc>
      </w:tr>
      <w:tr>
        <w:trPr>
          <w:trHeight w:val="20"/>
        </w:trPr>
        <w:tc>
          <w:tcPr>
            <w:tcW w:w="7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-600075</wp:posOffset>
            </wp:positionV>
            <wp:extent cx="6410325" cy="607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extLst>
                    </a:blip>
                    <a:srcRect/>
                    <a:stretch>
                      <a:fillRect/>
                    </a:stretch>
                  </pic:blipFill>
                  <pic:spPr bwMode="auto">
                    <a:xfrm>
                      <a:off x="0" y="0"/>
                      <a:ext cx="6410325" cy="607060"/>
                    </a:xfrm>
                    <a:prstGeom prst="rect">
                      <a:avLst/>
                    </a:prstGeom>
                    <a:noFill/>
                  </pic:spPr>
                </pic:pic>
              </a:graphicData>
            </a:graphic>
          </wp:anchor>
        </w:drawing>
      </w:r>
    </w:p>
    <w:p>
      <w:pPr>
        <w:spacing w:after="0" w:line="164" w:lineRule="exact"/>
        <w:rPr>
          <w:sz w:val="20"/>
          <w:szCs w:val="20"/>
          <w:color w:val="auto"/>
        </w:rPr>
      </w:pPr>
    </w:p>
    <w:p>
      <w:pPr>
        <w:jc w:val="both"/>
        <w:ind w:right="60" w:firstLine="441"/>
        <w:spacing w:after="0" w:line="271" w:lineRule="auto"/>
        <w:rPr>
          <w:sz w:val="20"/>
          <w:szCs w:val="20"/>
          <w:color w:val="auto"/>
        </w:rPr>
      </w:pPr>
      <w:r>
        <w:rPr>
          <w:rFonts w:ascii="Arial" w:cs="Arial" w:eastAsia="Arial" w:hAnsi="Arial"/>
          <w:sz w:val="20"/>
          <w:szCs w:val="20"/>
          <w:color w:val="auto"/>
        </w:rPr>
        <w:t>Restricted cash consists primarily of funds held to satisfy the requirements of certain debt agreements and funds held within the Company’s facilities that are restricted in their use.</w:t>
      </w:r>
    </w:p>
    <w:p>
      <w:pPr>
        <w:spacing w:after="0" w:line="127" w:lineRule="exact"/>
        <w:rPr>
          <w:sz w:val="20"/>
          <w:szCs w:val="20"/>
          <w:color w:val="auto"/>
        </w:rPr>
      </w:pPr>
    </w:p>
    <w:p>
      <w:pPr>
        <w:jc w:val="both"/>
        <w:ind w:right="60" w:firstLine="441"/>
        <w:spacing w:after="0" w:line="250" w:lineRule="auto"/>
        <w:rPr>
          <w:sz w:val="20"/>
          <w:szCs w:val="20"/>
          <w:color w:val="auto"/>
        </w:rPr>
      </w:pPr>
      <w:r>
        <w:rPr>
          <w:rFonts w:ascii="Arial" w:cs="Arial" w:eastAsia="Arial" w:hAnsi="Arial"/>
          <w:sz w:val="20"/>
          <w:szCs w:val="20"/>
          <w:color w:val="auto"/>
        </w:rPr>
        <w:t>As of December 31, 2025, these restricted funds were comprised of $146 million designated to fund operating expenses, $99 million designated for current debt service payments and $85 million restricted for reserves, including debt service, performance obligations and other reserves as well as capital expenditures. The remaining $257 million is held in distribution reserve accounts, of which $174 million relates to transferable ITCs for the Rosamond South I solar and BESS facility that were received on behalf of the tax equity investor in Rosie South TE Holdco LLC and subsequently distributed to the tax equity investor in January 2026.</w:t>
      </w:r>
    </w:p>
    <w:p>
      <w:pPr>
        <w:spacing w:after="0" w:line="150" w:lineRule="exact"/>
        <w:rPr>
          <w:sz w:val="20"/>
          <w:szCs w:val="20"/>
          <w:color w:val="auto"/>
        </w:rPr>
      </w:pPr>
    </w:p>
    <w:p>
      <w:pPr>
        <w:jc w:val="both"/>
        <w:ind w:right="60" w:firstLine="441"/>
        <w:spacing w:after="0" w:line="254" w:lineRule="auto"/>
        <w:rPr>
          <w:sz w:val="20"/>
          <w:szCs w:val="20"/>
          <w:color w:val="auto"/>
        </w:rPr>
      </w:pPr>
      <w:r>
        <w:rPr>
          <w:rFonts w:ascii="Arial" w:cs="Arial" w:eastAsia="Arial" w:hAnsi="Arial"/>
          <w:sz w:val="20"/>
          <w:szCs w:val="20"/>
          <w:color w:val="auto"/>
        </w:rPr>
        <w:t>As of December 31, 2024, these restricted funds were comprised of $184 million designated to fund operating expenses, $37 million designated for current debt service payments and $102 million restricted for reserves, including debt service, performance obligations and other reserves as well as capital expenditures. The remaining $78 million was held in distribution reserve accounts.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Supplemental Cash Flow Information</w:t>
      </w:r>
    </w:p>
    <w:p>
      <w:pPr>
        <w:spacing w:after="0" w:line="189" w:lineRule="exact"/>
        <w:rPr>
          <w:sz w:val="20"/>
          <w:szCs w:val="20"/>
          <w:color w:val="auto"/>
        </w:rPr>
      </w:pPr>
    </w:p>
    <w:p>
      <w:pPr>
        <w:jc w:val="both"/>
        <w:ind w:right="60" w:firstLine="441"/>
        <w:spacing w:after="0" w:line="271" w:lineRule="auto"/>
        <w:rPr>
          <w:sz w:val="20"/>
          <w:szCs w:val="20"/>
          <w:color w:val="auto"/>
        </w:rPr>
      </w:pPr>
      <w:r>
        <w:rPr>
          <w:rFonts w:ascii="Arial" w:cs="Arial" w:eastAsia="Arial" w:hAnsi="Arial"/>
          <w:sz w:val="20"/>
          <w:szCs w:val="20"/>
          <w:color w:val="auto"/>
        </w:rPr>
        <w:t>The following table provides a disaggregation of the amounts classified as Acquisition of Drop Down Assets, net of cash acquired, shown in the consolidated statements of cash flows: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center"/>
              <w:ind w:left="47"/>
              <w:spacing w:after="0"/>
              <w:rPr>
                <w:sz w:val="20"/>
                <w:szCs w:val="20"/>
                <w:color w:val="auto"/>
              </w:rPr>
            </w:pPr>
            <w:r>
              <w:rPr>
                <w:rFonts w:ascii="Arial" w:cs="Arial" w:eastAsia="Arial" w:hAnsi="Arial"/>
                <w:sz w:val="16"/>
                <w:szCs w:val="16"/>
                <w:b w:val="1"/>
                <w:bCs w:val="1"/>
                <w:color w:val="auto"/>
                <w:w w:val="89"/>
              </w:rPr>
              <w:t>Year ended December 31,</w:t>
            </w:r>
          </w:p>
        </w:tc>
        <w:tc>
          <w:tcPr>
            <w:tcW w:w="1020" w:type="dxa"/>
            <w:vAlign w:val="bottom"/>
            <w:tcBorders>
              <w:bottom w:val="single" w:sz="8" w:color="auto"/>
            </w:tcBorders>
          </w:tcPr>
          <w:p>
            <w:pPr>
              <w:spacing w:after="0"/>
              <w:rPr>
                <w:sz w:val="18"/>
                <w:szCs w:val="18"/>
                <w:color w:val="auto"/>
              </w:rPr>
            </w:pPr>
          </w:p>
        </w:tc>
      </w:tr>
      <w:tr>
        <w:trPr>
          <w:trHeight w:val="230"/>
        </w:trPr>
        <w:tc>
          <w:tcPr>
            <w:tcW w:w="58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7"/>
              <w:spacing w:after="0"/>
              <w:rPr>
                <w:sz w:val="20"/>
                <w:szCs w:val="20"/>
                <w:color w:val="auto"/>
              </w:rPr>
            </w:pPr>
            <w:r>
              <w:rPr>
                <w:rFonts w:ascii="Arial" w:cs="Arial" w:eastAsia="Arial" w:hAnsi="Arial"/>
                <w:sz w:val="16"/>
                <w:szCs w:val="16"/>
                <w:b w:val="1"/>
                <w:bCs w:val="1"/>
                <w:color w:val="auto"/>
              </w:rPr>
              <w:t>2023</w:t>
            </w:r>
          </w:p>
        </w:tc>
      </w:tr>
      <w:tr>
        <w:trPr>
          <w:trHeight w:val="223"/>
        </w:trPr>
        <w:tc>
          <w:tcPr>
            <w:tcW w:w="5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30"/>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83"/>
        </w:trPr>
        <w:tc>
          <w:tcPr>
            <w:tcW w:w="5840" w:type="dxa"/>
            <w:vAlign w:val="bottom"/>
          </w:tcPr>
          <w:p>
            <w:pPr>
              <w:jc w:val="right"/>
              <w:ind w:right="22"/>
              <w:spacing w:after="0"/>
              <w:rPr>
                <w:sz w:val="20"/>
                <w:szCs w:val="20"/>
                <w:color w:val="auto"/>
              </w:rPr>
            </w:pPr>
            <w:r>
              <w:rPr>
                <w:rFonts w:ascii="Arial" w:cs="Arial" w:eastAsia="Arial" w:hAnsi="Arial"/>
                <w:sz w:val="20"/>
                <w:szCs w:val="20"/>
                <w:color w:val="auto"/>
                <w:w w:val="88"/>
              </w:rPr>
              <w:t xml:space="preserve">Cash paid to acquire Drop Down Assets </w:t>
            </w:r>
            <w:r>
              <w:rPr>
                <w:rFonts w:ascii="Arial" w:cs="Arial" w:eastAsia="Arial" w:hAnsi="Arial"/>
                <w:sz w:val="20"/>
                <w:szCs w:val="20"/>
                <w:color w:val="B4B4B4"/>
                <w:w w:val="88"/>
              </w:rPr>
              <w:t>. . . . . . . . . . . . . . . . . . . . . . . . . .</w:t>
            </w:r>
          </w:p>
        </w:tc>
        <w:tc>
          <w:tcPr>
            <w:tcW w:w="880" w:type="dxa"/>
            <w:vAlign w:val="bottom"/>
          </w:tcPr>
          <w:p>
            <w:pPr>
              <w:jc w:val="right"/>
              <w:ind w:right="649"/>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w w:val="94"/>
              </w:rPr>
              <w:t>(329)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(680)</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(173)</w:t>
            </w:r>
          </w:p>
        </w:tc>
      </w:tr>
      <w:tr>
        <w:trPr>
          <w:trHeight w:val="283"/>
        </w:trPr>
        <w:tc>
          <w:tcPr>
            <w:tcW w:w="5840" w:type="dxa"/>
            <w:vAlign w:val="bottom"/>
          </w:tcPr>
          <w:p>
            <w:pPr>
              <w:jc w:val="right"/>
              <w:ind w:right="22"/>
              <w:spacing w:after="0"/>
              <w:rPr>
                <w:sz w:val="20"/>
                <w:szCs w:val="20"/>
                <w:color w:val="auto"/>
              </w:rPr>
            </w:pPr>
            <w:r>
              <w:rPr>
                <w:rFonts w:ascii="Arial" w:cs="Arial" w:eastAsia="Arial" w:hAnsi="Arial"/>
                <w:sz w:val="20"/>
                <w:szCs w:val="20"/>
                <w:color w:val="auto"/>
                <w:w w:val="89"/>
              </w:rPr>
              <w:t xml:space="preserve">Cash acquired from the acquisition of Drop Down Assets </w:t>
            </w:r>
            <w:r>
              <w:rPr>
                <w:rFonts w:ascii="Arial" w:cs="Arial" w:eastAsia="Arial" w:hAnsi="Arial"/>
                <w:sz w:val="20"/>
                <w:szCs w:val="20"/>
                <w:color w:val="B4B4B4"/>
                <w:w w:val="89"/>
              </w:rPr>
              <w:t>. . . . . . . . . . . .</w:t>
            </w: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w:t>
            </w:r>
          </w:p>
        </w:tc>
      </w:tr>
      <w:tr>
        <w:trPr>
          <w:trHeight w:val="240"/>
        </w:trPr>
        <w:tc>
          <w:tcPr>
            <w:tcW w:w="5840" w:type="dxa"/>
            <w:vAlign w:val="bottom"/>
          </w:tcPr>
          <w:p>
            <w:pPr>
              <w:jc w:val="right"/>
              <w:ind w:right="22"/>
              <w:spacing w:after="0"/>
              <w:rPr>
                <w:sz w:val="20"/>
                <w:szCs w:val="20"/>
                <w:color w:val="auto"/>
              </w:rPr>
            </w:pPr>
            <w:r>
              <w:rPr>
                <w:rFonts w:ascii="Arial" w:cs="Arial" w:eastAsia="Arial" w:hAnsi="Arial"/>
                <w:sz w:val="20"/>
                <w:szCs w:val="20"/>
                <w:color w:val="auto"/>
                <w:w w:val="91"/>
              </w:rPr>
              <w:t xml:space="preserve">Acquisition of Drop Down Assets, net of cash acquired  </w:t>
            </w:r>
            <w:r>
              <w:rPr>
                <w:rFonts w:ascii="Arial" w:cs="Arial" w:eastAsia="Arial" w:hAnsi="Arial"/>
                <w:sz w:val="20"/>
                <w:szCs w:val="20"/>
                <w:color w:val="B4B4B4"/>
                <w:w w:val="91"/>
              </w:rPr>
              <w:t>. . . . . . . . . . . .</w:t>
            </w:r>
          </w:p>
        </w:tc>
        <w:tc>
          <w:tcPr>
            <w:tcW w:w="880" w:type="dxa"/>
            <w:vAlign w:val="bottom"/>
          </w:tcPr>
          <w:p>
            <w:pPr>
              <w:jc w:val="right"/>
              <w:ind w:right="649"/>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w w:val="94"/>
              </w:rPr>
              <w:t>(318)</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(678)</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0"/>
        </w:trPr>
        <w:tc>
          <w:tcPr>
            <w:tcW w:w="5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-721360</wp:posOffset>
            </wp:positionV>
            <wp:extent cx="6447790" cy="7283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8">
                      <a:extLst>
                        <a:ext uri="{28A0092B-C50C-407E-A947-70E740481C1C}"/>
                      </a:extLst>
                    </a:blip>
                    <a:srcRect/>
                    <a:stretch>
                      <a:fillRect/>
                    </a:stretch>
                  </pic:blipFill>
                  <pic:spPr bwMode="auto">
                    <a:xfrm>
                      <a:off x="0" y="0"/>
                      <a:ext cx="6447790" cy="72834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Receivable — Trade and Allowance for Credit Losses</w:t>
      </w:r>
    </w:p>
    <w:p>
      <w:pPr>
        <w:spacing w:after="0" w:line="189" w:lineRule="exact"/>
        <w:rPr>
          <w:sz w:val="20"/>
          <w:szCs w:val="20"/>
          <w:color w:val="auto"/>
        </w:rPr>
      </w:pPr>
    </w:p>
    <w:p>
      <w:pPr>
        <w:jc w:val="both"/>
        <w:ind w:right="60" w:firstLine="441"/>
        <w:spacing w:after="0" w:line="271" w:lineRule="auto"/>
        <w:rPr>
          <w:sz w:val="20"/>
          <w:szCs w:val="20"/>
          <w:color w:val="auto"/>
        </w:rPr>
      </w:pPr>
      <w:r>
        <w:rPr>
          <w:rFonts w:ascii="Arial" w:cs="Arial" w:eastAsia="Arial" w:hAnsi="Arial"/>
          <w:sz w:val="19"/>
          <w:szCs w:val="19"/>
          <w:color w:val="auto"/>
        </w:rPr>
        <w:t>Accounts receivable — trade are reported on the consolidated balance sheet at the invoiced amount adjusted for any write-offs and the allowance for credit losses. The majority of the Company’s customers typically receive invoices monthly with payment due within 30 days. The allowance for credit losses is reviewed periodically based on amounts past due and their significance. The allowance for credit losses was immaterial as of December 31, 2025 and 2024.</w:t>
      </w:r>
    </w:p>
    <w:p>
      <w:pPr>
        <w:sectPr>
          <w:pgSz w:w="11880" w:h="15480" w:orient="portrait"/>
          <w:cols w:equalWidth="0" w:num="1">
            <w:col w:w="10100"/>
          </w:cols>
          <w:pgMar w:left="920" w:top="58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0100"/>
          </w:cols>
          <w:pgMar w:left="920" w:top="584" w:right="860" w:bottom="0" w:gutter="0" w:footer="0" w:header="0"/>
          <w:type w:val="continuous"/>
        </w:sectPr>
      </w:pPr>
    </w:p>
    <w:bookmarkStart w:id="90" w:name="page91"/>
    <w:bookmarkEnd w:id="90"/>
    <w:p>
      <w:pPr>
        <w:spacing w:after="0"/>
        <w:rPr>
          <w:sz w:val="20"/>
          <w:szCs w:val="20"/>
          <w:color w:val="auto"/>
        </w:rPr>
      </w:pPr>
      <w:r>
        <w:rPr>
          <w:rFonts w:ascii="Arial" w:cs="Arial" w:eastAsia="Arial" w:hAnsi="Arial"/>
          <w:sz w:val="20"/>
          <w:szCs w:val="20"/>
          <w:b w:val="1"/>
          <w:bCs w:val="1"/>
          <w:i w:val="1"/>
          <w:iCs w:val="1"/>
          <w:color w:val="auto"/>
        </w:rPr>
        <w:t>Inventory</w:t>
      </w:r>
    </w:p>
    <w:p>
      <w:pPr>
        <w:spacing w:after="0" w:line="189"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Inventory consists of spare parts and is valued at weighted average cost, unless evidence indicates that the weighted average cost will not be recovered with a normal profit in the ordinary course of business. Inventory is removed when used for repairs, maintenance or capital projects.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Property, Plant and Equipment</w:t>
      </w:r>
    </w:p>
    <w:p>
      <w:pPr>
        <w:spacing w:after="0" w:line="189"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 xml:space="preserve">Property, plant and equipment are stated at cost, however, impairment adjustments are recorded whenever events or changes in circumstances indicate that their carrying amounts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 For further discussion of the Company’s property, plant and equipment refer to Note 4, </w:t>
      </w:r>
      <w:r>
        <w:rPr>
          <w:rFonts w:ascii="Arial" w:cs="Arial" w:eastAsia="Arial" w:hAnsi="Arial"/>
          <w:sz w:val="17"/>
          <w:szCs w:val="17"/>
          <w:b w:val="1"/>
          <w:bCs w:val="1"/>
          <w:i w:val="1"/>
          <w:iCs w:val="1"/>
          <w:color w:val="auto"/>
        </w:rPr>
        <w:t>Property, Plant and Equipment</w:t>
      </w:r>
      <w:r>
        <w:rPr>
          <w:rFonts w:ascii="Arial" w:cs="Arial" w:eastAsia="Arial" w:hAnsi="Arial"/>
          <w:sz w:val="17"/>
          <w:szCs w:val="17"/>
          <w:color w:val="auto"/>
        </w:rPr>
        <w:t>.</w:t>
      </w:r>
    </w:p>
    <w:p>
      <w:pPr>
        <w:spacing w:after="0" w:line="112"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Interest incurred on funds borrowed to finance capital projects is capitalized until the project under construction is ready for its intended use. The amount of interest capitalized for the years ended December 31, 2025, 2024 and 2023 was $51 million, $28 million and $36 million, respectively.</w:t>
      </w:r>
    </w:p>
    <w:p>
      <w:pPr>
        <w:spacing w:after="0" w:line="140" w:lineRule="exact"/>
        <w:rPr>
          <w:sz w:val="20"/>
          <w:szCs w:val="20"/>
          <w:color w:val="auto"/>
        </w:rPr>
      </w:pPr>
    </w:p>
    <w:p>
      <w:pPr>
        <w:jc w:val="both"/>
        <w:ind w:firstLine="441"/>
        <w:spacing w:after="0" w:line="278" w:lineRule="auto"/>
        <w:rPr>
          <w:sz w:val="20"/>
          <w:szCs w:val="20"/>
          <w:color w:val="auto"/>
        </w:rPr>
      </w:pPr>
      <w:r>
        <w:rPr>
          <w:rFonts w:ascii="Arial" w:cs="Arial" w:eastAsia="Arial" w:hAnsi="Arial"/>
          <w:sz w:val="19"/>
          <w:szCs w:val="19"/>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 Impairments</w:t>
      </w:r>
    </w:p>
    <w:p>
      <w:pPr>
        <w:spacing w:after="0" w:line="189"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 xml:space="preserve">Long-lived assets that are held and used are reviewed for impairment whenever events or changes in circumstances indicate their carrying amounts may not be recoverable. Such reviews are performed in accordance with ASC 360, </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Plant and Equipment</w:t>
      </w:r>
      <w:r>
        <w:rPr>
          <w:rFonts w:ascii="Arial" w:cs="Arial" w:eastAsia="Arial" w:hAnsi="Arial"/>
          <w:sz w:val="17"/>
          <w:szCs w:val="17"/>
          <w:color w:val="auto"/>
        </w:rPr>
        <w:t>. An impairment loss is indicated if the total future estimated undiscounted cash flows expected from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asset are less than its carrying amount. An impairment charge is measured as the excess of an asset’s carrying amount over its fair value with the difference recorded in operating costs and expenses in the consolidated statements of operations. Fair values are determined by a variety of valuation methods, including appraisals, sales prices of similar assets and present value techniques. For further discussion of the Company’s long-lived asset impairments, refer to Note 9, </w:t>
      </w:r>
      <w:r>
        <w:rPr>
          <w:rFonts w:ascii="Arial" w:cs="Arial" w:eastAsia="Arial" w:hAnsi="Arial"/>
          <w:sz w:val="17"/>
          <w:szCs w:val="17"/>
          <w:b w:val="1"/>
          <w:bCs w:val="1"/>
          <w:i w:val="1"/>
          <w:iCs w:val="1"/>
          <w:color w:val="auto"/>
        </w:rPr>
        <w:t>Asset Impairments</w:t>
      </w:r>
      <w:r>
        <w:rPr>
          <w:rFonts w:ascii="Arial" w:cs="Arial" w:eastAsia="Arial" w:hAnsi="Arial"/>
          <w:sz w:val="17"/>
          <w:szCs w:val="17"/>
          <w:color w:val="auto"/>
        </w:rPr>
        <w:t>.</w:t>
      </w:r>
    </w:p>
    <w:p>
      <w:pPr>
        <w:spacing w:after="0" w:line="111"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 xml:space="preserve">Investments accounted for by the equity method are reviewed for impairment in accordance with ASC 323, </w:t>
      </w:r>
      <w:r>
        <w:rPr>
          <w:rFonts w:ascii="Arial" w:cs="Arial" w:eastAsia="Arial" w:hAnsi="Arial"/>
          <w:sz w:val="20"/>
          <w:szCs w:val="20"/>
          <w:b w:val="1"/>
          <w:bCs w:val="1"/>
          <w:i w:val="1"/>
          <w:iCs w:val="1"/>
          <w:color w:val="auto"/>
        </w:rPr>
        <w:t>Investments-Equity Method and Joint Ventures</w:t>
      </w:r>
      <w:r>
        <w:rPr>
          <w:rFonts w:ascii="Arial" w:cs="Arial" w:eastAsia="Arial" w:hAnsi="Arial"/>
          <w:sz w:val="20"/>
          <w:szCs w:val="20"/>
          <w:color w:val="auto"/>
        </w:rPr>
        <w:t>, which requires that a loss in value of an investment that is an other-than-temporary decline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should be recognized. The Company identifies and measures losses in the value of equity method investments based upon a comparison of fair value to carrying value.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 Issuance Costs</w:t>
      </w:r>
    </w:p>
    <w:p>
      <w:pPr>
        <w:spacing w:after="0" w:line="189"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0"/>
          <w:szCs w:val="20"/>
          <w:color w:val="auto"/>
        </w:rPr>
        <w:t>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Intangible Assets</w:t>
      </w:r>
    </w:p>
    <w:p>
      <w:pPr>
        <w:spacing w:after="0" w:line="18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 xml:space="preserve">Intangible assets represent contractual rights held by the Company. The Company recognizes specifically identifiable intangible assets, including PPAs, leasehold rights, emission allowances, RECs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20"/>
          <w:szCs w:val="20"/>
          <w:b w:val="1"/>
          <w:bCs w:val="1"/>
          <w:i w:val="1"/>
          <w:iCs w:val="1"/>
          <w:color w:val="auto"/>
        </w:rPr>
        <w:t>Intangible Assets</w:t>
      </w:r>
      <w:r>
        <w:rPr>
          <w:rFonts w:ascii="Arial" w:cs="Arial" w:eastAsia="Arial" w:hAnsi="Arial"/>
          <w:sz w:val="20"/>
          <w:szCs w:val="20"/>
          <w:color w:val="auto"/>
        </w:rPr>
        <w:t>.</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10040"/>
          </w:cols>
          <w:pgMar w:left="920" w:top="577" w:right="920" w:bottom="0" w:gutter="0" w:footer="0" w:header="0"/>
          <w:type w:val="continuous"/>
        </w:sectPr>
      </w:pPr>
    </w:p>
    <w:bookmarkStart w:id="91" w:name="page92"/>
    <w:bookmarkEnd w:id="91"/>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Revenue from Contracts with Customers</w:t>
      </w:r>
    </w:p>
    <w:p>
      <w:pPr>
        <w:spacing w:after="0" w:line="182" w:lineRule="exact"/>
        <w:rPr>
          <w:sz w:val="20"/>
          <w:szCs w:val="20"/>
          <w:color w:val="auto"/>
        </w:rPr>
      </w:pPr>
    </w:p>
    <w:p>
      <w:pPr>
        <w:jc w:val="both"/>
        <w:ind w:firstLine="441"/>
        <w:spacing w:after="0" w:line="252" w:lineRule="auto"/>
        <w:rPr>
          <w:sz w:val="20"/>
          <w:szCs w:val="20"/>
          <w:color w:val="auto"/>
        </w:rPr>
      </w:pPr>
      <w:r>
        <w:rPr>
          <w:rFonts w:ascii="Arial" w:cs="Arial" w:eastAsia="Arial" w:hAnsi="Arial"/>
          <w:sz w:val="20"/>
          <w:szCs w:val="20"/>
          <w:color w:val="auto"/>
        </w:rPr>
        <w:t xml:space="preserve">The Company applies the guidance in ASC 606, </w:t>
      </w:r>
      <w:r>
        <w:rPr>
          <w:rFonts w:ascii="Arial" w:cs="Arial" w:eastAsia="Arial" w:hAnsi="Arial"/>
          <w:sz w:val="20"/>
          <w:szCs w:val="20"/>
          <w:b w:val="1"/>
          <w:bCs w:val="1"/>
          <w:i w:val="1"/>
          <w:iCs w:val="1"/>
          <w:color w:val="auto"/>
        </w:rPr>
        <w:t>Revenue from Contracts with Customers,</w:t>
      </w:r>
      <w:r>
        <w:rPr>
          <w:rFonts w:ascii="Arial" w:cs="Arial" w:eastAsia="Arial" w:hAnsi="Arial"/>
          <w:sz w:val="20"/>
          <w:szCs w:val="20"/>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Flexible Generation Segment Revenues</w:t>
      </w:r>
    </w:p>
    <w:p>
      <w:pPr>
        <w:spacing w:after="0" w:line="183"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majority of the facilities in the Flexible Generation segment commenced merchant operations during 2023 following the expiration of the PPAs. These facilities generate revenues from selling electricity and/or RA to the CAISO and to public utility and load serving entities, as the power is delivered at the interconnection point.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Power Purchase Agreements, or PPAs</w:t>
      </w:r>
    </w:p>
    <w:p>
      <w:pPr>
        <w:spacing w:after="0" w:line="183"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9"/>
          <w:szCs w:val="19"/>
          <w:color w:val="auto"/>
        </w:rPr>
        <w:t xml:space="preserve">The majority of the Company’s revenues are obtained through PPAs or similar contractual agreements. Energy, capacity and, where applicable, renewable attributes, from the majority of the Company’s renewable energy assets and certain facilities in the Flexible Generation segment are sold through long-term PPAs and tolling agreements to a single counterparty, which is often a utility or commercial customer. Certain revenue agreements also provide for the sale of BESS capacity. As discussed above, the majority of the facilities in the Flexible Generation segment commenced merchant operations during 2023 following the expiration of the PPAs. The majority of these PPAs are accounted for as operating leases as the Company retained its historical lease assessments and classification upon adoption of ASC 842, </w:t>
      </w:r>
      <w:r>
        <w:rPr>
          <w:rFonts w:ascii="Arial" w:cs="Arial" w:eastAsia="Arial" w:hAnsi="Arial"/>
          <w:sz w:val="19"/>
          <w:szCs w:val="19"/>
          <w:b w:val="1"/>
          <w:bCs w:val="1"/>
          <w:i w:val="1"/>
          <w:iCs w:val="1"/>
          <w:color w:val="auto"/>
        </w:rPr>
        <w:t>Leases</w:t>
      </w:r>
      <w:r>
        <w:rPr>
          <w:rFonts w:ascii="Arial" w:cs="Arial" w:eastAsia="Arial" w:hAnsi="Arial"/>
          <w:sz w:val="19"/>
          <w:szCs w:val="19"/>
          <w:color w:val="auto"/>
        </w:rPr>
        <w:t>. ASC 842 requires the minimum lease payments received to be amortized over the term of the lease and contingent rentals are recorded when the achievement of the contingency becomes probable. The Company’s BESS arrangements include variable payments not based on an index or rate and sales-type lease treatment would result in a loss at lease commencement. As a result, the Company accounts for these arrangements as operating leases under ASC 842.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finance lease.</w:t>
      </w:r>
    </w:p>
    <w:p>
      <w:pPr>
        <w:spacing w:after="0" w:line="143"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 xml:space="preserve">Certain of these PPAs have no minimum lease payments and all of the lease revenue under these PPAs is recorded as contingent rent on an actual basis when the electricity is delivered. The contingent lease revenue recognized in the years ended December 31, 2025, 2024 and 2023 was $797 million, $831 million and $780 million, respectively. See Note 17, </w:t>
      </w:r>
      <w:r>
        <w:rPr>
          <w:rFonts w:ascii="Arial" w:cs="Arial" w:eastAsia="Arial" w:hAnsi="Arial"/>
          <w:sz w:val="19"/>
          <w:szCs w:val="19"/>
          <w:b w:val="1"/>
          <w:bCs w:val="1"/>
          <w:i w:val="1"/>
          <w:iCs w:val="1"/>
          <w:color w:val="auto"/>
        </w:rPr>
        <w:t>Leases,</w:t>
      </w:r>
      <w:r>
        <w:rPr>
          <w:rFonts w:ascii="Arial" w:cs="Arial" w:eastAsia="Arial" w:hAnsi="Arial"/>
          <w:sz w:val="19"/>
          <w:szCs w:val="19"/>
          <w:color w:val="auto"/>
        </w:rPr>
        <w:t xml:space="preserve"> for additional information related to the Company’s PPAs accounted for as leases.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Renewable Energy Credits, or RECs</w:t>
      </w:r>
    </w:p>
    <w:p>
      <w:pPr>
        <w:spacing w:after="0" w:line="183" w:lineRule="exact"/>
        <w:rPr>
          <w:sz w:val="20"/>
          <w:szCs w:val="20"/>
          <w:color w:val="auto"/>
        </w:rPr>
      </w:pPr>
    </w:p>
    <w:p>
      <w:pPr>
        <w:jc w:val="both"/>
        <w:ind w:firstLine="441"/>
        <w:spacing w:after="0" w:line="278" w:lineRule="auto"/>
        <w:rPr>
          <w:sz w:val="20"/>
          <w:szCs w:val="20"/>
          <w:color w:val="auto"/>
        </w:rPr>
      </w:pPr>
      <w:r>
        <w:rPr>
          <w:rFonts w:ascii="Arial" w:cs="Arial" w:eastAsia="Arial" w:hAnsi="Arial"/>
          <w:sz w:val="19"/>
          <w:szCs w:val="19"/>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123" w:lineRule="exact"/>
        <w:rPr>
          <w:sz w:val="20"/>
          <w:szCs w:val="20"/>
          <w:color w:val="auto"/>
        </w:rPr>
      </w:pPr>
    </w:p>
    <w:p>
      <w:pPr>
        <w:jc w:val="both"/>
        <w:ind w:firstLine="441"/>
        <w:spacing w:after="0" w:line="325" w:lineRule="auto"/>
        <w:rPr>
          <w:sz w:val="20"/>
          <w:szCs w:val="20"/>
          <w:color w:val="auto"/>
        </w:rPr>
      </w:pPr>
      <w:r>
        <w:rPr>
          <w:rFonts w:ascii="Arial" w:cs="Arial" w:eastAsia="Arial" w:hAnsi="Arial"/>
          <w:sz w:val="17"/>
          <w:szCs w:val="17"/>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unnecessary to allocate transaction price to multiple performance obligations.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0040"/>
          </w:cols>
          <w:pgMar w:left="920" w:top="577" w:right="920" w:bottom="0" w:gutter="0" w:footer="0" w:header="0"/>
          <w:type w:val="continuous"/>
        </w:sectPr>
      </w:pPr>
    </w:p>
    <w:bookmarkStart w:id="92" w:name="page93"/>
    <w:bookmarkEnd w:id="92"/>
    <w:p>
      <w:pPr>
        <w:ind w:left="440"/>
        <w:spacing w:after="0"/>
        <w:rPr>
          <w:sz w:val="20"/>
          <w:szCs w:val="20"/>
          <w:color w:val="auto"/>
        </w:rPr>
      </w:pPr>
      <w:r>
        <w:rPr>
          <w:rFonts w:ascii="Arial" w:cs="Arial" w:eastAsia="Arial" w:hAnsi="Arial"/>
          <w:sz w:val="20"/>
          <w:szCs w:val="20"/>
          <w:b w:val="1"/>
          <w:bCs w:val="1"/>
          <w:i w:val="1"/>
          <w:iCs w:val="1"/>
          <w:color w:val="auto"/>
        </w:rPr>
        <w:t>Disaggregated Revenues</w:t>
      </w:r>
    </w:p>
    <w:p>
      <w:pPr>
        <w:spacing w:after="0" w:line="183" w:lineRule="exact"/>
        <w:rPr>
          <w:sz w:val="20"/>
          <w:szCs w:val="20"/>
          <w:color w:val="auto"/>
        </w:rPr>
      </w:pPr>
    </w:p>
    <w:p>
      <w:pPr>
        <w:ind w:firstLine="441"/>
        <w:spacing w:after="0" w:line="271" w:lineRule="auto"/>
        <w:rPr>
          <w:sz w:val="20"/>
          <w:szCs w:val="20"/>
          <w:color w:val="auto"/>
        </w:rPr>
      </w:pPr>
      <w:r>
        <w:rPr>
          <w:rFonts w:ascii="Arial" w:cs="Arial" w:eastAsia="Arial" w:hAnsi="Arial"/>
          <w:sz w:val="20"/>
          <w:szCs w:val="20"/>
          <w:color w:val="auto"/>
        </w:rPr>
        <w:t>The following tables represent the Company’s disaggregation of revenue from contracts with customers, along with the reportable segment for each category: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6"/>
                <w:szCs w:val="16"/>
                <w:b w:val="1"/>
                <w:bCs w:val="1"/>
                <w:color w:val="auto"/>
                <w:w w:val="87"/>
              </w:rPr>
              <w:t>Year ended December 31, 2025</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760" w:type="dxa"/>
            <w:vAlign w:val="bottom"/>
            <w:gridSpan w:val="2"/>
            <w:vMerge w:val="restart"/>
          </w:tcPr>
          <w:p>
            <w:pPr>
              <w:jc w:val="right"/>
              <w:ind w:right="4900"/>
              <w:spacing w:after="0"/>
              <w:rPr>
                <w:sz w:val="20"/>
                <w:szCs w:val="20"/>
                <w:color w:val="auto"/>
              </w:rPr>
            </w:pPr>
            <w:r>
              <w:rPr>
                <w:rFonts w:ascii="Arial" w:cs="Arial" w:eastAsia="Arial" w:hAnsi="Arial"/>
                <w:sz w:val="16"/>
                <w:szCs w:val="16"/>
                <w:b w:val="1"/>
                <w:bCs w:val="1"/>
                <w:color w:val="auto"/>
                <w:w w:val="93"/>
              </w:rPr>
              <w:t>(In millions)</w:t>
            </w:r>
          </w:p>
        </w:tc>
        <w:tc>
          <w:tcPr>
            <w:tcW w:w="240" w:type="dxa"/>
            <w:vAlign w:val="bottom"/>
          </w:tcPr>
          <w:p>
            <w:pPr>
              <w:spacing w:after="0"/>
              <w:rPr>
                <w:sz w:val="15"/>
                <w:szCs w:val="15"/>
                <w:color w:val="auto"/>
              </w:rPr>
            </w:pPr>
          </w:p>
        </w:tc>
        <w:tc>
          <w:tcPr>
            <w:tcW w:w="1140" w:type="dxa"/>
            <w:vAlign w:val="bottom"/>
          </w:tcPr>
          <w:p>
            <w:pPr>
              <w:jc w:val="right"/>
              <w:ind w:right="334"/>
              <w:spacing w:after="0" w:line="182" w:lineRule="exact"/>
              <w:rPr>
                <w:sz w:val="20"/>
                <w:szCs w:val="20"/>
                <w:color w:val="auto"/>
              </w:rPr>
            </w:pPr>
            <w:r>
              <w:rPr>
                <w:rFonts w:ascii="Arial" w:cs="Arial" w:eastAsia="Arial" w:hAnsi="Arial"/>
                <w:sz w:val="16"/>
                <w:szCs w:val="16"/>
                <w:b w:val="1"/>
                <w:bCs w:val="1"/>
                <w:color w:val="auto"/>
              </w:rPr>
              <w:t>Flexible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73"/>
              <w:spacing w:after="0" w:line="182" w:lineRule="exact"/>
              <w:rPr>
                <w:sz w:val="20"/>
                <w:szCs w:val="20"/>
                <w:color w:val="auto"/>
              </w:rPr>
            </w:pPr>
            <w:r>
              <w:rPr>
                <w:rFonts w:ascii="Arial" w:cs="Arial" w:eastAsia="Arial" w:hAnsi="Arial"/>
                <w:sz w:val="16"/>
                <w:szCs w:val="16"/>
                <w:b w:val="1"/>
                <w:bCs w:val="1"/>
                <w:color w:val="auto"/>
                <w:w w:val="88"/>
              </w:rPr>
              <w:t>Renewables &amp;</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vMerge w:val="restart"/>
          </w:tcPr>
          <w:p>
            <w:pPr>
              <w:jc w:val="right"/>
              <w:ind w:right="4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w w:val="97"/>
              </w:rPr>
              <w:t>Generation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7"/>
              </w:rPr>
              <w:t>Storage</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760" w:type="dxa"/>
            <w:vAlign w:val="bottom"/>
            <w:gridSpan w:val="2"/>
          </w:tcPr>
          <w:p>
            <w:pPr>
              <w:jc w:val="right"/>
              <w:ind w:right="40"/>
              <w:spacing w:after="0" w:line="245" w:lineRule="exact"/>
              <w:rPr>
                <w:sz w:val="20"/>
                <w:szCs w:val="20"/>
                <w:color w:val="auto"/>
              </w:rPr>
            </w:pPr>
            <w:r>
              <w:rPr>
                <w:rFonts w:ascii="Arial" w:cs="Arial" w:eastAsia="Arial" w:hAnsi="Arial"/>
                <w:sz w:val="18"/>
                <w:szCs w:val="18"/>
                <w:color w:val="B4B4B4"/>
                <w:w w:val="91"/>
              </w:rPr>
              <w:t>. . . . . . . . . . . . . . . . . . . . . . . . . . . . . . . . . . . . . . . . . . . . . . . . .</w:t>
            </w:r>
            <w:r>
              <w:rPr>
                <w:rFonts w:ascii="Arial" w:cs="Arial" w:eastAsia="Arial" w:hAnsi="Arial"/>
                <w:sz w:val="18"/>
                <w:szCs w:val="18"/>
                <w:color w:val="000000"/>
                <w:w w:val="91"/>
              </w:rPr>
              <w:t>Energyrevenue</w:t>
            </w:r>
            <w:r>
              <w:rPr>
                <w:rFonts w:ascii="Arial" w:cs="Arial" w:eastAsia="Arial" w:hAnsi="Arial"/>
                <w:sz w:val="22"/>
                <w:szCs w:val="22"/>
                <w:color w:val="000000"/>
                <w:w w:val="91"/>
                <w:vertAlign w:val="superscript"/>
              </w:rPr>
              <w:t>(a)</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1,166</w:t>
            </w:r>
          </w:p>
        </w:tc>
        <w:tc>
          <w:tcPr>
            <w:tcW w:w="80" w:type="dxa"/>
            <w:vAlign w:val="bottom"/>
          </w:tcPr>
          <w:p>
            <w:pPr>
              <w:spacing w:after="0"/>
              <w:rPr>
                <w:sz w:val="21"/>
                <w:szCs w:val="21"/>
                <w:color w:val="auto"/>
              </w:rPr>
            </w:pP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50"/>
        </w:trPr>
        <w:tc>
          <w:tcPr>
            <w:tcW w:w="5760" w:type="dxa"/>
            <w:vAlign w:val="bottom"/>
            <w:gridSpan w:val="2"/>
          </w:tcPr>
          <w:p>
            <w:pPr>
              <w:jc w:val="right"/>
              <w:ind w:right="40"/>
              <w:spacing w:after="0" w:line="250" w:lineRule="exact"/>
              <w:rPr>
                <w:sz w:val="20"/>
                <w:szCs w:val="20"/>
                <w:color w:val="auto"/>
              </w:rPr>
            </w:pPr>
            <w:r>
              <w:rPr>
                <w:rFonts w:ascii="Arial" w:cs="Arial" w:eastAsia="Arial" w:hAnsi="Arial"/>
                <w:sz w:val="18"/>
                <w:szCs w:val="18"/>
                <w:color w:val="auto"/>
                <w:w w:val="87"/>
              </w:rPr>
              <w:t xml:space="preserve">Capacity revenue </w:t>
            </w:r>
            <w:r>
              <w:rPr>
                <w:rFonts w:ascii="Arial" w:cs="Arial" w:eastAsia="Arial" w:hAnsi="Arial"/>
                <w:sz w:val="22"/>
                <w:szCs w:val="22"/>
                <w:color w:val="auto"/>
                <w:w w:val="87"/>
                <w:vertAlign w:val="superscript"/>
              </w:rPr>
              <w:t>(a)</w:t>
            </w:r>
            <w:r>
              <w:rPr>
                <w:rFonts w:ascii="Arial" w:cs="Arial" w:eastAsia="Arial" w:hAnsi="Arial"/>
                <w:sz w:val="18"/>
                <w:szCs w:val="18"/>
                <w:color w:val="auto"/>
                <w:w w:val="87"/>
              </w:rPr>
              <w:t xml:space="preserve">  </w:t>
            </w:r>
            <w:r>
              <w:rPr>
                <w:rFonts w:ascii="Arial" w:cs="Arial" w:eastAsia="Arial" w:hAnsi="Arial"/>
                <w:sz w:val="18"/>
                <w:szCs w:val="18"/>
                <w:color w:val="B4B4B4"/>
                <w:w w:val="87"/>
              </w:rPr>
              <w:t>. . . . . . . . . . . . . . . . . . . .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 xml:space="preserve">Other revenues </w:t>
            </w:r>
            <w:r>
              <w:rPr>
                <w:rFonts w:ascii="Arial" w:cs="Arial" w:eastAsia="Arial" w:hAnsi="Arial"/>
                <w:sz w:val="18"/>
                <w:szCs w:val="18"/>
                <w:color w:val="B4B4B4"/>
                <w:w w:val="88"/>
              </w:rPr>
              <w:t>. . . . . . . . . . . . . . . . . . . . . . . .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0"/>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xml:space="preserve">Contract amortization </w:t>
            </w:r>
            <w:r>
              <w:rPr>
                <w:rFonts w:ascii="Arial" w:cs="Arial" w:eastAsia="Arial" w:hAnsi="Arial"/>
                <w:sz w:val="18"/>
                <w:szCs w:val="18"/>
                <w:color w:val="B4B4B4"/>
                <w:w w:val="90"/>
              </w:rPr>
              <w:t>. . . . . . . . . . . . . . . . . .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2"/>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xml:space="preserve">Mark-to-market for economic hedges  </w:t>
            </w:r>
            <w:r>
              <w:rPr>
                <w:rFonts w:ascii="Arial" w:cs="Arial" w:eastAsia="Arial" w:hAnsi="Arial"/>
                <w:sz w:val="18"/>
                <w:szCs w:val="18"/>
                <w:color w:val="B4B4B4"/>
                <w:w w:val="90"/>
              </w:rPr>
              <w:t>. . . . . . . . . . . . . . . . . . . . . . . . . . . . . . . . .</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B4B4B4"/>
                <w:w w:val="92"/>
              </w:rPr>
              <w:t>. . . . . . . . . . . . . . . . . . . . . . . . . . . . . . . . . . . . . . . . . . .</w:t>
            </w:r>
            <w:r>
              <w:rPr>
                <w:rFonts w:ascii="Arial" w:cs="Arial" w:eastAsia="Arial" w:hAnsi="Arial"/>
                <w:sz w:val="18"/>
                <w:szCs w:val="18"/>
                <w:color w:val="000000"/>
                <w:w w:val="92"/>
              </w:rPr>
              <w:t>Totaloperatingrevenues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45"/>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xml:space="preserve">Less: Contract amortization </w:t>
            </w:r>
            <w:r>
              <w:rPr>
                <w:rFonts w:ascii="Arial" w:cs="Arial" w:eastAsia="Arial" w:hAnsi="Arial"/>
                <w:sz w:val="18"/>
                <w:szCs w:val="18"/>
                <w:color w:val="B4B4B4"/>
                <w:w w:val="89"/>
              </w:rPr>
              <w:t>. . . . . . . . . . . . . .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50"/>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xml:space="preserve">Less: Mark-to-market for economic hedges </w:t>
            </w:r>
            <w:r>
              <w:rPr>
                <w:rFonts w:ascii="Arial" w:cs="Arial" w:eastAsia="Arial" w:hAnsi="Arial"/>
                <w:sz w:val="18"/>
                <w:szCs w:val="18"/>
                <w:color w:val="B4B4B4"/>
                <w:w w:val="90"/>
              </w:rPr>
              <w:t>.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5"/>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 xml:space="preserve">Less: Lease revenue </w:t>
            </w:r>
            <w:r>
              <w:rPr>
                <w:rFonts w:ascii="Arial" w:cs="Arial" w:eastAsia="Arial" w:hAnsi="Arial"/>
                <w:sz w:val="18"/>
                <w:szCs w:val="18"/>
                <w:color w:val="B4B4B4"/>
                <w:w w:val="88"/>
              </w:rPr>
              <w:t>. . . . . . . . . . . . . . . . . . . . . . . . . . . . . . . . . . . . . . . . . . . . . . . .</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40"/>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xml:space="preserve">Total revenue from contracts with customers </w:t>
            </w:r>
            <w:r>
              <w:rPr>
                <w:rFonts w:ascii="Arial" w:cs="Arial" w:eastAsia="Arial" w:hAnsi="Arial"/>
                <w:sz w:val="18"/>
                <w:szCs w:val="18"/>
                <w:color w:val="B4B4B4"/>
                <w:w w:val="91"/>
              </w:rPr>
              <w:t>. . . . . . . . . . . . . . . . . . . . . . . . . . .</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492</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3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3663315</wp:posOffset>
                </wp:positionH>
                <wp:positionV relativeFrom="paragraph">
                  <wp:posOffset>-1981835</wp:posOffset>
                </wp:positionV>
                <wp:extent cx="182943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45pt,-156.0499pt" to="432.5pt,-156.0499pt" o:allowincell="f" strokecolor="#000000" strokeweight="0pt"/>
            </w:pict>
          </mc:Fallback>
        </mc:AlternateContent>
        <w:drawing>
          <wp:anchor simplePos="0" relativeHeight="251657728" behindDoc="1" locked="0" layoutInCell="0" allowOverlap="1">
            <wp:simplePos x="0" y="0"/>
            <wp:positionH relativeFrom="column">
              <wp:posOffset>-16510</wp:posOffset>
            </wp:positionH>
            <wp:positionV relativeFrom="paragraph">
              <wp:posOffset>-1732915</wp:posOffset>
            </wp:positionV>
            <wp:extent cx="6410325" cy="16433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a:extLst>
                        <a:ext uri="{28A0092B-C50C-407E-A947-70E740481C1C}"/>
                      </a:extLst>
                    </a:blip>
                    <a:srcRect/>
                    <a:stretch>
                      <a:fillRect/>
                    </a:stretch>
                  </pic:blipFill>
                  <pic:spPr bwMode="auto">
                    <a:xfrm>
                      <a:off x="0" y="0"/>
                      <a:ext cx="6410325" cy="1643380"/>
                    </a:xfrm>
                    <a:prstGeom prst="rect">
                      <a:avLst/>
                    </a:prstGeom>
                    <a:noFill/>
                  </pic:spPr>
                </pic:pic>
              </a:graphicData>
            </a:graphic>
          </wp:anchor>
        </w:drawing>
      </w:r>
    </w:p>
    <w:p>
      <w:pPr>
        <w:ind w:left="280" w:hanging="199"/>
        <w:spacing w:after="0"/>
        <w:tabs>
          <w:tab w:leader="none" w:pos="280" w:val="left"/>
        </w:tabs>
        <w:numPr>
          <w:ilvl w:val="0"/>
          <w:numId w:val="41"/>
        </w:numPr>
        <w:rPr>
          <w:rFonts w:ascii="Arial" w:cs="Arial" w:eastAsia="Arial" w:hAnsi="Arial"/>
          <w:sz w:val="24"/>
          <w:szCs w:val="24"/>
          <w:color w:val="auto"/>
          <w:vertAlign w:val="superscript"/>
        </w:rPr>
      </w:pPr>
      <w:r>
        <w:rPr>
          <w:rFonts w:ascii="Arial" w:cs="Arial" w:eastAsia="Arial" w:hAnsi="Arial"/>
          <w:sz w:val="19"/>
          <w:szCs w:val="19"/>
          <w:color w:val="auto"/>
        </w:rPr>
        <w:t xml:space="preserve">See </w:t>
      </w:r>
      <w:r>
        <w:rPr>
          <w:rFonts w:ascii="Arial" w:cs="Arial" w:eastAsia="Arial" w:hAnsi="Arial"/>
          <w:sz w:val="16"/>
          <w:szCs w:val="16"/>
          <w:color w:val="auto"/>
        </w:rPr>
        <w:t>Note 17,</w:t>
      </w:r>
      <w:r>
        <w:rPr>
          <w:rFonts w:ascii="Arial" w:cs="Arial" w:eastAsia="Arial" w:hAnsi="Arial"/>
          <w:sz w:val="19"/>
          <w:szCs w:val="19"/>
          <w:color w:val="auto"/>
        </w:rPr>
        <w:t xml:space="preserve"> </w:t>
      </w:r>
      <w:r>
        <w:rPr>
          <w:rFonts w:ascii="Arial" w:cs="Arial" w:eastAsia="Arial" w:hAnsi="Arial"/>
          <w:sz w:val="16"/>
          <w:szCs w:val="16"/>
          <w:b w:val="1"/>
          <w:bCs w:val="1"/>
          <w:i w:val="1"/>
          <w:iCs w:val="1"/>
          <w:color w:val="auto"/>
        </w:rPr>
        <w:t>Leases,</w:t>
      </w:r>
      <w:r>
        <w:rPr>
          <w:rFonts w:ascii="Arial" w:cs="Arial" w:eastAsia="Arial" w:hAnsi="Arial"/>
          <w:sz w:val="19"/>
          <w:szCs w:val="19"/>
          <w:color w:val="auto"/>
        </w:rPr>
        <w:t xml:space="preserve"> for the </w:t>
      </w:r>
      <w:r>
        <w:rPr>
          <w:rFonts w:ascii="Arial" w:cs="Arial" w:eastAsia="Arial" w:hAnsi="Arial"/>
          <w:sz w:val="16"/>
          <w:szCs w:val="16"/>
          <w:color w:val="auto"/>
        </w:rPr>
        <w:t>amounts of energy and capacity revenues that relate to leases and are accounted for under ASC 842.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center"/>
              <w:ind w:left="674"/>
              <w:spacing w:after="0"/>
              <w:rPr>
                <w:sz w:val="20"/>
                <w:szCs w:val="20"/>
                <w:color w:val="auto"/>
              </w:rPr>
            </w:pPr>
            <w:r>
              <w:rPr>
                <w:rFonts w:ascii="Arial" w:cs="Arial" w:eastAsia="Arial" w:hAnsi="Arial"/>
                <w:sz w:val="16"/>
                <w:szCs w:val="16"/>
                <w:b w:val="1"/>
                <w:bCs w:val="1"/>
                <w:color w:val="auto"/>
                <w:w w:val="87"/>
              </w:rPr>
              <w:t>Year ended December 31, 2024</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760" w:type="dxa"/>
            <w:vAlign w:val="bottom"/>
            <w:gridSpan w:val="2"/>
            <w:vMerge w:val="restart"/>
          </w:tcPr>
          <w:p>
            <w:pPr>
              <w:jc w:val="right"/>
              <w:ind w:right="4900"/>
              <w:spacing w:after="0"/>
              <w:rPr>
                <w:sz w:val="20"/>
                <w:szCs w:val="20"/>
                <w:color w:val="auto"/>
              </w:rPr>
            </w:pPr>
            <w:r>
              <w:rPr>
                <w:rFonts w:ascii="Arial" w:cs="Arial" w:eastAsia="Arial" w:hAnsi="Arial"/>
                <w:sz w:val="16"/>
                <w:szCs w:val="16"/>
                <w:b w:val="1"/>
                <w:bCs w:val="1"/>
                <w:color w:val="auto"/>
                <w:w w:val="93"/>
              </w:rPr>
              <w:t>(In millions)</w:t>
            </w:r>
          </w:p>
        </w:tc>
        <w:tc>
          <w:tcPr>
            <w:tcW w:w="240" w:type="dxa"/>
            <w:vAlign w:val="bottom"/>
          </w:tcPr>
          <w:p>
            <w:pPr>
              <w:spacing w:after="0"/>
              <w:rPr>
                <w:sz w:val="15"/>
                <w:szCs w:val="15"/>
                <w:color w:val="auto"/>
              </w:rPr>
            </w:pPr>
          </w:p>
        </w:tc>
        <w:tc>
          <w:tcPr>
            <w:tcW w:w="1140" w:type="dxa"/>
            <w:vAlign w:val="bottom"/>
          </w:tcPr>
          <w:p>
            <w:pPr>
              <w:jc w:val="right"/>
              <w:ind w:right="334"/>
              <w:spacing w:after="0" w:line="182" w:lineRule="exact"/>
              <w:rPr>
                <w:sz w:val="20"/>
                <w:szCs w:val="20"/>
                <w:color w:val="auto"/>
              </w:rPr>
            </w:pPr>
            <w:r>
              <w:rPr>
                <w:rFonts w:ascii="Arial" w:cs="Arial" w:eastAsia="Arial" w:hAnsi="Arial"/>
                <w:sz w:val="16"/>
                <w:szCs w:val="16"/>
                <w:b w:val="1"/>
                <w:bCs w:val="1"/>
                <w:color w:val="auto"/>
              </w:rPr>
              <w:t>Flexible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73"/>
              <w:spacing w:after="0" w:line="182" w:lineRule="exact"/>
              <w:rPr>
                <w:sz w:val="20"/>
                <w:szCs w:val="20"/>
                <w:color w:val="auto"/>
              </w:rPr>
            </w:pPr>
            <w:r>
              <w:rPr>
                <w:rFonts w:ascii="Arial" w:cs="Arial" w:eastAsia="Arial" w:hAnsi="Arial"/>
                <w:sz w:val="16"/>
                <w:szCs w:val="16"/>
                <w:b w:val="1"/>
                <w:bCs w:val="1"/>
                <w:color w:val="auto"/>
                <w:w w:val="88"/>
              </w:rPr>
              <w:t>Renewables &amp;</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vMerge w:val="restart"/>
          </w:tcPr>
          <w:p>
            <w:pPr>
              <w:jc w:val="right"/>
              <w:ind w:right="4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w w:val="97"/>
              </w:rPr>
              <w:t>Generation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7"/>
              </w:rPr>
              <w:t>Storage</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760" w:type="dxa"/>
            <w:vAlign w:val="bottom"/>
            <w:gridSpan w:val="2"/>
          </w:tcPr>
          <w:p>
            <w:pPr>
              <w:jc w:val="right"/>
              <w:ind w:right="40"/>
              <w:spacing w:after="0" w:line="245" w:lineRule="exact"/>
              <w:rPr>
                <w:sz w:val="20"/>
                <w:szCs w:val="20"/>
                <w:color w:val="auto"/>
              </w:rPr>
            </w:pPr>
            <w:r>
              <w:rPr>
                <w:rFonts w:ascii="Arial" w:cs="Arial" w:eastAsia="Arial" w:hAnsi="Arial"/>
                <w:sz w:val="18"/>
                <w:szCs w:val="18"/>
                <w:color w:val="B4B4B4"/>
                <w:w w:val="91"/>
              </w:rPr>
              <w:t>. . . . . . . . . . . . . . . . . . . . . . . . . . . . . . . . . . . . . . . . . . . . . . . . .</w:t>
            </w:r>
            <w:r>
              <w:rPr>
                <w:rFonts w:ascii="Arial" w:cs="Arial" w:eastAsia="Arial" w:hAnsi="Arial"/>
                <w:sz w:val="18"/>
                <w:szCs w:val="18"/>
                <w:color w:val="000000"/>
                <w:w w:val="91"/>
              </w:rPr>
              <w:t>Energyrevenue</w:t>
            </w:r>
            <w:r>
              <w:rPr>
                <w:rFonts w:ascii="Arial" w:cs="Arial" w:eastAsia="Arial" w:hAnsi="Arial"/>
                <w:sz w:val="22"/>
                <w:szCs w:val="22"/>
                <w:color w:val="000000"/>
                <w:w w:val="91"/>
                <w:vertAlign w:val="superscript"/>
              </w:rPr>
              <w:t>(a)</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1,089</w:t>
            </w:r>
          </w:p>
        </w:tc>
        <w:tc>
          <w:tcPr>
            <w:tcW w:w="80" w:type="dxa"/>
            <w:vAlign w:val="bottom"/>
          </w:tcPr>
          <w:p>
            <w:pPr>
              <w:spacing w:after="0"/>
              <w:rPr>
                <w:sz w:val="21"/>
                <w:szCs w:val="21"/>
                <w:color w:val="auto"/>
              </w:rPr>
            </w:pP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49"/>
        </w:trPr>
        <w:tc>
          <w:tcPr>
            <w:tcW w:w="5760" w:type="dxa"/>
            <w:vAlign w:val="bottom"/>
            <w:gridSpan w:val="2"/>
          </w:tcPr>
          <w:p>
            <w:pPr>
              <w:jc w:val="right"/>
              <w:ind w:right="40"/>
              <w:spacing w:after="0" w:line="249" w:lineRule="exact"/>
              <w:rPr>
                <w:sz w:val="20"/>
                <w:szCs w:val="20"/>
                <w:color w:val="auto"/>
              </w:rPr>
            </w:pPr>
            <w:r>
              <w:rPr>
                <w:rFonts w:ascii="Arial" w:cs="Arial" w:eastAsia="Arial" w:hAnsi="Arial"/>
                <w:sz w:val="18"/>
                <w:szCs w:val="18"/>
                <w:color w:val="auto"/>
                <w:w w:val="87"/>
              </w:rPr>
              <w:t xml:space="preserve">Capacity revenue </w:t>
            </w:r>
            <w:r>
              <w:rPr>
                <w:rFonts w:ascii="Arial" w:cs="Arial" w:eastAsia="Arial" w:hAnsi="Arial"/>
                <w:sz w:val="22"/>
                <w:szCs w:val="22"/>
                <w:color w:val="auto"/>
                <w:w w:val="87"/>
                <w:vertAlign w:val="superscript"/>
              </w:rPr>
              <w:t>(a)</w:t>
            </w:r>
            <w:r>
              <w:rPr>
                <w:rFonts w:ascii="Arial" w:cs="Arial" w:eastAsia="Arial" w:hAnsi="Arial"/>
                <w:sz w:val="18"/>
                <w:szCs w:val="18"/>
                <w:color w:val="auto"/>
                <w:w w:val="87"/>
              </w:rPr>
              <w:t xml:space="preserve">  </w:t>
            </w:r>
            <w:r>
              <w:rPr>
                <w:rFonts w:ascii="Arial" w:cs="Arial" w:eastAsia="Arial" w:hAnsi="Arial"/>
                <w:sz w:val="18"/>
                <w:szCs w:val="18"/>
                <w:color w:val="B4B4B4"/>
                <w:w w:val="87"/>
              </w:rPr>
              <w:t>. . . . . . . . . . . . . . . . . . . .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50"/>
        </w:trPr>
        <w:tc>
          <w:tcPr>
            <w:tcW w:w="5760" w:type="dxa"/>
            <w:vAlign w:val="bottom"/>
            <w:gridSpan w:val="2"/>
          </w:tcPr>
          <w:p>
            <w:pPr>
              <w:jc w:val="right"/>
              <w:ind w:right="40"/>
              <w:spacing w:after="0" w:line="250" w:lineRule="exact"/>
              <w:rPr>
                <w:sz w:val="20"/>
                <w:szCs w:val="20"/>
                <w:color w:val="auto"/>
              </w:rPr>
            </w:pPr>
            <w:r>
              <w:rPr>
                <w:rFonts w:ascii="Arial" w:cs="Arial" w:eastAsia="Arial" w:hAnsi="Arial"/>
                <w:sz w:val="18"/>
                <w:szCs w:val="18"/>
                <w:color w:val="auto"/>
                <w:w w:val="88"/>
              </w:rPr>
              <w:t xml:space="preserve">Other revenues </w:t>
            </w:r>
            <w:r>
              <w:rPr>
                <w:rFonts w:ascii="Arial" w:cs="Arial" w:eastAsia="Arial" w:hAnsi="Arial"/>
                <w:sz w:val="22"/>
                <w:szCs w:val="22"/>
                <w:color w:val="auto"/>
                <w:w w:val="88"/>
                <w:vertAlign w:val="superscript"/>
              </w:rPr>
              <w:t>(a)</w:t>
            </w:r>
            <w:r>
              <w:rPr>
                <w:rFonts w:ascii="Arial" w:cs="Arial" w:eastAsia="Arial" w:hAnsi="Arial"/>
                <w:sz w:val="18"/>
                <w:szCs w:val="18"/>
                <w:color w:val="auto"/>
                <w:w w:val="88"/>
              </w:rPr>
              <w:t xml:space="preserve">   </w:t>
            </w:r>
            <w:r>
              <w:rPr>
                <w:rFonts w:ascii="Arial" w:cs="Arial" w:eastAsia="Arial" w:hAnsi="Arial"/>
                <w:sz w:val="18"/>
                <w:szCs w:val="18"/>
                <w:color w:val="B4B4B4"/>
                <w:w w:val="88"/>
              </w:rPr>
              <w:t>. . . . . . . . . . . . . . . . . . . . .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xml:space="preserve">Contract amortization </w:t>
            </w:r>
            <w:r>
              <w:rPr>
                <w:rFonts w:ascii="Arial" w:cs="Arial" w:eastAsia="Arial" w:hAnsi="Arial"/>
                <w:sz w:val="18"/>
                <w:szCs w:val="18"/>
                <w:color w:val="B4B4B4"/>
                <w:w w:val="90"/>
              </w:rPr>
              <w:t>. . . . . . . . . . . . . . . . . . . . . . . . . . . . . . . . . . . . . . . . . . . . .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5"/>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xml:space="preserve">Mark-to-market for economic hedges </w:t>
            </w:r>
            <w:r>
              <w:rPr>
                <w:rFonts w:ascii="Arial" w:cs="Arial" w:eastAsia="Arial" w:hAnsi="Arial"/>
                <w:sz w:val="18"/>
                <w:szCs w:val="18"/>
                <w:color w:val="B4B4B4"/>
                <w:w w:val="89"/>
              </w:rPr>
              <w:t>. . . . . . . . . . . . . . . . . . . . . . . . . . . . . . . . . .</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B4B4B4"/>
                <w:w w:val="92"/>
              </w:rPr>
              <w:t>. . . . . . . . . . . . . . . . . . . . . . . . . . . . . . . . . . . . . . . . . . .</w:t>
            </w:r>
            <w:r>
              <w:rPr>
                <w:rFonts w:ascii="Arial" w:cs="Arial" w:eastAsia="Arial" w:hAnsi="Arial"/>
                <w:sz w:val="18"/>
                <w:szCs w:val="18"/>
                <w:color w:val="000000"/>
                <w:w w:val="92"/>
              </w:rPr>
              <w:t>Totaloperatingrevenues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45"/>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xml:space="preserve">Less: Contract amortization </w:t>
            </w:r>
            <w:r>
              <w:rPr>
                <w:rFonts w:ascii="Arial" w:cs="Arial" w:eastAsia="Arial" w:hAnsi="Arial"/>
                <w:sz w:val="18"/>
                <w:szCs w:val="18"/>
                <w:color w:val="B4B4B4"/>
                <w:w w:val="89"/>
              </w:rPr>
              <w:t>. . . . . . . . . . . . . .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0"/>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xml:space="preserve">Less: Mark-to-market for economic hedges </w:t>
            </w:r>
            <w:r>
              <w:rPr>
                <w:rFonts w:ascii="Arial" w:cs="Arial" w:eastAsia="Arial" w:hAnsi="Arial"/>
                <w:sz w:val="18"/>
                <w:szCs w:val="18"/>
                <w:color w:val="B4B4B4"/>
                <w:w w:val="90"/>
              </w:rPr>
              <w:t>.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5"/>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 xml:space="preserve">Less: Lease revenue </w:t>
            </w:r>
            <w:r>
              <w:rPr>
                <w:rFonts w:ascii="Arial" w:cs="Arial" w:eastAsia="Arial" w:hAnsi="Arial"/>
                <w:sz w:val="18"/>
                <w:szCs w:val="18"/>
                <w:color w:val="B4B4B4"/>
                <w:w w:val="88"/>
              </w:rPr>
              <w:t>. . . . . . . . . . . . . . . . . . . . . . . . . . . . . . . . . . . . . . . . . . . . . . . .</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0"/>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xml:space="preserve">Total revenue from contracts with customers </w:t>
            </w:r>
            <w:r>
              <w:rPr>
                <w:rFonts w:ascii="Arial" w:cs="Arial" w:eastAsia="Arial" w:hAnsi="Arial"/>
                <w:sz w:val="18"/>
                <w:szCs w:val="18"/>
                <w:color w:val="B4B4B4"/>
                <w:w w:val="91"/>
              </w:rPr>
              <w:t>. . . . . . . . . . . . . . . . . . . . . . . . . . .</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3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3663315</wp:posOffset>
                </wp:positionH>
                <wp:positionV relativeFrom="paragraph">
                  <wp:posOffset>-1981835</wp:posOffset>
                </wp:positionV>
                <wp:extent cx="182943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45pt,-156.0499pt" to="432.5pt,-156.0499pt" o:allowincell="f" strokecolor="#000000" strokeweight="0pt"/>
            </w:pict>
          </mc:Fallback>
        </mc:AlternateContent>
        <w:drawing>
          <wp:anchor simplePos="0" relativeHeight="251657728" behindDoc="1" locked="0" layoutInCell="0" allowOverlap="1">
            <wp:simplePos x="0" y="0"/>
            <wp:positionH relativeFrom="column">
              <wp:posOffset>-16510</wp:posOffset>
            </wp:positionH>
            <wp:positionV relativeFrom="paragraph">
              <wp:posOffset>-1732915</wp:posOffset>
            </wp:positionV>
            <wp:extent cx="6410325" cy="16433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0">
                      <a:extLst>
                        <a:ext uri="{28A0092B-C50C-407E-A947-70E740481C1C}"/>
                      </a:extLst>
                    </a:blip>
                    <a:srcRect/>
                    <a:stretch>
                      <a:fillRect/>
                    </a:stretch>
                  </pic:blipFill>
                  <pic:spPr bwMode="auto">
                    <a:xfrm>
                      <a:off x="0" y="0"/>
                      <a:ext cx="6410325" cy="1643380"/>
                    </a:xfrm>
                    <a:prstGeom prst="rect">
                      <a:avLst/>
                    </a:prstGeom>
                    <a:noFill/>
                  </pic:spPr>
                </pic:pic>
              </a:graphicData>
            </a:graphic>
          </wp:anchor>
        </w:drawing>
      </w:r>
    </w:p>
    <w:p>
      <w:pPr>
        <w:ind w:left="280" w:hanging="199"/>
        <w:spacing w:after="0"/>
        <w:tabs>
          <w:tab w:leader="none" w:pos="280" w:val="left"/>
        </w:tabs>
        <w:numPr>
          <w:ilvl w:val="0"/>
          <w:numId w:val="42"/>
        </w:numPr>
        <w:rPr>
          <w:rFonts w:ascii="Arial" w:cs="Arial" w:eastAsia="Arial" w:hAnsi="Arial"/>
          <w:sz w:val="23"/>
          <w:szCs w:val="23"/>
          <w:color w:val="auto"/>
          <w:vertAlign w:val="superscript"/>
        </w:rPr>
      </w:pPr>
      <w:r>
        <w:rPr>
          <w:rFonts w:ascii="Arial" w:cs="Arial" w:eastAsia="Arial" w:hAnsi="Arial"/>
          <w:sz w:val="16"/>
          <w:szCs w:val="16"/>
          <w:color w:val="auto"/>
        </w:rPr>
        <w:t xml:space="preserve">See Note 17, </w:t>
      </w:r>
      <w:r>
        <w:rPr>
          <w:rFonts w:ascii="Arial" w:cs="Arial" w:eastAsia="Arial" w:hAnsi="Arial"/>
          <w:sz w:val="16"/>
          <w:szCs w:val="16"/>
          <w:b w:val="1"/>
          <w:bCs w:val="1"/>
          <w:i w:val="1"/>
          <w:iCs w:val="1"/>
          <w:color w:val="auto"/>
        </w:rPr>
        <w:t>Leases</w:t>
      </w:r>
      <w:r>
        <w:rPr>
          <w:rFonts w:ascii="Arial" w:cs="Arial" w:eastAsia="Arial" w:hAnsi="Arial"/>
          <w:sz w:val="16"/>
          <w:szCs w:val="16"/>
          <w:color w:val="auto"/>
        </w:rPr>
        <w:t>, for the amounts of energy, capacity and other revenues that relate to leases and are accounted for under ASC 842.</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left="634"/>
              <w:spacing w:after="0"/>
              <w:rPr>
                <w:sz w:val="20"/>
                <w:szCs w:val="20"/>
                <w:color w:val="auto"/>
              </w:rPr>
            </w:pPr>
            <w:r>
              <w:rPr>
                <w:rFonts w:ascii="Arial" w:cs="Arial" w:eastAsia="Arial" w:hAnsi="Arial"/>
                <w:sz w:val="16"/>
                <w:szCs w:val="16"/>
                <w:b w:val="1"/>
                <w:bCs w:val="1"/>
                <w:color w:val="auto"/>
                <w:w w:val="88"/>
              </w:rPr>
              <w:t>Year ended December 31, 2023</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760" w:type="dxa"/>
            <w:vAlign w:val="bottom"/>
            <w:gridSpan w:val="2"/>
            <w:vMerge w:val="restart"/>
          </w:tcPr>
          <w:p>
            <w:pPr>
              <w:jc w:val="right"/>
              <w:ind w:right="4900"/>
              <w:spacing w:after="0"/>
              <w:rPr>
                <w:sz w:val="20"/>
                <w:szCs w:val="20"/>
                <w:color w:val="auto"/>
              </w:rPr>
            </w:pPr>
            <w:r>
              <w:rPr>
                <w:rFonts w:ascii="Arial" w:cs="Arial" w:eastAsia="Arial" w:hAnsi="Arial"/>
                <w:sz w:val="16"/>
                <w:szCs w:val="16"/>
                <w:b w:val="1"/>
                <w:bCs w:val="1"/>
                <w:color w:val="auto"/>
                <w:w w:val="93"/>
              </w:rPr>
              <w:t>(In millions)</w:t>
            </w:r>
          </w:p>
        </w:tc>
        <w:tc>
          <w:tcPr>
            <w:tcW w:w="240" w:type="dxa"/>
            <w:vAlign w:val="bottom"/>
          </w:tcPr>
          <w:p>
            <w:pPr>
              <w:spacing w:after="0"/>
              <w:rPr>
                <w:sz w:val="15"/>
                <w:szCs w:val="15"/>
                <w:color w:val="auto"/>
              </w:rPr>
            </w:pPr>
          </w:p>
        </w:tc>
        <w:tc>
          <w:tcPr>
            <w:tcW w:w="1140" w:type="dxa"/>
            <w:vAlign w:val="bottom"/>
          </w:tcPr>
          <w:p>
            <w:pPr>
              <w:jc w:val="right"/>
              <w:ind w:right="334"/>
              <w:spacing w:after="0" w:line="182" w:lineRule="exact"/>
              <w:rPr>
                <w:sz w:val="20"/>
                <w:szCs w:val="20"/>
                <w:color w:val="auto"/>
              </w:rPr>
            </w:pPr>
            <w:r>
              <w:rPr>
                <w:rFonts w:ascii="Arial" w:cs="Arial" w:eastAsia="Arial" w:hAnsi="Arial"/>
                <w:sz w:val="16"/>
                <w:szCs w:val="16"/>
                <w:b w:val="1"/>
                <w:bCs w:val="1"/>
                <w:color w:val="auto"/>
              </w:rPr>
              <w:t>Flexible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93"/>
              <w:spacing w:after="0" w:line="182" w:lineRule="exact"/>
              <w:rPr>
                <w:sz w:val="20"/>
                <w:szCs w:val="20"/>
                <w:color w:val="auto"/>
              </w:rPr>
            </w:pPr>
            <w:r>
              <w:rPr>
                <w:rFonts w:ascii="Arial" w:cs="Arial" w:eastAsia="Arial" w:hAnsi="Arial"/>
                <w:sz w:val="16"/>
                <w:szCs w:val="16"/>
                <w:b w:val="1"/>
                <w:bCs w:val="1"/>
                <w:color w:val="auto"/>
                <w:w w:val="88"/>
              </w:rPr>
              <w:t>Renewables &amp;</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vMerge w:val="restart"/>
          </w:tcPr>
          <w:p>
            <w:pPr>
              <w:jc w:val="right"/>
              <w:ind w:right="41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76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w w:val="97"/>
              </w:rPr>
              <w:t>Generation</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7"/>
              </w:rPr>
              <w:t>Storage</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760" w:type="dxa"/>
            <w:vAlign w:val="bottom"/>
            <w:gridSpan w:val="2"/>
          </w:tcPr>
          <w:p>
            <w:pPr>
              <w:jc w:val="right"/>
              <w:ind w:right="40"/>
              <w:spacing w:after="0" w:line="245" w:lineRule="exact"/>
              <w:rPr>
                <w:sz w:val="20"/>
                <w:szCs w:val="20"/>
                <w:color w:val="auto"/>
              </w:rPr>
            </w:pPr>
            <w:r>
              <w:rPr>
                <w:rFonts w:ascii="Arial" w:cs="Arial" w:eastAsia="Arial" w:hAnsi="Arial"/>
                <w:sz w:val="18"/>
                <w:szCs w:val="18"/>
                <w:color w:val="B4B4B4"/>
                <w:w w:val="91"/>
              </w:rPr>
              <w:t>. . . . . . . . . . . . . . . . . . . . . . . . . . . . . . . . . . . . . . . . . . . . . . . . .</w:t>
            </w:r>
            <w:r>
              <w:rPr>
                <w:rFonts w:ascii="Arial" w:cs="Arial" w:eastAsia="Arial" w:hAnsi="Arial"/>
                <w:sz w:val="18"/>
                <w:szCs w:val="18"/>
                <w:color w:val="000000"/>
                <w:w w:val="91"/>
              </w:rPr>
              <w:t>Energyrevenue</w:t>
            </w:r>
            <w:r>
              <w:rPr>
                <w:rFonts w:ascii="Arial" w:cs="Arial" w:eastAsia="Arial" w:hAnsi="Arial"/>
                <w:sz w:val="22"/>
                <w:szCs w:val="22"/>
                <w:color w:val="000000"/>
                <w:w w:val="91"/>
                <w:vertAlign w:val="superscript"/>
              </w:rPr>
              <w:t>(a)</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21"/>
                <w:szCs w:val="21"/>
                <w:color w:val="auto"/>
              </w:rPr>
            </w:pP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9"/>
        </w:trPr>
        <w:tc>
          <w:tcPr>
            <w:tcW w:w="5760" w:type="dxa"/>
            <w:vAlign w:val="bottom"/>
            <w:gridSpan w:val="2"/>
          </w:tcPr>
          <w:p>
            <w:pPr>
              <w:jc w:val="right"/>
              <w:ind w:right="40"/>
              <w:spacing w:after="0" w:line="249" w:lineRule="exact"/>
              <w:rPr>
                <w:sz w:val="20"/>
                <w:szCs w:val="20"/>
                <w:color w:val="auto"/>
              </w:rPr>
            </w:pPr>
            <w:r>
              <w:rPr>
                <w:rFonts w:ascii="Arial" w:cs="Arial" w:eastAsia="Arial" w:hAnsi="Arial"/>
                <w:sz w:val="18"/>
                <w:szCs w:val="18"/>
                <w:color w:val="auto"/>
                <w:w w:val="87"/>
              </w:rPr>
              <w:t xml:space="preserve">Capacity revenue </w:t>
            </w:r>
            <w:r>
              <w:rPr>
                <w:rFonts w:ascii="Arial" w:cs="Arial" w:eastAsia="Arial" w:hAnsi="Arial"/>
                <w:sz w:val="22"/>
                <w:szCs w:val="22"/>
                <w:color w:val="auto"/>
                <w:w w:val="87"/>
                <w:vertAlign w:val="superscript"/>
              </w:rPr>
              <w:t>(a)</w:t>
            </w:r>
            <w:r>
              <w:rPr>
                <w:rFonts w:ascii="Arial" w:cs="Arial" w:eastAsia="Arial" w:hAnsi="Arial"/>
                <w:sz w:val="18"/>
                <w:szCs w:val="18"/>
                <w:color w:val="auto"/>
                <w:w w:val="87"/>
              </w:rPr>
              <w:t xml:space="preserve">  </w:t>
            </w:r>
            <w:r>
              <w:rPr>
                <w:rFonts w:ascii="Arial" w:cs="Arial" w:eastAsia="Arial" w:hAnsi="Arial"/>
                <w:sz w:val="18"/>
                <w:szCs w:val="18"/>
                <w:color w:val="B4B4B4"/>
                <w:w w:val="87"/>
              </w:rPr>
              <w:t>. . . . . . . . . . . . . . . . . . . .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xml:space="preserve">Other revenues  </w:t>
            </w:r>
            <w:r>
              <w:rPr>
                <w:rFonts w:ascii="Arial" w:cs="Arial" w:eastAsia="Arial" w:hAnsi="Arial"/>
                <w:sz w:val="18"/>
                <w:szCs w:val="18"/>
                <w:color w:val="B4B4B4"/>
                <w:w w:val="89"/>
              </w:rPr>
              <w:t>. . . . . . . . . . . . . . . . . . . . . . . . . . . . . . . . . . . . . . . . . . . . . . . . . .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0"/>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xml:space="preserve">Contract amortization </w:t>
            </w:r>
            <w:r>
              <w:rPr>
                <w:rFonts w:ascii="Arial" w:cs="Arial" w:eastAsia="Arial" w:hAnsi="Arial"/>
                <w:sz w:val="18"/>
                <w:szCs w:val="18"/>
                <w:color w:val="B4B4B4"/>
                <w:w w:val="90"/>
              </w:rPr>
              <w:t>. . . . . . . . . . . . . . . . . .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5"/>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xml:space="preserve">Mark-to-market for economic hedges </w:t>
            </w:r>
            <w:r>
              <w:rPr>
                <w:rFonts w:ascii="Arial" w:cs="Arial" w:eastAsia="Arial" w:hAnsi="Arial"/>
                <w:sz w:val="18"/>
                <w:szCs w:val="18"/>
                <w:color w:val="B4B4B4"/>
                <w:w w:val="89"/>
              </w:rPr>
              <w:t>. . . . . . . . . . . . . . . . . . . . . . . . . . . . . . . . . .</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B4B4B4"/>
                <w:w w:val="92"/>
              </w:rPr>
              <w:t>. . . . . . . . . . . . . . . . . . . . . . . . . . . . . . . . . . . . . . . . . . .</w:t>
            </w:r>
            <w:r>
              <w:rPr>
                <w:rFonts w:ascii="Arial" w:cs="Arial" w:eastAsia="Arial" w:hAnsi="Arial"/>
                <w:sz w:val="18"/>
                <w:szCs w:val="18"/>
                <w:color w:val="000000"/>
                <w:w w:val="92"/>
              </w:rPr>
              <w:t>Totaloperatingrevenues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45"/>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xml:space="preserve">Less: Contract amortization </w:t>
            </w:r>
            <w:r>
              <w:rPr>
                <w:rFonts w:ascii="Arial" w:cs="Arial" w:eastAsia="Arial" w:hAnsi="Arial"/>
                <w:sz w:val="18"/>
                <w:szCs w:val="18"/>
                <w:color w:val="B4B4B4"/>
                <w:w w:val="89"/>
              </w:rPr>
              <w:t>. . . . . . . . . . . . . .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0"/>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xml:space="preserve">Less: Mark-to-market for economic hedges </w:t>
            </w:r>
            <w:r>
              <w:rPr>
                <w:rFonts w:ascii="Arial" w:cs="Arial" w:eastAsia="Arial" w:hAnsi="Arial"/>
                <w:sz w:val="18"/>
                <w:szCs w:val="18"/>
                <w:color w:val="B4B4B4"/>
                <w:w w:val="90"/>
              </w:rPr>
              <w:t>. . . . . . . . . . . . . . . . . . . . . . . . . . . .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5"/>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 xml:space="preserve">Less: Lease revenue </w:t>
            </w:r>
            <w:r>
              <w:rPr>
                <w:rFonts w:ascii="Arial" w:cs="Arial" w:eastAsia="Arial" w:hAnsi="Arial"/>
                <w:sz w:val="18"/>
                <w:szCs w:val="18"/>
                <w:color w:val="B4B4B4"/>
                <w:w w:val="88"/>
              </w:rPr>
              <w:t>. . . . . . . . . . . . . . . . . . . . . . . . . . . . . . . . . . . . . . . . . . . . . . . .</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0"/>
        </w:trPr>
        <w:tc>
          <w:tcPr>
            <w:tcW w:w="576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xml:space="preserve">Total revenue from contracts with customers </w:t>
            </w:r>
            <w:r>
              <w:rPr>
                <w:rFonts w:ascii="Arial" w:cs="Arial" w:eastAsia="Arial" w:hAnsi="Arial"/>
                <w:sz w:val="18"/>
                <w:szCs w:val="18"/>
                <w:color w:val="B4B4B4"/>
                <w:w w:val="91"/>
              </w:rPr>
              <w:t>. . . . . . . . . . . . . . . . . . . . . . . . . . .</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3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3663315</wp:posOffset>
                </wp:positionH>
                <wp:positionV relativeFrom="paragraph">
                  <wp:posOffset>-1981835</wp:posOffset>
                </wp:positionV>
                <wp:extent cx="182054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054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45pt,-156.0499pt" to="431.8pt,-156.0499pt" o:allowincell="f" strokecolor="#000000" strokeweight="0pt"/>
            </w:pict>
          </mc:Fallback>
        </mc:AlternateContent>
        <w:drawing>
          <wp:anchor simplePos="0" relativeHeight="251657728" behindDoc="1" locked="0" layoutInCell="0" allowOverlap="1">
            <wp:simplePos x="0" y="0"/>
            <wp:positionH relativeFrom="column">
              <wp:posOffset>-16510</wp:posOffset>
            </wp:positionH>
            <wp:positionV relativeFrom="paragraph">
              <wp:posOffset>-1732915</wp:posOffset>
            </wp:positionV>
            <wp:extent cx="6382385" cy="16433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1">
                      <a:extLst>
                        <a:ext uri="{28A0092B-C50C-407E-A947-70E740481C1C}"/>
                      </a:extLst>
                    </a:blip>
                    <a:srcRect/>
                    <a:stretch>
                      <a:fillRect/>
                    </a:stretch>
                  </pic:blipFill>
                  <pic:spPr bwMode="auto">
                    <a:xfrm>
                      <a:off x="0" y="0"/>
                      <a:ext cx="6382385" cy="1643380"/>
                    </a:xfrm>
                    <a:prstGeom prst="rect">
                      <a:avLst/>
                    </a:prstGeom>
                    <a:noFill/>
                  </pic:spPr>
                </pic:pic>
              </a:graphicData>
            </a:graphic>
          </wp:anchor>
        </w:drawing>
      </w:r>
    </w:p>
    <w:p>
      <w:pPr>
        <w:ind w:left="280" w:hanging="199"/>
        <w:spacing w:after="0"/>
        <w:tabs>
          <w:tab w:leader="none" w:pos="280" w:val="left"/>
        </w:tabs>
        <w:numPr>
          <w:ilvl w:val="0"/>
          <w:numId w:val="43"/>
        </w:numPr>
        <w:rPr>
          <w:rFonts w:ascii="Arial" w:cs="Arial" w:eastAsia="Arial" w:hAnsi="Arial"/>
          <w:sz w:val="23"/>
          <w:szCs w:val="23"/>
          <w:color w:val="auto"/>
          <w:vertAlign w:val="superscript"/>
        </w:rPr>
      </w:pPr>
      <w:r>
        <w:rPr>
          <w:rFonts w:ascii="Arial" w:cs="Arial" w:eastAsia="Arial" w:hAnsi="Arial"/>
          <w:sz w:val="16"/>
          <w:szCs w:val="16"/>
          <w:color w:val="auto"/>
        </w:rPr>
        <w:t xml:space="preserve">See Note 17, </w:t>
      </w:r>
      <w:r>
        <w:rPr>
          <w:rFonts w:ascii="Arial" w:cs="Arial" w:eastAsia="Arial" w:hAnsi="Arial"/>
          <w:sz w:val="16"/>
          <w:szCs w:val="16"/>
          <w:b w:val="1"/>
          <w:bCs w:val="1"/>
          <w:i w:val="1"/>
          <w:iCs w:val="1"/>
          <w:color w:val="auto"/>
        </w:rPr>
        <w:t>Leases</w:t>
      </w:r>
      <w:r>
        <w:rPr>
          <w:rFonts w:ascii="Arial" w:cs="Arial" w:eastAsia="Arial" w:hAnsi="Arial"/>
          <w:sz w:val="16"/>
          <w:szCs w:val="16"/>
          <w:color w:val="auto"/>
        </w:rPr>
        <w:t>, for the amounts of energy and capacity revenues that relate to leases and are accounted for under ASC 842.</w:t>
      </w:r>
    </w:p>
    <w:p>
      <w:pPr>
        <w:sectPr>
          <w:pgSz w:w="11880" w:h="15480" w:orient="portrait"/>
          <w:cols w:equalWidth="0" w:num="1">
            <w:col w:w="10040"/>
          </w:cols>
          <w:pgMar w:left="920" w:top="58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0040"/>
          </w:cols>
          <w:pgMar w:left="920" w:top="583" w:right="920" w:bottom="0" w:gutter="0" w:footer="0" w:header="0"/>
          <w:type w:val="continuous"/>
        </w:sectPr>
      </w:pPr>
    </w:p>
    <w:bookmarkStart w:id="93" w:name="page94"/>
    <w:bookmarkEnd w:id="93"/>
    <w:p>
      <w:pPr>
        <w:ind w:left="440"/>
        <w:spacing w:after="0"/>
        <w:rPr>
          <w:sz w:val="20"/>
          <w:szCs w:val="20"/>
          <w:color w:val="auto"/>
        </w:rPr>
      </w:pPr>
      <w:r>
        <w:rPr>
          <w:rFonts w:ascii="Arial" w:cs="Arial" w:eastAsia="Arial" w:hAnsi="Arial"/>
          <w:sz w:val="20"/>
          <w:szCs w:val="20"/>
          <w:b w:val="1"/>
          <w:bCs w:val="1"/>
          <w:i w:val="1"/>
          <w:iCs w:val="1"/>
          <w:color w:val="auto"/>
        </w:rPr>
        <w:t>Contract Amortization</w:t>
      </w:r>
    </w:p>
    <w:p>
      <w:pPr>
        <w:spacing w:after="0" w:line="183"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Contract Balances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reflects the contract assets included on the Company’s consolidated balance sheets: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680" w:type="dxa"/>
            <w:vAlign w:val="bottom"/>
          </w:tcPr>
          <w:p>
            <w:pPr>
              <w:jc w:val="right"/>
              <w:ind w:right="5774"/>
              <w:spacing w:after="0"/>
              <w:rPr>
                <w:sz w:val="20"/>
                <w:szCs w:val="20"/>
                <w:color w:val="auto"/>
              </w:rPr>
            </w:pPr>
            <w:r>
              <w:rPr>
                <w:rFonts w:ascii="Arial" w:cs="Arial" w:eastAsia="Arial" w:hAnsi="Arial"/>
                <w:sz w:val="16"/>
                <w:szCs w:val="16"/>
                <w:b w:val="1"/>
                <w:bCs w:val="1"/>
                <w:color w:val="auto"/>
                <w:w w:val="89"/>
              </w:rPr>
              <w:t>(In millions)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w w:val="87"/>
              </w:rPr>
              <w:t>December 31, 2025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w w:val="87"/>
              </w:rPr>
              <w:t>December 31, 2024</w:t>
            </w:r>
          </w:p>
        </w:tc>
      </w:tr>
      <w:tr>
        <w:trPr>
          <w:trHeight w:val="229"/>
        </w:trPr>
        <w:tc>
          <w:tcPr>
            <w:tcW w:w="6680" w:type="dxa"/>
            <w:vAlign w:val="bottom"/>
          </w:tcPr>
          <w:p>
            <w:pPr>
              <w:jc w:val="right"/>
              <w:ind w:right="54"/>
              <w:spacing w:after="0"/>
              <w:rPr>
                <w:sz w:val="20"/>
                <w:szCs w:val="20"/>
                <w:color w:val="auto"/>
              </w:rPr>
            </w:pPr>
            <w:r>
              <w:rPr>
                <w:rFonts w:ascii="Arial" w:cs="Arial" w:eastAsia="Arial" w:hAnsi="Arial"/>
                <w:sz w:val="18"/>
                <w:szCs w:val="18"/>
                <w:color w:val="B4B4B4"/>
                <w:w w:val="93"/>
              </w:rPr>
              <w:t>. . . . . . . . . . . . . . . . . . . . . . . . . . . . . . . .</w:t>
            </w:r>
            <w:r>
              <w:rPr>
                <w:rFonts w:ascii="Arial" w:cs="Arial" w:eastAsia="Arial" w:hAnsi="Arial"/>
                <w:sz w:val="18"/>
                <w:szCs w:val="18"/>
                <w:color w:val="000000"/>
                <w:w w:val="93"/>
              </w:rPr>
              <w:t>Accountsreceivable,net-Contractswithcustomers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1"/>
        </w:trPr>
        <w:tc>
          <w:tcPr>
            <w:tcW w:w="6680" w:type="dxa"/>
            <w:vAlign w:val="bottom"/>
          </w:tcPr>
          <w:p>
            <w:pPr>
              <w:jc w:val="right"/>
              <w:ind w:right="54"/>
              <w:spacing w:after="0"/>
              <w:rPr>
                <w:sz w:val="20"/>
                <w:szCs w:val="20"/>
                <w:color w:val="auto"/>
              </w:rPr>
            </w:pPr>
            <w:r>
              <w:rPr>
                <w:rFonts w:ascii="Arial" w:cs="Arial" w:eastAsia="Arial" w:hAnsi="Arial"/>
                <w:sz w:val="18"/>
                <w:szCs w:val="18"/>
                <w:color w:val="auto"/>
                <w:w w:val="88"/>
              </w:rPr>
              <w:t xml:space="preserve">Accounts receivable, net - Leases </w:t>
            </w:r>
            <w:r>
              <w:rPr>
                <w:rFonts w:ascii="Arial" w:cs="Arial" w:eastAsia="Arial" w:hAnsi="Arial"/>
                <w:sz w:val="18"/>
                <w:szCs w:val="18"/>
                <w:color w:val="B4B4B4"/>
                <w:w w:val="88"/>
              </w:rPr>
              <w:t>. . . . . . . . . . . . . . . . . . . . . . . . . . . . . . . . . . . . . . . . . . . . . . .</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10"/>
        </w:trPr>
        <w:tc>
          <w:tcPr>
            <w:tcW w:w="6680" w:type="dxa"/>
            <w:vAlign w:val="bottom"/>
          </w:tcPr>
          <w:p>
            <w:pPr>
              <w:jc w:val="right"/>
              <w:ind w:right="54"/>
              <w:spacing w:after="0"/>
              <w:rPr>
                <w:sz w:val="20"/>
                <w:szCs w:val="20"/>
                <w:color w:val="auto"/>
              </w:rPr>
            </w:pPr>
            <w:r>
              <w:rPr>
                <w:rFonts w:ascii="Arial" w:cs="Arial" w:eastAsia="Arial" w:hAnsi="Arial"/>
                <w:sz w:val="18"/>
                <w:szCs w:val="18"/>
                <w:color w:val="B4B4B4"/>
                <w:w w:val="93"/>
              </w:rPr>
              <w:t>. . . . . . . . . . . . . . . . . . . . . . . . . . . . . . . . . . . . . . . . . . . . . . . .</w:t>
            </w:r>
            <w:r>
              <w:rPr>
                <w:rFonts w:ascii="Arial" w:cs="Arial" w:eastAsia="Arial" w:hAnsi="Arial"/>
                <w:sz w:val="18"/>
                <w:szCs w:val="18"/>
                <w:color w:val="000000"/>
                <w:w w:val="93"/>
              </w:rPr>
              <w:t>Totalaccountsreceivable,net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6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-506730</wp:posOffset>
            </wp:positionV>
            <wp:extent cx="6335395" cy="513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
                      <a:extLst>
                        <a:ext uri="{28A0092B-C50C-407E-A947-70E740481C1C}"/>
                      </a:extLst>
                    </a:blip>
                    <a:srcRect/>
                    <a:stretch>
                      <a:fillRect/>
                    </a:stretch>
                  </pic:blipFill>
                  <pic:spPr bwMode="auto">
                    <a:xfrm>
                      <a:off x="0" y="0"/>
                      <a:ext cx="6335395" cy="51371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Financial Instruments</w:t>
      </w:r>
    </w:p>
    <w:p>
      <w:pPr>
        <w:spacing w:after="0" w:line="187"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9"/>
          <w:szCs w:val="19"/>
          <w:color w:val="auto"/>
        </w:rPr>
        <w:t xml:space="preserve">The Company accounts for derivative financial instruments under ASC 815, </w:t>
      </w:r>
      <w:r>
        <w:rPr>
          <w:rFonts w:ascii="Arial" w:cs="Arial" w:eastAsia="Arial" w:hAnsi="Arial"/>
          <w:sz w:val="19"/>
          <w:szCs w:val="19"/>
          <w:b w:val="1"/>
          <w:bCs w:val="1"/>
          <w:i w:val="1"/>
          <w:iCs w:val="1"/>
          <w:color w:val="auto"/>
        </w:rPr>
        <w:t>Derivatives and Hedging</w:t>
      </w:r>
      <w:r>
        <w:rPr>
          <w:rFonts w:ascii="Arial" w:cs="Arial" w:eastAsia="Arial" w:hAnsi="Arial"/>
          <w:sz w:val="19"/>
          <w:szCs w:val="19"/>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deferred and recorded as a component of accumulated OCI/OCL until the hedged transactions occur and are recognized in earnings.</w:t>
      </w:r>
    </w:p>
    <w:p>
      <w:pPr>
        <w:spacing w:after="0" w:line="134"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9"/>
          <w:szCs w:val="19"/>
          <w:color w:val="auto"/>
        </w:rPr>
        <w:t>The Company’s primary derivative financial instruments are interest rate instruments used to mitigate variability in earnings due to fluctuations in interest rates and energy-related instruments used to mitigate variability in earnings due to fluctuations in power market prices or natural gas market prices. Certain derivative contracts contain provisions providing the counterparties a lien on specific assets as collateral.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OCI/OCL would be frozen until the underlying hedged item is delivered unless the transaction being hedged is no longer probable of occurring in which case the amount in accumulated OCI/OCL would be immediately reclassified into earnings. If the derivative financial instrument is terminated, the effective portion of this derivative deferred in accumulated OCI/OCL will be frozen until the underlying hedged item is delivered.</w:t>
      </w:r>
    </w:p>
    <w:p>
      <w:pPr>
        <w:spacing w:after="0" w:line="145"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0"/>
          <w:szCs w:val="20"/>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50" w:lineRule="exact"/>
        <w:rPr>
          <w:sz w:val="20"/>
          <w:szCs w:val="20"/>
          <w:color w:val="auto"/>
        </w:rPr>
      </w:pPr>
    </w:p>
    <w:p>
      <w:pPr>
        <w:jc w:val="both"/>
        <w:ind w:firstLine="441"/>
        <w:spacing w:after="0" w:line="361" w:lineRule="auto"/>
        <w:rPr>
          <w:sz w:val="20"/>
          <w:szCs w:val="20"/>
          <w:color w:val="auto"/>
        </w:rPr>
      </w:pPr>
      <w:r>
        <w:rPr>
          <w:rFonts w:ascii="Arial" w:cs="Arial" w:eastAsia="Arial" w:hAnsi="Arial"/>
          <w:sz w:val="17"/>
          <w:szCs w:val="17"/>
          <w:color w:val="auto"/>
        </w:rPr>
        <w:t>Cash flows from derivative financial instruments, including derivatives designated as cash flow hedges and derivatives not designated as cash flow hedges, are classified as operating activities in the consolidated statements of cash flows.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Concentrations of Credit Risk</w:t>
      </w:r>
    </w:p>
    <w:p>
      <w:pPr>
        <w:spacing w:after="0" w:line="189"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primarily of accounts receivable — trade and derivative financial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facilities have only one customer</w:t>
      </w:r>
      <w:r>
        <w:rPr>
          <w:rFonts w:ascii="Arial" w:cs="Arial" w:eastAsia="Arial" w:hAnsi="Arial"/>
          <w:sz w:val="17"/>
          <w:szCs w:val="17"/>
          <w:color w:val="424242"/>
        </w:rPr>
        <w:t>.</w:t>
      </w:r>
      <w:r>
        <w:rPr>
          <w:rFonts w:ascii="Arial" w:cs="Arial" w:eastAsia="Arial" w:hAnsi="Arial"/>
          <w:sz w:val="17"/>
          <w:szCs w:val="17"/>
          <w:color w:val="auto"/>
        </w:rPr>
        <w:t xml:space="preserve"> See Note 6, </w:t>
      </w:r>
      <w:r>
        <w:rPr>
          <w:rFonts w:ascii="Arial" w:cs="Arial" w:eastAsia="Arial" w:hAnsi="Arial"/>
          <w:sz w:val="17"/>
          <w:szCs w:val="17"/>
          <w:b w:val="1"/>
          <w:bCs w:val="1"/>
          <w:i w:val="1"/>
          <w:iCs w:val="1"/>
          <w:color w:val="auto"/>
        </w:rPr>
        <w:t>Fair Value of Financial Instruments,</w:t>
      </w:r>
      <w:r>
        <w:rPr>
          <w:rFonts w:ascii="Arial" w:cs="Arial" w:eastAsia="Arial" w:hAnsi="Arial"/>
          <w:sz w:val="17"/>
          <w:szCs w:val="17"/>
          <w:color w:val="auto"/>
        </w:rPr>
        <w:t xml:space="preserve"> for a further discussion of derivative concentrations and Note 13, </w:t>
      </w:r>
      <w:r>
        <w:rPr>
          <w:rFonts w:ascii="Arial" w:cs="Arial" w:eastAsia="Arial" w:hAnsi="Arial"/>
          <w:sz w:val="17"/>
          <w:szCs w:val="17"/>
          <w:b w:val="1"/>
          <w:bCs w:val="1"/>
          <w:i w:val="1"/>
          <w:iCs w:val="1"/>
          <w:color w:val="auto"/>
        </w:rPr>
        <w:t>Segment Reporting</w:t>
      </w:r>
      <w:r>
        <w:rPr>
          <w:rFonts w:ascii="Arial" w:cs="Arial" w:eastAsia="Arial" w:hAnsi="Arial"/>
          <w:sz w:val="17"/>
          <w:szCs w:val="17"/>
          <w:color w:val="auto"/>
        </w:rPr>
        <w:t>, for concentration of counterparties.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18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 xml:space="preserve">The carrying amount of cash and cash equivalents, restricted cash, accounts receivable — trade, accounts receivable — affiliates, accounts payable — trade, accounts payable — affiliates and accrued expenses and other current liabilities approximate fair value because of the short-term maturity of these instruments. See Note 6, </w:t>
      </w:r>
      <w:r>
        <w:rPr>
          <w:rFonts w:ascii="Arial" w:cs="Arial" w:eastAsia="Arial" w:hAnsi="Arial"/>
          <w:sz w:val="20"/>
          <w:szCs w:val="20"/>
          <w:b w:val="1"/>
          <w:bCs w:val="1"/>
          <w:i w:val="1"/>
          <w:iCs w:val="1"/>
          <w:color w:val="auto"/>
        </w:rPr>
        <w:t>Fair Value of Financial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Instruments, </w:t>
      </w:r>
      <w:r>
        <w:rPr>
          <w:rFonts w:ascii="Arial" w:cs="Arial" w:eastAsia="Arial" w:hAnsi="Arial"/>
          <w:sz w:val="20"/>
          <w:szCs w:val="20"/>
          <w:color w:val="auto"/>
        </w:rPr>
        <w:t>for a further discussion of fair value of financial instruments.</w:t>
      </w:r>
    </w:p>
    <w:p>
      <w:pPr>
        <w:sectPr>
          <w:pgSz w:w="11880" w:h="15480" w:orient="portrait"/>
          <w:cols w:equalWidth="0" w:num="1">
            <w:col w:w="10040"/>
          </w:cols>
          <w:pgMar w:left="920" w:top="583" w:right="920" w:bottom="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0040"/>
          </w:cols>
          <w:pgMar w:left="920" w:top="583" w:right="920" w:bottom="0" w:gutter="0" w:footer="0" w:header="0"/>
          <w:type w:val="continuous"/>
        </w:sectPr>
      </w:pPr>
    </w:p>
    <w:bookmarkStart w:id="94" w:name="page95"/>
    <w:bookmarkEnd w:id="94"/>
    <w:p>
      <w:pPr>
        <w:spacing w:after="0"/>
        <w:rPr>
          <w:sz w:val="20"/>
          <w:szCs w:val="20"/>
          <w:color w:val="auto"/>
        </w:rPr>
      </w:pPr>
      <w:r>
        <w:rPr>
          <w:rFonts w:ascii="Arial" w:cs="Arial" w:eastAsia="Arial" w:hAnsi="Arial"/>
          <w:sz w:val="20"/>
          <w:szCs w:val="20"/>
          <w:b w:val="1"/>
          <w:bCs w:val="1"/>
          <w:i w:val="1"/>
          <w:iCs w:val="1"/>
          <w:color w:val="auto"/>
        </w:rPr>
        <w:t>Asset Retirement Obligations</w:t>
      </w:r>
    </w:p>
    <w:p>
      <w:pPr>
        <w:spacing w:after="0" w:line="187"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 xml:space="preserve">Asset retirement obligations, or AROs, are accounted for in accordance with ASC 410-20, </w:t>
      </w:r>
      <w:r>
        <w:rPr>
          <w:rFonts w:ascii="Arial" w:cs="Arial" w:eastAsia="Arial" w:hAnsi="Arial"/>
          <w:sz w:val="19"/>
          <w:szCs w:val="19"/>
          <w:b w:val="1"/>
          <w:bCs w:val="1"/>
          <w:i w:val="1"/>
          <w:iCs w:val="1"/>
          <w:color w:val="auto"/>
        </w:rPr>
        <w:t>Asset Retirement Obligations,</w:t>
      </w:r>
      <w:r>
        <w:rPr>
          <w:rFonts w:ascii="Arial" w:cs="Arial" w:eastAsia="Arial" w:hAnsi="Arial"/>
          <w:sz w:val="19"/>
          <w:szCs w:val="19"/>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3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 represents the balance of AROs, along with the related activity:</w:t>
      </w:r>
    </w:p>
    <w:p>
      <w:pPr>
        <w:sectPr>
          <w:pgSz w:w="11880" w:h="15480" w:orient="portrait"/>
          <w:cols w:equalWidth="0" w:num="1">
            <w:col w:w="10040"/>
          </w:cols>
          <w:pgMar w:left="920" w:top="577" w:right="920" w:bottom="0" w:gutter="0" w:footer="0" w:header="0"/>
        </w:sectPr>
      </w:pP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12700</wp:posOffset>
            </wp:positionV>
            <wp:extent cx="6410325" cy="2035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3">
                      <a:extLst>
                        <a:ext uri="{28A0092B-C50C-407E-A947-70E740481C1C}"/>
                      </a:extLst>
                    </a:blip>
                    <a:srcRect/>
                    <a:stretch>
                      <a:fillRect/>
                    </a:stretch>
                  </pic:blipFill>
                  <pic:spPr bwMode="auto">
                    <a:xfrm>
                      <a:off x="0" y="0"/>
                      <a:ext cx="6410325" cy="2035175"/>
                    </a:xfrm>
                    <a:prstGeom prst="rect">
                      <a:avLst/>
                    </a:prstGeom>
                    <a:noFill/>
                  </pic:spPr>
                </pic:pic>
              </a:graphicData>
            </a:graphic>
          </wp:anchor>
        </w:drawing>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Balance as of December 31, 2023 </w:t>
      </w:r>
      <w:r>
        <w:rPr>
          <w:rFonts w:ascii="Arial" w:cs="Arial" w:eastAsia="Arial" w:hAnsi="Arial"/>
          <w:sz w:val="17"/>
          <w:szCs w:val="17"/>
          <w:b w:val="1"/>
          <w:bCs w:val="1"/>
          <w:color w:val="B4B4B4"/>
        </w:rPr>
        <w:t>. . . . . . . . . . . . . . . . . . . . . . . . . . . . . . . . . . . . . . . . . . . . . . . . . . . . . . . . . .</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Revisions in estimated cash flows </w:t>
      </w:r>
      <w:r>
        <w:rPr>
          <w:rFonts w:ascii="Arial" w:cs="Arial" w:eastAsia="Arial" w:hAnsi="Arial"/>
          <w:sz w:val="17"/>
          <w:szCs w:val="17"/>
          <w:color w:val="B4B4B4"/>
        </w:rPr>
        <w:t>. . . . . . . . . . . . . . . . . . . . . . . . . . . . . . . . . . . . . . . . . . . . . . . . . . . . . . . . . .</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Liabilities incurred  </w:t>
      </w:r>
      <w:r>
        <w:rPr>
          <w:rFonts w:ascii="Arial" w:cs="Arial" w:eastAsia="Arial" w:hAnsi="Arial"/>
          <w:sz w:val="17"/>
          <w:szCs w:val="17"/>
          <w:color w:val="B4B4B4"/>
        </w:rPr>
        <w:t>. . . . . . . . . . . . . . . . . . . . . . . . . . . . . . . . . . . . . . . . . . . . . . . . . . . . . . . . . . . . . . . . . . . . .</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Liabilities settled </w:t>
      </w:r>
      <w:r>
        <w:rPr>
          <w:rFonts w:ascii="Arial" w:cs="Arial" w:eastAsia="Arial" w:hAnsi="Arial"/>
          <w:sz w:val="17"/>
          <w:szCs w:val="17"/>
          <w:color w:val="B4B4B4"/>
        </w:rPr>
        <w:t>. . . . . . . . . . . . . . . . . . . . . . . . . . . . . . . . . . . . . . . . . . . . . . . . . . . . . . . . . . . . . . . . . . . . . . .</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Accretion expense </w:t>
      </w:r>
      <w:r>
        <w:rPr>
          <w:rFonts w:ascii="Arial" w:cs="Arial" w:eastAsia="Arial" w:hAnsi="Arial"/>
          <w:sz w:val="17"/>
          <w:szCs w:val="17"/>
          <w:color w:val="B4B4B4"/>
        </w:rPr>
        <w:t>. . . . . . . . . . . . . . . . . . . . . . . . . . . . . . . . . . . . . . . . . . . . . . . . . . . . . . . . . . . . . . . . . . . . . .</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Balance as of December 31, 2024 </w:t>
      </w:r>
      <w:r>
        <w:rPr>
          <w:rFonts w:ascii="Arial" w:cs="Arial" w:eastAsia="Arial" w:hAnsi="Arial"/>
          <w:sz w:val="17"/>
          <w:szCs w:val="17"/>
          <w:b w:val="1"/>
          <w:bCs w:val="1"/>
          <w:color w:val="B4B4B4"/>
        </w:rPr>
        <w:t>. . . . . . . . . . . . . . . . . . . . . . . . . . . . . . . . . . . . . . . . . . . . . . . . . . . . . . . . . .</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Revisions in estimated cash flows </w:t>
      </w:r>
      <w:r>
        <w:rPr>
          <w:rFonts w:ascii="Arial" w:cs="Arial" w:eastAsia="Arial" w:hAnsi="Arial"/>
          <w:sz w:val="17"/>
          <w:szCs w:val="17"/>
          <w:color w:val="B4B4B4"/>
        </w:rPr>
        <w:t>. . . . . . . . . . . . . . . . . . . . . . . . . . . .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Liabilities incurred  </w:t>
      </w:r>
      <w:r>
        <w:rPr>
          <w:rFonts w:ascii="Arial" w:cs="Arial" w:eastAsia="Arial" w:hAnsi="Arial"/>
          <w:sz w:val="17"/>
          <w:szCs w:val="17"/>
          <w:color w:val="B4B4B4"/>
        </w:rPr>
        <w:t>. . . . . . . . . . . . . . . . . . . . . . . . . . . . . . . . . . . . . . .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Liabilities settled </w:t>
      </w:r>
      <w:r>
        <w:rPr>
          <w:rFonts w:ascii="Arial" w:cs="Arial" w:eastAsia="Arial" w:hAnsi="Arial"/>
          <w:sz w:val="17"/>
          <w:szCs w:val="17"/>
          <w:color w:val="B4B4B4"/>
        </w:rPr>
        <w:t>. . . . . . . . . . . . . . . . . . . . . . . . . . . . . . . . . . . . . . . . .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Accretion expense </w:t>
      </w:r>
      <w:r>
        <w:rPr>
          <w:rFonts w:ascii="Arial" w:cs="Arial" w:eastAsia="Arial" w:hAnsi="Arial"/>
          <w:sz w:val="17"/>
          <w:szCs w:val="17"/>
          <w:color w:val="B4B4B4"/>
        </w:rPr>
        <w:t>. . . . . . . . . . . . . . . . . . . . . . . . . . . . . . . . . . . . . . . . . . . . . . . . . . . . . . . . . . . . . . . . . . . . . .</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Balance as of December 31, 2025 </w:t>
      </w:r>
      <w:r>
        <w:rPr>
          <w:rFonts w:ascii="Arial" w:cs="Arial" w:eastAsia="Arial" w:hAnsi="Arial"/>
          <w:sz w:val="17"/>
          <w:szCs w:val="17"/>
          <w:b w:val="1"/>
          <w:bCs w:val="1"/>
          <w:color w:val="B4B4B4"/>
        </w:rPr>
        <w:t>. . . . . . . . . . . . . . . . . . . . . . . . . . . . . . . . . . . . . . . . . . . . . . . . . . . . . . . . . .</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1060" w:hanging="1051"/>
        <w:spacing w:after="0"/>
        <w:tabs>
          <w:tab w:leader="none" w:pos="10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239</w:t>
      </w:r>
    </w:p>
    <w:p>
      <w:pPr>
        <w:spacing w:after="0" w:line="49" w:lineRule="exact"/>
        <w:rPr>
          <w:rFonts w:ascii="Arial" w:cs="Arial" w:eastAsia="Arial" w:hAnsi="Arial"/>
          <w:sz w:val="20"/>
          <w:szCs w:val="20"/>
          <w:color w:val="auto"/>
        </w:rPr>
      </w:pPr>
    </w:p>
    <w:p>
      <w:pPr>
        <w:ind w:left="1180"/>
        <w:spacing w:after="0"/>
        <w:rPr>
          <w:rFonts w:ascii="Arial" w:cs="Arial" w:eastAsia="Arial" w:hAnsi="Arial"/>
          <w:sz w:val="20"/>
          <w:szCs w:val="20"/>
          <w:color w:val="auto"/>
        </w:rPr>
      </w:pPr>
      <w:r>
        <w:rPr>
          <w:rFonts w:ascii="Arial" w:cs="Arial" w:eastAsia="Arial" w:hAnsi="Arial"/>
          <w:sz w:val="19"/>
          <w:szCs w:val="19"/>
          <w:color w:val="auto"/>
        </w:rPr>
        <w:t>(1)</w:t>
      </w:r>
    </w:p>
    <w:p>
      <w:pPr>
        <w:spacing w:after="0" w:line="60" w:lineRule="exact"/>
        <w:rPr>
          <w:rFonts w:ascii="Arial" w:cs="Arial" w:eastAsia="Arial" w:hAnsi="Arial"/>
          <w:sz w:val="20"/>
          <w:szCs w:val="20"/>
          <w:color w:val="auto"/>
        </w:rPr>
      </w:pPr>
    </w:p>
    <w:p>
      <w:pPr>
        <w:ind w:left="1160"/>
        <w:spacing w:after="0"/>
        <w:rPr>
          <w:rFonts w:ascii="Arial" w:cs="Arial" w:eastAsia="Arial" w:hAnsi="Arial"/>
          <w:sz w:val="20"/>
          <w:szCs w:val="20"/>
          <w:color w:val="auto"/>
        </w:rPr>
      </w:pPr>
      <w:r>
        <w:rPr>
          <w:rFonts w:ascii="Arial" w:cs="Arial" w:eastAsia="Arial" w:hAnsi="Arial"/>
          <w:sz w:val="20"/>
          <w:szCs w:val="20"/>
          <w:color w:val="auto"/>
        </w:rPr>
        <w:t>14</w:t>
      </w:r>
    </w:p>
    <w:p>
      <w:pPr>
        <w:spacing w:after="0" w:line="49" w:lineRule="exact"/>
        <w:rPr>
          <w:rFonts w:ascii="Arial" w:cs="Arial" w:eastAsia="Arial" w:hAnsi="Arial"/>
          <w:sz w:val="20"/>
          <w:szCs w:val="20"/>
          <w:color w:val="auto"/>
        </w:rPr>
      </w:pPr>
    </w:p>
    <w:p>
      <w:pPr>
        <w:ind w:left="1180"/>
        <w:spacing w:after="0"/>
        <w:rPr>
          <w:rFonts w:ascii="Arial" w:cs="Arial" w:eastAsia="Arial" w:hAnsi="Arial"/>
          <w:sz w:val="20"/>
          <w:szCs w:val="20"/>
          <w:color w:val="auto"/>
        </w:rPr>
      </w:pPr>
      <w:r>
        <w:rPr>
          <w:rFonts w:ascii="Arial" w:cs="Arial" w:eastAsia="Arial" w:hAnsi="Arial"/>
          <w:sz w:val="19"/>
          <w:szCs w:val="19"/>
          <w:color w:val="auto"/>
        </w:rPr>
        <w:t>(2)</w:t>
      </w:r>
    </w:p>
    <w:p>
      <w:pPr>
        <w:spacing w:after="0" w:line="60" w:lineRule="exact"/>
        <w:rPr>
          <w:rFonts w:ascii="Arial" w:cs="Arial" w:eastAsia="Arial" w:hAnsi="Arial"/>
          <w:sz w:val="20"/>
          <w:szCs w:val="20"/>
          <w:color w:val="auto"/>
        </w:rPr>
      </w:pPr>
    </w:p>
    <w:p>
      <w:pPr>
        <w:ind w:left="1160"/>
        <w:spacing w:after="0"/>
        <w:rPr>
          <w:rFonts w:ascii="Arial" w:cs="Arial" w:eastAsia="Arial" w:hAnsi="Arial"/>
          <w:sz w:val="20"/>
          <w:szCs w:val="20"/>
          <w:color w:val="auto"/>
        </w:rPr>
      </w:pPr>
      <w:r>
        <w:rPr>
          <w:rFonts w:ascii="Arial" w:cs="Arial" w:eastAsia="Arial" w:hAnsi="Arial"/>
          <w:sz w:val="20"/>
          <w:szCs w:val="20"/>
          <w:color w:val="auto"/>
        </w:rPr>
        <w:t>16</w:t>
      </w:r>
    </w:p>
    <w:p>
      <w:pPr>
        <w:spacing w:after="0" w:line="49"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266</w:t>
      </w:r>
    </w:p>
    <w:p>
      <w:pPr>
        <w:spacing w:after="0" w:line="64"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7</w:t>
      </w:r>
    </w:p>
    <w:p>
      <w:pPr>
        <w:spacing w:after="0" w:line="64"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38</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64"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18</w:t>
      </w:r>
    </w:p>
    <w:p>
      <w:pPr>
        <w:spacing w:after="0" w:line="64" w:lineRule="exact"/>
        <w:rPr>
          <w:sz w:val="20"/>
          <w:szCs w:val="20"/>
          <w:color w:val="auto"/>
        </w:rPr>
      </w:pPr>
    </w:p>
    <w:p>
      <w:pPr>
        <w:ind w:left="1060" w:hanging="1051"/>
        <w:spacing w:after="0"/>
        <w:tabs>
          <w:tab w:leader="none" w:pos="10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324</w:t>
      </w:r>
    </w:p>
    <w:p>
      <w:pPr>
        <w:spacing w:after="0" w:line="200" w:lineRule="exact"/>
        <w:rPr>
          <w:sz w:val="20"/>
          <w:szCs w:val="20"/>
          <w:color w:val="auto"/>
        </w:rPr>
      </w:pPr>
    </w:p>
    <w:p>
      <w:pPr>
        <w:sectPr>
          <w:pgSz w:w="11880" w:h="15480" w:orient="portrait"/>
          <w:cols w:equalWidth="0" w:num="2">
            <w:col w:w="8520" w:space="100"/>
            <w:col w:w="1420"/>
          </w:cols>
          <w:pgMar w:left="920" w:top="577" w:right="920" w:bottom="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Guarantees</w:t>
      </w:r>
    </w:p>
    <w:p>
      <w:pPr>
        <w:spacing w:after="0" w:line="189"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 Accounted for by the Equity Method</w:t>
      </w:r>
    </w:p>
    <w:p>
      <w:pPr>
        <w:spacing w:after="0" w:line="189"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 xml:space="preserve">The Company has investments in various energy facilities accounted for by the equity method, several of which are VIEs, where the Company is not a primary beneficiary, as described in Note 5, </w:t>
      </w:r>
      <w:r>
        <w:rPr>
          <w:rFonts w:ascii="Arial" w:cs="Arial" w:eastAsia="Arial" w:hAnsi="Arial"/>
          <w:sz w:val="17"/>
          <w:szCs w:val="17"/>
          <w:b w:val="1"/>
          <w:bCs w:val="1"/>
          <w:i w:val="1"/>
          <w:iCs w:val="1"/>
          <w:color w:val="auto"/>
        </w:rPr>
        <w:t>Investments Accounted for by the Equity Method 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Variable Interest Entities</w:t>
      </w:r>
      <w:r>
        <w:rPr>
          <w:rFonts w:ascii="Arial" w:cs="Arial" w:eastAsia="Arial" w:hAnsi="Arial"/>
          <w:sz w:val="17"/>
          <w:szCs w:val="17"/>
          <w:color w:val="auto"/>
        </w:rPr>
        <w:t>. The equity method of accounting is applied to these investments in affiliates because the ownership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structure prevents the Company from exercising a controlling influence over the operating and financial policies of the facilities.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ectPr>
          <w:pgSz w:w="11880" w:h="15480" w:orient="portrait"/>
          <w:cols w:equalWidth="0" w:num="1">
            <w:col w:w="10040"/>
          </w:cols>
          <w:pgMar w:left="920" w:top="57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0040"/>
          </w:cols>
          <w:pgMar w:left="920" w:top="577" w:right="920" w:bottom="0" w:gutter="0" w:footer="0" w:header="0"/>
          <w:type w:val="continuous"/>
        </w:sectPr>
      </w:pPr>
    </w:p>
    <w:bookmarkStart w:id="95" w:name="page96"/>
    <w:bookmarkEnd w:id="95"/>
    <w:p>
      <w:pPr>
        <w:spacing w:after="0"/>
        <w:rPr>
          <w:sz w:val="20"/>
          <w:szCs w:val="20"/>
          <w:color w:val="auto"/>
        </w:rPr>
      </w:pPr>
      <w:r>
        <w:rPr>
          <w:rFonts w:ascii="Arial" w:cs="Arial" w:eastAsia="Arial" w:hAnsi="Arial"/>
          <w:sz w:val="20"/>
          <w:szCs w:val="20"/>
          <w:b w:val="1"/>
          <w:bCs w:val="1"/>
          <w:i w:val="1"/>
          <w:iCs w:val="1"/>
          <w:color w:val="auto"/>
        </w:rPr>
        <w:t>Sale-Leaseback Arrangements</w:t>
      </w:r>
    </w:p>
    <w:p>
      <w:pPr>
        <w:spacing w:after="0" w:line="18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color w:val="auto"/>
        </w:rPr>
        <w:t xml:space="preserve">The Company is party to sale-leaseback arrangements that provide for the sale of certain assets to a third-party and simultaneous leaseback to the Company. In accordance with ASC 842-40, </w:t>
      </w:r>
      <w:r>
        <w:rPr>
          <w:rFonts w:ascii="Arial" w:cs="Arial" w:eastAsia="Arial" w:hAnsi="Arial"/>
          <w:sz w:val="19"/>
          <w:szCs w:val="19"/>
          <w:b w:val="1"/>
          <w:bCs w:val="1"/>
          <w:i w:val="1"/>
          <w:iCs w:val="1"/>
          <w:color w:val="auto"/>
        </w:rPr>
        <w:t>Sale-Leaseback Transactions</w:t>
      </w:r>
      <w:r>
        <w:rPr>
          <w:rFonts w:ascii="Arial" w:cs="Arial" w:eastAsia="Arial" w:hAnsi="Arial"/>
          <w:sz w:val="19"/>
          <w:szCs w:val="19"/>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14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20"/>
          <w:szCs w:val="20"/>
          <w:color w:val="auto"/>
        </w:rPr>
        <w:t xml:space="preserve">The Company accounts for income taxes using the liability method in accordance with ASC 740, </w:t>
      </w:r>
      <w:r>
        <w:rPr>
          <w:rFonts w:ascii="Arial" w:cs="Arial" w:eastAsia="Arial" w:hAnsi="Arial"/>
          <w:sz w:val="20"/>
          <w:szCs w:val="20"/>
          <w:b w:val="1"/>
          <w:bCs w:val="1"/>
          <w:i w:val="1"/>
          <w:iCs w:val="1"/>
          <w:color w:val="auto"/>
        </w:rPr>
        <w:t>Income Taxes</w:t>
      </w:r>
      <w:r>
        <w:rPr>
          <w:rFonts w:ascii="Arial" w:cs="Arial" w:eastAsia="Arial" w:hAnsi="Arial"/>
          <w:sz w:val="20"/>
          <w:szCs w:val="20"/>
          <w:color w:val="auto"/>
        </w:rPr>
        <w:t>, or ASC 740, which requires that the Company use the asset and liability method of accounting for deferred income taxes and provide deferred income taxes for all significant temporary differences.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 has two categories of income tax expense or benefit — current and deferred, as follows:</w:t>
      </w:r>
    </w:p>
    <w:p>
      <w:pPr>
        <w:spacing w:after="0" w:line="64" w:lineRule="exact"/>
        <w:rPr>
          <w:sz w:val="20"/>
          <w:szCs w:val="20"/>
          <w:color w:val="auto"/>
        </w:rPr>
      </w:pPr>
    </w:p>
    <w:p>
      <w:pPr>
        <w:ind w:left="700" w:hanging="355"/>
        <w:spacing w:after="0"/>
        <w:tabs>
          <w:tab w:leader="none" w:pos="7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Current income tax expense or benefit consists solely of current taxes payable less applicable tax credits, and</w:t>
      </w:r>
    </w:p>
    <w:p>
      <w:pPr>
        <w:spacing w:after="0" w:line="75" w:lineRule="exact"/>
        <w:rPr>
          <w:rFonts w:ascii="Arial" w:cs="Arial" w:eastAsia="Arial" w:hAnsi="Arial"/>
          <w:sz w:val="19"/>
          <w:szCs w:val="19"/>
          <w:color w:val="auto"/>
        </w:rPr>
      </w:pPr>
    </w:p>
    <w:p>
      <w:pPr>
        <w:ind w:left="700" w:hanging="355"/>
        <w:spacing w:after="0" w:line="271" w:lineRule="auto"/>
        <w:tabs>
          <w:tab w:leader="none" w:pos="7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Deferred income tax expense or benefit is the change in the net deferred income tax asset or liability, excluding amounts charged or credited to accumulated other comprehensive income (loss).</w:t>
      </w:r>
    </w:p>
    <w:p>
      <w:pPr>
        <w:spacing w:after="0" w:line="127" w:lineRule="exact"/>
        <w:rPr>
          <w:sz w:val="20"/>
          <w:szCs w:val="20"/>
          <w:color w:val="auto"/>
        </w:rPr>
      </w:pPr>
    </w:p>
    <w:p>
      <w:pPr>
        <w:jc w:val="both"/>
        <w:ind w:firstLine="441"/>
        <w:spacing w:after="0" w:line="262" w:lineRule="auto"/>
        <w:rPr>
          <w:sz w:val="20"/>
          <w:szCs w:val="20"/>
          <w:color w:val="auto"/>
        </w:rPr>
      </w:pPr>
      <w:r>
        <w:rPr>
          <w:rFonts w:ascii="Arial" w:cs="Arial" w:eastAsia="Arial" w:hAnsi="Arial"/>
          <w:sz w:val="19"/>
          <w:szCs w:val="19"/>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currently in effect. The Company believes it is more likely than not that the results of future operations will generate sufficient taxable income which includes the future reversal of existing taxable temporary differences to realize deferred tax assets, net of valuation allowances. In arriving at this conclusion to utilize projections of future profit before tax in its estimate of future taxable income, the Company considered the profit before tax generated in recent years. A valuation allowance is recorded to reduce the net deferred tax assets to an amount that is more-likely-than-not to be realized.</w:t>
      </w:r>
    </w:p>
    <w:p>
      <w:pPr>
        <w:spacing w:after="0" w:line="143"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9"/>
          <w:szCs w:val="19"/>
          <w:color w:val="auto"/>
        </w:rPr>
        <w:t xml:space="preserve">The Company, through its consolidated subsidiaries, may earn tax credits in the ordinary course of business, which may be eligible for a transferability election permitting the Company to sell the tax credit to a third party. These tax credits, which are accounted for in accordance with ASC 740, include production tax credits, or PTCs, which are based on electricity generated by an operating facility, and investment tax credits, or ITCs, which are earned based on eligible costs to place an asset in service. The Company accounts for PTCs as electricity is generated and sold and records transferable PTCs as reduction to current income taxes. The Company records ITCs when generated as a deferred tax asset and other non-current liability. The Company reduces the deferred tax asset when the credit is sold and then reduces the other non-current liability ratably as a reduction to income tax expense over the depreciable life of the related property, plant and equipment. For further discussion, see Note 14, </w:t>
      </w: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w:t>
      </w:r>
    </w:p>
    <w:p>
      <w:pPr>
        <w:spacing w:after="0" w:line="138"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7"/>
          <w:szCs w:val="17"/>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w:t>
      </w:r>
    </w:p>
    <w:p>
      <w:pPr>
        <w:spacing w:after="0" w:line="99"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9"/>
          <w:szCs w:val="19"/>
          <w:color w:val="auto"/>
        </w:rPr>
        <w:t xml:space="preserve">In accordance with ASC 740 and as discussed further in Note 14, </w:t>
      </w: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 changes to existing net deferred tax assets, valuation allowances, or changes to uncertain tax benefits, are recorded to income tax expense.</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10040"/>
          </w:cols>
          <w:pgMar w:left="920" w:top="577" w:right="920" w:bottom="0" w:gutter="0" w:footer="0" w:header="0"/>
          <w:type w:val="continuous"/>
        </w:sectPr>
      </w:pPr>
    </w:p>
    <w:bookmarkStart w:id="96" w:name="page97"/>
    <w:bookmarkEnd w:id="96"/>
    <w:p>
      <w:pPr>
        <w:spacing w:after="0"/>
        <w:rPr>
          <w:sz w:val="20"/>
          <w:szCs w:val="20"/>
          <w:color w:val="auto"/>
        </w:rPr>
      </w:pPr>
      <w:r>
        <w:rPr>
          <w:rFonts w:ascii="Arial" w:cs="Arial" w:eastAsia="Arial" w:hAnsi="Arial"/>
          <w:sz w:val="20"/>
          <w:szCs w:val="20"/>
          <w:b w:val="1"/>
          <w:bCs w:val="1"/>
          <w:i w:val="1"/>
          <w:iCs w:val="1"/>
          <w:color w:val="auto"/>
        </w:rPr>
        <w:t>Asset Acquisitions</w:t>
      </w:r>
    </w:p>
    <w:p>
      <w:pPr>
        <w:spacing w:after="0" w:line="187"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 xml:space="preserve">The Company accounts for its acquisitions in accordance with ASC 805, </w:t>
      </w:r>
      <w:r>
        <w:rPr>
          <w:rFonts w:ascii="Arial" w:cs="Arial" w:eastAsia="Arial" w:hAnsi="Arial"/>
          <w:sz w:val="17"/>
          <w:szCs w:val="17"/>
          <w:b w:val="1"/>
          <w:bCs w:val="1"/>
          <w:i w:val="1"/>
          <w:iCs w:val="1"/>
          <w:color w:val="auto"/>
        </w:rPr>
        <w:t>Business Combinations,</w:t>
      </w:r>
      <w:r>
        <w:rPr>
          <w:rFonts w:ascii="Arial" w:cs="Arial" w:eastAsia="Arial" w:hAnsi="Arial"/>
          <w:sz w:val="17"/>
          <w:szCs w:val="17"/>
          <w:color w:val="auto"/>
        </w:rPr>
        <w:t xml:space="preserve"> or ASC 805. For third-party acquisitions, ASC 805 requires an acquirer to recognize and measure in its financial statements the identifiable assets acquired, the liabilities assumed and any noncontrolling interest in the acquiree at fair value at the acquisition date. No goodwill is recognized, and excess purchase price or negative goodwill are allocated to the acquired assets on a relative fair value basis. For acquisitions that relate to entities under common control, the difference between the cash paid and historical value of the entities’ equity is recorded as a distribution/contribution from/to CEG with the offset to noncontrolling interest.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Equity Arrangements</w:t>
      </w:r>
    </w:p>
    <w:p>
      <w:pPr>
        <w:spacing w:after="0" w:line="189" w:lineRule="exact"/>
        <w:rPr>
          <w:sz w:val="20"/>
          <w:szCs w:val="20"/>
          <w:color w:val="auto"/>
        </w:rPr>
      </w:pPr>
    </w:p>
    <w:p>
      <w:pPr>
        <w:jc w:val="both"/>
        <w:ind w:firstLine="441"/>
        <w:spacing w:after="0" w:line="292" w:lineRule="auto"/>
        <w:rPr>
          <w:sz w:val="20"/>
          <w:szCs w:val="20"/>
          <w:color w:val="auto"/>
        </w:rPr>
      </w:pPr>
      <w:r>
        <w:rPr>
          <w:rFonts w:ascii="Arial" w:cs="Arial" w:eastAsia="Arial" w:hAnsi="Arial"/>
          <w:sz w:val="17"/>
          <w:szCs w:val="17"/>
          <w:color w:val="auto"/>
        </w:rPr>
        <w:t>Certain portions of the Company’s redeemable noncontrolling interest in subsidiaries and noncontrolling interest represent third-party interests in the net assets under tax equity arrangements, which are consolidated by the Company, that have been entered into to finance the cost of facilities eligible for certain tax credits and benefits. The Company has determined that the provisions in the contractual agreements of these redeemable noncontrolling interests and noncontrolling interests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hypothetical liquidation at book value, or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statements of operations using a systematic and rational method over the period during which the investor is expected to achieve its target return.</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Redeemable Noncontrolling Interest</w:t>
      </w:r>
    </w:p>
    <w:p>
      <w:pPr>
        <w:spacing w:after="0" w:line="189"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 xml:space="preserve">To the extent that a third party has the right to redeem their interests for cash or other assets, the Company has included the noncontrolling interest attributable to the third party as a component of temporary equity in the mezzanine section of the consolidated balance sheet. In 2025, the Company entered into new tax equity arrangements that provide third parties with the right to redeem their interests in the partnerships for cash or other assets at a point in time, as further described in Note 5, </w:t>
      </w:r>
      <w:r>
        <w:rPr>
          <w:rFonts w:ascii="Arial" w:cs="Arial" w:eastAsia="Arial" w:hAnsi="Arial"/>
          <w:sz w:val="19"/>
          <w:szCs w:val="19"/>
          <w:b w:val="1"/>
          <w:bCs w:val="1"/>
          <w:i w:val="1"/>
          <w:iCs w:val="1"/>
          <w:color w:val="auto"/>
        </w:rPr>
        <w:t>Investments Accounted for by the Equity Method and Variable Interest Entities</w:t>
      </w:r>
      <w:r>
        <w:rPr>
          <w:rFonts w:ascii="Arial" w:cs="Arial" w:eastAsia="Arial" w:hAnsi="Arial"/>
          <w:sz w:val="19"/>
          <w:szCs w:val="19"/>
          <w:color w:val="auto"/>
        </w:rPr>
        <w:t>. The following table reflects the changes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redeemable noncontrolling interest balance:</w:t>
      </w:r>
    </w:p>
    <w:p>
      <w:pPr>
        <w:sectPr>
          <w:pgSz w:w="11880" w:h="15480" w:orient="portrait"/>
          <w:cols w:equalWidth="0" w:num="1">
            <w:col w:w="10040"/>
          </w:cols>
          <w:pgMar w:left="920" w:top="577" w:right="920" w:bottom="0" w:gutter="0" w:footer="0" w:header="0"/>
        </w:sectPr>
      </w:pPr>
    </w:p>
    <w:p>
      <w:pPr>
        <w:spacing w:after="0" w:line="394"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 xml:space="preserve">Balance at December 31, 2023 </w:t>
      </w:r>
      <w:r>
        <w:rPr>
          <w:rFonts w:ascii="Arial" w:cs="Arial" w:eastAsia="Arial" w:hAnsi="Arial"/>
          <w:sz w:val="17"/>
          <w:szCs w:val="17"/>
          <w:b w:val="1"/>
          <w:bCs w:val="1"/>
          <w:color w:val="B4B4B4"/>
        </w:rPr>
        <w:t>.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-149860</wp:posOffset>
            </wp:positionV>
            <wp:extent cx="6410325" cy="17183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4">
                      <a:extLst>
                        <a:ext uri="{28A0092B-C50C-407E-A947-70E740481C1C}"/>
                      </a:extLst>
                    </a:blip>
                    <a:srcRect/>
                    <a:stretch>
                      <a:fillRect/>
                    </a:stretch>
                  </pic:blipFill>
                  <pic:spPr bwMode="auto">
                    <a:xfrm>
                      <a:off x="0" y="0"/>
                      <a:ext cx="6410325" cy="1718310"/>
                    </a:xfrm>
                    <a:prstGeom prst="rect">
                      <a:avLst/>
                    </a:prstGeom>
                    <a:noFill/>
                  </pic:spPr>
                </pic:pic>
              </a:graphicData>
            </a:graphic>
          </wp:anchor>
        </w:drawing>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Cash distributions to redeemable noncontrolling interests </w:t>
      </w:r>
      <w:r>
        <w:rPr>
          <w:rFonts w:ascii="Arial" w:cs="Arial" w:eastAsia="Arial" w:hAnsi="Arial"/>
          <w:sz w:val="17"/>
          <w:szCs w:val="17"/>
          <w:color w:val="B4B4B4"/>
        </w:rPr>
        <w:t>. . . . .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Comprehensive income attributable to redeemable noncontrolling interests </w:t>
      </w:r>
      <w:r>
        <w:rPr>
          <w:rFonts w:ascii="Arial" w:cs="Arial" w:eastAsia="Arial" w:hAnsi="Arial"/>
          <w:sz w:val="17"/>
          <w:szCs w:val="17"/>
          <w:color w:val="B4B4B4"/>
        </w:rPr>
        <w:t>.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Repurchase of redeemable noncontrolling interest </w:t>
      </w:r>
      <w:r>
        <w:rPr>
          <w:rFonts w:ascii="Arial" w:cs="Arial" w:eastAsia="Arial" w:hAnsi="Arial"/>
          <w:sz w:val="17"/>
          <w:szCs w:val="17"/>
          <w:color w:val="B4B4B4"/>
        </w:rPr>
        <w:t>. . . . . . . . . . . . . . . . . . . . . . . . . . . . . . . . . . . . . . . . .</w:t>
      </w:r>
    </w:p>
    <w:p>
      <w:pPr>
        <w:spacing w:after="0" w:line="95"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 xml:space="preserve">Balance at December 31, 2024 </w:t>
      </w:r>
      <w:r>
        <w:rPr>
          <w:rFonts w:ascii="Arial" w:cs="Arial" w:eastAsia="Arial" w:hAnsi="Arial"/>
          <w:sz w:val="17"/>
          <w:szCs w:val="17"/>
          <w:b w:val="1"/>
          <w:bCs w:val="1"/>
          <w:color w:val="B4B4B4"/>
        </w:rPr>
        <w:t>. . . . . . . . . . . . . . . . . . . . . . . . . . . . . . . . . . . . . . . . . . . . . . . . . . . . . . . .</w:t>
      </w:r>
    </w:p>
    <w:p>
      <w:pPr>
        <w:spacing w:after="0" w:line="103"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Cash contributions to redeemable noncontrolling interests, net of distributions </w:t>
      </w:r>
      <w:r>
        <w:rPr>
          <w:rFonts w:ascii="Arial" w:cs="Arial" w:eastAsia="Arial" w:hAnsi="Arial"/>
          <w:sz w:val="17"/>
          <w:szCs w:val="17"/>
          <w:color w:val="B4B4B4"/>
        </w:rPr>
        <w:t>. . . . . . . . . . . . . . . . . .</w:t>
      </w:r>
    </w:p>
    <w:p>
      <w:pPr>
        <w:spacing w:after="0" w:line="99"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Non-cash distributions to redeemable noncontrolling interests </w:t>
      </w:r>
      <w:r>
        <w:rPr>
          <w:rFonts w:ascii="Arial" w:cs="Arial" w:eastAsia="Arial" w:hAnsi="Arial"/>
          <w:sz w:val="17"/>
          <w:szCs w:val="17"/>
          <w:color w:val="B4B4B4"/>
        </w:rPr>
        <w:t>.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Comprehensive loss attributable to redeemable noncontrolling interests </w:t>
      </w:r>
      <w:r>
        <w:rPr>
          <w:rFonts w:ascii="Arial" w:cs="Arial" w:eastAsia="Arial" w:hAnsi="Arial"/>
          <w:sz w:val="17"/>
          <w:szCs w:val="17"/>
          <w:color w:val="B4B4B4"/>
        </w:rPr>
        <w:t>. . . . . . . . . . . . . . . . . . . . . . . .</w:t>
      </w:r>
    </w:p>
    <w:p>
      <w:pPr>
        <w:spacing w:after="0" w:line="95"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color w:val="auto"/>
        </w:rPr>
        <w:t xml:space="preserve">Balance at December 31, 2025 </w:t>
      </w:r>
      <w:r>
        <w:rPr>
          <w:rFonts w:ascii="Arial" w:cs="Arial" w:eastAsia="Arial" w:hAnsi="Arial"/>
          <w:sz w:val="17"/>
          <w:szCs w:val="17"/>
          <w:b w:val="1"/>
          <w:bCs w:val="1"/>
          <w:color w:val="B4B4B4"/>
        </w:rPr>
        <w:t>. . . . . . . . . . . . . . . . . . . . . . . . . . . . . . . . . . . . . . . . . . . . . . . . . . . . . . . .</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409"/>
        <w:spacing w:after="0"/>
        <w:rPr>
          <w:sz w:val="20"/>
          <w:szCs w:val="20"/>
          <w:color w:val="auto"/>
        </w:rPr>
      </w:pPr>
      <w:r>
        <w:rPr>
          <w:rFonts w:ascii="Arial" w:cs="Arial" w:eastAsia="Arial" w:hAnsi="Arial"/>
          <w:sz w:val="18"/>
          <w:szCs w:val="18"/>
          <w:b w:val="1"/>
          <w:bCs w:val="1"/>
          <w:color w:val="auto"/>
        </w:rPr>
        <w:t>(In millions)</w:t>
      </w:r>
    </w:p>
    <w:p>
      <w:pPr>
        <w:spacing w:after="0" w:line="65" w:lineRule="exact"/>
        <w:rPr>
          <w:sz w:val="20"/>
          <w:szCs w:val="20"/>
          <w:color w:val="auto"/>
        </w:rPr>
      </w:pPr>
    </w:p>
    <w:p>
      <w:pPr>
        <w:ind w:left="9"/>
        <w:spacing w:after="0"/>
        <w:tabs>
          <w:tab w:leader="none" w:pos="1549"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1</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pacing w:after="0" w:line="64"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13</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pacing w:after="0" w:line="64"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w:t>
      </w:r>
    </w:p>
    <w:p>
      <w:pPr>
        <w:spacing w:after="0" w:line="64" w:lineRule="exact"/>
        <w:rPr>
          <w:sz w:val="20"/>
          <w:szCs w:val="20"/>
          <w:color w:val="auto"/>
        </w:rPr>
      </w:pPr>
    </w:p>
    <w:p>
      <w:pPr>
        <w:jc w:val="right"/>
        <w:ind w:right="80"/>
        <w:spacing w:after="0"/>
        <w:rPr>
          <w:sz w:val="20"/>
          <w:szCs w:val="20"/>
          <w:color w:val="auto"/>
        </w:rPr>
      </w:pPr>
      <w:r>
        <w:rPr>
          <w:rFonts w:ascii="Arial" w:cs="Arial" w:eastAsia="Arial" w:hAnsi="Arial"/>
          <w:sz w:val="20"/>
          <w:szCs w:val="20"/>
          <w:color w:val="auto"/>
        </w:rPr>
        <w:t>335</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(220)</w:t>
      </w:r>
    </w:p>
    <w:p>
      <w:pPr>
        <w:spacing w:after="0" w:line="64" w:lineRule="exact"/>
        <w:rPr>
          <w:sz w:val="20"/>
          <w:szCs w:val="20"/>
          <w:color w:val="auto"/>
        </w:rPr>
      </w:pPr>
    </w:p>
    <w:p>
      <w:pPr>
        <w:ind w:left="1389" w:hanging="1389"/>
        <w:spacing w:after="0"/>
        <w:tabs>
          <w:tab w:leader="none" w:pos="1389" w:val="left"/>
        </w:tabs>
        <w:numPr>
          <w:ilvl w:val="0"/>
          <w:numId w:val="47"/>
        </w:numPr>
        <w:rPr>
          <w:rFonts w:ascii="Arial" w:cs="Arial" w:eastAsia="Arial" w:hAnsi="Arial"/>
          <w:sz w:val="20"/>
          <w:szCs w:val="20"/>
          <w:color w:val="auto"/>
        </w:rPr>
      </w:pPr>
      <w:r>
        <w:rPr>
          <w:rFonts w:ascii="Arial" w:cs="Arial" w:eastAsia="Arial" w:hAnsi="Arial"/>
          <w:sz w:val="20"/>
          <w:szCs w:val="20"/>
          <w:color w:val="auto"/>
        </w:rPr>
        <w:t>103</w:t>
      </w:r>
    </w:p>
    <w:p>
      <w:pPr>
        <w:spacing w:after="0" w:line="663" w:lineRule="exact"/>
        <w:rPr>
          <w:sz w:val="20"/>
          <w:szCs w:val="20"/>
          <w:color w:val="auto"/>
        </w:rPr>
      </w:pPr>
    </w:p>
    <w:p>
      <w:pPr>
        <w:sectPr>
          <w:pgSz w:w="11880" w:h="15480" w:orient="portrait"/>
          <w:cols w:equalWidth="0" w:num="2">
            <w:col w:w="8120" w:space="171"/>
            <w:col w:w="1749"/>
          </w:cols>
          <w:pgMar w:left="920" w:top="577" w:right="920" w:bottom="0" w:gutter="0" w:footer="0" w:header="0"/>
          <w:type w:val="continuous"/>
        </w:sectPr>
      </w:pPr>
    </w:p>
    <w:p>
      <w:pPr>
        <w:jc w:val="both"/>
        <w:ind w:firstLine="441"/>
        <w:spacing w:after="0" w:line="312" w:lineRule="auto"/>
        <w:rPr>
          <w:sz w:val="20"/>
          <w:szCs w:val="20"/>
          <w:color w:val="auto"/>
        </w:rPr>
      </w:pPr>
      <w:r>
        <w:rPr>
          <w:rFonts w:ascii="Arial" w:cs="Arial" w:eastAsia="Arial" w:hAnsi="Arial"/>
          <w:sz w:val="17"/>
          <w:szCs w:val="17"/>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ectPr>
          <w:pgSz w:w="11880" w:h="15480" w:orient="portrait"/>
          <w:cols w:equalWidth="0" w:num="1">
            <w:col w:w="10040"/>
          </w:cols>
          <w:pgMar w:left="920" w:top="57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0040"/>
          </w:cols>
          <w:pgMar w:left="920" w:top="577" w:right="920" w:bottom="0" w:gutter="0" w:footer="0" w:header="0"/>
          <w:type w:val="continuous"/>
        </w:sectPr>
      </w:pPr>
    </w:p>
    <w:bookmarkStart w:id="97" w:name="page98"/>
    <w:bookmarkEnd w:id="97"/>
    <w:p>
      <w:pPr>
        <w:jc w:val="both"/>
        <w:ind w:firstLine="441"/>
        <w:spacing w:after="0" w:line="303" w:lineRule="auto"/>
        <w:rPr>
          <w:sz w:val="20"/>
          <w:szCs w:val="20"/>
          <w:color w:val="auto"/>
        </w:rPr>
      </w:pPr>
      <w:r>
        <w:rPr>
          <w:rFonts w:ascii="Arial" w:cs="Arial" w:eastAsia="Arial" w:hAnsi="Arial"/>
          <w:sz w:val="17"/>
          <w:szCs w:val="17"/>
          <w:color w:val="auto"/>
        </w:rPr>
        <w:t>In recording transactions and balances resulting from business operations, the Company uses estimates based on the best information available. Estimates are used for such items as plant depreciable lives, tax provisions, uncollectible accounts, AROs, acquisition accounting, fair value of financial instruments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Standards Not Yet Adopted</w:t>
      </w:r>
    </w:p>
    <w:p>
      <w:pPr>
        <w:spacing w:after="0" w:line="187" w:lineRule="exact"/>
        <w:rPr>
          <w:sz w:val="20"/>
          <w:szCs w:val="20"/>
          <w:color w:val="auto"/>
        </w:rPr>
      </w:pPr>
    </w:p>
    <w:p>
      <w:pPr>
        <w:jc w:val="both"/>
        <w:ind w:firstLine="441"/>
        <w:spacing w:after="0" w:line="265" w:lineRule="auto"/>
        <w:rPr>
          <w:sz w:val="20"/>
          <w:szCs w:val="20"/>
          <w:color w:val="auto"/>
        </w:rPr>
      </w:pPr>
      <w:r>
        <w:rPr>
          <w:rFonts w:ascii="Arial" w:cs="Arial" w:eastAsia="Arial" w:hAnsi="Arial"/>
          <w:sz w:val="19"/>
          <w:szCs w:val="19"/>
          <w:color w:val="auto"/>
        </w:rPr>
        <w:t xml:space="preserve">In December 2025, the FASB issued ASU No 2025-10, </w:t>
      </w:r>
      <w:r>
        <w:rPr>
          <w:rFonts w:ascii="Arial" w:cs="Arial" w:eastAsia="Arial" w:hAnsi="Arial"/>
          <w:sz w:val="19"/>
          <w:szCs w:val="19"/>
          <w:b w:val="1"/>
          <w:bCs w:val="1"/>
          <w:i w:val="1"/>
          <w:iCs w:val="1"/>
          <w:color w:val="auto"/>
        </w:rPr>
        <w:t>Government Grants - (Topic 832): Accounting for Government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Grants Received by Business Entities. </w:t>
      </w:r>
      <w:r>
        <w:rPr>
          <w:rFonts w:ascii="Arial" w:cs="Arial" w:eastAsia="Arial" w:hAnsi="Arial"/>
          <w:sz w:val="19"/>
          <w:szCs w:val="19"/>
          <w:color w:val="auto"/>
        </w:rPr>
        <w:t>The amendment establishes the accounting guidance for governmental grants received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business entity. This guidance is effective for annual reporting periods beginning after December 15, 2028 and interim reporting periods within the annual reporting period. The amendment may be applied on a modified prospective approach, a modified retrospective approach or retrospectively. Early adoption is permitted in both interim and annual reporting periods. As of December 31, 2025, the Company has not elected to early adopt the standard and is evaluating the effect of the new guidance on its consolidated financial statements.</w:t>
      </w:r>
    </w:p>
    <w:p>
      <w:pPr>
        <w:spacing w:after="0" w:line="134"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 xml:space="preserve">In September 2025, the FASB issued ASU No. 2025-06, </w:t>
      </w:r>
      <w:r>
        <w:rPr>
          <w:rFonts w:ascii="Arial" w:cs="Arial" w:eastAsia="Arial" w:hAnsi="Arial"/>
          <w:sz w:val="17"/>
          <w:szCs w:val="17"/>
          <w:b w:val="1"/>
          <w:bCs w:val="1"/>
          <w:i w:val="1"/>
          <w:iCs w:val="1"/>
          <w:color w:val="auto"/>
        </w:rPr>
        <w:t>Intangibles - Goodwill and Other - Internal-Use Software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(Subtopic 350-40): Targeted Improvements to the Accounting for Internal-Use Software. </w:t>
      </w:r>
      <w:r>
        <w:rPr>
          <w:rFonts w:ascii="Arial" w:cs="Arial" w:eastAsia="Arial" w:hAnsi="Arial"/>
          <w:sz w:val="17"/>
          <w:szCs w:val="17"/>
          <w:color w:val="auto"/>
        </w:rPr>
        <w:t>The amendment clarifies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costs should be capitalized and requires certain disclosures for all capitalized internal-use software costs. This guidance may be applied prospectively, retrospectively or on a modified retrospective basis and is effective for annual reporting periods in fiscal years beginning after December 15, 2027. The Company intends to early adopt ASU 2025-06 prospectively, effective January 1, 2026. The adoption is not expected to have an impact on the Company’s financial statements.</w:t>
      </w:r>
    </w:p>
    <w:p>
      <w:pPr>
        <w:spacing w:after="0" w:line="107"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 xml:space="preserve">In September 2025, the FASB issued ASU No. 2025-07, </w:t>
      </w:r>
      <w:r>
        <w:rPr>
          <w:rFonts w:ascii="Arial" w:cs="Arial" w:eastAsia="Arial" w:hAnsi="Arial"/>
          <w:sz w:val="17"/>
          <w:szCs w:val="17"/>
          <w:b w:val="1"/>
          <w:bCs w:val="1"/>
          <w:i w:val="1"/>
          <w:iCs w:val="1"/>
          <w:color w:val="auto"/>
        </w:rPr>
        <w:t>Derivatives and Hedging (Topic 815) and Revenue from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Contracts with Customers (Topic 606): Derivatives Scope Refinements and Scope Clarification for Share-Based Noncash Consideration from a Customer in a Revenue Contract. </w:t>
      </w:r>
      <w:r>
        <w:rPr>
          <w:rFonts w:ascii="Arial" w:cs="Arial" w:eastAsia="Arial" w:hAnsi="Arial"/>
          <w:sz w:val="17"/>
          <w:szCs w:val="17"/>
          <w:color w:val="auto"/>
        </w:rPr>
        <w:t>The amendment expands the derivative scope exceptions and clarifies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when an entity should apply the guidance in ASC 606, </w:t>
      </w:r>
      <w:r>
        <w:rPr>
          <w:rFonts w:ascii="Arial" w:cs="Arial" w:eastAsia="Arial" w:hAnsi="Arial"/>
          <w:sz w:val="17"/>
          <w:szCs w:val="17"/>
          <w:b w:val="1"/>
          <w:bCs w:val="1"/>
          <w:i w:val="1"/>
          <w:iCs w:val="1"/>
          <w:color w:val="auto"/>
        </w:rPr>
        <w:t>Revenue from Contracts with Customers</w:t>
      </w:r>
      <w:r>
        <w:rPr>
          <w:rFonts w:ascii="Arial" w:cs="Arial" w:eastAsia="Arial" w:hAnsi="Arial"/>
          <w:sz w:val="17"/>
          <w:szCs w:val="17"/>
          <w:color w:val="auto"/>
        </w:rPr>
        <w:t>, to contracts with share-based noncash consideration from a customer for the transfer of goods or services. This guidance may be applied either prospectively or on a modified retrospective basis and is effective for annual reporting periods in fiscal years beginning after December 15, 2026. The Company intends to early adopt ASU 2025-07 prospectively, effective January 1, 2026. The adoption is not expected to have an impact on the Company’s financial statements.</w:t>
      </w:r>
    </w:p>
    <w:p>
      <w:pPr>
        <w:spacing w:after="0" w:line="108"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color w:val="auto"/>
        </w:rPr>
        <w:t>In November 2024, the FASB issued ASU No 2024-03</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Income Statement - Reporting Comprehensive Income-Expense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Disaggregation Disclosures (Subtopic 220-40). </w:t>
      </w:r>
      <w:r>
        <w:rPr>
          <w:rFonts w:ascii="Arial" w:cs="Arial" w:eastAsia="Arial" w:hAnsi="Arial"/>
          <w:sz w:val="19"/>
          <w:szCs w:val="19"/>
          <w:color w:val="auto"/>
        </w:rPr>
        <w:t>The amendment requires certain expenses presented on the face of the income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statement to be disaggregated in the notes to the financial statements. This guidance is effective for annual reporting periods beginning after December 15, 2026 and interim periods within annual reporting periods beginning after December 15, 2027. The amendments may be applied either prospectively to financial statements issued for reporting periods after the effective date of this ASU or retrospectively to all prior periods presented in the financial statements. As of December 31, 2025, the Company has not elected to early adopt the standard and is evaluating the effect of the new guidance on its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Acquisitions and Dispositions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w:t>
      </w:r>
    </w:p>
    <w:p>
      <w:pPr>
        <w:spacing w:after="0" w:line="187"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 xml:space="preserve">As further described in Note 2, </w:t>
      </w:r>
      <w:r>
        <w:rPr>
          <w:rFonts w:ascii="Arial" w:cs="Arial" w:eastAsia="Arial" w:hAnsi="Arial"/>
          <w:sz w:val="20"/>
          <w:szCs w:val="20"/>
          <w:b w:val="1"/>
          <w:bCs w:val="1"/>
          <w:i w:val="1"/>
          <w:iCs w:val="1"/>
          <w:color w:val="auto"/>
        </w:rPr>
        <w:t>Summary of Significant Accounting Policies</w:t>
      </w:r>
      <w:r>
        <w:rPr>
          <w:rFonts w:ascii="Arial" w:cs="Arial" w:eastAsia="Arial" w:hAnsi="Arial"/>
          <w:sz w:val="20"/>
          <w:szCs w:val="20"/>
          <w:color w:val="auto"/>
        </w:rPr>
        <w:t>, the Company records the assets acquired and liabilities assumed at acquisition-date fair value, except in the case of acquisitions under common control by CEG, for which assets acquired and liabilities assumed are recorded at historical cost on the acquisition date, which, in certain circumstances, represent the acquired cost.</w:t>
      </w:r>
    </w:p>
    <w:p>
      <w:pPr>
        <w:spacing w:after="0" w:line="145"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color w:val="auto"/>
        </w:rPr>
        <w:t>The fair value of property, plant and equipment for the Company’s third-party acquisition of Tuolumne was determined primarily based on an income method using discounted cash flows and validated using a cost approach based on the replacement cost of the assets less economic depreciation. This methodology was utilized as the forecasted cash flows incorporate specific attributes including age, useful life, equipment condition and technology. The fair value of intangible assets for power purchase agreements related to the Company’s third-party acquisitions of Tuolumne and Catalina were determined utilizing a variation of the income approach determined by discounting the replacement market price of the incremental cash flows associated with the contract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10040"/>
          </w:cols>
          <w:pgMar w:left="920" w:top="584" w:right="920" w:bottom="0" w:gutter="0" w:footer="0" w:header="0"/>
          <w:type w:val="continuous"/>
        </w:sectPr>
      </w:pPr>
    </w:p>
    <w:bookmarkStart w:id="98" w:name="page99"/>
    <w:bookmarkEnd w:id="98"/>
    <w:p>
      <w:pPr>
        <w:jc w:val="both"/>
        <w:ind w:firstLine="441"/>
        <w:spacing w:after="0" w:line="262" w:lineRule="auto"/>
        <w:rPr>
          <w:sz w:val="20"/>
          <w:szCs w:val="20"/>
          <w:color w:val="auto"/>
        </w:rPr>
      </w:pPr>
      <w:r>
        <w:rPr>
          <w:rFonts w:ascii="Arial" w:cs="Arial" w:eastAsia="Arial" w:hAnsi="Arial"/>
          <w:sz w:val="19"/>
          <w:szCs w:val="19"/>
          <w:b w:val="1"/>
          <w:bCs w:val="1"/>
          <w:i w:val="1"/>
          <w:iCs w:val="1"/>
          <w:color w:val="auto"/>
        </w:rPr>
        <w:t xml:space="preserve">Pine Forest Drop Down </w:t>
      </w:r>
      <w:r>
        <w:rPr>
          <w:rFonts w:ascii="Arial" w:cs="Arial" w:eastAsia="Arial" w:hAnsi="Arial"/>
          <w:sz w:val="19"/>
          <w:szCs w:val="19"/>
          <w:color w:val="auto"/>
        </w:rPr>
        <w:t>— On June 10, 2025, the Company, through its indirect subsidiary, Pine Forest CE Class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Owner LLC, acquired the Class A membership interests in Pine Forest TargetCo, a partnership and the indirect owner of Pine Forest, a 300 MW solar facility that is paired with a 200 MW BESS facility located in Hopkins County, Texas, from Clearway Renew for initial cash consideration of $18 million. Simultaneously, a third-party cash equity investor acquired the Class B membership interests in Pine Forest TargetCo from Clearway Renew for initial cash consideration of $36 million. Also on June 10, 2025, the Company, through its indirect subsidiary, Pine Forest TE Class A, contributed $9 million to acquire the Class A membership interests in Pine Forest TE HoldCo LLC. On December 17, 2025, when the facility reached substantial completion, the Company paid $50 million to Clearway Renew as additional purchase price for its Class A membership interests in Pine Forest TargetCo and contributed an additional $38 million for its Class A membership interests in Pine Forest TE HoldCo LLC. In addition, the third-party cash equity investor in Pine Forest TargetCo contributed an additional $144 million. Pine Forest TargetCo consolidates as primary beneficiary, Pine Forest TE HoldCo LLC, a tax equity fund that directly owns the Pine Forest solar and BESS facility, as further described in Note 5, </w:t>
      </w:r>
      <w:r>
        <w:rPr>
          <w:rFonts w:ascii="Arial" w:cs="Arial" w:eastAsia="Arial" w:hAnsi="Arial"/>
          <w:sz w:val="19"/>
          <w:szCs w:val="19"/>
          <w:b w:val="1"/>
          <w:bCs w:val="1"/>
          <w:i w:val="1"/>
          <w:iCs w:val="1"/>
          <w:color w:val="auto"/>
        </w:rPr>
        <w:t>Investments Accounted for by the Equity Method and Variable Interest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Entities</w:t>
      </w:r>
      <w:r>
        <w:rPr>
          <w:rFonts w:ascii="Arial" w:cs="Arial" w:eastAsia="Arial" w:hAnsi="Arial"/>
          <w:sz w:val="19"/>
          <w:szCs w:val="19"/>
          <w:color w:val="auto"/>
        </w:rPr>
        <w:t>.</w:t>
      </w:r>
    </w:p>
    <w:p>
      <w:pPr>
        <w:spacing w:after="0" w:line="137" w:lineRule="exact"/>
        <w:rPr>
          <w:sz w:val="20"/>
          <w:szCs w:val="20"/>
          <w:color w:val="auto"/>
        </w:rPr>
      </w:pPr>
    </w:p>
    <w:p>
      <w:pPr>
        <w:jc w:val="both"/>
        <w:ind w:firstLine="441"/>
        <w:spacing w:after="0" w:line="295" w:lineRule="auto"/>
        <w:rPr>
          <w:sz w:val="20"/>
          <w:szCs w:val="20"/>
          <w:color w:val="auto"/>
        </w:rPr>
      </w:pPr>
      <w:r>
        <w:rPr>
          <w:rFonts w:ascii="Arial" w:cs="Arial" w:eastAsia="Arial" w:hAnsi="Arial"/>
          <w:sz w:val="17"/>
          <w:szCs w:val="17"/>
          <w:color w:val="auto"/>
        </w:rPr>
        <w:t xml:space="preserve">Pine Forest has PPAs for the solar facility with investment-grade counterparties and a 20-year weighted average contract duration that commenced in December 2025. Pine Forest is reflected in the Company’s Renewables &amp; Storage segment and the acquisition was funded with existing sources of liquidity. The acquisition was determined to be an asset acquisition and the Company consolidates Pine Forest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7"/>
          <w:szCs w:val="17"/>
          <w:b w:val="1"/>
          <w:bCs w:val="1"/>
          <w:i w:val="1"/>
          <w:iCs w:val="1"/>
          <w:color w:val="auto"/>
        </w:rPr>
        <w:t>Business Combinations - Related Issues</w:t>
      </w:r>
      <w:r>
        <w:rPr>
          <w:rFonts w:ascii="Arial" w:cs="Arial" w:eastAsia="Arial" w:hAnsi="Arial"/>
          <w:sz w:val="17"/>
          <w:szCs w:val="17"/>
          <w:color w:val="auto"/>
        </w:rPr>
        <w:t>. The sum of the initial cash consideration of $18 million and the historical cost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net liabilities assumed of $9 million was recorded as an adjustment to CEG’s noncontrolling interest balance. The $50 million additional purchase price was also recorded as an adjustment to CEG’s noncontrolling interest balance. In addition, the Company reflected the entire $18 million of the Company’s initial purchase price and $50 million of the Company’s additional purchase price, which were contributed back to the Company by CEG to pay down the acquired long-term debt, in the line item contributions from CEG, net of distributions, in the consolidated statements of stockholders’ equity. The Company’s total capital investment in Pine Forest TargetCo was $115 million.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assets and liabilities transferred in connection with the acquisition as of June 10,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gridSpan w:val="2"/>
          </w:tcPr>
          <w:p>
            <w:pPr>
              <w:jc w:val="right"/>
              <w:ind w:right="7200"/>
              <w:spacing w:after="0"/>
              <w:rPr>
                <w:sz w:val="20"/>
                <w:szCs w:val="20"/>
                <w:color w:val="auto"/>
              </w:rPr>
            </w:pPr>
            <w:r>
              <w:rPr>
                <w:rFonts w:ascii="Arial" w:cs="Arial" w:eastAsia="Arial" w:hAnsi="Arial"/>
                <w:sz w:val="18"/>
                <w:szCs w:val="18"/>
                <w:b w:val="1"/>
                <w:bCs w:val="1"/>
                <w:color w:val="auto"/>
                <w:w w:val="94"/>
              </w:rPr>
              <w:t>(In millions)</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83"/>
              <w:spacing w:after="0"/>
              <w:rPr>
                <w:sz w:val="20"/>
                <w:szCs w:val="20"/>
                <w:color w:val="auto"/>
              </w:rPr>
            </w:pPr>
            <w:r>
              <w:rPr>
                <w:rFonts w:ascii="Arial" w:cs="Arial" w:eastAsia="Arial" w:hAnsi="Arial"/>
                <w:sz w:val="18"/>
                <w:szCs w:val="18"/>
                <w:b w:val="1"/>
                <w:bCs w:val="1"/>
                <w:color w:val="auto"/>
              </w:rPr>
              <w:t>Pine Forest</w:t>
            </w:r>
          </w:p>
        </w:tc>
      </w:tr>
      <w:tr>
        <w:trPr>
          <w:trHeight w:val="270"/>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Restricted cash </w:t>
            </w:r>
            <w:r>
              <w:rPr>
                <w:rFonts w:ascii="Arial" w:cs="Arial" w:eastAsia="Arial" w:hAnsi="Arial"/>
                <w:sz w:val="20"/>
                <w:szCs w:val="20"/>
                <w:color w:val="B4B4B4"/>
                <w:w w:val="89"/>
              </w:rPr>
              <w:t>. . . . . . . . . . . . . . . . . . . . . . . . . . . . . . . . . . . . . . . . . . . . . . . . . . . . . . . . . . . . . . . . . . . .</w:t>
            </w:r>
          </w:p>
        </w:tc>
        <w:tc>
          <w:tcPr>
            <w:tcW w:w="34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33"/>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Property, plant and equipment </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 . . . . . . . . . . .</w:t>
            </w:r>
          </w:p>
        </w:tc>
        <w:tc>
          <w:tcPr>
            <w:tcW w:w="3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560</w:t>
            </w:r>
          </w:p>
        </w:tc>
      </w:tr>
      <w:tr>
        <w:trPr>
          <w:trHeight w:val="255"/>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Right-of-use assets, net </w:t>
            </w:r>
            <w:r>
              <w:rPr>
                <w:rFonts w:ascii="Arial" w:cs="Arial" w:eastAsia="Arial" w:hAnsi="Arial"/>
                <w:sz w:val="20"/>
                <w:szCs w:val="20"/>
                <w:color w:val="B4B4B4"/>
                <w:w w:val="90"/>
              </w:rPr>
              <w:t>. . . . . . . . . . . . . . . . . . . . . . . . . . . . . . . . . . . . . . . . . . . . . . . . . . . . . . . . . . . . .</w:t>
            </w:r>
          </w:p>
        </w:tc>
        <w:tc>
          <w:tcPr>
            <w:tcW w:w="3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8"/>
        </w:trPr>
        <w:tc>
          <w:tcPr>
            <w:tcW w:w="8520" w:type="dxa"/>
            <w:vAlign w:val="bottom"/>
            <w:gridSpan w:val="3"/>
          </w:tcPr>
          <w:p>
            <w:pPr>
              <w:jc w:val="right"/>
              <w:ind w:right="382"/>
              <w:spacing w:after="0"/>
              <w:rPr>
                <w:sz w:val="20"/>
                <w:szCs w:val="20"/>
                <w:color w:val="auto"/>
              </w:rPr>
            </w:pPr>
            <w:r>
              <w:rPr>
                <w:rFonts w:ascii="Arial" w:cs="Arial" w:eastAsia="Arial" w:hAnsi="Arial"/>
                <w:sz w:val="20"/>
                <w:szCs w:val="20"/>
                <w:color w:val="auto"/>
                <w:w w:val="90"/>
              </w:rPr>
              <w:t xml:space="preserve">Derivative assets </w:t>
            </w:r>
            <w:r>
              <w:rPr>
                <w:rFonts w:ascii="Arial" w:cs="Arial" w:eastAsia="Arial" w:hAnsi="Arial"/>
                <w:sz w:val="20"/>
                <w:szCs w:val="20"/>
                <w:color w:val="B4B4B4"/>
                <w:w w:val="90"/>
              </w:rPr>
              <w:t>. . . . . . . . . . . . . . . . . . . . . . . . . . . . . . . . . . . . . . . . . . . . . . . . . . . . . . . . . . . . . . . . . .</w:t>
            </w:r>
          </w:p>
        </w:tc>
        <w:tc>
          <w:tcPr>
            <w:tcW w:w="152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70"/>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Total assets acquired </w:t>
            </w:r>
            <w:r>
              <w:rPr>
                <w:rFonts w:ascii="Arial" w:cs="Arial" w:eastAsia="Arial" w:hAnsi="Arial"/>
                <w:sz w:val="20"/>
                <w:szCs w:val="20"/>
                <w:color w:val="B4B4B4"/>
                <w:w w:val="91"/>
              </w:rPr>
              <w:t>. . . . . . . . . . . . . . . . . . . . . . . . . . . . . . . . . . . . . . . . . . . . . . . . . . . . . . . . . . . . . .</w:t>
            </w:r>
          </w:p>
        </w:tc>
        <w:tc>
          <w:tcPr>
            <w:tcW w:w="34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584</w:t>
            </w:r>
          </w:p>
        </w:tc>
      </w:tr>
      <w:tr>
        <w:trPr>
          <w:trHeight w:val="642"/>
        </w:trPr>
        <w:tc>
          <w:tcPr>
            <w:tcW w:w="8520" w:type="dxa"/>
            <w:vAlign w:val="bottom"/>
            <w:gridSpan w:val="3"/>
          </w:tcPr>
          <w:p>
            <w:pPr>
              <w:jc w:val="right"/>
              <w:ind w:right="382"/>
              <w:spacing w:after="0"/>
              <w:rPr>
                <w:sz w:val="20"/>
                <w:szCs w:val="20"/>
                <w:color w:val="auto"/>
              </w:rPr>
            </w:pPr>
            <w:r>
              <w:rPr>
                <w:rFonts w:ascii="Arial" w:cs="Arial" w:eastAsia="Arial" w:hAnsi="Arial"/>
                <w:sz w:val="20"/>
                <w:szCs w:val="20"/>
                <w:color w:val="auto"/>
                <w:w w:val="90"/>
              </w:rPr>
              <w:t xml:space="preserve">Long-term debt </w:t>
            </w:r>
            <w:r>
              <w:rPr>
                <w:rFonts w:ascii="Arial" w:cs="Arial" w:eastAsia="Arial" w:hAnsi="Arial"/>
                <w:sz w:val="25"/>
                <w:szCs w:val="25"/>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 . . . . . . . . . . . . . . . . . . . . .</w:t>
            </w:r>
          </w:p>
        </w:tc>
        <w:tc>
          <w:tcPr>
            <w:tcW w:w="1520" w:type="dxa"/>
            <w:vAlign w:val="bottom"/>
          </w:tcPr>
          <w:p>
            <w:pPr>
              <w:jc w:val="right"/>
              <w:spacing w:after="0"/>
              <w:rPr>
                <w:sz w:val="20"/>
                <w:szCs w:val="20"/>
                <w:color w:val="auto"/>
              </w:rPr>
            </w:pPr>
            <w:r>
              <w:rPr>
                <w:rFonts w:ascii="Arial" w:cs="Arial" w:eastAsia="Arial" w:hAnsi="Arial"/>
                <w:sz w:val="20"/>
                <w:szCs w:val="20"/>
                <w:color w:val="auto"/>
              </w:rPr>
              <w:t>515</w:t>
            </w:r>
          </w:p>
        </w:tc>
      </w:tr>
      <w:tr>
        <w:trPr>
          <w:trHeight w:val="255"/>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1"/>
              </w:rPr>
              <w:t xml:space="preserve">Long-term lease liabilities  </w:t>
            </w:r>
            <w:r>
              <w:rPr>
                <w:rFonts w:ascii="Arial" w:cs="Arial" w:eastAsia="Arial" w:hAnsi="Arial"/>
                <w:sz w:val="20"/>
                <w:szCs w:val="20"/>
                <w:color w:val="B4B4B4"/>
                <w:w w:val="91"/>
              </w:rPr>
              <w:t>. . . . . . . . . . . . . . . . . . . . . . . . . . . . . . . . . . . . . . . . . . . . . . . . . . . . . . . . . .</w:t>
            </w:r>
          </w:p>
        </w:tc>
        <w:tc>
          <w:tcPr>
            <w:tcW w:w="3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4"/>
        </w:trPr>
        <w:tc>
          <w:tcPr>
            <w:tcW w:w="8520" w:type="dxa"/>
            <w:vAlign w:val="bottom"/>
            <w:gridSpan w:val="3"/>
          </w:tcPr>
          <w:p>
            <w:pPr>
              <w:jc w:val="right"/>
              <w:ind w:right="362"/>
              <w:spacing w:after="0"/>
              <w:rPr>
                <w:sz w:val="20"/>
                <w:szCs w:val="20"/>
                <w:color w:val="auto"/>
              </w:rPr>
            </w:pPr>
            <w:r>
              <w:rPr>
                <w:rFonts w:ascii="Arial" w:cs="Arial" w:eastAsia="Arial" w:hAnsi="Arial"/>
                <w:sz w:val="20"/>
                <w:szCs w:val="20"/>
                <w:color w:val="auto"/>
                <w:w w:val="91"/>
              </w:rPr>
              <w:t xml:space="preserve">Derivative liabilities </w:t>
            </w:r>
            <w:r>
              <w:rPr>
                <w:rFonts w:ascii="Arial" w:cs="Arial" w:eastAsia="Arial" w:hAnsi="Arial"/>
                <w:sz w:val="20"/>
                <w:szCs w:val="20"/>
                <w:color w:val="B4B4B4"/>
                <w:w w:val="91"/>
              </w:rPr>
              <w:t>. . . . . . . . . . . . . . . . . . . . . . . . . . . . . . . . . . . . . . . . . . . . . . . . . . . . . . . . . . . . . . . .</w:t>
            </w:r>
          </w:p>
        </w:tc>
        <w:tc>
          <w:tcPr>
            <w:tcW w:w="1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8"/>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Other current and non-current liabilities </w:t>
            </w:r>
            <w:r>
              <w:rPr>
                <w:rFonts w:ascii="Arial" w:cs="Arial" w:eastAsia="Arial" w:hAnsi="Arial"/>
                <w:sz w:val="20"/>
                <w:szCs w:val="20"/>
                <w:color w:val="B4B4B4"/>
                <w:w w:val="91"/>
              </w:rPr>
              <w:t>. . . . . . . . . . . . . . . . . . . . . . . . . . . . . . . . . . . . . . . . . . . . . . . .</w:t>
            </w: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w:t>
            </w:r>
          </w:p>
        </w:tc>
      </w:tr>
      <w:tr>
        <w:trPr>
          <w:trHeight w:val="274"/>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2"/>
              </w:rPr>
              <w:t xml:space="preserve">Total liabilities assumed </w:t>
            </w:r>
            <w:r>
              <w:rPr>
                <w:rFonts w:ascii="Arial" w:cs="Arial" w:eastAsia="Arial" w:hAnsi="Arial"/>
                <w:sz w:val="20"/>
                <w:szCs w:val="20"/>
                <w:color w:val="B4B4B4"/>
                <w:w w:val="92"/>
              </w:rPr>
              <w:t>. . . . . . . . . . . . . . . . . . . . . . . . . . . . . . . . . . . . . . . . . . . . . . . . . . . . . . . . . . .</w:t>
            </w:r>
          </w:p>
        </w:tc>
        <w:tc>
          <w:tcPr>
            <w:tcW w:w="3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588</w:t>
            </w:r>
          </w:p>
        </w:tc>
      </w:tr>
      <w:tr>
        <w:trPr>
          <w:trHeight w:val="274"/>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0"/>
              </w:rPr>
              <w:t xml:space="preserve">Other comprehensive income </w:t>
            </w:r>
            <w:r>
              <w:rPr>
                <w:rFonts w:ascii="Arial" w:cs="Arial" w:eastAsia="Arial" w:hAnsi="Arial"/>
                <w:sz w:val="20"/>
                <w:szCs w:val="20"/>
                <w:color w:val="B4B4B4"/>
                <w:w w:val="90"/>
              </w:rPr>
              <w:t>. . . . . . . . . . . . . . . . . . . . . . . . . . . . . . . . . . . . . . . . . . . . . . . . . . . . . . . .</w:t>
            </w:r>
          </w:p>
        </w:tc>
        <w:tc>
          <w:tcPr>
            <w:tcW w:w="3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r>
      <w:tr>
        <w:trPr>
          <w:trHeight w:val="254"/>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Net liabilities assumed </w:t>
            </w:r>
            <w:r>
              <w:rPr>
                <w:rFonts w:ascii="Arial" w:cs="Arial" w:eastAsia="Arial" w:hAnsi="Arial"/>
                <w:sz w:val="20"/>
                <w:szCs w:val="20"/>
                <w:color w:val="B4B4B4"/>
                <w:w w:val="91"/>
              </w:rPr>
              <w:t>. . . . . . . . . . . . . . . . . . . . . . . . . . . . . . . . . . . . . . . . . . . . . . . . . . . . . . . . . . . . .</w:t>
            </w:r>
          </w:p>
        </w:tc>
        <w:tc>
          <w:tcPr>
            <w:tcW w:w="34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r>
      <w:tr>
        <w:trPr>
          <w:trHeight w:val="20"/>
        </w:trPr>
        <w:tc>
          <w:tcPr>
            <w:tcW w:w="1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6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-2563495</wp:posOffset>
            </wp:positionV>
            <wp:extent cx="6410325" cy="24739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5">
                      <a:extLst>
                        <a:ext uri="{28A0092B-C50C-407E-A947-70E740481C1C}"/>
                      </a:extLst>
                    </a:blip>
                    <a:srcRect/>
                    <a:stretch>
                      <a:fillRect/>
                    </a:stretch>
                  </pic:blipFill>
                  <pic:spPr bwMode="auto">
                    <a:xfrm>
                      <a:off x="0" y="0"/>
                      <a:ext cx="6410325" cy="2473960"/>
                    </a:xfrm>
                    <a:prstGeom prst="rect">
                      <a:avLst/>
                    </a:prstGeom>
                    <a:noFill/>
                  </pic:spPr>
                </pic:pic>
              </a:graphicData>
            </a:graphic>
          </wp:anchor>
        </w:drawing>
      </w:r>
    </w:p>
    <w:p>
      <w:pPr>
        <w:ind w:left="280" w:hanging="199"/>
        <w:spacing w:after="0" w:line="232" w:lineRule="auto"/>
        <w:tabs>
          <w:tab w:leader="none" w:pos="280" w:val="left"/>
        </w:tabs>
        <w:numPr>
          <w:ilvl w:val="0"/>
          <w:numId w:val="48"/>
        </w:numPr>
        <w:rPr>
          <w:rFonts w:ascii="Arial" w:cs="Arial" w:eastAsia="Arial" w:hAnsi="Arial"/>
          <w:sz w:val="23"/>
          <w:szCs w:val="23"/>
          <w:color w:val="auto"/>
          <w:vertAlign w:val="superscript"/>
        </w:rPr>
      </w:pPr>
      <w:r>
        <w:rPr>
          <w:rFonts w:ascii="Arial" w:cs="Arial" w:eastAsia="Arial" w:hAnsi="Arial"/>
          <w:sz w:val="16"/>
          <w:szCs w:val="16"/>
          <w:color w:val="auto"/>
        </w:rPr>
        <w:t>Includes Construction in progress of $550 million.</w:t>
      </w:r>
    </w:p>
    <w:p>
      <w:pPr>
        <w:spacing w:after="0" w:line="85" w:lineRule="exact"/>
        <w:rPr>
          <w:rFonts w:ascii="Arial" w:cs="Arial" w:eastAsia="Arial" w:hAnsi="Arial"/>
          <w:sz w:val="23"/>
          <w:szCs w:val="23"/>
          <w:color w:val="auto"/>
          <w:vertAlign w:val="superscript"/>
        </w:rPr>
      </w:pPr>
    </w:p>
    <w:p>
      <w:pPr>
        <w:jc w:val="both"/>
        <w:ind w:left="80" w:firstLine="1"/>
        <w:spacing w:after="0" w:line="216" w:lineRule="auto"/>
        <w:tabs>
          <w:tab w:leader="none" w:pos="327" w:val="left"/>
        </w:tabs>
        <w:numPr>
          <w:ilvl w:val="0"/>
          <w:numId w:val="48"/>
        </w:numPr>
        <w:rPr>
          <w:rFonts w:ascii="Arial" w:cs="Arial" w:eastAsia="Arial" w:hAnsi="Arial"/>
          <w:sz w:val="23"/>
          <w:szCs w:val="23"/>
          <w:color w:val="auto"/>
          <w:vertAlign w:val="superscript"/>
        </w:rPr>
      </w:pPr>
      <w:r>
        <w:rPr>
          <w:rFonts w:ascii="Arial" w:cs="Arial" w:eastAsia="Arial" w:hAnsi="Arial"/>
          <w:sz w:val="16"/>
          <w:szCs w:val="16"/>
          <w:color w:val="auto"/>
        </w:rPr>
        <w:t xml:space="preserve">Includes a $103 million construction loan, a $102 million cash equity bridge loan, a $41 million tax equity bridge loan and a $275 million tax credit transfer bridge loan, offset by $6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xml:space="preserve"> for further discussion of the long-term debt assumed in the acquisition.</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10040"/>
          </w:cols>
          <w:pgMar w:left="920" w:top="580" w:right="920" w:bottom="0" w:gutter="0" w:footer="0" w:header="0"/>
          <w:type w:val="continuous"/>
        </w:sectPr>
      </w:pPr>
    </w:p>
    <w:bookmarkStart w:id="99" w:name="page100"/>
    <w:bookmarkEnd w:id="99"/>
    <w:p>
      <w:pPr>
        <w:jc w:val="both"/>
        <w:ind w:firstLine="441"/>
        <w:spacing w:after="0" w:line="293" w:lineRule="auto"/>
        <w:rPr>
          <w:sz w:val="20"/>
          <w:szCs w:val="20"/>
          <w:color w:val="auto"/>
        </w:rPr>
      </w:pPr>
      <w:r>
        <w:rPr>
          <w:rFonts w:ascii="Arial" w:cs="Arial" w:eastAsia="Arial" w:hAnsi="Arial"/>
          <w:sz w:val="17"/>
          <w:szCs w:val="17"/>
          <w:b w:val="1"/>
          <w:bCs w:val="1"/>
          <w:i w:val="1"/>
          <w:iCs w:val="1"/>
          <w:color w:val="auto"/>
        </w:rPr>
        <w:t xml:space="preserve">Honeycomb Portfolio Drop Down </w:t>
      </w:r>
      <w:r>
        <w:rPr>
          <w:rFonts w:ascii="Arial" w:cs="Arial" w:eastAsia="Arial" w:hAnsi="Arial"/>
          <w:sz w:val="17"/>
          <w:szCs w:val="17"/>
          <w:color w:val="auto"/>
        </w:rPr>
        <w:t>— On October 15, 2025, the Company, through its indirect subsidiary, Honeycomb 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Holdco LLC, acquired Honeycomb TargetCo, the indirect owner of the Honeycomb Portfolio, which includes four BESS facilities under construction in Beaver County and Iron County, Utah representing 320 MW of capacity, from Clearway Renew for initial cash consideration of $16 million. At substantial completion, which is expected to occur in the first half of 2026, the Company estimates it will pay an additional $62 million to Clearway Renew. Honeycomb TargetCo consolidates as primary beneficiary, Honeycomb TE HoldCo LLC, a tax equity fund that owns the Honeycomb Portfolio BESS facilities, as further described in Note 5, </w:t>
      </w:r>
      <w:r>
        <w:rPr>
          <w:rFonts w:ascii="Arial" w:cs="Arial" w:eastAsia="Arial" w:hAnsi="Arial"/>
          <w:sz w:val="17"/>
          <w:szCs w:val="17"/>
          <w:b w:val="1"/>
          <w:bCs w:val="1"/>
          <w:i w:val="1"/>
          <w:iCs w:val="1"/>
          <w:color w:val="auto"/>
        </w:rPr>
        <w:t>Investments Accounted for by the Equity Method and Variable Interest Entities</w:t>
      </w:r>
      <w:r>
        <w:rPr>
          <w:rFonts w:ascii="Arial" w:cs="Arial" w:eastAsia="Arial" w:hAnsi="Arial"/>
          <w:sz w:val="17"/>
          <w:szCs w:val="17"/>
          <w:color w:val="auto"/>
        </w:rPr>
        <w:t xml:space="preserve">. The Honeycomb Portfolio has 20-year PPAs with an investment-grade utility that will commence when the underlying operating assets reach commercial operations, which is expected to occur in the first half of 2026. The Honeycomb Portfolio is reflected in the Company’s Renewables &amp; Storage segment and the acquisition was funded with existing sources of liquidity. The acquisition was determined to be an asset acquisition and the Company consolidates the Honeycomb Portfolio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7"/>
          <w:szCs w:val="17"/>
          <w:b w:val="1"/>
          <w:bCs w:val="1"/>
          <w:i w:val="1"/>
          <w:iCs w:val="1"/>
          <w:color w:val="auto"/>
        </w:rPr>
        <w:t>Business Combinations - Related Issues</w:t>
      </w:r>
      <w:r>
        <w:rPr>
          <w:rFonts w:ascii="Arial" w:cs="Arial" w:eastAsia="Arial" w:hAnsi="Arial"/>
          <w:sz w:val="17"/>
          <w:szCs w:val="17"/>
          <w:color w:val="auto"/>
        </w:rPr>
        <w:t>. The sum of the Company’s initial cash consideration of $16 million and the historical cost of the Company’s net liabilities assumed of $2 million was recorded as an adjustment to CEG’s noncontrolling interest balance. The Company estimates that its total capital investment in Honeycomb TargetCo will be $78 million, excluding the impact of any closing adjustments noted in the purchase agreement.</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assets and liabilities transferred in connection with the acquisition as of October 15,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gridSpan w:val="2"/>
          </w:tcPr>
          <w:p>
            <w:pPr>
              <w:jc w:val="right"/>
              <w:ind w:right="7200"/>
              <w:spacing w:after="0"/>
              <w:rPr>
                <w:sz w:val="20"/>
                <w:szCs w:val="20"/>
                <w:color w:val="auto"/>
              </w:rPr>
            </w:pPr>
            <w:r>
              <w:rPr>
                <w:rFonts w:ascii="Arial" w:cs="Arial" w:eastAsia="Arial" w:hAnsi="Arial"/>
                <w:sz w:val="18"/>
                <w:szCs w:val="18"/>
                <w:b w:val="1"/>
                <w:bCs w:val="1"/>
                <w:color w:val="auto"/>
                <w:w w:val="94"/>
              </w:rPr>
              <w:t>(In millions)</w:t>
            </w:r>
          </w:p>
        </w:tc>
        <w:tc>
          <w:tcPr>
            <w:tcW w:w="186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b w:val="1"/>
                <w:bCs w:val="1"/>
                <w:color w:val="auto"/>
                <w:w w:val="95"/>
              </w:rPr>
              <w:t>Honeycomb Portfolio</w:t>
            </w:r>
          </w:p>
        </w:tc>
      </w:tr>
      <w:tr>
        <w:trPr>
          <w:trHeight w:val="270"/>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Cash </w:t>
            </w:r>
            <w:r>
              <w:rPr>
                <w:rFonts w:ascii="Arial" w:cs="Arial" w:eastAsia="Arial" w:hAnsi="Arial"/>
                <w:sz w:val="20"/>
                <w:szCs w:val="20"/>
                <w:color w:val="B4B4B4"/>
                <w:w w:val="90"/>
              </w:rPr>
              <w:t>. . . . . . . . . . . . . . . . . . . . . . . . . . . . . . . . . . . . . . . . . . . . . . . . . . . . . . . . . . . . . . . . . . . . . . . . . . . .</w:t>
            </w:r>
          </w:p>
        </w:tc>
        <w:tc>
          <w:tcPr>
            <w:tcW w:w="820" w:type="dxa"/>
            <w:vAlign w:val="bottom"/>
          </w:tcPr>
          <w:p>
            <w:pPr>
              <w:jc w:val="right"/>
              <w:ind w:right="565"/>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33"/>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Property, plant and equipment </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 . . . . . . . . . . .</w:t>
            </w:r>
          </w:p>
        </w:tc>
        <w:tc>
          <w:tcPr>
            <w:tcW w:w="8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480</w:t>
            </w:r>
          </w:p>
        </w:tc>
      </w:tr>
      <w:tr>
        <w:trPr>
          <w:trHeight w:val="255"/>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Right-of-use assets, net </w:t>
            </w:r>
            <w:r>
              <w:rPr>
                <w:rFonts w:ascii="Arial" w:cs="Arial" w:eastAsia="Arial" w:hAnsi="Arial"/>
                <w:sz w:val="20"/>
                <w:szCs w:val="20"/>
                <w:color w:val="B4B4B4"/>
                <w:w w:val="90"/>
              </w:rPr>
              <w:t>. . . . . . . . . . . . . . . . . . . . . . . . . . . . . . . . . . . . . . . . . . . . . . . . . . . . . . . . . . . . .</w:t>
            </w:r>
          </w:p>
        </w:tc>
        <w:tc>
          <w:tcPr>
            <w:tcW w:w="8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4"/>
        </w:trPr>
        <w:tc>
          <w:tcPr>
            <w:tcW w:w="9000" w:type="dxa"/>
            <w:vAlign w:val="bottom"/>
            <w:gridSpan w:val="3"/>
          </w:tcPr>
          <w:p>
            <w:pPr>
              <w:jc w:val="right"/>
              <w:ind w:right="865"/>
              <w:spacing w:after="0"/>
              <w:rPr>
                <w:sz w:val="20"/>
                <w:szCs w:val="20"/>
                <w:color w:val="auto"/>
              </w:rPr>
            </w:pPr>
            <w:r>
              <w:rPr>
                <w:rFonts w:ascii="Arial" w:cs="Arial" w:eastAsia="Arial" w:hAnsi="Arial"/>
                <w:sz w:val="20"/>
                <w:szCs w:val="20"/>
                <w:color w:val="auto"/>
                <w:w w:val="90"/>
              </w:rPr>
              <w:t xml:space="preserve">Derivative assets </w:t>
            </w:r>
            <w:r>
              <w:rPr>
                <w:rFonts w:ascii="Arial" w:cs="Arial" w:eastAsia="Arial" w:hAnsi="Arial"/>
                <w:sz w:val="20"/>
                <w:szCs w:val="20"/>
                <w:color w:val="B4B4B4"/>
                <w:w w:val="90"/>
              </w:rPr>
              <w:t>. . . . . . . . . . . . . . . . . . . . . . . . . . . . . .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8"/>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Other current and non-current assets </w:t>
            </w:r>
            <w:r>
              <w:rPr>
                <w:rFonts w:ascii="Arial" w:cs="Arial" w:eastAsia="Arial" w:hAnsi="Arial"/>
                <w:sz w:val="20"/>
                <w:szCs w:val="20"/>
                <w:color w:val="B4B4B4"/>
                <w:w w:val="89"/>
              </w:rPr>
              <w:t>. . . . . . . . . . . . . . . . . . . . . . . . . . . . . . . . . . . . . . . . . . . . . . . . . . .</w:t>
            </w: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r>
      <w:tr>
        <w:trPr>
          <w:trHeight w:val="270"/>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Total assets acquired </w:t>
            </w:r>
            <w:r>
              <w:rPr>
                <w:rFonts w:ascii="Arial" w:cs="Arial" w:eastAsia="Arial" w:hAnsi="Arial"/>
                <w:sz w:val="20"/>
                <w:szCs w:val="20"/>
                <w:color w:val="B4B4B4"/>
                <w:w w:val="91"/>
              </w:rPr>
              <w:t>. . . . . . . . . . . . . . . . . . . . . . . . . . . . . . . . . . . . . . . . . . . . . . . . . . . . . . . . . . . . . .</w:t>
            </w:r>
          </w:p>
        </w:tc>
        <w:tc>
          <w:tcPr>
            <w:tcW w:w="8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495</w:t>
            </w:r>
          </w:p>
        </w:tc>
      </w:tr>
      <w:tr>
        <w:trPr>
          <w:trHeight w:val="642"/>
        </w:trPr>
        <w:tc>
          <w:tcPr>
            <w:tcW w:w="9000" w:type="dxa"/>
            <w:vAlign w:val="bottom"/>
            <w:gridSpan w:val="3"/>
          </w:tcPr>
          <w:p>
            <w:pPr>
              <w:jc w:val="right"/>
              <w:ind w:right="865"/>
              <w:spacing w:after="0"/>
              <w:rPr>
                <w:sz w:val="20"/>
                <w:szCs w:val="20"/>
                <w:color w:val="auto"/>
              </w:rPr>
            </w:pPr>
            <w:r>
              <w:rPr>
                <w:rFonts w:ascii="Arial" w:cs="Arial" w:eastAsia="Arial" w:hAnsi="Arial"/>
                <w:sz w:val="20"/>
                <w:szCs w:val="20"/>
                <w:color w:val="auto"/>
                <w:w w:val="90"/>
              </w:rPr>
              <w:t xml:space="preserve">Long-term debt </w:t>
            </w:r>
            <w:r>
              <w:rPr>
                <w:rFonts w:ascii="Arial" w:cs="Arial" w:eastAsia="Arial" w:hAnsi="Arial"/>
                <w:sz w:val="25"/>
                <w:szCs w:val="25"/>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443</w:t>
            </w:r>
          </w:p>
        </w:tc>
      </w:tr>
      <w:tr>
        <w:trPr>
          <w:trHeight w:val="255"/>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1"/>
              </w:rPr>
              <w:t xml:space="preserve">Long-term lease liabilities  </w:t>
            </w:r>
            <w:r>
              <w:rPr>
                <w:rFonts w:ascii="Arial" w:cs="Arial" w:eastAsia="Arial" w:hAnsi="Arial"/>
                <w:sz w:val="20"/>
                <w:szCs w:val="20"/>
                <w:color w:val="B4B4B4"/>
                <w:w w:val="91"/>
              </w:rPr>
              <w:t>. . . . . . . . . . . . . . . . . . . . . . . . . . . . . . . . . . . . . . . . . . . . . . . . . . . . . . . . . .</w:t>
            </w:r>
          </w:p>
        </w:tc>
        <w:tc>
          <w:tcPr>
            <w:tcW w:w="8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4"/>
        </w:trPr>
        <w:tc>
          <w:tcPr>
            <w:tcW w:w="9000" w:type="dxa"/>
            <w:vAlign w:val="bottom"/>
            <w:gridSpan w:val="3"/>
          </w:tcPr>
          <w:p>
            <w:pPr>
              <w:jc w:val="right"/>
              <w:ind w:right="845"/>
              <w:spacing w:after="0"/>
              <w:rPr>
                <w:sz w:val="20"/>
                <w:szCs w:val="20"/>
                <w:color w:val="auto"/>
              </w:rPr>
            </w:pPr>
            <w:r>
              <w:rPr>
                <w:rFonts w:ascii="Arial" w:cs="Arial" w:eastAsia="Arial" w:hAnsi="Arial"/>
                <w:sz w:val="20"/>
                <w:szCs w:val="20"/>
                <w:color w:val="auto"/>
                <w:w w:val="91"/>
              </w:rPr>
              <w:t xml:space="preserve">Derivative liabilities </w:t>
            </w:r>
            <w:r>
              <w:rPr>
                <w:rFonts w:ascii="Arial" w:cs="Arial" w:eastAsia="Arial" w:hAnsi="Arial"/>
                <w:sz w:val="20"/>
                <w:szCs w:val="20"/>
                <w:color w:val="B4B4B4"/>
                <w:w w:val="91"/>
              </w:rPr>
              <w:t>. . . . . . . . . . . . . . . . . . . . . . . . . . . . . . . . . . . . . . . . . . . . . . . . . . . . . . . . . . . . . . . .</w:t>
            </w:r>
          </w:p>
        </w:tc>
        <w:tc>
          <w:tcPr>
            <w:tcW w:w="10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98"/>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Other current and non-current liabilities </w:t>
            </w:r>
            <w:r>
              <w:rPr>
                <w:rFonts w:ascii="Arial" w:cs="Arial" w:eastAsia="Arial" w:hAnsi="Arial"/>
                <w:sz w:val="20"/>
                <w:szCs w:val="20"/>
                <w:color w:val="B4B4B4"/>
                <w:w w:val="91"/>
              </w:rPr>
              <w:t>. . . . . . . . . . . . . . . . . . . . . . . . . . . . . . . . . . . . . . . . . . . . . . . .</w:t>
            </w: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w:t>
            </w:r>
          </w:p>
        </w:tc>
      </w:tr>
      <w:tr>
        <w:trPr>
          <w:trHeight w:val="274"/>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2"/>
              </w:rPr>
              <w:t xml:space="preserve">Total liabilities assumed </w:t>
            </w:r>
            <w:r>
              <w:rPr>
                <w:rFonts w:ascii="Arial" w:cs="Arial" w:eastAsia="Arial" w:hAnsi="Arial"/>
                <w:sz w:val="20"/>
                <w:szCs w:val="20"/>
                <w:color w:val="B4B4B4"/>
                <w:w w:val="92"/>
              </w:rPr>
              <w:t>. . . . . . . . . . . . . . . . . . . . . . . . . . . . . . . . . . . . . . . . . . . . . . . . . . . . . . . . . . .</w:t>
            </w:r>
          </w:p>
        </w:tc>
        <w:tc>
          <w:tcPr>
            <w:tcW w:w="8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w:t>
            </w:r>
          </w:p>
        </w:tc>
      </w:tr>
      <w:tr>
        <w:trPr>
          <w:trHeight w:val="274"/>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0"/>
              </w:rPr>
              <w:t xml:space="preserve">Other comprehensive loss </w:t>
            </w:r>
            <w:r>
              <w:rPr>
                <w:rFonts w:ascii="Arial" w:cs="Arial" w:eastAsia="Arial" w:hAnsi="Arial"/>
                <w:sz w:val="20"/>
                <w:szCs w:val="20"/>
                <w:color w:val="B4B4B4"/>
                <w:w w:val="90"/>
              </w:rPr>
              <w:t>. . . . . . . . . . . . . . . . . . . . . . . . . . . . . . . . . . . . . . . . . . . . . . . . . . . . . . . . . . .</w:t>
            </w:r>
          </w:p>
        </w:tc>
        <w:tc>
          <w:tcPr>
            <w:tcW w:w="8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254"/>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Net liabilities assumed </w:t>
            </w:r>
            <w:r>
              <w:rPr>
                <w:rFonts w:ascii="Arial" w:cs="Arial" w:eastAsia="Arial" w:hAnsi="Arial"/>
                <w:sz w:val="20"/>
                <w:szCs w:val="20"/>
                <w:color w:val="B4B4B4"/>
                <w:w w:val="91"/>
              </w:rPr>
              <w:t>. . . . . . . . . . . . . . . . . . . . . . . . . . . . . . . . . . . . . . . . . . . . . . . . . . . . . . . . . . . . .</w:t>
            </w:r>
          </w:p>
        </w:tc>
        <w:tc>
          <w:tcPr>
            <w:tcW w:w="820" w:type="dxa"/>
            <w:vAlign w:val="bottom"/>
            <w:tcBorders>
              <w:bottom w:val="single" w:sz="8" w:color="auto"/>
            </w:tcBorders>
          </w:tcPr>
          <w:p>
            <w:pPr>
              <w:jc w:val="right"/>
              <w:ind w:right="565"/>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0"/>
        </w:trPr>
        <w:tc>
          <w:tcPr>
            <w:tcW w:w="1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6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-2750185</wp:posOffset>
            </wp:positionV>
            <wp:extent cx="6410325" cy="26606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6">
                      <a:extLst>
                        <a:ext uri="{28A0092B-C50C-407E-A947-70E740481C1C}"/>
                      </a:extLst>
                    </a:blip>
                    <a:srcRect/>
                    <a:stretch>
                      <a:fillRect/>
                    </a:stretch>
                  </pic:blipFill>
                  <pic:spPr bwMode="auto">
                    <a:xfrm>
                      <a:off x="0" y="0"/>
                      <a:ext cx="6410325" cy="2660650"/>
                    </a:xfrm>
                    <a:prstGeom prst="rect">
                      <a:avLst/>
                    </a:prstGeom>
                    <a:noFill/>
                  </pic:spPr>
                </pic:pic>
              </a:graphicData>
            </a:graphic>
          </wp:anchor>
        </w:drawing>
      </w:r>
    </w:p>
    <w:p>
      <w:pPr>
        <w:ind w:left="280" w:hanging="199"/>
        <w:spacing w:after="0" w:line="232" w:lineRule="auto"/>
        <w:tabs>
          <w:tab w:leader="none" w:pos="280"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Includes Construction in progress of $473 million.</w:t>
      </w:r>
    </w:p>
    <w:p>
      <w:pPr>
        <w:spacing w:after="0" w:line="85" w:lineRule="exact"/>
        <w:rPr>
          <w:rFonts w:ascii="Arial" w:cs="Arial" w:eastAsia="Arial" w:hAnsi="Arial"/>
          <w:sz w:val="23"/>
          <w:szCs w:val="23"/>
          <w:color w:val="auto"/>
          <w:vertAlign w:val="superscript"/>
        </w:rPr>
      </w:pPr>
    </w:p>
    <w:p>
      <w:pPr>
        <w:ind w:left="80" w:firstLine="1"/>
        <w:spacing w:after="0" w:line="205" w:lineRule="auto"/>
        <w:tabs>
          <w:tab w:leader="none" w:pos="299" w:val="left"/>
        </w:tabs>
        <w:numPr>
          <w:ilvl w:val="0"/>
          <w:numId w:val="49"/>
        </w:numPr>
        <w:rPr>
          <w:rFonts w:ascii="Arial" w:cs="Arial" w:eastAsia="Arial" w:hAnsi="Arial"/>
          <w:sz w:val="23"/>
          <w:szCs w:val="23"/>
          <w:color w:val="auto"/>
          <w:vertAlign w:val="superscript"/>
        </w:rPr>
      </w:pPr>
      <w:r>
        <w:rPr>
          <w:rFonts w:ascii="Arial" w:cs="Arial" w:eastAsia="Arial" w:hAnsi="Arial"/>
          <w:sz w:val="16"/>
          <w:szCs w:val="16"/>
          <w:color w:val="auto"/>
        </w:rPr>
        <w:t xml:space="preserve">Includes a $218 million construction loan and a $234 million tax equity bridge loan, offset by $9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for further discussion of the long-term debt assumed in the acquisition.</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10040"/>
          </w:cols>
          <w:pgMar w:left="920" w:top="580" w:right="920" w:bottom="0" w:gutter="0" w:footer="0" w:header="0"/>
          <w:type w:val="continuous"/>
        </w:sectPr>
      </w:pPr>
    </w:p>
    <w:bookmarkStart w:id="100" w:name="page101"/>
    <w:bookmarkEnd w:id="100"/>
    <w:p>
      <w:pPr>
        <w:jc w:val="both"/>
        <w:ind w:firstLine="441"/>
        <w:spacing w:after="0" w:line="293" w:lineRule="auto"/>
        <w:rPr>
          <w:sz w:val="20"/>
          <w:szCs w:val="20"/>
          <w:color w:val="auto"/>
        </w:rPr>
      </w:pPr>
      <w:r>
        <w:rPr>
          <w:rFonts w:ascii="Arial" w:cs="Arial" w:eastAsia="Arial" w:hAnsi="Arial"/>
          <w:sz w:val="17"/>
          <w:szCs w:val="17"/>
          <w:b w:val="1"/>
          <w:bCs w:val="1"/>
          <w:i w:val="1"/>
          <w:iCs w:val="1"/>
          <w:color w:val="auto"/>
        </w:rPr>
        <w:t xml:space="preserve">Daggett 1 Drop Down </w:t>
      </w:r>
      <w:r>
        <w:rPr>
          <w:rFonts w:ascii="Arial" w:cs="Arial" w:eastAsia="Arial" w:hAnsi="Arial"/>
          <w:sz w:val="17"/>
          <w:szCs w:val="17"/>
          <w:color w:val="auto"/>
        </w:rPr>
        <w:t>— On April 29, 2025, the Company, through its indirect subsidiary, LV-Daggett Parent Holdco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acquired Daggett 1 Class B, the indirect owner of Daggett 1, a 114 MW BESS facility located in San Bernardino County, California, from Clearway Renew for initial cash consideration of $11 million. On September 19, 2025, when the facility reached substantial completion, the Company paid $42 million to Clearway Renew as additional purchase price. Daggett 1 Class B consolidates as primary beneficiary, Daggett 1 TE Holdco LLC, a tax equity fund that owns the Daggett 1 BESS facility, as further described in Note 5, </w:t>
      </w:r>
      <w:r>
        <w:rPr>
          <w:rFonts w:ascii="Arial" w:cs="Arial" w:eastAsia="Arial" w:hAnsi="Arial"/>
          <w:sz w:val="17"/>
          <w:szCs w:val="17"/>
          <w:b w:val="1"/>
          <w:bCs w:val="1"/>
          <w:i w:val="1"/>
          <w:iCs w:val="1"/>
          <w:color w:val="auto"/>
        </w:rPr>
        <w:t>Investments Accounted for by the Equity Method and Variable Interest Entities</w:t>
      </w:r>
      <w:r>
        <w:rPr>
          <w:rFonts w:ascii="Arial" w:cs="Arial" w:eastAsia="Arial" w:hAnsi="Arial"/>
          <w:sz w:val="17"/>
          <w:szCs w:val="17"/>
          <w:color w:val="auto"/>
        </w:rPr>
        <w:t xml:space="preserve">. Daggett 1 has a PPA for capacity with an investment-grade counterparty for a contract duration of 15 years that commenced in September 2025. Daggett 1 is reflected in the Company’s Renewables &amp; Storage segment and the acquisition was funded with existing sources of liquidity. The acquisition was determined to be an asset acquisition and the Company consolidates Daggett 1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7"/>
          <w:szCs w:val="17"/>
          <w:b w:val="1"/>
          <w:bCs w:val="1"/>
          <w:i w:val="1"/>
          <w:iCs w:val="1"/>
          <w:color w:val="auto"/>
        </w:rPr>
        <w:t>Business Combinations - Related Issues</w:t>
      </w:r>
      <w:r>
        <w:rPr>
          <w:rFonts w:ascii="Arial" w:cs="Arial" w:eastAsia="Arial" w:hAnsi="Arial"/>
          <w:sz w:val="17"/>
          <w:szCs w:val="17"/>
          <w:color w:val="auto"/>
        </w:rPr>
        <w:t>. The difference between the initial cash consideration of $11 million and the historical cost of the Company’s net assets acquired of $1 million was recorded as an adjustment to CEG’s noncontrolling interest balance. The $42 million additional purchase price was also recorded as an adjustment to CEG’s noncontrolling interest balance. In addition, the Company reflected the entire $11 million of the Company’s initial purchase price, which was contributed back to the Company by CEG into escrow in the line item contributions from CEG, net of distributions, in the consolidated statements of stockholders’ equity. The Company also reflected the entire $42 million of the Company’s additional purchase price, which was contributed back to the Company by CEG to pay down long-term debt, in the line item contributions from CEG, net of distributions, in the consolidated statements of stockholders’ equity.</w:t>
      </w:r>
    </w:p>
    <w:p>
      <w:pPr>
        <w:spacing w:after="0" w:line="354"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On October 15, 2025, the Company paid $4 million to Clearway Renew as a final purchase price adjustment, which was recorded as an adjustment to CEG’s noncontrolling interest balance. The Company’s total capital investment in Daggett 1 Class B was $57 million.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assets and liabilities transferred in connection with the acquisition as of April 29,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gridSpan w:val="2"/>
          </w:tcPr>
          <w:p>
            <w:pPr>
              <w:jc w:val="right"/>
              <w:ind w:right="7200"/>
              <w:spacing w:after="0"/>
              <w:rPr>
                <w:sz w:val="20"/>
                <w:szCs w:val="20"/>
                <w:color w:val="auto"/>
              </w:rPr>
            </w:pPr>
            <w:r>
              <w:rPr>
                <w:rFonts w:ascii="Arial" w:cs="Arial" w:eastAsia="Arial" w:hAnsi="Arial"/>
                <w:sz w:val="18"/>
                <w:szCs w:val="18"/>
                <w:b w:val="1"/>
                <w:bCs w:val="1"/>
                <w:color w:val="auto"/>
                <w:w w:val="94"/>
              </w:rPr>
              <w:t>(In millions)</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43"/>
              <w:spacing w:after="0"/>
              <w:rPr>
                <w:sz w:val="20"/>
                <w:szCs w:val="20"/>
                <w:color w:val="auto"/>
              </w:rPr>
            </w:pPr>
            <w:r>
              <w:rPr>
                <w:rFonts w:ascii="Arial" w:cs="Arial" w:eastAsia="Arial" w:hAnsi="Arial"/>
                <w:sz w:val="18"/>
                <w:szCs w:val="18"/>
                <w:b w:val="1"/>
                <w:bCs w:val="1"/>
                <w:color w:val="auto"/>
              </w:rPr>
              <w:t>Daggett 1</w:t>
            </w:r>
          </w:p>
        </w:tc>
      </w:tr>
      <w:tr>
        <w:trPr>
          <w:trHeight w:val="270"/>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Cash </w:t>
            </w:r>
            <w:r>
              <w:rPr>
                <w:rFonts w:ascii="Arial" w:cs="Arial" w:eastAsia="Arial" w:hAnsi="Arial"/>
                <w:sz w:val="20"/>
                <w:szCs w:val="20"/>
                <w:color w:val="B4B4B4"/>
                <w:w w:val="90"/>
              </w:rPr>
              <w:t>. . . . . . . . . . . . . . . . . . . . . . . . . . . . . . . . . . . . . . . . . . . . . . . . . . . . . . . . . . . . . . . . . . . . . . . . . . . .</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33"/>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Property, plant and equipment </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 . . . . . . . . . . .</w:t>
            </w:r>
          </w:p>
        </w:tc>
        <w:tc>
          <w:tcPr>
            <w:tcW w:w="3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223</w:t>
            </w:r>
          </w:p>
        </w:tc>
      </w:tr>
      <w:tr>
        <w:trPr>
          <w:trHeight w:val="258"/>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Other current and non-current assets </w:t>
            </w:r>
            <w:r>
              <w:rPr>
                <w:rFonts w:ascii="Arial" w:cs="Arial" w:eastAsia="Arial" w:hAnsi="Arial"/>
                <w:sz w:val="20"/>
                <w:szCs w:val="20"/>
                <w:color w:val="B4B4B4"/>
                <w:w w:val="89"/>
              </w:rPr>
              <w:t>. . . . . . . . . . . . . . . . . . . . . . . . . . . . . . . . . . . . . . . . . . . . . . . . . . .</w:t>
            </w:r>
          </w:p>
        </w:tc>
        <w:tc>
          <w:tcPr>
            <w:tcW w:w="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r>
      <w:tr>
        <w:trPr>
          <w:trHeight w:val="270"/>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Total assets acquired </w:t>
            </w:r>
            <w:r>
              <w:rPr>
                <w:rFonts w:ascii="Arial" w:cs="Arial" w:eastAsia="Arial" w:hAnsi="Arial"/>
                <w:sz w:val="20"/>
                <w:szCs w:val="20"/>
                <w:color w:val="B4B4B4"/>
                <w:w w:val="91"/>
              </w:rPr>
              <w:t>. . . . . . . . . . . . . . . . . . . . . . . . . . . . . . . . . . . . . . . . . . . . . . . . . . . . . . . . . . . . . .</w:t>
            </w:r>
          </w:p>
        </w:tc>
        <w:tc>
          <w:tcPr>
            <w:tcW w:w="3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232</w:t>
            </w:r>
          </w:p>
        </w:tc>
      </w:tr>
      <w:tr>
        <w:trPr>
          <w:trHeight w:val="642"/>
        </w:trPr>
        <w:tc>
          <w:tcPr>
            <w:tcW w:w="8560" w:type="dxa"/>
            <w:vAlign w:val="bottom"/>
            <w:gridSpan w:val="3"/>
          </w:tcPr>
          <w:p>
            <w:pPr>
              <w:jc w:val="right"/>
              <w:ind w:right="422"/>
              <w:spacing w:after="0"/>
              <w:rPr>
                <w:sz w:val="20"/>
                <w:szCs w:val="20"/>
                <w:color w:val="auto"/>
              </w:rPr>
            </w:pPr>
            <w:r>
              <w:rPr>
                <w:rFonts w:ascii="Arial" w:cs="Arial" w:eastAsia="Arial" w:hAnsi="Arial"/>
                <w:sz w:val="20"/>
                <w:szCs w:val="20"/>
                <w:color w:val="auto"/>
                <w:w w:val="90"/>
              </w:rPr>
              <w:t xml:space="preserve">Long-term debt </w:t>
            </w:r>
            <w:r>
              <w:rPr>
                <w:rFonts w:ascii="Arial" w:cs="Arial" w:eastAsia="Arial" w:hAnsi="Arial"/>
                <w:sz w:val="25"/>
                <w:szCs w:val="25"/>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220</w:t>
            </w:r>
          </w:p>
        </w:tc>
      </w:tr>
      <w:tr>
        <w:trPr>
          <w:trHeight w:val="255"/>
        </w:trPr>
        <w:tc>
          <w:tcPr>
            <w:tcW w:w="8560" w:type="dxa"/>
            <w:vAlign w:val="bottom"/>
            <w:gridSpan w:val="3"/>
          </w:tcPr>
          <w:p>
            <w:pPr>
              <w:jc w:val="right"/>
              <w:ind w:right="402"/>
              <w:spacing w:after="0"/>
              <w:rPr>
                <w:sz w:val="20"/>
                <w:szCs w:val="20"/>
                <w:color w:val="auto"/>
              </w:rPr>
            </w:pPr>
            <w:r>
              <w:rPr>
                <w:rFonts w:ascii="Arial" w:cs="Arial" w:eastAsia="Arial" w:hAnsi="Arial"/>
                <w:sz w:val="20"/>
                <w:szCs w:val="20"/>
                <w:color w:val="auto"/>
                <w:w w:val="91"/>
              </w:rPr>
              <w:t xml:space="preserve">Derivative liabilities </w:t>
            </w:r>
            <w:r>
              <w:rPr>
                <w:rFonts w:ascii="Arial" w:cs="Arial" w:eastAsia="Arial" w:hAnsi="Arial"/>
                <w:sz w:val="20"/>
                <w:szCs w:val="20"/>
                <w:color w:val="B4B4B4"/>
                <w:w w:val="91"/>
              </w:rPr>
              <w:t>. . . . . . . . . . . . . . . . . . . . . . . . . . . . . . . . . . . . . . . . . . . . . . . . . . . . . . . . . . . . . . . .</w:t>
            </w:r>
          </w:p>
        </w:tc>
        <w:tc>
          <w:tcPr>
            <w:tcW w:w="14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8"/>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Other current and non-current liabilities </w:t>
            </w:r>
            <w:r>
              <w:rPr>
                <w:rFonts w:ascii="Arial" w:cs="Arial" w:eastAsia="Arial" w:hAnsi="Arial"/>
                <w:sz w:val="20"/>
                <w:szCs w:val="20"/>
                <w:color w:val="B4B4B4"/>
                <w:w w:val="91"/>
              </w:rPr>
              <w:t>. . . . . . . . . . . . . . . . . . . . . . . . . . . . . . . . . . . . . . . . . . . . . . . .</w:t>
            </w: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r>
      <w:tr>
        <w:trPr>
          <w:trHeight w:val="274"/>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2"/>
              </w:rPr>
              <w:t xml:space="preserve">Total liabilities assumed </w:t>
            </w:r>
            <w:r>
              <w:rPr>
                <w:rFonts w:ascii="Arial" w:cs="Arial" w:eastAsia="Arial" w:hAnsi="Arial"/>
                <w:sz w:val="20"/>
                <w:szCs w:val="20"/>
                <w:color w:val="B4B4B4"/>
                <w:w w:val="92"/>
              </w:rPr>
              <w:t>. . . . . . . . . . . . . . . . . . . . . . . . . . . . . . . . . . . . . . . . . . . . . . . . . . . . . . . . . . .</w:t>
            </w:r>
          </w:p>
        </w:tc>
        <w:tc>
          <w:tcPr>
            <w:tcW w:w="3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237</w:t>
            </w:r>
          </w:p>
        </w:tc>
      </w:tr>
      <w:tr>
        <w:trPr>
          <w:trHeight w:val="274"/>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0"/>
              </w:rPr>
              <w:t xml:space="preserve">Other comprehensive loss </w:t>
            </w:r>
            <w:r>
              <w:rPr>
                <w:rFonts w:ascii="Arial" w:cs="Arial" w:eastAsia="Arial" w:hAnsi="Arial"/>
                <w:sz w:val="20"/>
                <w:szCs w:val="20"/>
                <w:color w:val="B4B4B4"/>
                <w:w w:val="90"/>
              </w:rPr>
              <w:t>. . . . . . . . . . . . . . . . . . . . . . . . . . . . . . . . . . . . . . . . . . . . . . . . . . . . . . . . . . .</w:t>
            </w:r>
          </w:p>
        </w:tc>
        <w:tc>
          <w:tcPr>
            <w:tcW w:w="3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r>
      <w:tr>
        <w:trPr>
          <w:trHeight w:val="254"/>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1"/>
              </w:rPr>
              <w:t xml:space="preserve">Net assets acquired </w:t>
            </w:r>
            <w:r>
              <w:rPr>
                <w:rFonts w:ascii="Arial" w:cs="Arial" w:eastAsia="Arial" w:hAnsi="Arial"/>
                <w:sz w:val="20"/>
                <w:szCs w:val="20"/>
                <w:color w:val="B4B4B4"/>
                <w:w w:val="91"/>
              </w:rPr>
              <w:t>. . . . . . . . . . . . . . . . . . . . . . . . . . . . . . . . . . . . . . . . . . . . . . . . . . . . . . . . . . . . . . .</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0"/>
        </w:trPr>
        <w:tc>
          <w:tcPr>
            <w:tcW w:w="1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6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-2190115</wp:posOffset>
            </wp:positionV>
            <wp:extent cx="6410325" cy="2100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7">
                      <a:extLst>
                        <a:ext uri="{28A0092B-C50C-407E-A947-70E740481C1C}"/>
                      </a:extLst>
                    </a:blip>
                    <a:srcRect/>
                    <a:stretch>
                      <a:fillRect/>
                    </a:stretch>
                  </pic:blipFill>
                  <pic:spPr bwMode="auto">
                    <a:xfrm>
                      <a:off x="0" y="0"/>
                      <a:ext cx="6410325" cy="2100580"/>
                    </a:xfrm>
                    <a:prstGeom prst="rect">
                      <a:avLst/>
                    </a:prstGeom>
                    <a:noFill/>
                  </pic:spPr>
                </pic:pic>
              </a:graphicData>
            </a:graphic>
          </wp:anchor>
        </w:drawing>
      </w:r>
    </w:p>
    <w:p>
      <w:pPr>
        <w:ind w:left="280" w:hanging="199"/>
        <w:spacing w:after="0" w:line="232" w:lineRule="auto"/>
        <w:tabs>
          <w:tab w:leader="none" w:pos="280"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Includes Construction in progress of $221 million.</w:t>
      </w:r>
    </w:p>
    <w:p>
      <w:pPr>
        <w:spacing w:after="0" w:line="85" w:lineRule="exact"/>
        <w:rPr>
          <w:rFonts w:ascii="Arial" w:cs="Arial" w:eastAsia="Arial" w:hAnsi="Arial"/>
          <w:sz w:val="23"/>
          <w:szCs w:val="23"/>
          <w:color w:val="auto"/>
          <w:vertAlign w:val="superscript"/>
        </w:rPr>
      </w:pPr>
    </w:p>
    <w:p>
      <w:pPr>
        <w:ind w:left="80" w:firstLine="1"/>
        <w:spacing w:after="0" w:line="205" w:lineRule="auto"/>
        <w:tabs>
          <w:tab w:leader="none" w:pos="305" w:val="left"/>
        </w:tabs>
        <w:numPr>
          <w:ilvl w:val="0"/>
          <w:numId w:val="50"/>
        </w:numPr>
        <w:rPr>
          <w:rFonts w:ascii="Arial" w:cs="Arial" w:eastAsia="Arial" w:hAnsi="Arial"/>
          <w:sz w:val="23"/>
          <w:szCs w:val="23"/>
          <w:color w:val="auto"/>
          <w:vertAlign w:val="superscript"/>
        </w:rPr>
      </w:pPr>
      <w:r>
        <w:rPr>
          <w:rFonts w:ascii="Arial" w:cs="Arial" w:eastAsia="Arial" w:hAnsi="Arial"/>
          <w:sz w:val="16"/>
          <w:szCs w:val="16"/>
          <w:color w:val="auto"/>
        </w:rPr>
        <w:t xml:space="preserve">Includes a $92 million construction loan and a $131 million tax equity bridge loan, offset by $3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for further discussion of the long-term debt assumed in the acquisition.</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10040"/>
          </w:cols>
          <w:pgMar w:left="920" w:top="580" w:right="920" w:bottom="0" w:gutter="0" w:footer="0" w:header="0"/>
          <w:type w:val="continuous"/>
        </w:sectPr>
      </w:pPr>
    </w:p>
    <w:bookmarkStart w:id="101" w:name="page102"/>
    <w:bookmarkEnd w:id="101"/>
    <w:p>
      <w:pPr>
        <w:jc w:val="both"/>
        <w:ind w:firstLine="441"/>
        <w:spacing w:after="0" w:line="293" w:lineRule="auto"/>
        <w:rPr>
          <w:sz w:val="20"/>
          <w:szCs w:val="20"/>
          <w:color w:val="auto"/>
        </w:rPr>
      </w:pPr>
      <w:r>
        <w:rPr>
          <w:rFonts w:ascii="Arial" w:cs="Arial" w:eastAsia="Arial" w:hAnsi="Arial"/>
          <w:sz w:val="17"/>
          <w:szCs w:val="17"/>
          <w:b w:val="1"/>
          <w:bCs w:val="1"/>
          <w:i w:val="1"/>
          <w:iCs w:val="1"/>
          <w:color w:val="auto"/>
        </w:rPr>
        <w:t xml:space="preserve">Luna Valley Drop Down </w:t>
      </w:r>
      <w:r>
        <w:rPr>
          <w:rFonts w:ascii="Arial" w:cs="Arial" w:eastAsia="Arial" w:hAnsi="Arial"/>
          <w:sz w:val="17"/>
          <w:szCs w:val="17"/>
          <w:color w:val="auto"/>
        </w:rPr>
        <w:t>— On April 29, 2025, the Company, through its indirect subsidiary, LV-Daggett Parent Holdco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acquired Luna Valley Class B, the indirect owner of Luna Valley, a 200 MW solar facility located in Fresno County, California, from Clearway Renew for initial cash consideration of $18 million. On September 4, 2025, when the facility reached substantial completion, the Company paid $72 million to Clearway Renew as additional purchase price. Luna Valley Class B consolidates as primary beneficiary, Luna Valley TE Holdco LLC, a tax equity fund that owns the Luna Valley solar facility, as further described in Note 5, </w:t>
      </w:r>
      <w:r>
        <w:rPr>
          <w:rFonts w:ascii="Arial" w:cs="Arial" w:eastAsia="Arial" w:hAnsi="Arial"/>
          <w:sz w:val="17"/>
          <w:szCs w:val="17"/>
          <w:b w:val="1"/>
          <w:bCs w:val="1"/>
          <w:i w:val="1"/>
          <w:iCs w:val="1"/>
          <w:color w:val="auto"/>
        </w:rPr>
        <w:t>Investments Accounted for by the Equity Method and Variable Interest Entities</w:t>
      </w:r>
      <w:r>
        <w:rPr>
          <w:rFonts w:ascii="Arial" w:cs="Arial" w:eastAsia="Arial" w:hAnsi="Arial"/>
          <w:sz w:val="17"/>
          <w:szCs w:val="17"/>
          <w:color w:val="auto"/>
        </w:rPr>
        <w:t xml:space="preserve">. Luna Valley has PPAs with investment-grade counterparties that have a 17-year weighted average contract duration that commenced in August 2025. Luna Valley is reflected in the Company’s Renewables &amp; Storage segment and the acquisition was funded with existing sources of liquidity. The acquisition was determined to be an asset acquisition and the Company consolidates Luna Valley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7"/>
          <w:szCs w:val="17"/>
          <w:b w:val="1"/>
          <w:bCs w:val="1"/>
          <w:i w:val="1"/>
          <w:iCs w:val="1"/>
          <w:color w:val="auto"/>
        </w:rPr>
        <w:t>Business Combinations - Related Issues</w:t>
      </w:r>
      <w:r>
        <w:rPr>
          <w:rFonts w:ascii="Arial" w:cs="Arial" w:eastAsia="Arial" w:hAnsi="Arial"/>
          <w:sz w:val="17"/>
          <w:szCs w:val="17"/>
          <w:color w:val="auto"/>
        </w:rPr>
        <w:t>. The sum of the initial cash consideration of $18 million and the historical cost of the Company’s net liabilities assumed of $7 million was recorded as an adjustment to CEG’s noncontrolling interest balance. The $72 million additional purchase price was also recorded as an adjustment to CEG’s noncontrolling interest balance. In addition, the Company reflected the entire $18 million of the Company’s initial purchase price and $72 million of the Company’s additional purchase price, which were contributed back to the Company by CEG to pay down the acquired long-term debt, in the line item contributions from CEG, net of distributions, in the consolidated statements of stockholders’ equity.</w:t>
      </w:r>
    </w:p>
    <w:p>
      <w:pPr>
        <w:spacing w:after="0" w:line="361"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On October 15, 2025, the Company paid $29 million to Clearway Renew as a final purchase price adjustment, which was recorded as an adjustment to CEG’s noncontrolling interest balance. The Company’s total capital investment in Luna Valley Class B was $119 million.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assets and liabilities transferred in connection with the acquisition as of April 29,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gridSpan w:val="2"/>
          </w:tcPr>
          <w:p>
            <w:pPr>
              <w:jc w:val="right"/>
              <w:ind w:right="7200"/>
              <w:spacing w:after="0"/>
              <w:rPr>
                <w:sz w:val="20"/>
                <w:szCs w:val="20"/>
                <w:color w:val="auto"/>
              </w:rPr>
            </w:pPr>
            <w:r>
              <w:rPr>
                <w:rFonts w:ascii="Arial" w:cs="Arial" w:eastAsia="Arial" w:hAnsi="Arial"/>
                <w:sz w:val="18"/>
                <w:szCs w:val="18"/>
                <w:b w:val="1"/>
                <w:bCs w:val="1"/>
                <w:color w:val="auto"/>
                <w:w w:val="94"/>
              </w:rPr>
              <w:t>(In millions)</w:t>
            </w: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43"/>
              <w:spacing w:after="0"/>
              <w:rPr>
                <w:sz w:val="20"/>
                <w:szCs w:val="20"/>
                <w:color w:val="auto"/>
              </w:rPr>
            </w:pPr>
            <w:r>
              <w:rPr>
                <w:rFonts w:ascii="Arial" w:cs="Arial" w:eastAsia="Arial" w:hAnsi="Arial"/>
                <w:sz w:val="18"/>
                <w:szCs w:val="18"/>
                <w:b w:val="1"/>
                <w:bCs w:val="1"/>
                <w:color w:val="auto"/>
              </w:rPr>
              <w:t>Luna Valley</w:t>
            </w:r>
          </w:p>
        </w:tc>
      </w:tr>
      <w:tr>
        <w:trPr>
          <w:trHeight w:val="270"/>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Restricted cash </w:t>
            </w:r>
            <w:r>
              <w:rPr>
                <w:rFonts w:ascii="Arial" w:cs="Arial" w:eastAsia="Arial" w:hAnsi="Arial"/>
                <w:sz w:val="20"/>
                <w:szCs w:val="20"/>
                <w:color w:val="B4B4B4"/>
                <w:w w:val="89"/>
              </w:rPr>
              <w:t>. . . . . . . . . . . . . . . . . . . . . . . . . . . . . . . . . . . . . . . . . . . . . . . . . . . . . . . . . . . . . . . . . . . .</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333"/>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Property, plant and equipment </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 . . . . . . . . . . .</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346</w:t>
            </w:r>
          </w:p>
        </w:tc>
      </w:tr>
      <w:tr>
        <w:trPr>
          <w:trHeight w:val="255"/>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89"/>
              </w:rPr>
              <w:t xml:space="preserve">Right-of-use assets, net </w:t>
            </w:r>
            <w:r>
              <w:rPr>
                <w:rFonts w:ascii="Arial" w:cs="Arial" w:eastAsia="Arial" w:hAnsi="Arial"/>
                <w:sz w:val="11"/>
                <w:szCs w:val="11"/>
                <w:color w:val="auto"/>
                <w:w w:val="89"/>
              </w:rPr>
              <w:t>(b)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 . . . . . . . . . . . . . . . .</w:t>
            </w:r>
          </w:p>
        </w:tc>
        <w:tc>
          <w:tcPr>
            <w:tcW w:w="3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98"/>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Other current and non-current assets </w:t>
            </w:r>
            <w:r>
              <w:rPr>
                <w:rFonts w:ascii="Arial" w:cs="Arial" w:eastAsia="Arial" w:hAnsi="Arial"/>
                <w:sz w:val="20"/>
                <w:szCs w:val="20"/>
                <w:color w:val="B4B4B4"/>
                <w:w w:val="89"/>
              </w:rPr>
              <w:t>. . . . . . . . . . . . . . . . . . . . . . . . . . . . . . . . . . . . . . . . . . . . . . . . . . .</w:t>
            </w: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w:t>
            </w:r>
          </w:p>
        </w:tc>
      </w:tr>
      <w:tr>
        <w:trPr>
          <w:trHeight w:val="270"/>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Total assets acquired </w:t>
            </w:r>
            <w:r>
              <w:rPr>
                <w:rFonts w:ascii="Arial" w:cs="Arial" w:eastAsia="Arial" w:hAnsi="Arial"/>
                <w:sz w:val="20"/>
                <w:szCs w:val="20"/>
                <w:color w:val="B4B4B4"/>
                <w:w w:val="91"/>
              </w:rPr>
              <w:t>. . . . . . . . . . . . . . . . . . . . . . . . . . . . . . . . . . . . . . . . . . . . . . . . . . . . . . . . . . . . . .</w:t>
            </w:r>
          </w:p>
        </w:tc>
        <w:tc>
          <w:tcPr>
            <w:tcW w:w="3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392</w:t>
            </w:r>
          </w:p>
        </w:tc>
      </w:tr>
      <w:tr>
        <w:trPr>
          <w:trHeight w:val="603"/>
        </w:trPr>
        <w:tc>
          <w:tcPr>
            <w:tcW w:w="8500" w:type="dxa"/>
            <w:vAlign w:val="bottom"/>
            <w:gridSpan w:val="3"/>
          </w:tcPr>
          <w:p>
            <w:pPr>
              <w:jc w:val="right"/>
              <w:ind w:right="342"/>
              <w:spacing w:after="0"/>
              <w:rPr>
                <w:sz w:val="20"/>
                <w:szCs w:val="20"/>
                <w:color w:val="auto"/>
              </w:rPr>
            </w:pPr>
            <w:r>
              <w:rPr>
                <w:rFonts w:ascii="Arial" w:cs="Arial" w:eastAsia="Arial" w:hAnsi="Arial"/>
                <w:sz w:val="20"/>
                <w:szCs w:val="20"/>
                <w:color w:val="auto"/>
                <w:w w:val="90"/>
              </w:rPr>
              <w:t xml:space="preserve">Long-term debt </w:t>
            </w:r>
            <w:r>
              <w:rPr>
                <w:rFonts w:ascii="Arial" w:cs="Arial" w:eastAsia="Arial" w:hAnsi="Arial"/>
                <w:sz w:val="11"/>
                <w:szCs w:val="11"/>
                <w:color w:val="auto"/>
                <w:w w:val="90"/>
              </w:rPr>
              <w:t>(c)</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 . . . . . . . . . . . . . . . . . . . . . .</w:t>
            </w:r>
          </w:p>
        </w:tc>
        <w:tc>
          <w:tcPr>
            <w:tcW w:w="1540" w:type="dxa"/>
            <w:vAlign w:val="bottom"/>
          </w:tcPr>
          <w:p>
            <w:pPr>
              <w:jc w:val="right"/>
              <w:spacing w:after="0"/>
              <w:rPr>
                <w:sz w:val="20"/>
                <w:szCs w:val="20"/>
                <w:color w:val="auto"/>
              </w:rPr>
            </w:pPr>
            <w:r>
              <w:rPr>
                <w:rFonts w:ascii="Arial" w:cs="Arial" w:eastAsia="Arial" w:hAnsi="Arial"/>
                <w:sz w:val="20"/>
                <w:szCs w:val="20"/>
                <w:color w:val="auto"/>
              </w:rPr>
              <w:t>348</w:t>
            </w:r>
          </w:p>
        </w:tc>
      </w:tr>
      <w:tr>
        <w:trPr>
          <w:trHeight w:val="294"/>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Long-term lease liabilities </w:t>
            </w:r>
            <w:r>
              <w:rPr>
                <w:rFonts w:ascii="Arial" w:cs="Arial" w:eastAsia="Arial" w:hAnsi="Arial"/>
                <w:sz w:val="11"/>
                <w:szCs w:val="11"/>
                <w:color w:val="auto"/>
                <w:w w:val="90"/>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 . . . . . . . . . . . . .</w:t>
            </w:r>
          </w:p>
        </w:tc>
        <w:tc>
          <w:tcPr>
            <w:tcW w:w="3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94"/>
        </w:trPr>
        <w:tc>
          <w:tcPr>
            <w:tcW w:w="8500" w:type="dxa"/>
            <w:vAlign w:val="bottom"/>
            <w:gridSpan w:val="3"/>
          </w:tcPr>
          <w:p>
            <w:pPr>
              <w:jc w:val="right"/>
              <w:ind w:right="342"/>
              <w:spacing w:after="0"/>
              <w:rPr>
                <w:sz w:val="20"/>
                <w:szCs w:val="20"/>
                <w:color w:val="auto"/>
              </w:rPr>
            </w:pPr>
            <w:r>
              <w:rPr>
                <w:rFonts w:ascii="Arial" w:cs="Arial" w:eastAsia="Arial" w:hAnsi="Arial"/>
                <w:sz w:val="20"/>
                <w:szCs w:val="20"/>
                <w:color w:val="auto"/>
                <w:w w:val="91"/>
              </w:rPr>
              <w:t xml:space="preserve">Derivative liabilities </w:t>
            </w:r>
            <w:r>
              <w:rPr>
                <w:rFonts w:ascii="Arial" w:cs="Arial" w:eastAsia="Arial" w:hAnsi="Arial"/>
                <w:sz w:val="20"/>
                <w:szCs w:val="20"/>
                <w:color w:val="B4B4B4"/>
                <w:w w:val="91"/>
              </w:rPr>
              <w:t>. . . . . . . . . . . . . . . . . . . . . . . . . . . . . . . . . . . . . . . . . . . . . . . . . . . . . . . . . . . . . . . .</w:t>
            </w:r>
          </w:p>
        </w:tc>
        <w:tc>
          <w:tcPr>
            <w:tcW w:w="15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98"/>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Other current and non-current liabilities </w:t>
            </w:r>
            <w:r>
              <w:rPr>
                <w:rFonts w:ascii="Arial" w:cs="Arial" w:eastAsia="Arial" w:hAnsi="Arial"/>
                <w:sz w:val="20"/>
                <w:szCs w:val="20"/>
                <w:color w:val="B4B4B4"/>
                <w:w w:val="91"/>
              </w:rPr>
              <w:t>. . . . . . . . . . . . . . . . . . . . . . . . . . . . . . . . . . . . . . . . . . . . . . . .</w:t>
            </w: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w:t>
            </w:r>
          </w:p>
        </w:tc>
      </w:tr>
      <w:tr>
        <w:trPr>
          <w:trHeight w:val="274"/>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2"/>
              </w:rPr>
              <w:t xml:space="preserve">Total liabilities assumed </w:t>
            </w:r>
            <w:r>
              <w:rPr>
                <w:rFonts w:ascii="Arial" w:cs="Arial" w:eastAsia="Arial" w:hAnsi="Arial"/>
                <w:sz w:val="20"/>
                <w:szCs w:val="20"/>
                <w:color w:val="B4B4B4"/>
                <w:w w:val="92"/>
              </w:rPr>
              <w:t>. . . . . . . . . . . . . . . . . . . . . . . . . . . . . . . . . . . . . . . . . . . . . . . . . . . . . . . . . . .</w:t>
            </w:r>
          </w:p>
        </w:tc>
        <w:tc>
          <w:tcPr>
            <w:tcW w:w="3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407</w:t>
            </w:r>
          </w:p>
        </w:tc>
      </w:tr>
      <w:tr>
        <w:trPr>
          <w:trHeight w:val="289"/>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0"/>
              </w:rPr>
              <w:t xml:space="preserve">Other comprehensive loss </w:t>
            </w:r>
            <w:r>
              <w:rPr>
                <w:rFonts w:ascii="Arial" w:cs="Arial" w:eastAsia="Arial" w:hAnsi="Arial"/>
                <w:sz w:val="20"/>
                <w:szCs w:val="20"/>
                <w:color w:val="B4B4B4"/>
                <w:w w:val="90"/>
              </w:rPr>
              <w:t>. . . . . . . . . . . . . . . . . . . . . . . . . . . . . . . . . . . . . . . . . . . . . . . . . . . . . . . . . . .</w:t>
            </w: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r>
      <w:tr>
        <w:trPr>
          <w:trHeight w:val="269"/>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Net liabilities assumed </w:t>
            </w:r>
            <w:r>
              <w:rPr>
                <w:rFonts w:ascii="Arial" w:cs="Arial" w:eastAsia="Arial" w:hAnsi="Arial"/>
                <w:sz w:val="20"/>
                <w:szCs w:val="20"/>
                <w:color w:val="B4B4B4"/>
                <w:w w:val="91"/>
              </w:rPr>
              <w:t>. . . . . . . . . . . . . . . . . . . . . . . . . . . . . . . . . . . . . . . . . . . . . . . . . . . . . . . . . . . . .</w:t>
            </w: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r>
      <w:tr>
        <w:trPr>
          <w:trHeight w:val="20"/>
        </w:trPr>
        <w:tc>
          <w:tcPr>
            <w:tcW w:w="1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6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-2582545</wp:posOffset>
            </wp:positionV>
            <wp:extent cx="6410325" cy="24930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8">
                      <a:extLst>
                        <a:ext uri="{28A0092B-C50C-407E-A947-70E740481C1C}"/>
                      </a:extLst>
                    </a:blip>
                    <a:srcRect/>
                    <a:stretch>
                      <a:fillRect/>
                    </a:stretch>
                  </pic:blipFill>
                  <pic:spPr bwMode="auto">
                    <a:xfrm>
                      <a:off x="0" y="0"/>
                      <a:ext cx="6410325" cy="2493010"/>
                    </a:xfrm>
                    <a:prstGeom prst="rect">
                      <a:avLst/>
                    </a:prstGeom>
                    <a:noFill/>
                  </pic:spPr>
                </pic:pic>
              </a:graphicData>
            </a:graphic>
          </wp:anchor>
        </w:drawing>
      </w:r>
    </w:p>
    <w:p>
      <w:pPr>
        <w:ind w:left="280" w:hanging="199"/>
        <w:spacing w:after="0" w:line="232" w:lineRule="auto"/>
        <w:tabs>
          <w:tab w:leader="none" w:pos="280" w:val="left"/>
        </w:tabs>
        <w:numPr>
          <w:ilvl w:val="0"/>
          <w:numId w:val="51"/>
        </w:numPr>
        <w:rPr>
          <w:rFonts w:ascii="Arial" w:cs="Arial" w:eastAsia="Arial" w:hAnsi="Arial"/>
          <w:sz w:val="23"/>
          <w:szCs w:val="23"/>
          <w:color w:val="auto"/>
          <w:vertAlign w:val="superscript"/>
        </w:rPr>
      </w:pPr>
      <w:r>
        <w:rPr>
          <w:rFonts w:ascii="Arial" w:cs="Arial" w:eastAsia="Arial" w:hAnsi="Arial"/>
          <w:sz w:val="16"/>
          <w:szCs w:val="16"/>
          <w:color w:val="auto"/>
        </w:rPr>
        <w:t>Includes Construction in progress of $338 million.</w:t>
      </w:r>
    </w:p>
    <w:p>
      <w:pPr>
        <w:spacing w:after="0" w:line="85" w:lineRule="exact"/>
        <w:rPr>
          <w:rFonts w:ascii="Arial" w:cs="Arial" w:eastAsia="Arial" w:hAnsi="Arial"/>
          <w:sz w:val="23"/>
          <w:szCs w:val="23"/>
          <w:color w:val="auto"/>
          <w:vertAlign w:val="superscript"/>
        </w:rPr>
      </w:pPr>
    </w:p>
    <w:p>
      <w:pPr>
        <w:ind w:left="300" w:hanging="219"/>
        <w:spacing w:after="0" w:line="184" w:lineRule="auto"/>
        <w:tabs>
          <w:tab w:leader="none" w:pos="300" w:val="left"/>
        </w:tabs>
        <w:numPr>
          <w:ilvl w:val="0"/>
          <w:numId w:val="51"/>
        </w:numPr>
        <w:rPr>
          <w:rFonts w:ascii="Arial" w:cs="Arial" w:eastAsia="Arial" w:hAnsi="Arial"/>
          <w:sz w:val="21"/>
          <w:szCs w:val="21"/>
          <w:color w:val="auto"/>
          <w:vertAlign w:val="superscript"/>
        </w:rPr>
      </w:pPr>
      <w:r>
        <w:rPr>
          <w:rFonts w:ascii="Arial" w:cs="Arial" w:eastAsia="Arial" w:hAnsi="Arial"/>
          <w:sz w:val="14"/>
          <w:szCs w:val="14"/>
          <w:color w:val="auto"/>
        </w:rPr>
        <w:t>Balances primarily relate to a land lease agreement with a wholly-owned subsidiary of CEG, which expires on September 23, 2058.</w:t>
      </w:r>
    </w:p>
    <w:p>
      <w:pPr>
        <w:spacing w:after="0" w:line="85" w:lineRule="exact"/>
        <w:rPr>
          <w:rFonts w:ascii="Arial" w:cs="Arial" w:eastAsia="Arial" w:hAnsi="Arial"/>
          <w:sz w:val="21"/>
          <w:szCs w:val="21"/>
          <w:color w:val="auto"/>
          <w:vertAlign w:val="superscript"/>
        </w:rPr>
      </w:pPr>
    </w:p>
    <w:p>
      <w:pPr>
        <w:ind w:left="80" w:firstLine="1"/>
        <w:spacing w:after="0" w:line="216" w:lineRule="auto"/>
        <w:tabs>
          <w:tab w:leader="none" w:pos="332" w:val="left"/>
        </w:tabs>
        <w:numPr>
          <w:ilvl w:val="0"/>
          <w:numId w:val="51"/>
        </w:numPr>
        <w:rPr>
          <w:rFonts w:ascii="Arial" w:cs="Arial" w:eastAsia="Arial" w:hAnsi="Arial"/>
          <w:sz w:val="22"/>
          <w:szCs w:val="22"/>
          <w:color w:val="auto"/>
          <w:vertAlign w:val="superscript"/>
        </w:rPr>
      </w:pPr>
      <w:r>
        <w:rPr>
          <w:rFonts w:ascii="Arial" w:cs="Arial" w:eastAsia="Arial" w:hAnsi="Arial"/>
          <w:sz w:val="15"/>
          <w:szCs w:val="15"/>
          <w:color w:val="auto"/>
        </w:rPr>
        <w:t xml:space="preserve">Includes a $144 million construction loan, a $64 million cash equity bridge loan and a $144 million tax equity bridge loan, offset by $4 million in unamortized debt issuance costs. See Note 10, </w:t>
      </w:r>
      <w:r>
        <w:rPr>
          <w:rFonts w:ascii="Arial" w:cs="Arial" w:eastAsia="Arial" w:hAnsi="Arial"/>
          <w:sz w:val="15"/>
          <w:szCs w:val="15"/>
          <w:b w:val="1"/>
          <w:bCs w:val="1"/>
          <w:i w:val="1"/>
          <w:iCs w:val="1"/>
          <w:color w:val="auto"/>
        </w:rPr>
        <w:t>Long-term Debt</w:t>
      </w:r>
      <w:r>
        <w:rPr>
          <w:rFonts w:ascii="Arial" w:cs="Arial" w:eastAsia="Arial" w:hAnsi="Arial"/>
          <w:sz w:val="15"/>
          <w:szCs w:val="15"/>
          <w:color w:val="auto"/>
        </w:rPr>
        <w:t>, for further discussion of the long-term debt assumed in the acquisition.</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10040"/>
          </w:cols>
          <w:pgMar w:left="920" w:top="580" w:right="920" w:bottom="0" w:gutter="0" w:footer="0" w:header="0"/>
          <w:type w:val="continuous"/>
        </w:sectPr>
      </w:pPr>
    </w:p>
    <w:bookmarkStart w:id="102" w:name="page103"/>
    <w:bookmarkEnd w:id="102"/>
    <w:p>
      <w:pPr>
        <w:jc w:val="both"/>
        <w:ind w:firstLine="441"/>
        <w:spacing w:after="0" w:line="292" w:lineRule="auto"/>
        <w:rPr>
          <w:sz w:val="20"/>
          <w:szCs w:val="20"/>
          <w:color w:val="auto"/>
        </w:rPr>
      </w:pPr>
      <w:r>
        <w:rPr>
          <w:rFonts w:ascii="Arial" w:cs="Arial" w:eastAsia="Arial" w:hAnsi="Arial"/>
          <w:sz w:val="17"/>
          <w:szCs w:val="17"/>
          <w:b w:val="1"/>
          <w:bCs w:val="1"/>
          <w:i w:val="1"/>
          <w:iCs w:val="1"/>
          <w:color w:val="auto"/>
        </w:rPr>
        <w:t xml:space="preserve">Rosamond South I Drop Down </w:t>
      </w:r>
      <w:r>
        <w:rPr>
          <w:rFonts w:ascii="Arial" w:cs="Arial" w:eastAsia="Arial" w:hAnsi="Arial"/>
          <w:sz w:val="17"/>
          <w:szCs w:val="17"/>
          <w:color w:val="auto"/>
        </w:rPr>
        <w:t>— On March 20, 2025, the Company, through its indirect subsidiary, Rosamond South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Investment LLC, acquired the Class A membership interests in Rosie South TargetCo, a partnership and the indirect owner of Rosamond South I, a 140 MW solar facility that is paired with a 117 MW BESS facility located in Rosamond, California, from Clearway Renew for initial cash consideration of $4 million. Simultaneously, a third-party cash equity investor acquired the Class B membership interests in Rosie South TargetCo from Clearway Renew for initial cash consideration of $10 million. On August 13, 2025, when the facility reached substantial completion, the Company paid $29 million to Clearway Renew as additional purchase price and the third-party cash equity investor contributed an additional $41 million. Rosie South TargetCo consolidates as primary beneficiary, Rosie South TE Holdco LLC, a tax equity fund that directly owns the Rosamond South I solar and BESS facility, as further described in Note 5, </w:t>
      </w:r>
      <w:r>
        <w:rPr>
          <w:rFonts w:ascii="Arial" w:cs="Arial" w:eastAsia="Arial" w:hAnsi="Arial"/>
          <w:sz w:val="17"/>
          <w:szCs w:val="17"/>
          <w:b w:val="1"/>
          <w:bCs w:val="1"/>
          <w:i w:val="1"/>
          <w:iCs w:val="1"/>
          <w:color w:val="auto"/>
        </w:rPr>
        <w:t>Investments Accounted for by the Equity Method and Variable Interest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Entities</w:t>
      </w:r>
      <w:r>
        <w:rPr>
          <w:rFonts w:ascii="Arial" w:cs="Arial" w:eastAsia="Arial" w:hAnsi="Arial"/>
          <w:sz w:val="17"/>
          <w:szCs w:val="17"/>
          <w:color w:val="auto"/>
        </w:rPr>
        <w:t>. Rosamond South I has PPAs with investment-grade counterparties that have a 15-year weighted average contract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duration that commenced in August 2025. Rosamond South I is reflected in the Company’s Renewables &amp; Storage segment and the acquisition was funded with existing sources of liquidity. The acquisition was determined to be an asset acquisition and the Company consolidates Rosamond South I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7"/>
          <w:szCs w:val="17"/>
          <w:b w:val="1"/>
          <w:bCs w:val="1"/>
          <w:i w:val="1"/>
          <w:iCs w:val="1"/>
          <w:color w:val="auto"/>
        </w:rPr>
        <w:t>Business Combinations - Related Issues</w:t>
      </w:r>
      <w:r>
        <w:rPr>
          <w:rFonts w:ascii="Arial" w:cs="Arial" w:eastAsia="Arial" w:hAnsi="Arial"/>
          <w:sz w:val="17"/>
          <w:szCs w:val="17"/>
          <w:color w:val="auto"/>
        </w:rPr>
        <w:t>. The sum of the initial cash consideration of $4 million and the historical cost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net liabilities assumed of $3 million was recorded as an adjustment to CEG’s noncontrolling interest balance. The $29 million additional purchase price was also recorded as an adjustment to CEG’s noncontrolling interest balance. In addition, the Company reflected the entire $4 million of the Company’s initial purchase price and $29 million of the Company’s additional purchase price, which were contributed back to the Company by CEG to pay down the acquired long-term debt, in the line item contributions from CEG, net of distributions, in the consolidated statements of stockholders’ equity. The Company’s total capital investment in Rosie South TargetCo was $33 million.</w:t>
      </w:r>
    </w:p>
    <w:p>
      <w:pPr>
        <w:spacing w:after="0" w:line="3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assets and liabilities transferred in connection with the acquisition as of March 20,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80" w:type="dxa"/>
            <w:vAlign w:val="bottom"/>
            <w:gridSpan w:val="2"/>
          </w:tcPr>
          <w:p>
            <w:pPr>
              <w:jc w:val="right"/>
              <w:ind w:right="7200"/>
              <w:spacing w:after="0"/>
              <w:rPr>
                <w:sz w:val="20"/>
                <w:szCs w:val="20"/>
                <w:color w:val="auto"/>
              </w:rPr>
            </w:pPr>
            <w:r>
              <w:rPr>
                <w:rFonts w:ascii="Arial" w:cs="Arial" w:eastAsia="Arial" w:hAnsi="Arial"/>
                <w:sz w:val="18"/>
                <w:szCs w:val="18"/>
                <w:b w:val="1"/>
                <w:bCs w:val="1"/>
                <w:color w:val="auto"/>
                <w:w w:val="94"/>
              </w:rPr>
              <w:t>(In millions)</w:t>
            </w: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03"/>
              <w:spacing w:after="0"/>
              <w:rPr>
                <w:sz w:val="20"/>
                <w:szCs w:val="20"/>
                <w:color w:val="auto"/>
              </w:rPr>
            </w:pPr>
            <w:r>
              <w:rPr>
                <w:rFonts w:ascii="Arial" w:cs="Arial" w:eastAsia="Arial" w:hAnsi="Arial"/>
                <w:sz w:val="18"/>
                <w:szCs w:val="18"/>
                <w:b w:val="1"/>
                <w:bCs w:val="1"/>
                <w:color w:val="auto"/>
                <w:w w:val="90"/>
              </w:rPr>
              <w:t>Rosamond South I</w:t>
            </w:r>
          </w:p>
        </w:tc>
      </w:tr>
      <w:tr>
        <w:trPr>
          <w:trHeight w:val="270"/>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Property, plant and equipment </w:t>
            </w:r>
            <w:r>
              <w:rPr>
                <w:rFonts w:ascii="Arial" w:cs="Arial" w:eastAsia="Arial" w:hAnsi="Arial"/>
                <w:sz w:val="11"/>
                <w:szCs w:val="11"/>
                <w:color w:val="auto"/>
                <w:w w:val="90"/>
              </w:rPr>
              <w:t>(a)</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 . . . . . . . . .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507</w:t>
            </w:r>
          </w:p>
        </w:tc>
      </w:tr>
      <w:tr>
        <w:trPr>
          <w:trHeight w:val="294"/>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89"/>
              </w:rPr>
              <w:t xml:space="preserve">Right-of-use assets, net </w:t>
            </w:r>
            <w:r>
              <w:rPr>
                <w:rFonts w:ascii="Arial" w:cs="Arial" w:eastAsia="Arial" w:hAnsi="Arial"/>
                <w:sz w:val="11"/>
                <w:szCs w:val="11"/>
                <w:color w:val="auto"/>
                <w:w w:val="89"/>
              </w:rPr>
              <w:t>(b)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 . . . . . . . . . . . . . . . .</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98"/>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Other current and non-current assets </w:t>
            </w:r>
            <w:r>
              <w:rPr>
                <w:rFonts w:ascii="Arial" w:cs="Arial" w:eastAsia="Arial" w:hAnsi="Arial"/>
                <w:sz w:val="20"/>
                <w:szCs w:val="20"/>
                <w:color w:val="B4B4B4"/>
                <w:w w:val="89"/>
              </w:rPr>
              <w:t>. . . . . . . . . . . . . . . . . . . . . . . . . . . . . . . . . . . . . . . . . . . . . . . . . . .</w:t>
            </w: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r>
      <w:tr>
        <w:trPr>
          <w:trHeight w:val="270"/>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Total assets acquired </w:t>
            </w:r>
            <w:r>
              <w:rPr>
                <w:rFonts w:ascii="Arial" w:cs="Arial" w:eastAsia="Arial" w:hAnsi="Arial"/>
                <w:sz w:val="20"/>
                <w:szCs w:val="20"/>
                <w:color w:val="B4B4B4"/>
                <w:w w:val="91"/>
              </w:rPr>
              <w:t>. . . . . . . . . . . . . . . . . . . . . . . . . . . . . . . . . . . . . . . . . . . . . . . . . . . . . . . . . . . . . .</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535</w:t>
            </w:r>
          </w:p>
        </w:tc>
      </w:tr>
      <w:tr>
        <w:trPr>
          <w:trHeight w:val="588"/>
        </w:trPr>
        <w:tc>
          <w:tcPr>
            <w:tcW w:w="8380" w:type="dxa"/>
            <w:vAlign w:val="bottom"/>
            <w:gridSpan w:val="3"/>
          </w:tcPr>
          <w:p>
            <w:pPr>
              <w:jc w:val="right"/>
              <w:ind w:right="222"/>
              <w:spacing w:after="0"/>
              <w:rPr>
                <w:sz w:val="20"/>
                <w:szCs w:val="20"/>
                <w:color w:val="auto"/>
              </w:rPr>
            </w:pPr>
            <w:r>
              <w:rPr>
                <w:rFonts w:ascii="Arial" w:cs="Arial" w:eastAsia="Arial" w:hAnsi="Arial"/>
                <w:sz w:val="20"/>
                <w:szCs w:val="20"/>
                <w:color w:val="auto"/>
                <w:w w:val="90"/>
              </w:rPr>
              <w:t xml:space="preserve">Long-term debt </w:t>
            </w:r>
            <w:r>
              <w:rPr>
                <w:rFonts w:ascii="Arial" w:cs="Arial" w:eastAsia="Arial" w:hAnsi="Arial"/>
                <w:sz w:val="11"/>
                <w:szCs w:val="11"/>
                <w:color w:val="auto"/>
                <w:w w:val="90"/>
              </w:rPr>
              <w:t>(c)</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 . . . . . . . . . . . . . . . . . . . . . .</w:t>
            </w:r>
          </w:p>
        </w:tc>
        <w:tc>
          <w:tcPr>
            <w:tcW w:w="1660" w:type="dxa"/>
            <w:vAlign w:val="bottom"/>
          </w:tcPr>
          <w:p>
            <w:pPr>
              <w:jc w:val="right"/>
              <w:spacing w:after="0"/>
              <w:rPr>
                <w:sz w:val="20"/>
                <w:szCs w:val="20"/>
                <w:color w:val="auto"/>
              </w:rPr>
            </w:pPr>
            <w:r>
              <w:rPr>
                <w:rFonts w:ascii="Arial" w:cs="Arial" w:eastAsia="Arial" w:hAnsi="Arial"/>
                <w:sz w:val="20"/>
                <w:szCs w:val="20"/>
                <w:color w:val="auto"/>
              </w:rPr>
              <w:t>468</w:t>
            </w:r>
          </w:p>
        </w:tc>
      </w:tr>
      <w:tr>
        <w:trPr>
          <w:trHeight w:val="294"/>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Long-term lease liabilities </w:t>
            </w:r>
            <w:r>
              <w:rPr>
                <w:rFonts w:ascii="Arial" w:cs="Arial" w:eastAsia="Arial" w:hAnsi="Arial"/>
                <w:sz w:val="11"/>
                <w:szCs w:val="11"/>
                <w:color w:val="auto"/>
                <w:w w:val="90"/>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 . . . . . . . . . . . . .</w:t>
            </w: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94"/>
        </w:trPr>
        <w:tc>
          <w:tcPr>
            <w:tcW w:w="8380" w:type="dxa"/>
            <w:vAlign w:val="bottom"/>
            <w:gridSpan w:val="3"/>
          </w:tcPr>
          <w:p>
            <w:pPr>
              <w:jc w:val="right"/>
              <w:ind w:right="222"/>
              <w:spacing w:after="0"/>
              <w:rPr>
                <w:sz w:val="20"/>
                <w:szCs w:val="20"/>
                <w:color w:val="auto"/>
              </w:rPr>
            </w:pPr>
            <w:r>
              <w:rPr>
                <w:rFonts w:ascii="Arial" w:cs="Arial" w:eastAsia="Arial" w:hAnsi="Arial"/>
                <w:sz w:val="20"/>
                <w:szCs w:val="20"/>
                <w:color w:val="auto"/>
                <w:w w:val="91"/>
              </w:rPr>
              <w:t xml:space="preserve">Derivative liabilities </w:t>
            </w:r>
            <w:r>
              <w:rPr>
                <w:rFonts w:ascii="Arial" w:cs="Arial" w:eastAsia="Arial" w:hAnsi="Arial"/>
                <w:sz w:val="20"/>
                <w:szCs w:val="20"/>
                <w:color w:val="B4B4B4"/>
                <w:w w:val="91"/>
              </w:rPr>
              <w:t>. . . . . . . . . . . . . . . . . . . . . . . . . . . . . . . . . . . . . . . . . . . . . . . . . . . . . . . . . . . . . . . .</w:t>
            </w:r>
          </w:p>
        </w:tc>
        <w:tc>
          <w:tcPr>
            <w:tcW w:w="16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8"/>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Other current and non-current liabilities </w:t>
            </w:r>
            <w:r>
              <w:rPr>
                <w:rFonts w:ascii="Arial" w:cs="Arial" w:eastAsia="Arial" w:hAnsi="Arial"/>
                <w:sz w:val="20"/>
                <w:szCs w:val="20"/>
                <w:color w:val="B4B4B4"/>
                <w:w w:val="91"/>
              </w:rPr>
              <w:t>. . . . . . . . . . . . . . . . . . . . . . . . . . . . . . . . . . . . . . . . . . . . . . . .</w:t>
            </w: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w:t>
            </w:r>
          </w:p>
        </w:tc>
      </w:tr>
      <w:tr>
        <w:trPr>
          <w:trHeight w:val="274"/>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2"/>
              </w:rPr>
              <w:t xml:space="preserve">Total liabilities assumed </w:t>
            </w:r>
            <w:r>
              <w:rPr>
                <w:rFonts w:ascii="Arial" w:cs="Arial" w:eastAsia="Arial" w:hAnsi="Arial"/>
                <w:sz w:val="20"/>
                <w:szCs w:val="20"/>
                <w:color w:val="B4B4B4"/>
                <w:w w:val="92"/>
              </w:rPr>
              <w:t>. . . . . . . . . . . . . . . . . . . . . . . . . . . . . . . . . . . . . . . . . . . . . . . . . . . . . . . . . . .</w:t>
            </w:r>
          </w:p>
        </w:tc>
        <w:tc>
          <w:tcPr>
            <w:tcW w:w="2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542</w:t>
            </w:r>
          </w:p>
        </w:tc>
      </w:tr>
      <w:tr>
        <w:trPr>
          <w:trHeight w:val="289"/>
        </w:trPr>
        <w:tc>
          <w:tcPr>
            <w:tcW w:w="8180" w:type="dxa"/>
            <w:vAlign w:val="bottom"/>
            <w:gridSpan w:val="2"/>
          </w:tcPr>
          <w:p>
            <w:pPr>
              <w:jc w:val="right"/>
              <w:ind w:right="140"/>
              <w:spacing w:after="0"/>
              <w:rPr>
                <w:sz w:val="20"/>
                <w:szCs w:val="20"/>
                <w:color w:val="auto"/>
              </w:rPr>
            </w:pPr>
            <w:r>
              <w:rPr>
                <w:rFonts w:ascii="Arial" w:cs="Arial" w:eastAsia="Arial" w:hAnsi="Arial"/>
                <w:sz w:val="20"/>
                <w:szCs w:val="20"/>
                <w:color w:val="auto"/>
                <w:w w:val="90"/>
              </w:rPr>
              <w:t xml:space="preserve">Other comprehensive loss </w:t>
            </w:r>
            <w:r>
              <w:rPr>
                <w:rFonts w:ascii="Arial" w:cs="Arial" w:eastAsia="Arial" w:hAnsi="Arial"/>
                <w:sz w:val="20"/>
                <w:szCs w:val="20"/>
                <w:color w:val="B4B4B4"/>
                <w:w w:val="90"/>
              </w:rPr>
              <w:t>. . . . . . . . . . . . . . . . . . . . . . . . . . . . . . . . . . . . . . . . . . . . . . . . . . . . . . . . . . .</w:t>
            </w: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r>
      <w:tr>
        <w:trPr>
          <w:trHeight w:val="269"/>
        </w:trPr>
        <w:tc>
          <w:tcPr>
            <w:tcW w:w="818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Net liabilities assumed </w:t>
            </w:r>
            <w:r>
              <w:rPr>
                <w:rFonts w:ascii="Arial" w:cs="Arial" w:eastAsia="Arial" w:hAnsi="Arial"/>
                <w:sz w:val="20"/>
                <w:szCs w:val="20"/>
                <w:color w:val="B4B4B4"/>
                <w:w w:val="91"/>
              </w:rPr>
              <w:t>. . . . . . . . . . . . . . . . . . . . . . . . . . . . . . . . . . . . . . . . . . . . . . . . . . . . . . . . . . . .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20"/>
        </w:trPr>
        <w:tc>
          <w:tcPr>
            <w:tcW w:w="1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-2386330</wp:posOffset>
            </wp:positionV>
            <wp:extent cx="6410325" cy="22967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9">
                      <a:extLst>
                        <a:ext uri="{28A0092B-C50C-407E-A947-70E740481C1C}"/>
                      </a:extLst>
                    </a:blip>
                    <a:srcRect/>
                    <a:stretch>
                      <a:fillRect/>
                    </a:stretch>
                  </pic:blipFill>
                  <pic:spPr bwMode="auto">
                    <a:xfrm>
                      <a:off x="0" y="0"/>
                      <a:ext cx="6410325" cy="2296795"/>
                    </a:xfrm>
                    <a:prstGeom prst="rect">
                      <a:avLst/>
                    </a:prstGeom>
                    <a:noFill/>
                  </pic:spPr>
                </pic:pic>
              </a:graphicData>
            </a:graphic>
          </wp:anchor>
        </w:drawing>
      </w:r>
    </w:p>
    <w:p>
      <w:pPr>
        <w:ind w:left="280" w:hanging="199"/>
        <w:spacing w:after="0" w:line="232" w:lineRule="auto"/>
        <w:tabs>
          <w:tab w:leader="none" w:pos="280" w:val="left"/>
        </w:tabs>
        <w:numPr>
          <w:ilvl w:val="0"/>
          <w:numId w:val="52"/>
        </w:numPr>
        <w:rPr>
          <w:rFonts w:ascii="Arial" w:cs="Arial" w:eastAsia="Arial" w:hAnsi="Arial"/>
          <w:sz w:val="23"/>
          <w:szCs w:val="23"/>
          <w:color w:val="auto"/>
          <w:vertAlign w:val="superscript"/>
        </w:rPr>
      </w:pPr>
      <w:r>
        <w:rPr>
          <w:rFonts w:ascii="Arial" w:cs="Arial" w:eastAsia="Arial" w:hAnsi="Arial"/>
          <w:sz w:val="16"/>
          <w:szCs w:val="16"/>
          <w:color w:val="auto"/>
        </w:rPr>
        <w:t>Includes Construction in progress of $495 million.</w:t>
      </w:r>
    </w:p>
    <w:p>
      <w:pPr>
        <w:spacing w:after="0" w:line="85" w:lineRule="exact"/>
        <w:rPr>
          <w:rFonts w:ascii="Arial" w:cs="Arial" w:eastAsia="Arial" w:hAnsi="Arial"/>
          <w:sz w:val="23"/>
          <w:szCs w:val="23"/>
          <w:color w:val="auto"/>
          <w:vertAlign w:val="superscript"/>
        </w:rPr>
      </w:pPr>
    </w:p>
    <w:p>
      <w:pPr>
        <w:ind w:left="300" w:hanging="219"/>
        <w:spacing w:after="0" w:line="184" w:lineRule="auto"/>
        <w:tabs>
          <w:tab w:leader="none" w:pos="300" w:val="left"/>
        </w:tabs>
        <w:numPr>
          <w:ilvl w:val="0"/>
          <w:numId w:val="52"/>
        </w:numPr>
        <w:rPr>
          <w:rFonts w:ascii="Arial" w:cs="Arial" w:eastAsia="Arial" w:hAnsi="Arial"/>
          <w:sz w:val="21"/>
          <w:szCs w:val="21"/>
          <w:color w:val="auto"/>
          <w:vertAlign w:val="superscript"/>
        </w:rPr>
      </w:pPr>
      <w:r>
        <w:rPr>
          <w:rFonts w:ascii="Arial" w:cs="Arial" w:eastAsia="Arial" w:hAnsi="Arial"/>
          <w:sz w:val="14"/>
          <w:szCs w:val="14"/>
          <w:color w:val="auto"/>
        </w:rPr>
        <w:t>Balances primarily relate to a land lease agreement with a wholly-owned subsidiary of CEG, which expires on September 30, 2058.</w:t>
      </w:r>
    </w:p>
    <w:p>
      <w:pPr>
        <w:spacing w:after="0" w:line="85" w:lineRule="exact"/>
        <w:rPr>
          <w:rFonts w:ascii="Arial" w:cs="Arial" w:eastAsia="Arial" w:hAnsi="Arial"/>
          <w:sz w:val="21"/>
          <w:szCs w:val="21"/>
          <w:color w:val="auto"/>
          <w:vertAlign w:val="superscript"/>
        </w:rPr>
      </w:pPr>
    </w:p>
    <w:p>
      <w:pPr>
        <w:ind w:left="80" w:firstLine="1"/>
        <w:spacing w:after="0" w:line="216" w:lineRule="auto"/>
        <w:tabs>
          <w:tab w:leader="none" w:pos="338" w:val="left"/>
        </w:tabs>
        <w:numPr>
          <w:ilvl w:val="0"/>
          <w:numId w:val="52"/>
        </w:numPr>
        <w:rPr>
          <w:rFonts w:ascii="Arial" w:cs="Arial" w:eastAsia="Arial" w:hAnsi="Arial"/>
          <w:sz w:val="22"/>
          <w:szCs w:val="22"/>
          <w:color w:val="auto"/>
          <w:vertAlign w:val="superscript"/>
        </w:rPr>
      </w:pPr>
      <w:r>
        <w:rPr>
          <w:rFonts w:ascii="Arial" w:cs="Arial" w:eastAsia="Arial" w:hAnsi="Arial"/>
          <w:sz w:val="15"/>
          <w:szCs w:val="15"/>
          <w:color w:val="auto"/>
        </w:rPr>
        <w:t xml:space="preserve">Includes a $179 million construction loan, a $6 million cash equity bridge loan and a $284 million tax equity bridge loan, offset by $1 million in unamortized debt issuance costs. See Note 10, </w:t>
      </w:r>
      <w:r>
        <w:rPr>
          <w:rFonts w:ascii="Arial" w:cs="Arial" w:eastAsia="Arial" w:hAnsi="Arial"/>
          <w:sz w:val="15"/>
          <w:szCs w:val="15"/>
          <w:b w:val="1"/>
          <w:bCs w:val="1"/>
          <w:i w:val="1"/>
          <w:iCs w:val="1"/>
          <w:color w:val="auto"/>
        </w:rPr>
        <w:t>Long-term Debt,</w:t>
      </w:r>
      <w:r>
        <w:rPr>
          <w:rFonts w:ascii="Arial" w:cs="Arial" w:eastAsia="Arial" w:hAnsi="Arial"/>
          <w:sz w:val="15"/>
          <w:szCs w:val="15"/>
          <w:color w:val="auto"/>
        </w:rPr>
        <w:t xml:space="preserve"> for further discussion of the long-term debt assumed in the acquisition.</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10040"/>
          </w:cols>
          <w:pgMar w:left="920" w:top="580" w:right="920" w:bottom="0" w:gutter="0" w:footer="0" w:header="0"/>
          <w:type w:val="continuous"/>
        </w:sectPr>
      </w:pPr>
    </w:p>
    <w:bookmarkStart w:id="103" w:name="page104"/>
    <w:bookmarkEnd w:id="103"/>
    <w:p>
      <w:pPr>
        <w:jc w:val="both"/>
        <w:ind w:firstLine="441"/>
        <w:spacing w:after="0" w:line="263" w:lineRule="auto"/>
        <w:rPr>
          <w:sz w:val="20"/>
          <w:szCs w:val="20"/>
          <w:color w:val="auto"/>
        </w:rPr>
      </w:pPr>
      <w:r>
        <w:rPr>
          <w:rFonts w:ascii="Arial" w:cs="Arial" w:eastAsia="Arial" w:hAnsi="Arial"/>
          <w:sz w:val="19"/>
          <w:szCs w:val="19"/>
          <w:b w:val="1"/>
          <w:bCs w:val="1"/>
          <w:i w:val="1"/>
          <w:iCs w:val="1"/>
          <w:color w:val="auto"/>
        </w:rPr>
        <w:t xml:space="preserve">Catalina Solar Acquisition — </w:t>
      </w:r>
      <w:r>
        <w:rPr>
          <w:rFonts w:ascii="Arial" w:cs="Arial" w:eastAsia="Arial" w:hAnsi="Arial"/>
          <w:sz w:val="19"/>
          <w:szCs w:val="19"/>
          <w:color w:val="auto"/>
        </w:rPr>
        <w:t>On July 16, 2025, the Company, through its indirect subsidiary, Catalina Solar Investment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LLC, acquired Catalina Solar Lessee Holdco LLC, which leases and operates Catalina, a 109 MW solar facility located in Kern County, California, from a third-party for approximately $127 million, which excludes $1 million in transaction expenses incurred in connection with the acquisition. Catalina reached commercial operations in 2013 and has a PPA with an investment-grade utility through 2038. Catalina is reflected in the Renewables &amp; Storage segment and the acquisition was funded with existing sources of liquidity. After factoring in cash reserves acquired and transaction expenses, the Company’s net capital investment in Catalina was $128 million. The acquisition was determined to be an asset acquisition and the purchase price, including transaction expenses, was allocated to the fair value of the assets acquired and liabilities assumed on the acquisition date as follows: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8140" w:type="dxa"/>
            <w:vAlign w:val="bottom"/>
          </w:tcPr>
          <w:p>
            <w:pPr>
              <w:jc w:val="right"/>
              <w:ind w:right="7103"/>
              <w:spacing w:after="0"/>
              <w:rPr>
                <w:sz w:val="20"/>
                <w:szCs w:val="20"/>
                <w:color w:val="auto"/>
              </w:rPr>
            </w:pPr>
            <w:r>
              <w:rPr>
                <w:rFonts w:ascii="Arial" w:cs="Arial" w:eastAsia="Arial" w:hAnsi="Arial"/>
                <w:sz w:val="18"/>
                <w:szCs w:val="18"/>
                <w:b w:val="1"/>
                <w:bCs w:val="1"/>
                <w:color w:val="auto"/>
                <w:w w:val="91"/>
              </w:rPr>
              <w:t>(In millions)</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83"/>
              <w:spacing w:after="0"/>
              <w:rPr>
                <w:sz w:val="20"/>
                <w:szCs w:val="20"/>
                <w:color w:val="auto"/>
              </w:rPr>
            </w:pPr>
            <w:r>
              <w:rPr>
                <w:rFonts w:ascii="Arial" w:cs="Arial" w:eastAsia="Arial" w:hAnsi="Arial"/>
                <w:sz w:val="18"/>
                <w:szCs w:val="18"/>
                <w:b w:val="1"/>
                <w:bCs w:val="1"/>
                <w:color w:val="auto"/>
              </w:rPr>
              <w:t>Catalina</w:t>
            </w:r>
          </w:p>
        </w:tc>
      </w:tr>
      <w:tr>
        <w:trPr>
          <w:trHeight w:val="270"/>
        </w:trPr>
        <w:tc>
          <w:tcPr>
            <w:tcW w:w="8140" w:type="dxa"/>
            <w:vAlign w:val="bottom"/>
          </w:tcPr>
          <w:p>
            <w:pPr>
              <w:jc w:val="right"/>
              <w:ind w:right="23"/>
              <w:spacing w:after="0"/>
              <w:rPr>
                <w:sz w:val="20"/>
                <w:szCs w:val="20"/>
                <w:color w:val="auto"/>
              </w:rPr>
            </w:pPr>
            <w:r>
              <w:rPr>
                <w:rFonts w:ascii="Arial" w:cs="Arial" w:eastAsia="Arial" w:hAnsi="Arial"/>
                <w:sz w:val="20"/>
                <w:szCs w:val="20"/>
                <w:color w:val="auto"/>
                <w:w w:val="89"/>
              </w:rPr>
              <w:t xml:space="preserve">Cash </w:t>
            </w:r>
            <w:r>
              <w:rPr>
                <w:rFonts w:ascii="Arial" w:cs="Arial" w:eastAsia="Arial" w:hAnsi="Arial"/>
                <w:sz w:val="20"/>
                <w:szCs w:val="20"/>
                <w:color w:val="B4B4B4"/>
                <w:w w:val="89"/>
              </w:rPr>
              <w:t>. . . . . . . . . . . . . . . . . . . . . . . . . . . . . . . . . . . . . . . . . . . . . . . . . . . . . . . . . . . . . . . . . . . . . . . . . . . .</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94"/>
        </w:trPr>
        <w:tc>
          <w:tcPr>
            <w:tcW w:w="8140" w:type="dxa"/>
            <w:vAlign w:val="bottom"/>
          </w:tcPr>
          <w:p>
            <w:pPr>
              <w:jc w:val="right"/>
              <w:ind w:right="23"/>
              <w:spacing w:after="0"/>
              <w:rPr>
                <w:sz w:val="20"/>
                <w:szCs w:val="20"/>
                <w:color w:val="auto"/>
              </w:rPr>
            </w:pPr>
            <w:r>
              <w:rPr>
                <w:rFonts w:ascii="Arial" w:cs="Arial" w:eastAsia="Arial" w:hAnsi="Arial"/>
                <w:sz w:val="20"/>
                <w:szCs w:val="20"/>
                <w:color w:val="auto"/>
                <w:w w:val="89"/>
              </w:rPr>
              <w:t xml:space="preserve">Intangible asset for power purchase agreement </w:t>
            </w:r>
            <w:r>
              <w:rPr>
                <w:rFonts w:ascii="Arial" w:cs="Arial" w:eastAsia="Arial" w:hAnsi="Arial"/>
                <w:sz w:val="20"/>
                <w:szCs w:val="20"/>
                <w:color w:val="B4B4B4"/>
                <w:w w:val="89"/>
              </w:rPr>
              <w:t>. . . . . . . . . . . . . . . . . . . . . . . . . . . . . . . . . . . . . . . . . . .</w:t>
            </w:r>
          </w:p>
        </w:tc>
        <w:tc>
          <w:tcPr>
            <w:tcW w:w="3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175</w:t>
            </w:r>
          </w:p>
        </w:tc>
      </w:tr>
      <w:tr>
        <w:trPr>
          <w:trHeight w:val="294"/>
        </w:trPr>
        <w:tc>
          <w:tcPr>
            <w:tcW w:w="8140" w:type="dxa"/>
            <w:vAlign w:val="bottom"/>
          </w:tcPr>
          <w:p>
            <w:pPr>
              <w:jc w:val="right"/>
              <w:ind w:right="43"/>
              <w:spacing w:after="0"/>
              <w:rPr>
                <w:sz w:val="20"/>
                <w:szCs w:val="20"/>
                <w:color w:val="auto"/>
              </w:rPr>
            </w:pPr>
            <w:r>
              <w:rPr>
                <w:rFonts w:ascii="Arial" w:cs="Arial" w:eastAsia="Arial" w:hAnsi="Arial"/>
                <w:sz w:val="20"/>
                <w:szCs w:val="20"/>
                <w:color w:val="auto"/>
                <w:w w:val="89"/>
              </w:rPr>
              <w:t xml:space="preserve">Right-of-use assets  </w:t>
            </w:r>
            <w:r>
              <w:rPr>
                <w:rFonts w:ascii="Arial" w:cs="Arial" w:eastAsia="Arial" w:hAnsi="Arial"/>
                <w:sz w:val="20"/>
                <w:szCs w:val="20"/>
                <w:color w:val="B4B4B4"/>
                <w:w w:val="89"/>
              </w:rPr>
              <w:t>. . . . . . . . . . . . . . . . . . . . . . . . . . . . . . . . . . . . . . . . . . . . . . . . . . . . . . . . . . . . . . . .</w:t>
            </w:r>
          </w:p>
        </w:tc>
        <w:tc>
          <w:tcPr>
            <w:tcW w:w="3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98"/>
        </w:trPr>
        <w:tc>
          <w:tcPr>
            <w:tcW w:w="8140" w:type="dxa"/>
            <w:vAlign w:val="bottom"/>
          </w:tcPr>
          <w:p>
            <w:pPr>
              <w:jc w:val="right"/>
              <w:ind w:right="23"/>
              <w:spacing w:after="0"/>
              <w:rPr>
                <w:sz w:val="20"/>
                <w:szCs w:val="20"/>
                <w:color w:val="auto"/>
              </w:rPr>
            </w:pPr>
            <w:r>
              <w:rPr>
                <w:rFonts w:ascii="Arial" w:cs="Arial" w:eastAsia="Arial" w:hAnsi="Arial"/>
                <w:sz w:val="20"/>
                <w:szCs w:val="20"/>
                <w:color w:val="auto"/>
                <w:w w:val="89"/>
              </w:rPr>
              <w:t xml:space="preserve">Other current and non-current assets </w:t>
            </w:r>
            <w:r>
              <w:rPr>
                <w:rFonts w:ascii="Arial" w:cs="Arial" w:eastAsia="Arial" w:hAnsi="Arial"/>
                <w:sz w:val="20"/>
                <w:szCs w:val="20"/>
                <w:color w:val="B4B4B4"/>
                <w:w w:val="89"/>
              </w:rPr>
              <w:t>. . . . . . . . . . . . . . . . . . . . . . . . . . . . . . . . . . . . . . . . . . . . . . . . . . .</w:t>
            </w: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r>
      <w:tr>
        <w:trPr>
          <w:trHeight w:val="270"/>
        </w:trPr>
        <w:tc>
          <w:tcPr>
            <w:tcW w:w="8140" w:type="dxa"/>
            <w:vAlign w:val="bottom"/>
          </w:tcPr>
          <w:p>
            <w:pPr>
              <w:jc w:val="right"/>
              <w:ind w:right="23"/>
              <w:spacing w:after="0"/>
              <w:rPr>
                <w:sz w:val="20"/>
                <w:szCs w:val="20"/>
                <w:color w:val="auto"/>
              </w:rPr>
            </w:pPr>
            <w:r>
              <w:rPr>
                <w:rFonts w:ascii="Arial" w:cs="Arial" w:eastAsia="Arial" w:hAnsi="Arial"/>
                <w:sz w:val="20"/>
                <w:szCs w:val="20"/>
                <w:color w:val="auto"/>
                <w:w w:val="90"/>
              </w:rPr>
              <w:t xml:space="preserve">Total assets acquired </w:t>
            </w:r>
            <w:r>
              <w:rPr>
                <w:rFonts w:ascii="Arial" w:cs="Arial" w:eastAsia="Arial" w:hAnsi="Arial"/>
                <w:sz w:val="20"/>
                <w:szCs w:val="20"/>
                <w:color w:val="B4B4B4"/>
                <w:w w:val="90"/>
              </w:rPr>
              <w:t>. . . . . . . . . . . . . . . . . . . . . . . . . . . . . . . . . . . . . . . . . . . . . . . . . . . . . . . . . . . . . .</w:t>
            </w:r>
          </w:p>
        </w:tc>
        <w:tc>
          <w:tcPr>
            <w:tcW w:w="3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303</w:t>
            </w:r>
          </w:p>
        </w:tc>
      </w:tr>
      <w:tr>
        <w:trPr>
          <w:trHeight w:val="603"/>
        </w:trPr>
        <w:tc>
          <w:tcPr>
            <w:tcW w:w="8140" w:type="dxa"/>
            <w:vAlign w:val="bottom"/>
          </w:tcPr>
          <w:p>
            <w:pPr>
              <w:jc w:val="right"/>
              <w:ind w:right="43"/>
              <w:spacing w:after="0"/>
              <w:rPr>
                <w:sz w:val="20"/>
                <w:szCs w:val="20"/>
                <w:color w:val="auto"/>
              </w:rPr>
            </w:pPr>
            <w:r>
              <w:rPr>
                <w:rFonts w:ascii="Arial" w:cs="Arial" w:eastAsia="Arial" w:hAnsi="Arial"/>
                <w:sz w:val="20"/>
                <w:szCs w:val="20"/>
                <w:color w:val="auto"/>
                <w:w w:val="91"/>
              </w:rPr>
              <w:t xml:space="preserve">Long-term lease liabilities  </w:t>
            </w:r>
            <w:r>
              <w:rPr>
                <w:rFonts w:ascii="Arial" w:cs="Arial" w:eastAsia="Arial" w:hAnsi="Arial"/>
                <w:sz w:val="20"/>
                <w:szCs w:val="20"/>
                <w:color w:val="B4B4B4"/>
                <w:w w:val="91"/>
              </w:rPr>
              <w:t>. . . . . . . . . . . . . . . . . . . . . . . . . . . . . . . . . . . . . . . . . . . . . . . . . . . . . . . . . .</w:t>
            </w:r>
          </w:p>
        </w:tc>
        <w:tc>
          <w:tcPr>
            <w:tcW w:w="3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173</w:t>
            </w:r>
          </w:p>
        </w:tc>
      </w:tr>
      <w:tr>
        <w:trPr>
          <w:trHeight w:val="298"/>
        </w:trPr>
        <w:tc>
          <w:tcPr>
            <w:tcW w:w="8140" w:type="dxa"/>
            <w:vAlign w:val="bottom"/>
          </w:tcPr>
          <w:p>
            <w:pPr>
              <w:jc w:val="right"/>
              <w:ind w:right="23"/>
              <w:spacing w:after="0"/>
              <w:rPr>
                <w:sz w:val="20"/>
                <w:szCs w:val="20"/>
                <w:color w:val="auto"/>
              </w:rPr>
            </w:pPr>
            <w:r>
              <w:rPr>
                <w:rFonts w:ascii="Arial" w:cs="Arial" w:eastAsia="Arial" w:hAnsi="Arial"/>
                <w:sz w:val="20"/>
                <w:szCs w:val="20"/>
                <w:color w:val="auto"/>
                <w:w w:val="90"/>
              </w:rPr>
              <w:t xml:space="preserve">Other current and non-current liabilities </w:t>
            </w:r>
            <w:r>
              <w:rPr>
                <w:rFonts w:ascii="Arial" w:cs="Arial" w:eastAsia="Arial" w:hAnsi="Arial"/>
                <w:sz w:val="20"/>
                <w:szCs w:val="20"/>
                <w:color w:val="B4B4B4"/>
                <w:w w:val="90"/>
              </w:rPr>
              <w:t>. . . . . . . . . . . . . . . . . . . . . . . . . . . . . . . . . . . . . . . . . . . . . . . .</w:t>
            </w: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74"/>
        </w:trPr>
        <w:tc>
          <w:tcPr>
            <w:tcW w:w="8140" w:type="dxa"/>
            <w:vAlign w:val="bottom"/>
          </w:tcPr>
          <w:p>
            <w:pPr>
              <w:jc w:val="right"/>
              <w:ind w:right="43"/>
              <w:spacing w:after="0"/>
              <w:rPr>
                <w:sz w:val="20"/>
                <w:szCs w:val="20"/>
                <w:color w:val="auto"/>
              </w:rPr>
            </w:pPr>
            <w:r>
              <w:rPr>
                <w:rFonts w:ascii="Arial" w:cs="Arial" w:eastAsia="Arial" w:hAnsi="Arial"/>
                <w:sz w:val="20"/>
                <w:szCs w:val="20"/>
                <w:color w:val="auto"/>
                <w:w w:val="91"/>
              </w:rPr>
              <w:t xml:space="preserve">Total liabilities assumed </w:t>
            </w:r>
            <w:r>
              <w:rPr>
                <w:rFonts w:ascii="Arial" w:cs="Arial" w:eastAsia="Arial" w:hAnsi="Arial"/>
                <w:sz w:val="20"/>
                <w:szCs w:val="20"/>
                <w:color w:val="B4B4B4"/>
                <w:w w:val="91"/>
              </w:rPr>
              <w:t>. . . . . . . . . . . . . . . . . . . . . . . . . . . . . . . . . . . . . . . . . . . . . . . . . . . . . . . . . . .</w:t>
            </w:r>
          </w:p>
        </w:tc>
        <w:tc>
          <w:tcPr>
            <w:tcW w:w="3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w:t>
            </w:r>
          </w:p>
        </w:tc>
      </w:tr>
      <w:tr>
        <w:trPr>
          <w:trHeight w:val="254"/>
        </w:trPr>
        <w:tc>
          <w:tcPr>
            <w:tcW w:w="8140" w:type="dxa"/>
            <w:vAlign w:val="bottom"/>
          </w:tcPr>
          <w:p>
            <w:pPr>
              <w:jc w:val="right"/>
              <w:ind w:right="43"/>
              <w:spacing w:after="0"/>
              <w:rPr>
                <w:sz w:val="20"/>
                <w:szCs w:val="20"/>
                <w:color w:val="auto"/>
              </w:rPr>
            </w:pPr>
            <w:r>
              <w:rPr>
                <w:rFonts w:ascii="Arial" w:cs="Arial" w:eastAsia="Arial" w:hAnsi="Arial"/>
                <w:sz w:val="20"/>
                <w:szCs w:val="20"/>
                <w:color w:val="auto"/>
                <w:w w:val="90"/>
              </w:rPr>
              <w:t xml:space="preserve">Net assets acquired </w:t>
            </w:r>
            <w:r>
              <w:rPr>
                <w:rFonts w:ascii="Arial" w:cs="Arial" w:eastAsia="Arial" w:hAnsi="Arial"/>
                <w:sz w:val="20"/>
                <w:szCs w:val="20"/>
                <w:color w:val="B4B4B4"/>
                <w:w w:val="90"/>
              </w:rPr>
              <w:t>. . . . . . . . . . . . . . . . . . . . . . . . . . . . . . . . . . . . . . . . . . . . . . . . . . . . . . . . . . . . . . .</w:t>
            </w:r>
          </w:p>
        </w:tc>
        <w:tc>
          <w:tcPr>
            <w:tcW w:w="38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w:t>
            </w:r>
          </w:p>
        </w:tc>
      </w:tr>
      <w:tr>
        <w:trPr>
          <w:trHeight w:val="20"/>
        </w:trPr>
        <w:tc>
          <w:tcPr>
            <w:tcW w:w="8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-1906905</wp:posOffset>
            </wp:positionV>
            <wp:extent cx="6410325" cy="1913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0">
                      <a:extLst>
                        <a:ext uri="{28A0092B-C50C-407E-A947-70E740481C1C}"/>
                      </a:extLst>
                    </a:blip>
                    <a:srcRect/>
                    <a:stretch>
                      <a:fillRect/>
                    </a:stretch>
                  </pic:blipFill>
                  <pic:spPr bwMode="auto">
                    <a:xfrm>
                      <a:off x="0" y="0"/>
                      <a:ext cx="6410325" cy="1913890"/>
                    </a:xfrm>
                    <a:prstGeom prst="rect">
                      <a:avLst/>
                    </a:prstGeom>
                    <a:noFill/>
                  </pic:spPr>
                </pic:pic>
              </a:graphicData>
            </a:graphic>
          </wp:anchor>
        </w:drawing>
      </w:r>
    </w:p>
    <w:p>
      <w:pPr>
        <w:spacing w:after="0" w:line="160" w:lineRule="exact"/>
        <w:rPr>
          <w:sz w:val="20"/>
          <w:szCs w:val="20"/>
          <w:color w:val="auto"/>
        </w:rPr>
      </w:pPr>
    </w:p>
    <w:p>
      <w:pPr>
        <w:jc w:val="both"/>
        <w:ind w:firstLine="441"/>
        <w:spacing w:after="0" w:line="292" w:lineRule="auto"/>
        <w:rPr>
          <w:sz w:val="20"/>
          <w:szCs w:val="20"/>
          <w:color w:val="auto"/>
        </w:rPr>
      </w:pPr>
      <w:r>
        <w:rPr>
          <w:rFonts w:ascii="Arial" w:cs="Arial" w:eastAsia="Arial" w:hAnsi="Arial"/>
          <w:sz w:val="17"/>
          <w:szCs w:val="17"/>
          <w:b w:val="1"/>
          <w:bCs w:val="1"/>
          <w:i w:val="1"/>
          <w:iCs w:val="1"/>
          <w:color w:val="auto"/>
        </w:rPr>
        <w:t xml:space="preserve">Dan’s Mountain Drop Down — </w:t>
      </w:r>
      <w:r>
        <w:rPr>
          <w:rFonts w:ascii="Arial" w:cs="Arial" w:eastAsia="Arial" w:hAnsi="Arial"/>
          <w:sz w:val="17"/>
          <w:szCs w:val="17"/>
          <w:color w:val="auto"/>
        </w:rPr>
        <w:t>On November 18, 2024, the Company, through its indirect subsidiary, Dan’s Mountain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Parent Holdco LLC, acquired the Class A membership interests in Dan’s Mountain TargetCo, a partnership and the indirect owner of Dan’s Mountain, a 55 MW wind facility located in Allegany County, Maryland, from Clearway Renew for initial cash consideration of $7 million. On May 21, 2025, when the facility reached substantial completion, the Company paid $36 million to Clearway Renew as additional purchase price. Also on May 21, 2025, a third-party cash equity investor contributed $45 million to acquire the Class B membership interests in Dan’s Mountain TargetCo from Clearway Renew. Dan’s Mountain TargetCo consolidates as primary beneficiary, Dan’s Mountain Tax Credit Holdco LLC, a tax equity fund that owns the Dan’s Mountain wind facility. Dan’s Mountain has a 12-year PPA with an investment-grade utility that commenced in May 2025. Dan’s Mountain is reflected in the Company’s Renewables &amp; Storage segment and the acquisition was funded with existing sources of liquidity. The acquisition was determined to be an asset acquisition and the Company consolidates Dan’s Mountain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7"/>
          <w:szCs w:val="17"/>
          <w:b w:val="1"/>
          <w:bCs w:val="1"/>
          <w:i w:val="1"/>
          <w:iCs w:val="1"/>
          <w:color w:val="auto"/>
        </w:rPr>
        <w:t>Business Combinations - Related Issues</w:t>
      </w:r>
      <w:r>
        <w:rPr>
          <w:rFonts w:ascii="Arial" w:cs="Arial" w:eastAsia="Arial" w:hAnsi="Arial"/>
          <w:sz w:val="17"/>
          <w:szCs w:val="17"/>
          <w:color w:val="auto"/>
        </w:rPr>
        <w:t>. The sum of the Company’s initial cash consideration of $7 million and the historical cost of the Company’s net liabilities assumed of $2 million, less Clearway Renew’s investment of $1 million in Dan’s Mountain TargetCo, was recorded as an adjustment to CEG’s noncontrolling interest balance. The $36 million additional purchase price was also recorded as an adjustment to CEG’s noncontrolling interest balance. In addition, the Company reflected the entire $7 million purchase price, which was contributed back to the Company by CEG to pay down the acquired long-term debt, in the line item contributions from CEG, net of distributions, in the consolidated statements of stockholders’ equity. The Company also reflected the entire $36 million of the Company’s additional purchase price, which was contributed back to the Company by CEG to pay down the acquired long-term debt, in the line item contributions from CEG, net of distributions, in the consolidated statements of stockholders’ equity. The Company’s total capital investment in Dan’s Mountain TargetCo was $43 million.</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10040"/>
          </w:cols>
          <w:pgMar w:left="920" w:top="580" w:right="920" w:bottom="0" w:gutter="0" w:footer="0" w:header="0"/>
          <w:type w:val="continuous"/>
        </w:sectPr>
      </w:pPr>
    </w:p>
    <w:bookmarkStart w:id="104" w:name="page105"/>
    <w:bookmarkEnd w:id="104"/>
    <w:p>
      <w:pPr>
        <w:ind w:firstLine="441"/>
        <w:spacing w:after="0" w:line="271" w:lineRule="auto"/>
        <w:rPr>
          <w:sz w:val="20"/>
          <w:szCs w:val="20"/>
          <w:color w:val="auto"/>
        </w:rPr>
      </w:pPr>
      <w:r>
        <w:rPr>
          <w:rFonts w:ascii="Arial" w:cs="Arial" w:eastAsia="Arial" w:hAnsi="Arial"/>
          <w:sz w:val="20"/>
          <w:szCs w:val="20"/>
          <w:color w:val="auto"/>
        </w:rPr>
        <w:t>The following is a summary of assets and liabilities transferred in connection with the acquisition as of November 18, 2024:</w:t>
      </w:r>
    </w:p>
    <w:p>
      <w:pPr>
        <w:sectPr>
          <w:pgSz w:w="11880" w:h="15480" w:orient="portrait"/>
          <w:cols w:equalWidth="0" w:num="1">
            <w:col w:w="10040"/>
          </w:cols>
          <w:pgMar w:left="920" w:top="584" w:right="920" w:bottom="0" w:gutter="0" w:footer="0" w:header="0"/>
        </w:sectPr>
      </w:pP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12700</wp:posOffset>
            </wp:positionV>
            <wp:extent cx="6410325" cy="17272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1">
                      <a:extLst>
                        <a:ext uri="{28A0092B-C50C-407E-A947-70E740481C1C}"/>
                      </a:extLst>
                    </a:blip>
                    <a:srcRect/>
                    <a:stretch>
                      <a:fillRect/>
                    </a:stretch>
                  </pic:blipFill>
                  <pic:spPr bwMode="auto">
                    <a:xfrm>
                      <a:off x="0" y="0"/>
                      <a:ext cx="6410325" cy="172720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Property, plant and equipment </w:t>
      </w:r>
      <w:r>
        <w:rPr>
          <w:rFonts w:ascii="Arial" w:cs="Arial" w:eastAsia="Arial" w:hAnsi="Arial"/>
          <w:sz w:val="22"/>
          <w:szCs w:val="22"/>
          <w:color w:val="auto"/>
          <w:vertAlign w:val="superscript"/>
        </w:rPr>
        <w:t>(a)</w:t>
      </w:r>
      <w:r>
        <w:rPr>
          <w:rFonts w:ascii="Arial" w:cs="Arial" w:eastAsia="Arial" w:hAnsi="Arial"/>
          <w:sz w:val="17"/>
          <w:szCs w:val="17"/>
          <w:color w:val="auto"/>
        </w:rPr>
        <w:t xml:space="preserve">  </w:t>
      </w:r>
      <w:r>
        <w:rPr>
          <w:rFonts w:ascii="Arial" w:cs="Arial" w:eastAsia="Arial" w:hAnsi="Arial"/>
          <w:sz w:val="17"/>
          <w:szCs w:val="17"/>
          <w:color w:val="B4B4B4"/>
        </w:rPr>
        <w:t>. . . . . . . . . . . . . . . . . . . . . . . . . . . . . . . . . . . . . . . . . . . . . . . . . . . . .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Right-of-use assets </w:t>
      </w:r>
      <w:r>
        <w:rPr>
          <w:rFonts w:ascii="Arial" w:cs="Arial" w:eastAsia="Arial" w:hAnsi="Arial"/>
          <w:sz w:val="17"/>
          <w:szCs w:val="17"/>
          <w:color w:val="B4B4B4"/>
        </w:rPr>
        <w:t>. . . . . . . . . . . . . . . . . . . . . . . . . . . . . . . . . . . . . . . . . . . . . . . . . . . . . . . . . . . . . . . . .</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Total assets acquired  </w:t>
      </w:r>
      <w:r>
        <w:rPr>
          <w:rFonts w:ascii="Arial" w:cs="Arial" w:eastAsia="Arial" w:hAnsi="Arial"/>
          <w:sz w:val="17"/>
          <w:szCs w:val="17"/>
          <w:color w:val="B4B4B4"/>
        </w:rPr>
        <w:t>. . . . . . . . . . . . . . . . . . . . . . . . . . . . . . . . . . . . . . . . . . . . . . . . . . . . . . . . . . . . . .</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Long-term debt </w:t>
      </w:r>
      <w:r>
        <w:rPr>
          <w:rFonts w:ascii="Arial" w:cs="Arial" w:eastAsia="Arial" w:hAnsi="Arial"/>
          <w:sz w:val="22"/>
          <w:szCs w:val="22"/>
          <w:color w:val="auto"/>
          <w:vertAlign w:val="superscript"/>
        </w:rPr>
        <w:t>(b)</w:t>
      </w:r>
      <w:r>
        <w:rPr>
          <w:rFonts w:ascii="Arial" w:cs="Arial" w:eastAsia="Arial" w:hAnsi="Arial"/>
          <w:sz w:val="17"/>
          <w:szCs w:val="17"/>
          <w:color w:val="auto"/>
        </w:rPr>
        <w:t xml:space="preserve"> </w:t>
      </w:r>
      <w:r>
        <w:rPr>
          <w:rFonts w:ascii="Arial" w:cs="Arial" w:eastAsia="Arial" w:hAnsi="Arial"/>
          <w:sz w:val="17"/>
          <w:szCs w:val="17"/>
          <w:color w:val="B4B4B4"/>
        </w:rPr>
        <w:t>. . . . . . . . . . . . . . . . . . . . . . . . . . . . . . . . . . . . . . . . . . . . . . . . . . . . . . . . . . . . . . . . .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Long-term lease liabilities  </w:t>
      </w:r>
      <w:r>
        <w:rPr>
          <w:rFonts w:ascii="Arial" w:cs="Arial" w:eastAsia="Arial" w:hAnsi="Arial"/>
          <w:sz w:val="17"/>
          <w:szCs w:val="17"/>
          <w:color w:val="B4B4B4"/>
        </w:rPr>
        <w:t>. . . . . . . . . . . . . . . . . . . . . . . . . . . . . . . . . . . . . . . . . . . . . . . . . . . . . . . . . . .</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Other current and non-current liabilities </w:t>
      </w:r>
      <w:r>
        <w:rPr>
          <w:rFonts w:ascii="Arial" w:cs="Arial" w:eastAsia="Arial" w:hAnsi="Arial"/>
          <w:sz w:val="17"/>
          <w:szCs w:val="17"/>
          <w:color w:val="B4B4B4"/>
        </w:rPr>
        <w:t>. . . . . . . . . . . . . . . . . . .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Total liabilities assumed </w:t>
      </w:r>
      <w:r>
        <w:rPr>
          <w:rFonts w:ascii="Arial" w:cs="Arial" w:eastAsia="Arial" w:hAnsi="Arial"/>
          <w:sz w:val="17"/>
          <w:szCs w:val="17"/>
          <w:color w:val="B4B4B4"/>
        </w:rPr>
        <w:t>. . . . . . . . . . . . . . . . . . . . . . . . . . . . . . . . . . . . . . . . . . . . . . . . . . . . . . . . . . . .</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Net liabilities assumed </w:t>
      </w:r>
      <w:r>
        <w:rPr>
          <w:rFonts w:ascii="Arial" w:cs="Arial" w:eastAsia="Arial" w:hAnsi="Arial"/>
          <w:sz w:val="17"/>
          <w:szCs w:val="17"/>
          <w:color w:val="B4B4B4"/>
        </w:rPr>
        <w:t>.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154940</wp:posOffset>
                </wp:positionV>
                <wp:extent cx="124079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07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2.2pt" to="97.35pt,12.2pt" o:allowincell="f" strokecolor="#000000" strokeweight="1pt"/>
            </w:pict>
          </mc:Fallback>
        </mc:AlternateContent>
      </w:r>
    </w:p>
    <w:p>
      <w:pPr>
        <w:spacing w:after="0" w:line="217" w:lineRule="exact"/>
        <w:rPr>
          <w:sz w:val="20"/>
          <w:szCs w:val="20"/>
          <w:color w:val="auto"/>
        </w:rPr>
      </w:pPr>
    </w:p>
    <w:p>
      <w:pPr>
        <w:ind w:left="300" w:hanging="219"/>
        <w:spacing w:after="0"/>
        <w:tabs>
          <w:tab w:leader="none" w:pos="300" w:val="left"/>
        </w:tabs>
        <w:numPr>
          <w:ilvl w:val="0"/>
          <w:numId w:val="53"/>
        </w:numPr>
        <w:rPr>
          <w:rFonts w:ascii="Arial" w:cs="Arial" w:eastAsia="Arial" w:hAnsi="Arial"/>
          <w:sz w:val="25"/>
          <w:szCs w:val="25"/>
          <w:color w:val="auto"/>
          <w:vertAlign w:val="superscript"/>
        </w:rPr>
      </w:pPr>
      <w:r>
        <w:rPr>
          <w:rFonts w:ascii="Arial" w:cs="Arial" w:eastAsia="Arial" w:hAnsi="Arial"/>
          <w:sz w:val="16"/>
          <w:szCs w:val="16"/>
          <w:color w:val="auto"/>
        </w:rPr>
        <w:t>Includes Construction in progress of $150 million.</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w w:val="95"/>
              </w:rPr>
              <w:t>Dan’s Mountain</w:t>
            </w:r>
          </w:p>
        </w:tc>
      </w:tr>
      <w:tr>
        <w:trPr>
          <w:trHeight w:val="270"/>
        </w:trPr>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152</w:t>
            </w:r>
          </w:p>
        </w:tc>
      </w:tr>
      <w:tr>
        <w:trPr>
          <w:trHeight w:val="298"/>
        </w:trPr>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r>
      <w:tr>
        <w:trPr>
          <w:trHeight w:val="270"/>
        </w:trPr>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155</w:t>
            </w:r>
          </w:p>
        </w:tc>
      </w:tr>
      <w:tr>
        <w:trPr>
          <w:trHeight w:val="588"/>
        </w:trPr>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94"/>
        </w:trPr>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98"/>
        </w:trPr>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w:t>
            </w:r>
          </w:p>
        </w:tc>
      </w:tr>
      <w:tr>
        <w:trPr>
          <w:trHeight w:val="274"/>
        </w:trPr>
        <w:tc>
          <w:tcPr>
            <w:tcW w:w="2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w:t>
            </w:r>
          </w:p>
        </w:tc>
      </w:tr>
      <w:tr>
        <w:trPr>
          <w:trHeight w:val="269"/>
        </w:trPr>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511" w:lineRule="exact"/>
        <w:rPr>
          <w:sz w:val="20"/>
          <w:szCs w:val="20"/>
          <w:color w:val="auto"/>
        </w:rPr>
      </w:pPr>
    </w:p>
    <w:p>
      <w:pPr>
        <w:sectPr>
          <w:pgSz w:w="11880" w:h="15480" w:orient="portrait"/>
          <w:cols w:equalWidth="0" w:num="2">
            <w:col w:w="8100" w:space="120"/>
            <w:col w:w="1820"/>
          </w:cols>
          <w:pgMar w:left="920" w:top="584" w:right="920" w:bottom="0" w:gutter="0" w:footer="0" w:header="0"/>
          <w:type w:val="continuous"/>
        </w:sectPr>
      </w:pPr>
    </w:p>
    <w:p>
      <w:pPr>
        <w:ind w:left="80" w:firstLine="1"/>
        <w:spacing w:after="0" w:line="209" w:lineRule="auto"/>
        <w:tabs>
          <w:tab w:leader="none" w:pos="314" w:val="left"/>
        </w:tabs>
        <w:numPr>
          <w:ilvl w:val="0"/>
          <w:numId w:val="54"/>
        </w:numPr>
        <w:rPr>
          <w:rFonts w:ascii="Arial" w:cs="Arial" w:eastAsia="Arial" w:hAnsi="Arial"/>
          <w:sz w:val="25"/>
          <w:szCs w:val="25"/>
          <w:color w:val="auto"/>
          <w:vertAlign w:val="superscript"/>
        </w:rPr>
      </w:pPr>
      <w:r>
        <w:rPr>
          <w:rFonts w:ascii="Arial" w:cs="Arial" w:eastAsia="Arial" w:hAnsi="Arial"/>
          <w:sz w:val="16"/>
          <w:szCs w:val="16"/>
          <w:color w:val="auto"/>
        </w:rPr>
        <w:t xml:space="preserve">Includes a $77 million cash equity bridge loan and a $49 million tax equity bridge loan, offset by $1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xml:space="preserve"> for further discussion of the long-term debt assumed in the acquisition.</w:t>
      </w:r>
    </w:p>
    <w:p>
      <w:pPr>
        <w:spacing w:after="0" w:line="146"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b w:val="1"/>
          <w:bCs w:val="1"/>
          <w:i w:val="1"/>
          <w:iCs w:val="1"/>
          <w:color w:val="auto"/>
        </w:rPr>
        <w:t xml:space="preserve">Tuolumne Wind Acquisition — </w:t>
      </w:r>
      <w:r>
        <w:rPr>
          <w:rFonts w:ascii="Arial" w:cs="Arial" w:eastAsia="Arial" w:hAnsi="Arial"/>
          <w:sz w:val="17"/>
          <w:szCs w:val="17"/>
          <w:color w:val="auto"/>
        </w:rPr>
        <w:t>On April 29, 2025, the Company, through its indirect subsidiary, Washington Wind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acquired Tuolumne, a 137 MW wind facility located in Klickitat County, Washington, from an investment-grade regulated entity for approximately $210 million, which excludes $1 million in transaction expenses incurred in connection with the acquisition. Tuolumne reached commercial operations in 2009. In connection with the acquisition, the Company entered into a 15-year PPA with an investment-grade regulated entity that commenced in April 2025. Tuolumne is reflected in the Company’s Renewables &amp; Storage segment and the acquisition was funded with borrowings under the new financing agreement that was entered into in connection with the acquisition, as further described in Note 10, </w:t>
      </w:r>
      <w:r>
        <w:rPr>
          <w:rFonts w:ascii="Arial" w:cs="Arial" w:eastAsia="Arial" w:hAnsi="Arial"/>
          <w:sz w:val="17"/>
          <w:szCs w:val="17"/>
          <w:b w:val="1"/>
          <w:bCs w:val="1"/>
          <w:i w:val="1"/>
          <w:iCs w:val="1"/>
          <w:color w:val="auto"/>
        </w:rPr>
        <w:t>Long-term Debt</w:t>
      </w:r>
      <w:r>
        <w:rPr>
          <w:rFonts w:ascii="Arial" w:cs="Arial" w:eastAsia="Arial" w:hAnsi="Arial"/>
          <w:sz w:val="17"/>
          <w:szCs w:val="17"/>
          <w:color w:val="auto"/>
        </w:rPr>
        <w:t>, as well as existing sources of liquidity. After factoring in transaction expenses and the new financing, the Company’s net capital investment in Tuolumne was $59 million. The acquisition was determined to be an asset acquisition and the purchase price, including transaction expenses, was allocated to the fair value of the assets acquired and liabilities assumed on the acquisition date as follows: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8140" w:type="dxa"/>
            <w:vAlign w:val="bottom"/>
          </w:tcPr>
          <w:p>
            <w:pPr>
              <w:jc w:val="right"/>
              <w:ind w:right="7103"/>
              <w:spacing w:after="0"/>
              <w:rPr>
                <w:sz w:val="20"/>
                <w:szCs w:val="20"/>
                <w:color w:val="auto"/>
              </w:rPr>
            </w:pPr>
            <w:r>
              <w:rPr>
                <w:rFonts w:ascii="Arial" w:cs="Arial" w:eastAsia="Arial" w:hAnsi="Arial"/>
                <w:sz w:val="18"/>
                <w:szCs w:val="18"/>
                <w:b w:val="1"/>
                <w:bCs w:val="1"/>
                <w:color w:val="auto"/>
                <w:w w:val="91"/>
              </w:rPr>
              <w:t>(In millions)</w:t>
            </w: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b w:val="1"/>
                <w:bCs w:val="1"/>
                <w:color w:val="auto"/>
              </w:rPr>
              <w:t>Tuolumne</w:t>
            </w:r>
          </w:p>
        </w:tc>
      </w:tr>
      <w:tr>
        <w:trPr>
          <w:trHeight w:val="270"/>
        </w:trPr>
        <w:tc>
          <w:tcPr>
            <w:tcW w:w="8140" w:type="dxa"/>
            <w:vAlign w:val="bottom"/>
          </w:tcPr>
          <w:p>
            <w:pPr>
              <w:jc w:val="right"/>
              <w:ind w:right="23"/>
              <w:spacing w:after="0"/>
              <w:rPr>
                <w:sz w:val="20"/>
                <w:szCs w:val="20"/>
                <w:color w:val="auto"/>
              </w:rPr>
            </w:pPr>
            <w:r>
              <w:rPr>
                <w:rFonts w:ascii="Arial" w:cs="Arial" w:eastAsia="Arial" w:hAnsi="Arial"/>
                <w:sz w:val="20"/>
                <w:szCs w:val="20"/>
                <w:color w:val="auto"/>
                <w:w w:val="89"/>
              </w:rPr>
              <w:t xml:space="preserve">Property, plant and equipment </w:t>
            </w:r>
            <w:r>
              <w:rPr>
                <w:rFonts w:ascii="Arial" w:cs="Arial" w:eastAsia="Arial" w:hAnsi="Arial"/>
                <w:sz w:val="20"/>
                <w:szCs w:val="20"/>
                <w:color w:val="B4B4B4"/>
                <w:w w:val="89"/>
              </w:rPr>
              <w:t>. . . . . . . . . . . . . . . . . . . . . . . . . . . . . . . . . . . . . . . . . . . . . . . . . . . . . . . .</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94"/>
        </w:trPr>
        <w:tc>
          <w:tcPr>
            <w:tcW w:w="8140" w:type="dxa"/>
            <w:vAlign w:val="bottom"/>
          </w:tcPr>
          <w:p>
            <w:pPr>
              <w:jc w:val="right"/>
              <w:ind w:right="23"/>
              <w:spacing w:after="0"/>
              <w:rPr>
                <w:sz w:val="20"/>
                <w:szCs w:val="20"/>
                <w:color w:val="auto"/>
              </w:rPr>
            </w:pPr>
            <w:r>
              <w:rPr>
                <w:rFonts w:ascii="Arial" w:cs="Arial" w:eastAsia="Arial" w:hAnsi="Arial"/>
                <w:sz w:val="20"/>
                <w:szCs w:val="20"/>
                <w:color w:val="auto"/>
                <w:w w:val="89"/>
              </w:rPr>
              <w:t xml:space="preserve">Intangible asset for power purchase agreement </w:t>
            </w:r>
            <w:r>
              <w:rPr>
                <w:rFonts w:ascii="Arial" w:cs="Arial" w:eastAsia="Arial" w:hAnsi="Arial"/>
                <w:sz w:val="20"/>
                <w:szCs w:val="20"/>
                <w:color w:val="B4B4B4"/>
                <w:w w:val="89"/>
              </w:rPr>
              <w:t>. . . . . . . . . . . . . . . . . . . . . . . . . . . . . . . . . . . . . . . . . . .</w:t>
            </w:r>
          </w:p>
        </w:tc>
        <w:tc>
          <w:tcPr>
            <w:tcW w:w="3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176</w:t>
            </w:r>
          </w:p>
        </w:tc>
      </w:tr>
      <w:tr>
        <w:trPr>
          <w:trHeight w:val="294"/>
        </w:trPr>
        <w:tc>
          <w:tcPr>
            <w:tcW w:w="8140" w:type="dxa"/>
            <w:vAlign w:val="bottom"/>
          </w:tcPr>
          <w:p>
            <w:pPr>
              <w:jc w:val="right"/>
              <w:ind w:right="43"/>
              <w:spacing w:after="0"/>
              <w:rPr>
                <w:sz w:val="20"/>
                <w:szCs w:val="20"/>
                <w:color w:val="auto"/>
              </w:rPr>
            </w:pPr>
            <w:r>
              <w:rPr>
                <w:rFonts w:ascii="Arial" w:cs="Arial" w:eastAsia="Arial" w:hAnsi="Arial"/>
                <w:sz w:val="20"/>
                <w:szCs w:val="20"/>
                <w:color w:val="auto"/>
                <w:w w:val="89"/>
              </w:rPr>
              <w:t xml:space="preserve">Right-of-use assets  </w:t>
            </w:r>
            <w:r>
              <w:rPr>
                <w:rFonts w:ascii="Arial" w:cs="Arial" w:eastAsia="Arial" w:hAnsi="Arial"/>
                <w:sz w:val="20"/>
                <w:szCs w:val="20"/>
                <w:color w:val="B4B4B4"/>
                <w:w w:val="89"/>
              </w:rPr>
              <w:t>. . . . . . . . . . . . . . . . . . . . . . . . . . . . . . . . . . . . . . . . . . . . . . . . . . . . . . . . . . . . . . . .</w:t>
            </w:r>
          </w:p>
        </w:tc>
        <w:tc>
          <w:tcPr>
            <w:tcW w:w="3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98"/>
        </w:trPr>
        <w:tc>
          <w:tcPr>
            <w:tcW w:w="8140" w:type="dxa"/>
            <w:vAlign w:val="bottom"/>
          </w:tcPr>
          <w:p>
            <w:pPr>
              <w:jc w:val="right"/>
              <w:ind w:right="23"/>
              <w:spacing w:after="0"/>
              <w:rPr>
                <w:sz w:val="20"/>
                <w:szCs w:val="20"/>
                <w:color w:val="auto"/>
              </w:rPr>
            </w:pPr>
            <w:r>
              <w:rPr>
                <w:rFonts w:ascii="Arial" w:cs="Arial" w:eastAsia="Arial" w:hAnsi="Arial"/>
                <w:sz w:val="20"/>
                <w:szCs w:val="20"/>
                <w:color w:val="auto"/>
                <w:w w:val="89"/>
              </w:rPr>
              <w:t xml:space="preserve">Other current and non-current assets </w:t>
            </w:r>
            <w:r>
              <w:rPr>
                <w:rFonts w:ascii="Arial" w:cs="Arial" w:eastAsia="Arial" w:hAnsi="Arial"/>
                <w:sz w:val="20"/>
                <w:szCs w:val="20"/>
                <w:color w:val="B4B4B4"/>
                <w:w w:val="89"/>
              </w:rPr>
              <w:t>. . . . . . . . . . . . . . . . . . . . . . . . . . . . . . . . . . . . . . . . . . . . . . . . . . .</w:t>
            </w: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70"/>
        </w:trPr>
        <w:tc>
          <w:tcPr>
            <w:tcW w:w="8140" w:type="dxa"/>
            <w:vAlign w:val="bottom"/>
          </w:tcPr>
          <w:p>
            <w:pPr>
              <w:jc w:val="right"/>
              <w:ind w:right="23"/>
              <w:spacing w:after="0"/>
              <w:rPr>
                <w:sz w:val="20"/>
                <w:szCs w:val="20"/>
                <w:color w:val="auto"/>
              </w:rPr>
            </w:pPr>
            <w:r>
              <w:rPr>
                <w:rFonts w:ascii="Arial" w:cs="Arial" w:eastAsia="Arial" w:hAnsi="Arial"/>
                <w:sz w:val="20"/>
                <w:szCs w:val="20"/>
                <w:color w:val="auto"/>
                <w:w w:val="90"/>
              </w:rPr>
              <w:t xml:space="preserve">Total assets acquired </w:t>
            </w:r>
            <w:r>
              <w:rPr>
                <w:rFonts w:ascii="Arial" w:cs="Arial" w:eastAsia="Arial" w:hAnsi="Arial"/>
                <w:sz w:val="20"/>
                <w:szCs w:val="20"/>
                <w:color w:val="B4B4B4"/>
                <w:w w:val="90"/>
              </w:rPr>
              <w:t>. . . . . . . . . . . . . . . . . . . . . . . . . . . . . . . . . . . . . . . . . . . . . . . . . . . . . . . . . . . . . .</w:t>
            </w:r>
          </w:p>
        </w:tc>
        <w:tc>
          <w:tcPr>
            <w:tcW w:w="3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219</w:t>
            </w:r>
          </w:p>
        </w:tc>
      </w:tr>
      <w:tr>
        <w:trPr>
          <w:trHeight w:val="603"/>
        </w:trPr>
        <w:tc>
          <w:tcPr>
            <w:tcW w:w="8140" w:type="dxa"/>
            <w:vAlign w:val="bottom"/>
          </w:tcPr>
          <w:p>
            <w:pPr>
              <w:jc w:val="right"/>
              <w:ind w:right="43"/>
              <w:spacing w:after="0"/>
              <w:rPr>
                <w:sz w:val="20"/>
                <w:szCs w:val="20"/>
                <w:color w:val="auto"/>
              </w:rPr>
            </w:pPr>
            <w:r>
              <w:rPr>
                <w:rFonts w:ascii="Arial" w:cs="Arial" w:eastAsia="Arial" w:hAnsi="Arial"/>
                <w:sz w:val="20"/>
                <w:szCs w:val="20"/>
                <w:color w:val="auto"/>
                <w:w w:val="91"/>
              </w:rPr>
              <w:t xml:space="preserve">Long-term lease liabilities  </w:t>
            </w:r>
            <w:r>
              <w:rPr>
                <w:rFonts w:ascii="Arial" w:cs="Arial" w:eastAsia="Arial" w:hAnsi="Arial"/>
                <w:sz w:val="20"/>
                <w:szCs w:val="20"/>
                <w:color w:val="B4B4B4"/>
                <w:w w:val="91"/>
              </w:rPr>
              <w:t>. . . . . . . . . . . . . . . . . . . . . . . . . . . . . . . . . . . . . . . . . . . . . . . . . . . . . . . . . .</w:t>
            </w:r>
          </w:p>
        </w:tc>
        <w:tc>
          <w:tcPr>
            <w:tcW w:w="3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8"/>
        </w:trPr>
        <w:tc>
          <w:tcPr>
            <w:tcW w:w="8140" w:type="dxa"/>
            <w:vAlign w:val="bottom"/>
          </w:tcPr>
          <w:p>
            <w:pPr>
              <w:jc w:val="right"/>
              <w:ind w:right="23"/>
              <w:spacing w:after="0"/>
              <w:rPr>
                <w:sz w:val="20"/>
                <w:szCs w:val="20"/>
                <w:color w:val="auto"/>
              </w:rPr>
            </w:pPr>
            <w:r>
              <w:rPr>
                <w:rFonts w:ascii="Arial" w:cs="Arial" w:eastAsia="Arial" w:hAnsi="Arial"/>
                <w:sz w:val="20"/>
                <w:szCs w:val="20"/>
                <w:color w:val="auto"/>
                <w:w w:val="90"/>
              </w:rPr>
              <w:t xml:space="preserve">Other current and non-current liabilities </w:t>
            </w:r>
            <w:r>
              <w:rPr>
                <w:rFonts w:ascii="Arial" w:cs="Arial" w:eastAsia="Arial" w:hAnsi="Arial"/>
                <w:sz w:val="20"/>
                <w:szCs w:val="20"/>
                <w:color w:val="B4B4B4"/>
                <w:w w:val="90"/>
              </w:rPr>
              <w:t>. . . . . . . . . . . . . . . . . . . . . . . . . . . . . . . . . . . . . . . . . . . . . . . .</w:t>
            </w: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r>
      <w:tr>
        <w:trPr>
          <w:trHeight w:val="274"/>
        </w:trPr>
        <w:tc>
          <w:tcPr>
            <w:tcW w:w="8140" w:type="dxa"/>
            <w:vAlign w:val="bottom"/>
          </w:tcPr>
          <w:p>
            <w:pPr>
              <w:jc w:val="right"/>
              <w:ind w:right="43"/>
              <w:spacing w:after="0"/>
              <w:rPr>
                <w:sz w:val="20"/>
                <w:szCs w:val="20"/>
                <w:color w:val="auto"/>
              </w:rPr>
            </w:pPr>
            <w:r>
              <w:rPr>
                <w:rFonts w:ascii="Arial" w:cs="Arial" w:eastAsia="Arial" w:hAnsi="Arial"/>
                <w:sz w:val="20"/>
                <w:szCs w:val="20"/>
                <w:color w:val="auto"/>
                <w:w w:val="91"/>
              </w:rPr>
              <w:t xml:space="preserve">Total liabilities assumed </w:t>
            </w:r>
            <w:r>
              <w:rPr>
                <w:rFonts w:ascii="Arial" w:cs="Arial" w:eastAsia="Arial" w:hAnsi="Arial"/>
                <w:sz w:val="20"/>
                <w:szCs w:val="20"/>
                <w:color w:val="B4B4B4"/>
                <w:w w:val="91"/>
              </w:rPr>
              <w:t>. . . . . . . . . . . . . . . . . . . . . . . . . . . . . . . . . . . . . . . . . . . . . . . . . . . . . . . . . . .</w:t>
            </w:r>
          </w:p>
        </w:tc>
        <w:tc>
          <w:tcPr>
            <w:tcW w:w="3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r>
      <w:tr>
        <w:trPr>
          <w:trHeight w:val="254"/>
        </w:trPr>
        <w:tc>
          <w:tcPr>
            <w:tcW w:w="8140" w:type="dxa"/>
            <w:vAlign w:val="bottom"/>
          </w:tcPr>
          <w:p>
            <w:pPr>
              <w:jc w:val="right"/>
              <w:ind w:right="43"/>
              <w:spacing w:after="0"/>
              <w:rPr>
                <w:sz w:val="20"/>
                <w:szCs w:val="20"/>
                <w:color w:val="auto"/>
              </w:rPr>
            </w:pPr>
            <w:r>
              <w:rPr>
                <w:rFonts w:ascii="Arial" w:cs="Arial" w:eastAsia="Arial" w:hAnsi="Arial"/>
                <w:sz w:val="20"/>
                <w:szCs w:val="20"/>
                <w:color w:val="auto"/>
                <w:w w:val="90"/>
              </w:rPr>
              <w:t xml:space="preserve">Net assets acquired </w:t>
            </w:r>
            <w:r>
              <w:rPr>
                <w:rFonts w:ascii="Arial" w:cs="Arial" w:eastAsia="Arial" w:hAnsi="Arial"/>
                <w:sz w:val="20"/>
                <w:szCs w:val="20"/>
                <w:color w:val="B4B4B4"/>
                <w:w w:val="90"/>
              </w:rPr>
              <w:t>. . . . . . . . . . . . . . . . . . . . . . . . . . . . . . . . . . . . . . . . . . . . . . . . . . . . . . . . . . . . . . .</w:t>
            </w: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211</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-1906905</wp:posOffset>
            </wp:positionV>
            <wp:extent cx="6410325" cy="1913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2">
                      <a:extLst>
                        <a:ext uri="{28A0092B-C50C-407E-A947-70E740481C1C}"/>
                      </a:extLst>
                    </a:blip>
                    <a:srcRect/>
                    <a:stretch>
                      <a:fillRect/>
                    </a:stretch>
                  </pic:blipFill>
                  <pic:spPr bwMode="auto">
                    <a:xfrm>
                      <a:off x="0" y="0"/>
                      <a:ext cx="6410325" cy="1913890"/>
                    </a:xfrm>
                    <a:prstGeom prst="rect">
                      <a:avLst/>
                    </a:prstGeom>
                    <a:noFill/>
                  </pic:spPr>
                </pic:pic>
              </a:graphicData>
            </a:graphic>
          </wp:anchor>
        </w:drawing>
      </w:r>
    </w:p>
    <w:p>
      <w:pPr>
        <w:sectPr>
          <w:pgSz w:w="11880" w:h="15480" w:orient="portrait"/>
          <w:cols w:equalWidth="0" w:num="1">
            <w:col w:w="10040"/>
          </w:cols>
          <w:pgMar w:left="920" w:top="584"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10040"/>
          </w:cols>
          <w:pgMar w:left="920" w:top="584" w:right="920" w:bottom="0" w:gutter="0" w:footer="0" w:header="0"/>
          <w:type w:val="continuous"/>
        </w:sectPr>
      </w:pPr>
    </w:p>
    <w:bookmarkStart w:id="105" w:name="page106"/>
    <w:bookmarkEnd w:id="105"/>
    <w:p>
      <w:pPr>
        <w:jc w:val="both"/>
        <w:ind w:firstLine="441"/>
        <w:spacing w:after="0" w:line="292" w:lineRule="auto"/>
        <w:rPr>
          <w:sz w:val="20"/>
          <w:szCs w:val="20"/>
          <w:color w:val="auto"/>
        </w:rPr>
      </w:pPr>
      <w:r>
        <w:rPr>
          <w:rFonts w:ascii="Arial" w:cs="Arial" w:eastAsia="Arial" w:hAnsi="Arial"/>
          <w:sz w:val="17"/>
          <w:szCs w:val="17"/>
          <w:b w:val="1"/>
          <w:bCs w:val="1"/>
          <w:i w:val="1"/>
          <w:iCs w:val="1"/>
          <w:color w:val="auto"/>
        </w:rPr>
        <w:t xml:space="preserve">Rosamond Central BESS Drop Down </w:t>
      </w:r>
      <w:r>
        <w:rPr>
          <w:rFonts w:ascii="Arial" w:cs="Arial" w:eastAsia="Arial" w:hAnsi="Arial"/>
          <w:sz w:val="17"/>
          <w:szCs w:val="17"/>
          <w:color w:val="auto"/>
        </w:rPr>
        <w:t>— On December 1, 2023, the Rosamond Central solar facility acquired a 147 MW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co-located BESS facility from Clearway Renew for initial cash consideration of $70 million, $16 million of which was funded by the Company, with the remaining $54 million funded through contributions from the third-party cash equity investor in Rosie TargetCo LLC and the tax equity investor in Rosie TE HoldCo LLC. On June 13, 2024, when the Rosamond Central BESS facility reached substantial completion, the Company paid $279 million to Clearway Renew as additional purchase price to complete its acquisition of the facility. The additional purchase price consisted of $64 million funded by the Company and $215 million funded through contributions from the third-party cash equity and tax equity investors. In order to facilitate and fund the construction of the BESS facility, Rosie Class B LLC, the indirect owner of the Rosamond Central solar facility, utilizing the proceeds from borrowings received under the refinanced debt facility, issued a loan to Clearway Renew, as further described in Note 10, </w:t>
      </w:r>
      <w:r>
        <w:rPr>
          <w:rFonts w:ascii="Arial" w:cs="Arial" w:eastAsia="Arial" w:hAnsi="Arial"/>
          <w:sz w:val="17"/>
          <w:szCs w:val="17"/>
          <w:b w:val="1"/>
          <w:bCs w:val="1"/>
          <w:i w:val="1"/>
          <w:iCs w:val="1"/>
          <w:color w:val="auto"/>
        </w:rPr>
        <w:t>Long-term Debt</w:t>
      </w:r>
      <w:r>
        <w:rPr>
          <w:rFonts w:ascii="Arial" w:cs="Arial" w:eastAsia="Arial" w:hAnsi="Arial"/>
          <w:sz w:val="17"/>
          <w:szCs w:val="17"/>
          <w:color w:val="auto"/>
        </w:rPr>
        <w:t xml:space="preserve">, and also made equity contributions to Rosie BESS Devco LLC, or Rosie Central BESS, which were accounted for as investments under the equity method of accounting, as further described in Note 5, </w:t>
      </w:r>
      <w:r>
        <w:rPr>
          <w:rFonts w:ascii="Arial" w:cs="Arial" w:eastAsia="Arial" w:hAnsi="Arial"/>
          <w:sz w:val="17"/>
          <w:szCs w:val="17"/>
          <w:b w:val="1"/>
          <w:bCs w:val="1"/>
          <w:i w:val="1"/>
          <w:iCs w:val="1"/>
          <w:color w:val="auto"/>
        </w:rPr>
        <w:t>Investments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Accounted for by the Equity Method and Variable Interest Entities</w:t>
      </w:r>
      <w:r>
        <w:rPr>
          <w:rFonts w:ascii="Arial" w:cs="Arial" w:eastAsia="Arial" w:hAnsi="Arial"/>
          <w:sz w:val="17"/>
          <w:szCs w:val="17"/>
          <w:color w:val="auto"/>
        </w:rPr>
        <w:t>. The BESS facility has a 15-year PPA for capacity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investment-grade utility that commenced in July 2024. The Rosamond Central BESS operations are reflected in the Company’s Renewables &amp; Storage segment and the Company’s portion of the purchase price was funded with existing sources of liquidity. The acquisition was determined to be an asset acquisition and the Company consolidates the Rosamond Central BESS net assets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7"/>
          <w:szCs w:val="17"/>
          <w:b w:val="1"/>
          <w:bCs w:val="1"/>
          <w:i w:val="1"/>
          <w:iCs w:val="1"/>
          <w:color w:val="auto"/>
        </w:rPr>
        <w:t>Business Combinations - Related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Issues</w:t>
      </w:r>
      <w:r>
        <w:rPr>
          <w:rFonts w:ascii="Arial" w:cs="Arial" w:eastAsia="Arial" w:hAnsi="Arial"/>
          <w:sz w:val="17"/>
          <w:szCs w:val="17"/>
          <w:color w:val="auto"/>
        </w:rPr>
        <w:t>. The difference between the historical cost of the Company’s net assets acquired of $266 million and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initial cash consideration of $70 million was recorded as an adjustment to CEG’s noncontrolling interest balance. The $279 million additional purchase price was also recorded as an adjustment to CEG’s noncontrolling interest balance.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assets and liabilities transferred in connection with the acquisition as of December 1,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00" w:type="dxa"/>
            <w:vAlign w:val="bottom"/>
            <w:gridSpan w:val="2"/>
          </w:tcPr>
          <w:p>
            <w:pPr>
              <w:jc w:val="right"/>
              <w:ind w:right="7020"/>
              <w:spacing w:after="0"/>
              <w:rPr>
                <w:sz w:val="20"/>
                <w:szCs w:val="20"/>
                <w:color w:val="auto"/>
              </w:rPr>
            </w:pPr>
            <w:r>
              <w:rPr>
                <w:rFonts w:ascii="Arial" w:cs="Arial" w:eastAsia="Arial" w:hAnsi="Arial"/>
                <w:sz w:val="18"/>
                <w:szCs w:val="18"/>
                <w:b w:val="1"/>
                <w:bCs w:val="1"/>
                <w:color w:val="auto"/>
                <w:w w:val="94"/>
              </w:rPr>
              <w:t>(In millions)</w:t>
            </w: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Rosamond Central BESS</w:t>
            </w:r>
          </w:p>
        </w:tc>
      </w:tr>
      <w:tr>
        <w:trPr>
          <w:trHeight w:val="274"/>
        </w:trPr>
        <w:tc>
          <w:tcPr>
            <w:tcW w:w="8000" w:type="dxa"/>
            <w:vAlign w:val="bottom"/>
            <w:gridSpan w:val="2"/>
          </w:tcPr>
          <w:p>
            <w:pPr>
              <w:jc w:val="right"/>
              <w:ind w:right="120"/>
              <w:spacing w:after="0" w:line="274" w:lineRule="exact"/>
              <w:rPr>
                <w:sz w:val="20"/>
                <w:szCs w:val="20"/>
                <w:color w:val="auto"/>
              </w:rPr>
            </w:pPr>
            <w:r>
              <w:rPr>
                <w:rFonts w:ascii="Arial" w:cs="Arial" w:eastAsia="Arial" w:hAnsi="Arial"/>
                <w:sz w:val="20"/>
                <w:szCs w:val="20"/>
                <w:color w:val="auto"/>
                <w:w w:val="89"/>
              </w:rPr>
              <w:t xml:space="preserve">Property, plant and equipment </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 . . . . . . . . .</w:t>
            </w:r>
          </w:p>
        </w:tc>
        <w:tc>
          <w:tcPr>
            <w:tcW w:w="920" w:type="dxa"/>
            <w:vAlign w:val="bottom"/>
            <w:tcBorders>
              <w:bottom w:val="single" w:sz="8" w:color="auto"/>
            </w:tcBorders>
          </w:tcPr>
          <w:p>
            <w:pPr>
              <w:jc w:val="right"/>
              <w:ind w:right="665"/>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w:t>
            </w:r>
          </w:p>
        </w:tc>
      </w:tr>
      <w:tr>
        <w:trPr>
          <w:trHeight w:val="270"/>
        </w:trPr>
        <w:tc>
          <w:tcPr>
            <w:tcW w:w="800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Total assets acquired </w:t>
            </w:r>
            <w:r>
              <w:rPr>
                <w:rFonts w:ascii="Arial" w:cs="Arial" w:eastAsia="Arial" w:hAnsi="Arial"/>
                <w:sz w:val="20"/>
                <w:szCs w:val="20"/>
                <w:color w:val="B4B4B4"/>
                <w:w w:val="91"/>
              </w:rPr>
              <w:t>. . . . . . . . . . . . . . . . . . . . . . . . . . . . . . . . . . . . . . . . . . . . . . . . . . . . . . . . . . . .</w:t>
            </w:r>
          </w:p>
        </w:tc>
        <w:tc>
          <w:tcPr>
            <w:tcW w:w="9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275</w:t>
            </w:r>
          </w:p>
        </w:tc>
      </w:tr>
      <w:tr>
        <w:trPr>
          <w:trHeight w:val="606"/>
        </w:trPr>
        <w:tc>
          <w:tcPr>
            <w:tcW w:w="800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Other current and non-current liabilities  </w:t>
            </w:r>
            <w:r>
              <w:rPr>
                <w:rFonts w:ascii="Arial" w:cs="Arial" w:eastAsia="Arial" w:hAnsi="Arial"/>
                <w:sz w:val="20"/>
                <w:szCs w:val="20"/>
                <w:color w:val="B4B4B4"/>
                <w:w w:val="91"/>
              </w:rPr>
              <w:t>. . . . . . . . . . . . . . . . . . . . . . . . . . . . . . . . . . . . . . . . . . . . . .</w:t>
            </w: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r>
      <w:tr>
        <w:trPr>
          <w:trHeight w:val="274"/>
        </w:trPr>
        <w:tc>
          <w:tcPr>
            <w:tcW w:w="8000" w:type="dxa"/>
            <w:vAlign w:val="bottom"/>
            <w:gridSpan w:val="2"/>
          </w:tcPr>
          <w:p>
            <w:pPr>
              <w:jc w:val="right"/>
              <w:ind w:right="100"/>
              <w:spacing w:after="0"/>
              <w:rPr>
                <w:sz w:val="20"/>
                <w:szCs w:val="20"/>
                <w:color w:val="auto"/>
              </w:rPr>
            </w:pPr>
            <w:r>
              <w:rPr>
                <w:rFonts w:ascii="Arial" w:cs="Arial" w:eastAsia="Arial" w:hAnsi="Arial"/>
                <w:sz w:val="20"/>
                <w:szCs w:val="20"/>
                <w:color w:val="auto"/>
                <w:w w:val="91"/>
              </w:rPr>
              <w:t xml:space="preserve">Total liabilities assumed </w:t>
            </w:r>
            <w:r>
              <w:rPr>
                <w:rFonts w:ascii="Arial" w:cs="Arial" w:eastAsia="Arial" w:hAnsi="Arial"/>
                <w:sz w:val="20"/>
                <w:szCs w:val="20"/>
                <w:color w:val="B4B4B4"/>
                <w:w w:val="91"/>
              </w:rPr>
              <w:t>. . . . . . . . . . . . . . . . . . . . . . . . . . . . . . . . . . . . . . . . . . . . . . . . . . . . . . . . . .</w:t>
            </w:r>
          </w:p>
        </w:tc>
        <w:tc>
          <w:tcPr>
            <w:tcW w:w="9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r>
      <w:tr>
        <w:trPr>
          <w:trHeight w:val="254"/>
        </w:trPr>
        <w:tc>
          <w:tcPr>
            <w:tcW w:w="8000" w:type="dxa"/>
            <w:vAlign w:val="bottom"/>
            <w:gridSpan w:val="2"/>
          </w:tcPr>
          <w:p>
            <w:pPr>
              <w:jc w:val="right"/>
              <w:ind w:right="100"/>
              <w:spacing w:after="0"/>
              <w:rPr>
                <w:sz w:val="20"/>
                <w:szCs w:val="20"/>
                <w:color w:val="auto"/>
              </w:rPr>
            </w:pPr>
            <w:r>
              <w:rPr>
                <w:rFonts w:ascii="Arial" w:cs="Arial" w:eastAsia="Arial" w:hAnsi="Arial"/>
                <w:sz w:val="20"/>
                <w:szCs w:val="20"/>
                <w:color w:val="auto"/>
                <w:w w:val="90"/>
              </w:rPr>
              <w:t xml:space="preserve">Net assets acquired </w:t>
            </w:r>
            <w:r>
              <w:rPr>
                <w:rFonts w:ascii="Arial" w:cs="Arial" w:eastAsia="Arial" w:hAnsi="Arial"/>
                <w:sz w:val="20"/>
                <w:szCs w:val="20"/>
                <w:color w:val="B4B4B4"/>
                <w:w w:val="90"/>
              </w:rPr>
              <w:t>. . . . . . . . . . . . . . . . . . . . . . . . . . . . . . . . . . . . . . . . . . . . . . . . . . . . . . . . . . . . . .</w:t>
            </w:r>
          </w:p>
        </w:tc>
        <w:tc>
          <w:tcPr>
            <w:tcW w:w="920" w:type="dxa"/>
            <w:vAlign w:val="bottom"/>
            <w:tcBorders>
              <w:bottom w:val="single" w:sz="8" w:color="auto"/>
            </w:tcBorders>
          </w:tcPr>
          <w:p>
            <w:pPr>
              <w:jc w:val="right"/>
              <w:ind w:right="665"/>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w:t>
            </w:r>
          </w:p>
        </w:tc>
      </w:tr>
      <w:tr>
        <w:trPr>
          <w:trHeight w:val="20"/>
        </w:trPr>
        <w:tc>
          <w:tcPr>
            <w:tcW w:w="19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6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-1256665</wp:posOffset>
            </wp:positionV>
            <wp:extent cx="6410325" cy="1167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3">
                      <a:extLst>
                        <a:ext uri="{28A0092B-C50C-407E-A947-70E740481C1C}"/>
                      </a:extLst>
                    </a:blip>
                    <a:srcRect/>
                    <a:stretch>
                      <a:fillRect/>
                    </a:stretch>
                  </pic:blipFill>
                  <pic:spPr bwMode="auto">
                    <a:xfrm>
                      <a:off x="0" y="0"/>
                      <a:ext cx="6410325" cy="1167130"/>
                    </a:xfrm>
                    <a:prstGeom prst="rect">
                      <a:avLst/>
                    </a:prstGeom>
                    <a:noFill/>
                  </pic:spPr>
                </pic:pic>
              </a:graphicData>
            </a:graphic>
          </wp:anchor>
        </w:drawing>
      </w:r>
    </w:p>
    <w:p>
      <w:pPr>
        <w:ind w:left="280" w:hanging="199"/>
        <w:spacing w:after="0" w:line="234" w:lineRule="auto"/>
        <w:tabs>
          <w:tab w:leader="none" w:pos="280" w:val="left"/>
        </w:tabs>
        <w:numPr>
          <w:ilvl w:val="0"/>
          <w:numId w:val="55"/>
        </w:numPr>
        <w:rPr>
          <w:rFonts w:ascii="Arial" w:cs="Arial" w:eastAsia="Arial" w:hAnsi="Arial"/>
          <w:sz w:val="24"/>
          <w:szCs w:val="24"/>
          <w:color w:val="auto"/>
          <w:vertAlign w:val="superscript"/>
        </w:rPr>
      </w:pPr>
      <w:r>
        <w:rPr>
          <w:rFonts w:ascii="Arial" w:cs="Arial" w:eastAsia="Arial" w:hAnsi="Arial"/>
          <w:sz w:val="15"/>
          <w:szCs w:val="15"/>
          <w:color w:val="auto"/>
        </w:rPr>
        <w:t>Includes Construction in progress of $272 million.</w:t>
      </w:r>
    </w:p>
    <w:p>
      <w:pPr>
        <w:spacing w:after="0" w:line="166" w:lineRule="exact"/>
        <w:rPr>
          <w:sz w:val="20"/>
          <w:szCs w:val="20"/>
          <w:color w:val="auto"/>
        </w:rPr>
      </w:pPr>
    </w:p>
    <w:p>
      <w:pPr>
        <w:jc w:val="both"/>
        <w:ind w:firstLine="441"/>
        <w:spacing w:after="0" w:line="292" w:lineRule="auto"/>
        <w:rPr>
          <w:sz w:val="20"/>
          <w:szCs w:val="20"/>
          <w:color w:val="auto"/>
        </w:rPr>
      </w:pPr>
      <w:r>
        <w:rPr>
          <w:rFonts w:ascii="Arial" w:cs="Arial" w:eastAsia="Arial" w:hAnsi="Arial"/>
          <w:sz w:val="17"/>
          <w:szCs w:val="17"/>
          <w:b w:val="1"/>
          <w:bCs w:val="1"/>
          <w:i w:val="1"/>
          <w:iCs w:val="1"/>
          <w:color w:val="auto"/>
        </w:rPr>
        <w:t xml:space="preserve">Victory Pass and Arica Drop Down </w:t>
      </w:r>
      <w:r>
        <w:rPr>
          <w:rFonts w:ascii="Arial" w:cs="Arial" w:eastAsia="Arial" w:hAnsi="Arial"/>
          <w:sz w:val="17"/>
          <w:szCs w:val="17"/>
          <w:color w:val="auto"/>
        </w:rPr>
        <w:t>— On October 31, 2023, the Company, through its indirect subsidiary, VP-Arica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Parent Holdco LLC, acquired the Class A membership interests in VP-Arica TargetCo LLC, a partnership and the indirect owner of Victory Pass, a 200 MW solar facility that is paired with a 50 MW BESS facility, and Arica, a 263 MW solar facility that is paired with a 136 MW BESS facility, both located in Riverside, California, from Clearway Renew for initial cash consideration of $46 million. Simultaneously, a third-party cash equity investor acquired the Class B membership interests in VP-Arica TargetCo LLC from Clearway Renew for initial cash consideration of $87 million. On May 1, 2024, when the facilities reached substantial completion, the Company paid $165 million to Clearway Renew as additional purchase price and the third-party cash equity investor contributed an additional $347 million. VP-Arica TargetCo LLC consolidates as primary beneficiary, VP-Arica TE Holdco LLC, a tax equity fund that owns the Victory Pass and Arica solar and BESS facilities. Victory Pass and Arica each have PPAs with investment-grade counterparties that have a 15-year and 14-year weighted average contract duration, respectively, that commenced between March 2024 and April 2024. The Victory Pass and Arica operations are reflected in the Company’s Renewables &amp; Storage segment and the acquisition was funded with existing sources of liquidity. The acquisition was determined to be an asset acquisition and the Company consolidates Victory Pass and Arica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7"/>
          <w:szCs w:val="17"/>
          <w:b w:val="1"/>
          <w:bCs w:val="1"/>
          <w:i w:val="1"/>
          <w:iCs w:val="1"/>
          <w:color w:val="auto"/>
        </w:rPr>
        <w:t>Business Combinations - Related Issues</w:t>
      </w:r>
      <w:r>
        <w:rPr>
          <w:rFonts w:ascii="Arial" w:cs="Arial" w:eastAsia="Arial" w:hAnsi="Arial"/>
          <w:sz w:val="17"/>
          <w:szCs w:val="17"/>
          <w:color w:val="auto"/>
        </w:rPr>
        <w:t>. The sum of the Company’s initial cash consideration of $46 million and the historical cost of the Company’s net liabilities assumed of $1 million was recorded as an adjustment to CEG’s noncontrolling interest balance. The $165 million additional purchase price was also recorded as an adjustment to CEG’s noncontrolling interest balance. In addition, the Company reflected the entire $46 million of the Company’s initial purchase price, which was contributed back to the Company by CEG to pay down the acquired long-term debt, in the line item distributions to CEG, net of contributions, in the consolidated statements of stockholders’ equity. The Company also reflected the entire $165 million of the Company’s additional purchase price, which was contributed back to the Company by CEG to pay down long-term debt, in the line item contributions to CEG, net of distributions, in the consolidated statements of stockholders’ equity.</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10040"/>
          </w:cols>
          <w:pgMar w:left="920" w:top="580" w:right="920" w:bottom="0" w:gutter="0" w:footer="0" w:header="0"/>
          <w:type w:val="continuous"/>
        </w:sectPr>
      </w:pPr>
    </w:p>
    <w:bookmarkStart w:id="106" w:name="page107"/>
    <w:bookmarkEnd w:id="106"/>
    <w:p>
      <w:pPr>
        <w:ind w:left="440"/>
        <w:spacing w:after="0"/>
        <w:rPr>
          <w:sz w:val="20"/>
          <w:szCs w:val="20"/>
          <w:color w:val="auto"/>
        </w:rPr>
      </w:pPr>
      <w:r>
        <w:rPr>
          <w:rFonts w:ascii="Arial" w:cs="Arial" w:eastAsia="Arial" w:hAnsi="Arial"/>
          <w:sz w:val="17"/>
          <w:szCs w:val="17"/>
          <w:color w:val="auto"/>
        </w:rPr>
        <w:t>The following is a summary of assets and liabilities transferred in connection with the acquisition as of October 31, 2023:</w:t>
      </w:r>
    </w:p>
    <w:p>
      <w:pPr>
        <w:sectPr>
          <w:pgSz w:w="11880" w:h="15480" w:orient="portrait"/>
          <w:cols w:equalWidth="0" w:num="1">
            <w:col w:w="10040"/>
          </w:cols>
          <w:pgMar w:left="920" w:top="584" w:right="920" w:bottom="0" w:gutter="0" w:footer="0" w:header="0"/>
        </w:sectPr>
      </w:pP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12700</wp:posOffset>
            </wp:positionV>
            <wp:extent cx="6410325" cy="2287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4">
                      <a:extLst>
                        <a:ext uri="{28A0092B-C50C-407E-A947-70E740481C1C}"/>
                      </a:extLst>
                    </a:blip>
                    <a:srcRect/>
                    <a:stretch>
                      <a:fillRect/>
                    </a:stretch>
                  </pic:blipFill>
                  <pic:spPr bwMode="auto">
                    <a:xfrm>
                      <a:off x="0" y="0"/>
                      <a:ext cx="6410325" cy="228727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Cash </w:t>
      </w:r>
      <w:r>
        <w:rPr>
          <w:rFonts w:ascii="Arial" w:cs="Arial" w:eastAsia="Arial" w:hAnsi="Arial"/>
          <w:sz w:val="17"/>
          <w:szCs w:val="17"/>
          <w:color w:val="B4B4B4"/>
        </w:rPr>
        <w:t>. . . . . . . . . . . . . . . . . . . . . . . . . . . . . . . . . . . . . . . . . . . . . .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Property, plant and equipment </w:t>
      </w:r>
      <w:r>
        <w:rPr>
          <w:rFonts w:ascii="Arial" w:cs="Arial" w:eastAsia="Arial" w:hAnsi="Arial"/>
          <w:sz w:val="22"/>
          <w:szCs w:val="22"/>
          <w:color w:val="auto"/>
          <w:vertAlign w:val="superscript"/>
        </w:rPr>
        <w:t>(a)</w:t>
      </w:r>
      <w:r>
        <w:rPr>
          <w:rFonts w:ascii="Arial" w:cs="Arial" w:eastAsia="Arial" w:hAnsi="Arial"/>
          <w:sz w:val="17"/>
          <w:szCs w:val="17"/>
          <w:color w:val="auto"/>
        </w:rPr>
        <w:t xml:space="preserve"> </w:t>
      </w:r>
      <w:r>
        <w:rPr>
          <w:rFonts w:ascii="Arial" w:cs="Arial" w:eastAsia="Arial" w:hAnsi="Arial"/>
          <w:sz w:val="17"/>
          <w:szCs w:val="17"/>
          <w:color w:val="B4B4B4"/>
        </w:rPr>
        <w:t>. . . . . . . . . . . . . . . . . . . . . . . . . . . . . . . . . . . . . . . . . . . . . . . . . . . . . .</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Right-of-use assets, net </w:t>
      </w:r>
      <w:r>
        <w:rPr>
          <w:rFonts w:ascii="Arial" w:cs="Arial" w:eastAsia="Arial" w:hAnsi="Arial"/>
          <w:sz w:val="17"/>
          <w:szCs w:val="17"/>
          <w:color w:val="B4B4B4"/>
        </w:rPr>
        <w:t>. . . . . . . . . . . . . . . . . . . . . . . . . . . . . . . . . . . . . . . . . . . . . . . . . . . . . . . . . . . . .</w:t>
      </w:r>
    </w:p>
    <w:p>
      <w:pPr>
        <w:spacing w:after="0" w:line="77"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Derivative assets </w:t>
      </w:r>
      <w:r>
        <w:rPr>
          <w:rFonts w:ascii="Arial" w:cs="Arial" w:eastAsia="Arial" w:hAnsi="Arial"/>
          <w:sz w:val="17"/>
          <w:szCs w:val="17"/>
          <w:color w:val="B4B4B4"/>
        </w:rPr>
        <w:t>. . . . . . . . . . . . . . . . . . . . . . . . . . . . . . . . . . . . . . . . . . . . . . . . . . . . . . . . . . . . . . . . . .</w:t>
      </w:r>
    </w:p>
    <w:p>
      <w:pPr>
        <w:spacing w:after="0" w:line="99"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Other non-current assets </w:t>
      </w:r>
      <w:r>
        <w:rPr>
          <w:rFonts w:ascii="Arial" w:cs="Arial" w:eastAsia="Arial" w:hAnsi="Arial"/>
          <w:sz w:val="17"/>
          <w:szCs w:val="17"/>
          <w:color w:val="B4B4B4"/>
        </w:rPr>
        <w:t>. . . . . . . . . . . . . . . . . . . . . . . . . . . . . .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Total assets acquired </w:t>
      </w:r>
      <w:r>
        <w:rPr>
          <w:rFonts w:ascii="Arial" w:cs="Arial" w:eastAsia="Arial" w:hAnsi="Arial"/>
          <w:sz w:val="17"/>
          <w:szCs w:val="17"/>
          <w:color w:val="B4B4B4"/>
        </w:rPr>
        <w:t>. . . . . . . . . . . . . . . . . . . . . . . . . . . . . . . . . . . . . . . . . . . . . . . . . . . . . . . . . . . . . .</w:t>
      </w:r>
    </w:p>
    <w:p>
      <w:pPr>
        <w:spacing w:after="0" w:line="393"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Long-term debt </w:t>
      </w:r>
      <w:r>
        <w:rPr>
          <w:rFonts w:ascii="Arial" w:cs="Arial" w:eastAsia="Arial" w:hAnsi="Arial"/>
          <w:sz w:val="22"/>
          <w:szCs w:val="22"/>
          <w:color w:val="auto"/>
          <w:vertAlign w:val="superscript"/>
        </w:rPr>
        <w:t>(b)</w:t>
      </w:r>
      <w:r>
        <w:rPr>
          <w:rFonts w:ascii="Arial" w:cs="Arial" w:eastAsia="Arial" w:hAnsi="Arial"/>
          <w:sz w:val="17"/>
          <w:szCs w:val="17"/>
          <w:color w:val="auto"/>
        </w:rPr>
        <w:t xml:space="preserve">  </w:t>
      </w:r>
      <w:r>
        <w:rPr>
          <w:rFonts w:ascii="Arial" w:cs="Arial" w:eastAsia="Arial" w:hAnsi="Arial"/>
          <w:sz w:val="17"/>
          <w:szCs w:val="17"/>
          <w:color w:val="B4B4B4"/>
        </w:rPr>
        <w:t>. . . . . . . . . . . . . . . . . . . . . . . . . . . . . . . . . . . . . . . . . . . . . . . . . . . . . . . . . . . . . . . .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Long-term lease liabilities </w:t>
      </w:r>
      <w:r>
        <w:rPr>
          <w:rFonts w:ascii="Arial" w:cs="Arial" w:eastAsia="Arial" w:hAnsi="Arial"/>
          <w:sz w:val="17"/>
          <w:szCs w:val="17"/>
          <w:color w:val="B4B4B4"/>
        </w:rPr>
        <w:t>. . . . . . . . . . . . . . . . . . . . . . . . . . . . . . . . . . . . . . . . . . . . . . . . . . . . . . . . . . .</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Other current and non-current liabilities </w:t>
      </w:r>
      <w:r>
        <w:rPr>
          <w:rFonts w:ascii="Arial" w:cs="Arial" w:eastAsia="Arial" w:hAnsi="Arial"/>
          <w:sz w:val="17"/>
          <w:szCs w:val="17"/>
          <w:color w:val="B4B4B4"/>
        </w:rPr>
        <w:t>. . . . . . . . . . . . . . . . . . . . . . . . . . . . . . . . . . . . . . . . . . . . . . . .</w:t>
      </w:r>
    </w:p>
    <w:p>
      <w:pPr>
        <w:spacing w:after="0" w:line="99"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Total liabilities assumed </w:t>
      </w:r>
      <w:r>
        <w:rPr>
          <w:rFonts w:ascii="Arial" w:cs="Arial" w:eastAsia="Arial" w:hAnsi="Arial"/>
          <w:sz w:val="17"/>
          <w:szCs w:val="17"/>
          <w:color w:val="B4B4B4"/>
        </w:rPr>
        <w:t>. . . . . . . . . . . . . . . . . . . . . . . . . . . . . . . . . . . . . . . . . . . . . . . . . . . . . . . . . . .</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Net liabilities assumed </w:t>
      </w:r>
      <w:r>
        <w:rPr>
          <w:rFonts w:ascii="Arial" w:cs="Arial" w:eastAsia="Arial" w:hAnsi="Arial"/>
          <w:sz w:val="17"/>
          <w:szCs w:val="17"/>
          <w:color w:val="B4B4B4"/>
        </w:rPr>
        <w:t>. . . . . . . . . . . . . . . . . . . . . . . . . . . . . . . . . . . . . . . . . . . . . . . . . . . . . . . . . . .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154940</wp:posOffset>
                </wp:positionV>
                <wp:extent cx="124079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07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2.2pt" to="97.35pt,12.2pt" o:allowincell="f" strokecolor="#000000" strokeweight="1pt"/>
            </w:pict>
          </mc:Fallback>
        </mc:AlternateContent>
      </w:r>
    </w:p>
    <w:p>
      <w:pPr>
        <w:spacing w:after="0" w:line="228" w:lineRule="exact"/>
        <w:rPr>
          <w:sz w:val="20"/>
          <w:szCs w:val="20"/>
          <w:color w:val="auto"/>
        </w:rPr>
      </w:pPr>
    </w:p>
    <w:p>
      <w:pPr>
        <w:ind w:left="280" w:hanging="199"/>
        <w:spacing w:after="0"/>
        <w:tabs>
          <w:tab w:leader="none" w:pos="280" w:val="left"/>
        </w:tabs>
        <w:numPr>
          <w:ilvl w:val="0"/>
          <w:numId w:val="56"/>
        </w:numPr>
        <w:rPr>
          <w:rFonts w:ascii="Arial" w:cs="Arial" w:eastAsia="Arial" w:hAnsi="Arial"/>
          <w:sz w:val="24"/>
          <w:szCs w:val="24"/>
          <w:color w:val="auto"/>
          <w:vertAlign w:val="superscript"/>
        </w:rPr>
      </w:pPr>
      <w:r>
        <w:rPr>
          <w:rFonts w:ascii="Arial" w:cs="Arial" w:eastAsia="Arial" w:hAnsi="Arial"/>
          <w:sz w:val="15"/>
          <w:szCs w:val="15"/>
          <w:color w:val="auto"/>
        </w:rPr>
        <w:t>Includes Construction in progress of $893 million.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5"/>
          <w:szCs w:val="15"/>
          <w:b w:val="1"/>
          <w:bCs w:val="1"/>
          <w:u w:val="single" w:color="auto"/>
          <w:color w:val="auto"/>
        </w:rPr>
        <w:t>Victory Pass and Arica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20" w:type="dxa"/>
            <w:vAlign w:val="bottom"/>
          </w:tcPr>
          <w:p>
            <w:pPr>
              <w:jc w:val="right"/>
              <w:ind w:right="56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4"/>
        </w:trPr>
        <w:tc>
          <w:tcPr>
            <w:tcW w:w="8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937</w:t>
            </w:r>
          </w:p>
        </w:tc>
      </w:tr>
      <w:tr>
        <w:trPr>
          <w:trHeight w:val="294"/>
        </w:trPr>
        <w:tc>
          <w:tcPr>
            <w:tcW w:w="8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4"/>
        </w:trPr>
        <w:tc>
          <w:tcPr>
            <w:tcW w:w="8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8"/>
        </w:trPr>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r>
      <w:tr>
        <w:trPr>
          <w:trHeight w:val="270"/>
        </w:trPr>
        <w:tc>
          <w:tcPr>
            <w:tcW w:w="8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949</w:t>
            </w:r>
          </w:p>
        </w:tc>
      </w:tr>
      <w:tr>
        <w:trPr>
          <w:trHeight w:val="588"/>
        </w:trPr>
        <w:tc>
          <w:tcPr>
            <w:tcW w:w="8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864</w:t>
            </w:r>
          </w:p>
        </w:tc>
      </w:tr>
      <w:tr>
        <w:trPr>
          <w:trHeight w:val="294"/>
        </w:trPr>
        <w:tc>
          <w:tcPr>
            <w:tcW w:w="8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98"/>
        </w:trPr>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w:t>
            </w:r>
          </w:p>
        </w:tc>
      </w:tr>
      <w:tr>
        <w:trPr>
          <w:trHeight w:val="274"/>
        </w:trPr>
        <w:tc>
          <w:tcPr>
            <w:tcW w:w="8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950</w:t>
            </w:r>
          </w:p>
        </w:tc>
      </w:tr>
      <w:tr>
        <w:trPr>
          <w:trHeight w:val="269"/>
        </w:trPr>
        <w:tc>
          <w:tcPr>
            <w:tcW w:w="820" w:type="dxa"/>
            <w:vAlign w:val="bottom"/>
            <w:tcBorders>
              <w:bottom w:val="single" w:sz="8" w:color="auto"/>
            </w:tcBorders>
          </w:tcPr>
          <w:p>
            <w:pPr>
              <w:jc w:val="right"/>
              <w:ind w:right="562"/>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11" w:lineRule="exact"/>
        <w:rPr>
          <w:sz w:val="20"/>
          <w:szCs w:val="20"/>
          <w:color w:val="auto"/>
        </w:rPr>
      </w:pPr>
    </w:p>
    <w:p>
      <w:pPr>
        <w:sectPr>
          <w:pgSz w:w="11880" w:h="15480" w:orient="portrait"/>
          <w:cols w:equalWidth="0" w:num="2">
            <w:col w:w="8060" w:space="120"/>
            <w:col w:w="1860"/>
          </w:cols>
          <w:pgMar w:left="920" w:top="584" w:right="920" w:bottom="0" w:gutter="0" w:footer="0" w:header="0"/>
          <w:type w:val="continuous"/>
        </w:sectPr>
      </w:pPr>
    </w:p>
    <w:p>
      <w:pPr>
        <w:ind w:left="80" w:firstLine="1"/>
        <w:spacing w:after="0" w:line="209" w:lineRule="auto"/>
        <w:tabs>
          <w:tab w:leader="none" w:pos="311" w:val="left"/>
        </w:tabs>
        <w:numPr>
          <w:ilvl w:val="0"/>
          <w:numId w:val="57"/>
        </w:numPr>
        <w:rPr>
          <w:rFonts w:ascii="Arial" w:cs="Arial" w:eastAsia="Arial" w:hAnsi="Arial"/>
          <w:sz w:val="25"/>
          <w:szCs w:val="25"/>
          <w:color w:val="auto"/>
          <w:vertAlign w:val="superscript"/>
        </w:rPr>
      </w:pPr>
      <w:r>
        <w:rPr>
          <w:rFonts w:ascii="Arial" w:cs="Arial" w:eastAsia="Arial" w:hAnsi="Arial"/>
          <w:sz w:val="16"/>
          <w:szCs w:val="16"/>
          <w:color w:val="auto"/>
        </w:rPr>
        <w:t xml:space="preserve">Includes a $483 million cash equity bridge loan and $385 million tax equity bridge loan, offset by $4 million in unamortized debt issuance costs. See Note 10, </w:t>
      </w:r>
      <w:r>
        <w:rPr>
          <w:rFonts w:ascii="Arial" w:cs="Arial" w:eastAsia="Arial" w:hAnsi="Arial"/>
          <w:sz w:val="16"/>
          <w:szCs w:val="16"/>
          <w:b w:val="1"/>
          <w:bCs w:val="1"/>
          <w:i w:val="1"/>
          <w:iCs w:val="1"/>
          <w:color w:val="auto"/>
        </w:rPr>
        <w:t>Long-term Debt,</w:t>
      </w:r>
      <w:r>
        <w:rPr>
          <w:rFonts w:ascii="Arial" w:cs="Arial" w:eastAsia="Arial" w:hAnsi="Arial"/>
          <w:sz w:val="16"/>
          <w:szCs w:val="16"/>
          <w:color w:val="auto"/>
        </w:rPr>
        <w:t xml:space="preserve"> for further discussion of the long-term debt assumed in the acquisition.</w:t>
      </w:r>
    </w:p>
    <w:p>
      <w:pPr>
        <w:spacing w:after="0" w:line="146" w:lineRule="exact"/>
        <w:rPr>
          <w:sz w:val="20"/>
          <w:szCs w:val="20"/>
          <w:color w:val="auto"/>
        </w:rPr>
      </w:pPr>
    </w:p>
    <w:p>
      <w:pPr>
        <w:jc w:val="both"/>
        <w:ind w:firstLine="441"/>
        <w:spacing w:after="0" w:line="295" w:lineRule="auto"/>
        <w:rPr>
          <w:sz w:val="20"/>
          <w:szCs w:val="20"/>
          <w:color w:val="auto"/>
        </w:rPr>
      </w:pPr>
      <w:r>
        <w:rPr>
          <w:rFonts w:ascii="Arial" w:cs="Arial" w:eastAsia="Arial" w:hAnsi="Arial"/>
          <w:sz w:val="17"/>
          <w:szCs w:val="17"/>
          <w:b w:val="1"/>
          <w:bCs w:val="1"/>
          <w:i w:val="1"/>
          <w:iCs w:val="1"/>
          <w:color w:val="auto"/>
        </w:rPr>
        <w:t xml:space="preserve">Cedar Creek Drop Down — </w:t>
      </w:r>
      <w:r>
        <w:rPr>
          <w:rFonts w:ascii="Arial" w:cs="Arial" w:eastAsia="Arial" w:hAnsi="Arial"/>
          <w:sz w:val="17"/>
          <w:szCs w:val="17"/>
          <w:color w:val="auto"/>
        </w:rPr>
        <w:t>On April 16, 2024, the Company, through its indirect subsidiary, Cedar Creek Wind Holdco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Cedar Creek has a 25-year PPA with an investment-grade utility that commenced in March 2024. The Cedar Creek operations are reflected in the Company’s Renewables &amp; Storage segment and the acquisition was funded with existing sources of liquidity. The acquisition was determined to be an asset acquisition and the Company consolidates Cedar Creek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7"/>
          <w:szCs w:val="17"/>
          <w:b w:val="1"/>
          <w:bCs w:val="1"/>
          <w:i w:val="1"/>
          <w:iCs w:val="1"/>
          <w:color w:val="auto"/>
        </w:rPr>
        <w:t>Business Combinations - Related Issues</w:t>
      </w:r>
      <w:r>
        <w:rPr>
          <w:rFonts w:ascii="Arial" w:cs="Arial" w:eastAsia="Arial" w:hAnsi="Arial"/>
          <w:sz w:val="17"/>
          <w:szCs w:val="17"/>
          <w:color w:val="auto"/>
        </w:rPr>
        <w:t>. The difference between the Company’s cash paid of $117 million and the historical cost of the Company’s net assets acquired of $17 million was recorded as an adjustment to CEG’s noncontrolling interest balance. In addition, the Company reflected the entire $117 million purchase price, which was contributed back to the Company by CEG to pay down the acquired long-term debt, in the line item contributions from CEG, net of distributions, in the consolidated statements of stockholders’ equity.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summary of assets and liabilities transferred in connection with the acquisition as of April 16,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20" w:type="dxa"/>
            <w:vAlign w:val="bottom"/>
            <w:gridSpan w:val="2"/>
          </w:tcPr>
          <w:p>
            <w:pPr>
              <w:jc w:val="right"/>
              <w:ind w:right="7240"/>
              <w:spacing w:after="0"/>
              <w:rPr>
                <w:sz w:val="20"/>
                <w:szCs w:val="20"/>
                <w:color w:val="auto"/>
              </w:rPr>
            </w:pPr>
            <w:r>
              <w:rPr>
                <w:rFonts w:ascii="Arial" w:cs="Arial" w:eastAsia="Arial" w:hAnsi="Arial"/>
                <w:sz w:val="18"/>
                <w:szCs w:val="18"/>
                <w:b w:val="1"/>
                <w:bCs w:val="1"/>
                <w:color w:val="auto"/>
                <w:w w:val="94"/>
              </w:rPr>
              <w:t>(In millions)</w:t>
            </w: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3"/>
              <w:spacing w:after="0"/>
              <w:rPr>
                <w:sz w:val="20"/>
                <w:szCs w:val="20"/>
                <w:color w:val="auto"/>
              </w:rPr>
            </w:pPr>
            <w:r>
              <w:rPr>
                <w:rFonts w:ascii="Arial" w:cs="Arial" w:eastAsia="Arial" w:hAnsi="Arial"/>
                <w:sz w:val="18"/>
                <w:szCs w:val="18"/>
                <w:b w:val="1"/>
                <w:bCs w:val="1"/>
                <w:color w:val="auto"/>
              </w:rPr>
              <w:t>Cedar Creek</w:t>
            </w:r>
          </w:p>
        </w:tc>
      </w:tr>
      <w:tr>
        <w:trPr>
          <w:trHeight w:val="270"/>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Restricted cash </w:t>
            </w:r>
            <w:r>
              <w:rPr>
                <w:rFonts w:ascii="Arial" w:cs="Arial" w:eastAsia="Arial" w:hAnsi="Arial"/>
                <w:sz w:val="20"/>
                <w:szCs w:val="20"/>
                <w:color w:val="B4B4B4"/>
                <w:w w:val="90"/>
              </w:rPr>
              <w:t>. . . . . . . . . . . . . . . . . . . . . . . . . . . . . . . . . . . . . . . . . . . . . . . . . . . . . . . . . . . . . . . . . . . .</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4"/>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Property, plant and equipment </w:t>
            </w:r>
            <w:r>
              <w:rPr>
                <w:rFonts w:ascii="Arial" w:cs="Arial" w:eastAsia="Arial" w:hAnsi="Arial"/>
                <w:sz w:val="20"/>
                <w:szCs w:val="20"/>
                <w:color w:val="B4B4B4"/>
                <w:w w:val="90"/>
              </w:rPr>
              <w:t>. . . . . . . . . . . . . . . . . . . . . . . . . . . . . . . . . . . . . . . . . . . . . . . . . . . . . . . .</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311</w:t>
            </w:r>
          </w:p>
        </w:tc>
      </w:tr>
      <w:tr>
        <w:trPr>
          <w:trHeight w:val="294"/>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Right-of-use assets, net </w:t>
            </w:r>
            <w:r>
              <w:rPr>
                <w:rFonts w:ascii="Arial" w:cs="Arial" w:eastAsia="Arial" w:hAnsi="Arial"/>
                <w:sz w:val="20"/>
                <w:szCs w:val="20"/>
                <w:color w:val="B4B4B4"/>
                <w:w w:val="89"/>
              </w:rPr>
              <w:t>. . . . . . . . . . . . . . . . . . . . . . . . . . . . . . . . . . . . . . . . . . . . . . . . . . . . . . . . . . . . . .</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4"/>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Derivative assets </w:t>
            </w:r>
            <w:r>
              <w:rPr>
                <w:rFonts w:ascii="Arial" w:cs="Arial" w:eastAsia="Arial" w:hAnsi="Arial"/>
                <w:sz w:val="20"/>
                <w:szCs w:val="20"/>
                <w:color w:val="B4B4B4"/>
                <w:w w:val="90"/>
              </w:rPr>
              <w:t>. . . . . . . . . . . . . . . . . . . . . . . . . . . . . . . . . . . . . . . . . . . . . . . . . . . . . . . . . . . . . . . . . . .</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98"/>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Other current and non-current assets </w:t>
            </w:r>
            <w:r>
              <w:rPr>
                <w:rFonts w:ascii="Arial" w:cs="Arial" w:eastAsia="Arial" w:hAnsi="Arial"/>
                <w:sz w:val="20"/>
                <w:szCs w:val="20"/>
                <w:color w:val="B4B4B4"/>
                <w:w w:val="90"/>
              </w:rPr>
              <w:t>. . . . . . . . . . . . . . . . . . . . . . . . . . . . . . . . . . . . . . . . . . . . . . . . . . .</w:t>
            </w: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r>
      <w:tr>
        <w:trPr>
          <w:trHeight w:val="270"/>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Total assets acquired  </w:t>
            </w:r>
            <w:r>
              <w:rPr>
                <w:rFonts w:ascii="Arial" w:cs="Arial" w:eastAsia="Arial" w:hAnsi="Arial"/>
                <w:sz w:val="20"/>
                <w:szCs w:val="20"/>
                <w:color w:val="B4B4B4"/>
                <w:w w:val="91"/>
              </w:rPr>
              <w:t>. . . . . . . . . . . . . . . . . . . . . . . . . . . . . . . . . . . . . . . . . . . . . . . . . . . . . . . . . . . . . .</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346</w:t>
            </w:r>
          </w:p>
        </w:tc>
      </w:tr>
      <w:tr>
        <w:trPr>
          <w:trHeight w:val="627"/>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Long-term debt </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 . . . . . . . . . . . . . . . . . . . . . . .</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309</w:t>
            </w:r>
          </w:p>
        </w:tc>
      </w:tr>
      <w:tr>
        <w:trPr>
          <w:trHeight w:val="255"/>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Long-term lease liabilities  </w:t>
            </w:r>
            <w:r>
              <w:rPr>
                <w:rFonts w:ascii="Arial" w:cs="Arial" w:eastAsia="Arial" w:hAnsi="Arial"/>
                <w:sz w:val="20"/>
                <w:szCs w:val="20"/>
                <w:color w:val="B4B4B4"/>
                <w:w w:val="91"/>
              </w:rPr>
              <w:t>. . . . . . . . . . . . . . . . . . . . . . . . . . . . . . . . . . . . . . . . . . . . . . . . . . . . . . . . . . .</w:t>
            </w:r>
          </w:p>
        </w:tc>
        <w:tc>
          <w:tcPr>
            <w:tcW w:w="3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98"/>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Other current and non-current liabilities </w:t>
            </w:r>
            <w:r>
              <w:rPr>
                <w:rFonts w:ascii="Arial" w:cs="Arial" w:eastAsia="Arial" w:hAnsi="Arial"/>
                <w:sz w:val="20"/>
                <w:szCs w:val="20"/>
                <w:color w:val="B4B4B4"/>
                <w:w w:val="90"/>
              </w:rPr>
              <w:t>. . . . . . . . . . . . . . . . . . . . . . . . . . . . . . . . . . . . . . . . . . . . . . . . .</w:t>
            </w: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r>
      <w:tr>
        <w:trPr>
          <w:trHeight w:val="274"/>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Total liabilities assumed </w:t>
            </w:r>
            <w:r>
              <w:rPr>
                <w:rFonts w:ascii="Arial" w:cs="Arial" w:eastAsia="Arial" w:hAnsi="Arial"/>
                <w:sz w:val="20"/>
                <w:szCs w:val="20"/>
                <w:color w:val="B4B4B4"/>
                <w:w w:val="91"/>
              </w:rPr>
              <w:t>. . . . . . . . . . . . . . . . . . . . . . . . . . . . . . . . . . . . . . . . . . . . . . . . . . . . . . . . . . . .</w:t>
            </w: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329</w:t>
            </w:r>
          </w:p>
        </w:tc>
      </w:tr>
      <w:tr>
        <w:trPr>
          <w:trHeight w:val="269"/>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Net assets acquired </w:t>
            </w:r>
            <w:r>
              <w:rPr>
                <w:rFonts w:ascii="Arial" w:cs="Arial" w:eastAsia="Arial" w:hAnsi="Arial"/>
                <w:sz w:val="20"/>
                <w:szCs w:val="20"/>
                <w:color w:val="B4B4B4"/>
                <w:w w:val="90"/>
              </w:rPr>
              <w:t>. . . . . . . . . . . . . . . . . . . . . . . . . . . . . . . . . . . . . . . . . . . . . . . . . . . . . . . . . . . . . . . .</w:t>
            </w:r>
          </w:p>
        </w:tc>
        <w:tc>
          <w:tcPr>
            <w:tcW w:w="30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r>
      <w:tr>
        <w:trPr>
          <w:trHeight w:val="20"/>
        </w:trPr>
        <w:tc>
          <w:tcPr>
            <w:tcW w:w="19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6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-2376805</wp:posOffset>
            </wp:positionV>
            <wp:extent cx="6410325" cy="2287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5">
                      <a:extLst>
                        <a:ext uri="{28A0092B-C50C-407E-A947-70E740481C1C}"/>
                      </a:extLst>
                    </a:blip>
                    <a:srcRect/>
                    <a:stretch>
                      <a:fillRect/>
                    </a:stretch>
                  </pic:blipFill>
                  <pic:spPr bwMode="auto">
                    <a:xfrm>
                      <a:off x="0" y="0"/>
                      <a:ext cx="6410325" cy="2287270"/>
                    </a:xfrm>
                    <a:prstGeom prst="rect">
                      <a:avLst/>
                    </a:prstGeom>
                    <a:noFill/>
                  </pic:spPr>
                </pic:pic>
              </a:graphicData>
            </a:graphic>
          </wp:anchor>
        </w:drawing>
      </w:r>
    </w:p>
    <w:p>
      <w:pPr>
        <w:spacing w:after="0" w:line="46" w:lineRule="exact"/>
        <w:rPr>
          <w:sz w:val="20"/>
          <w:szCs w:val="20"/>
          <w:color w:val="auto"/>
        </w:rPr>
      </w:pPr>
    </w:p>
    <w:p>
      <w:pPr>
        <w:ind w:left="80" w:firstLine="1"/>
        <w:spacing w:after="0" w:line="220" w:lineRule="auto"/>
        <w:tabs>
          <w:tab w:leader="none" w:pos="341" w:val="left"/>
        </w:tabs>
        <w:numPr>
          <w:ilvl w:val="0"/>
          <w:numId w:val="58"/>
        </w:numPr>
        <w:rPr>
          <w:rFonts w:ascii="Arial" w:cs="Arial" w:eastAsia="Arial" w:hAnsi="Arial"/>
          <w:sz w:val="24"/>
          <w:szCs w:val="24"/>
          <w:color w:val="auto"/>
          <w:vertAlign w:val="superscript"/>
        </w:rPr>
      </w:pPr>
      <w:r>
        <w:rPr>
          <w:rFonts w:ascii="Arial" w:cs="Arial" w:eastAsia="Arial" w:hAnsi="Arial"/>
          <w:sz w:val="15"/>
          <w:szCs w:val="15"/>
          <w:color w:val="auto"/>
        </w:rPr>
        <w:t xml:space="preserve">Includes a $112 million construction loan, a $91 million cash equity bridge loan, and a $109 million tax equity bridge loan, offset by $3 million in unamortized debt issuance costs. See Note 10, </w:t>
      </w:r>
      <w:r>
        <w:rPr>
          <w:rFonts w:ascii="Arial" w:cs="Arial" w:eastAsia="Arial" w:hAnsi="Arial"/>
          <w:sz w:val="15"/>
          <w:szCs w:val="15"/>
          <w:b w:val="1"/>
          <w:bCs w:val="1"/>
          <w:i w:val="1"/>
          <w:iCs w:val="1"/>
          <w:color w:val="auto"/>
        </w:rPr>
        <w:t>Long-term Debt,</w:t>
      </w:r>
      <w:r>
        <w:rPr>
          <w:rFonts w:ascii="Arial" w:cs="Arial" w:eastAsia="Arial" w:hAnsi="Arial"/>
          <w:sz w:val="15"/>
          <w:szCs w:val="15"/>
          <w:color w:val="auto"/>
        </w:rPr>
        <w:t xml:space="preserve"> for further discussion of the long-term debt assumed in the acquisition.</w:t>
      </w:r>
    </w:p>
    <w:p>
      <w:pPr>
        <w:sectPr>
          <w:pgSz w:w="11880" w:h="15480" w:orient="portrait"/>
          <w:cols w:equalWidth="0" w:num="1">
            <w:col w:w="10040"/>
          </w:cols>
          <w:pgMar w:left="920" w:top="584"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10040"/>
          </w:cols>
          <w:pgMar w:left="920" w:top="584" w:right="920" w:bottom="0" w:gutter="0" w:footer="0" w:header="0"/>
          <w:type w:val="continuous"/>
        </w:sectPr>
      </w:pPr>
    </w:p>
    <w:bookmarkStart w:id="107" w:name="page108"/>
    <w:bookmarkEnd w:id="107"/>
    <w:p>
      <w:pPr>
        <w:jc w:val="both"/>
        <w:ind w:left="7" w:firstLine="441"/>
        <w:spacing w:after="0" w:line="292" w:lineRule="auto"/>
        <w:rPr>
          <w:sz w:val="20"/>
          <w:szCs w:val="20"/>
          <w:color w:val="auto"/>
        </w:rPr>
      </w:pPr>
      <w:r>
        <w:rPr>
          <w:rFonts w:ascii="Arial" w:cs="Arial" w:eastAsia="Arial" w:hAnsi="Arial"/>
          <w:sz w:val="17"/>
          <w:szCs w:val="17"/>
          <w:b w:val="1"/>
          <w:bCs w:val="1"/>
          <w:i w:val="1"/>
          <w:iCs w:val="1"/>
          <w:color w:val="auto"/>
        </w:rPr>
        <w:t xml:space="preserve">Texas Solar Nova 2 Drop Down — </w:t>
      </w:r>
      <w:r>
        <w:rPr>
          <w:rFonts w:ascii="Arial" w:cs="Arial" w:eastAsia="Arial" w:hAnsi="Arial"/>
          <w:sz w:val="17"/>
          <w:szCs w:val="17"/>
          <w:color w:val="auto"/>
        </w:rPr>
        <w:t>On March 15, 2024, the Company, through its indirect subsidiary, TSN1 TE Holdco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acquired Texas Solar Nova 2, a 200 MW solar facility that is located in Kent County, Texas, from Clearway Renew for cash consideration of $112 million, of which $17 million was funded by the Company, with the remaining $95 million funded through a contribution from the third-party cash equity investor in Lighthouse Renewable Holdco 2 LLC, a partnership. Lighthouse Renewable Holdco 2 LLC indirectly consolidates as primary beneficiary, TSN1 TE Holdco LLC, a tax equity fund that owns Texas Solar Nova 1 and Texas Solar Nova 2</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Texas Solar Nova 2 has an 18-year PPA with an investment-grade counterparty that commenced in February 2024. The Texas Solar Nova 2 operations are reflected in the Company’s Renewables</w:t>
      </w:r>
    </w:p>
    <w:p>
      <w:pPr>
        <w:spacing w:after="0" w:line="5" w:lineRule="exact"/>
        <w:rPr>
          <w:sz w:val="20"/>
          <w:szCs w:val="20"/>
          <w:color w:val="auto"/>
        </w:rPr>
      </w:pPr>
    </w:p>
    <w:p>
      <w:pPr>
        <w:jc w:val="both"/>
        <w:ind w:left="7" w:hanging="7"/>
        <w:spacing w:after="0" w:line="295" w:lineRule="auto"/>
        <w:tabs>
          <w:tab w:leader="none" w:pos="248"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Storage segment and the Company’s portion of the purchase price was funded with existing sources of liquidity. The acquisition was determined to be an asset acquisition and the Company consolidates Texas Solar Nova 2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7"/>
          <w:szCs w:val="17"/>
          <w:b w:val="1"/>
          <w:bCs w:val="1"/>
          <w:i w:val="1"/>
          <w:iCs w:val="1"/>
          <w:color w:val="auto"/>
        </w:rPr>
        <w:t>Business Combinations - Related Issues</w:t>
      </w:r>
      <w:r>
        <w:rPr>
          <w:rFonts w:ascii="Arial" w:cs="Arial" w:eastAsia="Arial" w:hAnsi="Arial"/>
          <w:sz w:val="17"/>
          <w:szCs w:val="17"/>
          <w:color w:val="auto"/>
        </w:rPr>
        <w:t>. The difference between the Company’s cash paid of $112 million and the historical cost of the Company’s net assets acquired of $72 million was recorded as an adjustment to CEG’s noncontrolling interest balance. In addition, the Company reflected $9 million of the Company’s purchase price, which was contributed back to the Company by CEG to pay down the acquired long-term debt, in the line item contributions from CEG, net of distributions, in the consolidated statements of stockholders’ equity.</w:t>
      </w:r>
    </w:p>
    <w:p>
      <w:pPr>
        <w:spacing w:after="0" w:line="116" w:lineRule="exact"/>
        <w:rPr>
          <w:sz w:val="20"/>
          <w:szCs w:val="20"/>
          <w:color w:val="auto"/>
        </w:rPr>
      </w:pPr>
    </w:p>
    <w:p>
      <w:pPr>
        <w:ind w:left="447"/>
        <w:spacing w:after="0"/>
        <w:rPr>
          <w:sz w:val="20"/>
          <w:szCs w:val="20"/>
          <w:color w:val="auto"/>
        </w:rPr>
      </w:pPr>
      <w:r>
        <w:rPr>
          <w:rFonts w:ascii="Arial" w:cs="Arial" w:eastAsia="Arial" w:hAnsi="Arial"/>
          <w:sz w:val="17"/>
          <w:szCs w:val="17"/>
          <w:color w:val="auto"/>
        </w:rPr>
        <w:t>The following is a summary of assets and liabilities transferred in connection with the acquisition as of March 15, 2024:</w:t>
      </w:r>
    </w:p>
    <w:p>
      <w:pPr>
        <w:spacing w:after="0" w:line="207" w:lineRule="exact"/>
        <w:rPr>
          <w:sz w:val="20"/>
          <w:szCs w:val="20"/>
          <w:color w:val="auto"/>
        </w:rPr>
      </w:pPr>
    </w:p>
    <w:tbl>
      <w:tblPr>
        <w:tblLayout w:type="fixed"/>
        <w:tblInd w:w="7" w:type="dxa"/>
        <w:tblCellMar>
          <w:top w:w="0" w:type="dxa"/>
          <w:left w:w="0" w:type="dxa"/>
          <w:bottom w:w="0" w:type="dxa"/>
          <w:right w:w="0" w:type="dxa"/>
        </w:tblCellMar>
      </w:tblPr>
      <w:tr>
        <w:trPr>
          <w:trHeight w:val="237"/>
        </w:trPr>
        <w:tc>
          <w:tcPr>
            <w:tcW w:w="8220" w:type="dxa"/>
            <w:vAlign w:val="bottom"/>
            <w:gridSpan w:val="2"/>
          </w:tcPr>
          <w:p>
            <w:pPr>
              <w:jc w:val="right"/>
              <w:ind w:right="7240"/>
              <w:spacing w:after="0"/>
              <w:rPr>
                <w:sz w:val="20"/>
                <w:szCs w:val="20"/>
                <w:color w:val="auto"/>
              </w:rPr>
            </w:pPr>
            <w:r>
              <w:rPr>
                <w:rFonts w:ascii="Arial" w:cs="Arial" w:eastAsia="Arial" w:hAnsi="Arial"/>
                <w:sz w:val="18"/>
                <w:szCs w:val="18"/>
                <w:b w:val="1"/>
                <w:bCs w:val="1"/>
                <w:color w:val="auto"/>
                <w:w w:val="94"/>
              </w:rPr>
              <w:t>(In millions)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3"/>
              <w:spacing w:after="0"/>
              <w:rPr>
                <w:sz w:val="20"/>
                <w:szCs w:val="20"/>
                <w:color w:val="auto"/>
              </w:rPr>
            </w:pPr>
            <w:r>
              <w:rPr>
                <w:rFonts w:ascii="Arial" w:cs="Arial" w:eastAsia="Arial" w:hAnsi="Arial"/>
                <w:sz w:val="18"/>
                <w:szCs w:val="18"/>
                <w:b w:val="1"/>
                <w:bCs w:val="1"/>
                <w:color w:val="auto"/>
                <w:w w:val="88"/>
              </w:rPr>
              <w:t>Texas Solar Nova 2</w:t>
            </w:r>
          </w:p>
        </w:tc>
      </w:tr>
      <w:tr>
        <w:trPr>
          <w:trHeight w:val="270"/>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Restricted cash </w:t>
            </w:r>
            <w:r>
              <w:rPr>
                <w:rFonts w:ascii="Arial" w:cs="Arial" w:eastAsia="Arial" w:hAnsi="Arial"/>
                <w:sz w:val="20"/>
                <w:szCs w:val="20"/>
                <w:color w:val="B4B4B4"/>
                <w:w w:val="90"/>
              </w:rPr>
              <w:t>. . . . . . . . . . . . . . . . . . . . . . . . . . . . . . . . . . . . . . . . . . . . . . . . . . . .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94"/>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Property, plant and equipment </w:t>
            </w:r>
            <w:r>
              <w:rPr>
                <w:rFonts w:ascii="Arial" w:cs="Arial" w:eastAsia="Arial" w:hAnsi="Arial"/>
                <w:sz w:val="20"/>
                <w:szCs w:val="20"/>
                <w:color w:val="B4B4B4"/>
                <w:w w:val="90"/>
              </w:rPr>
              <w:t>. . . . . . . . . . . . . . . . . . . . . . . . . . . . . . . . . . . . . . . . . . . . . . . . . . . . . . . .</w:t>
            </w:r>
          </w:p>
        </w:tc>
        <w:tc>
          <w:tcPr>
            <w:tcW w:w="1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280</w:t>
            </w:r>
          </w:p>
        </w:tc>
      </w:tr>
      <w:tr>
        <w:trPr>
          <w:trHeight w:val="294"/>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Right-of-use assets, net </w:t>
            </w:r>
            <w:r>
              <w:rPr>
                <w:rFonts w:ascii="Arial" w:cs="Arial" w:eastAsia="Arial" w:hAnsi="Arial"/>
                <w:sz w:val="20"/>
                <w:szCs w:val="20"/>
                <w:color w:val="B4B4B4"/>
                <w:w w:val="89"/>
              </w:rPr>
              <w:t>. . . . . . . . . . . . . . . . . . . . . . . . . . . . . . . . . . . . . . . . . . . . . . . . . . . . . . . . . . . . . .</w:t>
            </w:r>
          </w:p>
        </w:tc>
        <w:tc>
          <w:tcPr>
            <w:tcW w:w="1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94"/>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Derivative assets </w:t>
            </w:r>
            <w:r>
              <w:rPr>
                <w:rFonts w:ascii="Arial" w:cs="Arial" w:eastAsia="Arial" w:hAnsi="Arial"/>
                <w:sz w:val="20"/>
                <w:szCs w:val="20"/>
                <w:color w:val="B4B4B4"/>
                <w:w w:val="90"/>
              </w:rPr>
              <w:t>. . . . . . . . . . . . . . . . . . . . . . . . . . . . . . . . . . . . . . . . . . . . . . . . . . . . . . . . . . . . . . . . . . .</w:t>
            </w:r>
          </w:p>
        </w:tc>
        <w:tc>
          <w:tcPr>
            <w:tcW w:w="1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98"/>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Other current and non-current assets </w:t>
            </w:r>
            <w:r>
              <w:rPr>
                <w:rFonts w:ascii="Arial" w:cs="Arial" w:eastAsia="Arial" w:hAnsi="Arial"/>
                <w:sz w:val="20"/>
                <w:szCs w:val="20"/>
                <w:color w:val="B4B4B4"/>
                <w:w w:val="90"/>
              </w:rPr>
              <w:t>. . . . . . . . . . . . . . . . . . . . . . . . . . . . . . . . . . . . . . . . . . . . . . . . . . .</w:t>
            </w: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r>
      <w:tr>
        <w:trPr>
          <w:trHeight w:val="270"/>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Total assets acquired  </w:t>
            </w:r>
            <w:r>
              <w:rPr>
                <w:rFonts w:ascii="Arial" w:cs="Arial" w:eastAsia="Arial" w:hAnsi="Arial"/>
                <w:sz w:val="20"/>
                <w:szCs w:val="20"/>
                <w:color w:val="B4B4B4"/>
                <w:w w:val="91"/>
              </w:rPr>
              <w:t>. . . . . . . . . . . . . . . . . . . . . . . . . . . . . . . . . . . . . . . . . . . . . . . . . . . . . . . . . . . . . .</w:t>
            </w: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312</w:t>
            </w:r>
          </w:p>
        </w:tc>
      </w:tr>
      <w:tr>
        <w:trPr>
          <w:trHeight w:val="627"/>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89"/>
              </w:rPr>
              <w:t xml:space="preserve">Long-term debt </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 . . . . . . . . . . . . . . . . . . . . . . .</w:t>
            </w:r>
          </w:p>
        </w:tc>
        <w:tc>
          <w:tcPr>
            <w:tcW w:w="1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194</w:t>
            </w:r>
          </w:p>
        </w:tc>
      </w:tr>
      <w:tr>
        <w:trPr>
          <w:trHeight w:val="255"/>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Long-term lease liabilities  </w:t>
            </w:r>
            <w:r>
              <w:rPr>
                <w:rFonts w:ascii="Arial" w:cs="Arial" w:eastAsia="Arial" w:hAnsi="Arial"/>
                <w:sz w:val="20"/>
                <w:szCs w:val="20"/>
                <w:color w:val="B4B4B4"/>
                <w:w w:val="91"/>
              </w:rPr>
              <w:t>. . . . . . . . . . . . . . . . . . . . . . . . . . . . . . . . . . . . . . . . . . . . . . . . . . . . . . . . . . .</w:t>
            </w: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98"/>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Other current and non-current liabilities </w:t>
            </w:r>
            <w:r>
              <w:rPr>
                <w:rFonts w:ascii="Arial" w:cs="Arial" w:eastAsia="Arial" w:hAnsi="Arial"/>
                <w:sz w:val="20"/>
                <w:szCs w:val="20"/>
                <w:color w:val="B4B4B4"/>
                <w:w w:val="90"/>
              </w:rPr>
              <w:t>. . . . . . . . . . . . . . . . . . . . . . . . . . . . . . . . . . . . . . . . . . . . . . . . .</w:t>
            </w: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r>
      <w:tr>
        <w:trPr>
          <w:trHeight w:val="274"/>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1"/>
              </w:rPr>
              <w:t xml:space="preserve">Total liabilities assumed </w:t>
            </w:r>
            <w:r>
              <w:rPr>
                <w:rFonts w:ascii="Arial" w:cs="Arial" w:eastAsia="Arial" w:hAnsi="Arial"/>
                <w:sz w:val="20"/>
                <w:szCs w:val="20"/>
                <w:color w:val="B4B4B4"/>
                <w:w w:val="91"/>
              </w:rPr>
              <w:t>. . . . . . . . . . . . . . . . . . . . . . . . . . . . . . . . . . . . . . . . . . . . . . . . . . . . . . . . . . . .</w:t>
            </w: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w:t>
            </w:r>
          </w:p>
        </w:tc>
      </w:tr>
      <w:tr>
        <w:trPr>
          <w:trHeight w:val="269"/>
        </w:trPr>
        <w:tc>
          <w:tcPr>
            <w:tcW w:w="8220" w:type="dxa"/>
            <w:vAlign w:val="bottom"/>
            <w:gridSpan w:val="2"/>
          </w:tcPr>
          <w:p>
            <w:pPr>
              <w:jc w:val="right"/>
              <w:ind w:right="120"/>
              <w:spacing w:after="0"/>
              <w:rPr>
                <w:sz w:val="20"/>
                <w:szCs w:val="20"/>
                <w:color w:val="auto"/>
              </w:rPr>
            </w:pPr>
            <w:r>
              <w:rPr>
                <w:rFonts w:ascii="Arial" w:cs="Arial" w:eastAsia="Arial" w:hAnsi="Arial"/>
                <w:sz w:val="20"/>
                <w:szCs w:val="20"/>
                <w:color w:val="auto"/>
                <w:w w:val="90"/>
              </w:rPr>
              <w:t xml:space="preserve">Net assets acquired </w:t>
            </w:r>
            <w:r>
              <w:rPr>
                <w:rFonts w:ascii="Arial" w:cs="Arial" w:eastAsia="Arial" w:hAnsi="Arial"/>
                <w:sz w:val="20"/>
                <w:szCs w:val="20"/>
                <w:color w:val="B4B4B4"/>
                <w:w w:val="90"/>
              </w:rPr>
              <w:t>. . . . . . . . . . . . . . . . . . . . . . . . . . . . . . . . . . . . . . . . . . . . . . . . . . . . . . . . . . . . . . .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w:t>
            </w:r>
          </w:p>
        </w:tc>
      </w:tr>
      <w:tr>
        <w:trPr>
          <w:trHeight w:val="20"/>
        </w:trPr>
        <w:tc>
          <w:tcPr>
            <w:tcW w:w="19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6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-2376805</wp:posOffset>
            </wp:positionV>
            <wp:extent cx="6410325" cy="2287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6">
                      <a:extLst>
                        <a:ext uri="{28A0092B-C50C-407E-A947-70E740481C1C}"/>
                      </a:extLst>
                    </a:blip>
                    <a:srcRect/>
                    <a:stretch>
                      <a:fillRect/>
                    </a:stretch>
                  </pic:blipFill>
                  <pic:spPr bwMode="auto">
                    <a:xfrm>
                      <a:off x="0" y="0"/>
                      <a:ext cx="6410325" cy="2287270"/>
                    </a:xfrm>
                    <a:prstGeom prst="rect">
                      <a:avLst/>
                    </a:prstGeom>
                    <a:noFill/>
                  </pic:spPr>
                </pic:pic>
              </a:graphicData>
            </a:graphic>
          </wp:anchor>
        </w:drawing>
      </w:r>
    </w:p>
    <w:p>
      <w:pPr>
        <w:spacing w:after="0" w:line="44" w:lineRule="exact"/>
        <w:rPr>
          <w:sz w:val="20"/>
          <w:szCs w:val="20"/>
          <w:color w:val="auto"/>
        </w:rPr>
      </w:pPr>
    </w:p>
    <w:p>
      <w:pPr>
        <w:ind w:left="87" w:firstLine="1"/>
        <w:spacing w:after="0" w:line="210" w:lineRule="auto"/>
        <w:tabs>
          <w:tab w:leader="none" w:pos="319"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 xml:space="preserve">Includes an $80 million term loan and a $115 million tax equity bridge loan, offset by $1 million in unamortized debt issuance costs. See Note 10, </w:t>
      </w:r>
      <w:r>
        <w:rPr>
          <w:rFonts w:ascii="Arial" w:cs="Arial" w:eastAsia="Arial" w:hAnsi="Arial"/>
          <w:sz w:val="16"/>
          <w:szCs w:val="16"/>
          <w:b w:val="1"/>
          <w:bCs w:val="1"/>
          <w:i w:val="1"/>
          <w:iCs w:val="1"/>
          <w:color w:val="auto"/>
        </w:rPr>
        <w:t xml:space="preserve">Long-term Debt, </w:t>
      </w:r>
      <w:r>
        <w:rPr>
          <w:rFonts w:ascii="Arial" w:cs="Arial" w:eastAsia="Arial" w:hAnsi="Arial"/>
          <w:sz w:val="16"/>
          <w:szCs w:val="16"/>
          <w:color w:val="auto"/>
        </w:rPr>
        <w:t>for further discussion of the long-term debt assumed in the acquisition.</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Dispositions</w:t>
      </w:r>
    </w:p>
    <w:p>
      <w:pPr>
        <w:spacing w:after="0" w:line="185" w:lineRule="exact"/>
        <w:rPr>
          <w:sz w:val="20"/>
          <w:szCs w:val="20"/>
          <w:color w:val="auto"/>
        </w:rPr>
      </w:pPr>
    </w:p>
    <w:p>
      <w:pPr>
        <w:jc w:val="both"/>
        <w:ind w:left="7" w:firstLine="441"/>
        <w:spacing w:after="0" w:line="294" w:lineRule="auto"/>
        <w:rPr>
          <w:sz w:val="20"/>
          <w:szCs w:val="20"/>
          <w:color w:val="auto"/>
        </w:rPr>
      </w:pPr>
      <w:r>
        <w:rPr>
          <w:rFonts w:ascii="Arial" w:cs="Arial" w:eastAsia="Arial" w:hAnsi="Arial"/>
          <w:sz w:val="17"/>
          <w:szCs w:val="17"/>
          <w:b w:val="1"/>
          <w:bCs w:val="1"/>
          <w:i w:val="1"/>
          <w:iCs w:val="1"/>
          <w:color w:val="auto"/>
        </w:rPr>
        <w:t xml:space="preserve">Mt. Storm Sale to Clearway Renew </w:t>
      </w:r>
      <w:r>
        <w:rPr>
          <w:rFonts w:ascii="Arial" w:cs="Arial" w:eastAsia="Arial" w:hAnsi="Arial"/>
          <w:sz w:val="17"/>
          <w:szCs w:val="17"/>
          <w:color w:val="auto"/>
        </w:rPr>
        <w:t>— On October 2, 2025, the Company, through its indirect subsidiary, WV Wind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Holdco LLC, sold 100% of its membership interests in Mount Storm Wind LLC, which owns Mt. Storm, a 264 MW wind facility located in Grant County, West Virginia,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Also on October 2, 2025, the Company, through its indirect subsidiary, WV Wind Holdco LLC, entered into an agreement with Clearway Renew to acquire the Class B membership interests in the tax equity fund that, upon mechanical completion of the first phase of the repowering of the facility, will own Mt. Storm, for $336 million in cash consideration. The consummation of the transaction is subject to customary closing conditions and certain third-party approvals and is expected to occur in the second half of 2026. Upon achieving repowering commercial operations, which is expected to occur in the second half of 2026, the facility will sell power to Microsoft under a 20-year PPA. The membership interests sold by the Company relate to interests under common control, and thus, the sale was accounted for as a transfer of assets under common control, with the difference between the cash received of $152 million and the net assets transferred of $51 million recorded as an adjustment to CEG’s noncontrolling interest balance.</w:t>
      </w:r>
    </w:p>
    <w:p>
      <w:pPr>
        <w:sectPr>
          <w:pgSz w:w="11880" w:h="15480" w:orient="portrait"/>
          <w:cols w:equalWidth="0" w:num="1">
            <w:col w:w="10047"/>
          </w:cols>
          <w:pgMar w:left="913"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10047"/>
          </w:cols>
          <w:pgMar w:left="913" w:top="580" w:right="920" w:bottom="0" w:gutter="0" w:footer="0" w:header="0"/>
          <w:type w:val="continuous"/>
        </w:sectPr>
      </w:pPr>
    </w:p>
    <w:bookmarkStart w:id="108" w:name="page109"/>
    <w:bookmarkEnd w:id="108"/>
    <w:p>
      <w:pPr>
        <w:ind w:left="440"/>
        <w:spacing w:after="0"/>
        <w:rPr>
          <w:sz w:val="20"/>
          <w:szCs w:val="20"/>
          <w:color w:val="auto"/>
        </w:rPr>
      </w:pPr>
      <w:r>
        <w:rPr>
          <w:rFonts w:ascii="Arial" w:cs="Arial" w:eastAsia="Arial" w:hAnsi="Arial"/>
          <w:sz w:val="17"/>
          <w:szCs w:val="17"/>
          <w:color w:val="auto"/>
        </w:rPr>
        <w:t>The following is a summary of assets and liabilities transferred in connection with the disposition as of October 2, 2025:</w:t>
      </w:r>
    </w:p>
    <w:p>
      <w:pPr>
        <w:spacing w:after="0" w:line="192" w:lineRule="exact"/>
        <w:rPr>
          <w:sz w:val="20"/>
          <w:szCs w:val="20"/>
          <w:color w:val="auto"/>
        </w:rPr>
      </w:pPr>
    </w:p>
    <w:p>
      <w:pPr>
        <w:ind w:left="40"/>
        <w:spacing w:after="0"/>
        <w:tabs>
          <w:tab w:leader="none" w:pos="8720" w:val="left"/>
        </w:tabs>
        <w:rPr>
          <w:sz w:val="20"/>
          <w:szCs w:val="20"/>
          <w:color w:val="auto"/>
        </w:rPr>
      </w:pPr>
      <w:r>
        <w:rPr>
          <w:rFonts w:ascii="Arial" w:cs="Arial" w:eastAsia="Arial" w:hAnsi="Arial"/>
          <w:sz w:val="18"/>
          <w:szCs w:val="18"/>
          <w:b w:val="1"/>
          <w:bCs w:val="1"/>
          <w:color w:val="auto"/>
        </w:rPr>
        <w:t>(In millions)</w:t>
      </w:r>
      <w:r>
        <w:rPr>
          <w:sz w:val="20"/>
          <w:szCs w:val="20"/>
          <w:color w:val="auto"/>
        </w:rPr>
        <w:tab/>
      </w:r>
      <w:r>
        <w:rPr>
          <w:rFonts w:ascii="Arial" w:cs="Arial" w:eastAsia="Arial" w:hAnsi="Arial"/>
          <w:sz w:val="15"/>
          <w:szCs w:val="15"/>
          <w:b w:val="1"/>
          <w:bCs w:val="1"/>
          <w:color w:val="auto"/>
        </w:rPr>
        <w:t>Mt. Storm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12700</wp:posOffset>
            </wp:positionV>
            <wp:extent cx="6410325" cy="13538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7">
                      <a:extLst>
                        <a:ext uri="{28A0092B-C50C-407E-A947-70E740481C1C}"/>
                      </a:extLst>
                    </a:blip>
                    <a:srcRect/>
                    <a:stretch>
                      <a:fillRect/>
                    </a:stretch>
                  </pic:blipFill>
                  <pic:spPr bwMode="auto">
                    <a:xfrm>
                      <a:off x="0" y="0"/>
                      <a:ext cx="6410325" cy="1353820"/>
                    </a:xfrm>
                    <a:prstGeom prst="rect">
                      <a:avLst/>
                    </a:prstGeom>
                    <a:noFill/>
                  </pic:spPr>
                </pic:pic>
              </a:graphicData>
            </a:graphic>
          </wp:anchor>
        </w:drawing>
      </w:r>
    </w:p>
    <w:p>
      <w:pPr>
        <w:sectPr>
          <w:pgSz w:w="11880" w:h="15480" w:orient="portrait"/>
          <w:cols w:equalWidth="0" w:num="1">
            <w:col w:w="10040"/>
          </w:cols>
          <w:pgMar w:left="920" w:top="584" w:right="920" w:bottom="0" w:gutter="0" w:footer="0" w:header="0"/>
        </w:sectPr>
      </w:pPr>
    </w:p>
    <w:p>
      <w:pPr>
        <w:spacing w:after="0" w:line="6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Property, plant and equipment </w:t>
      </w:r>
      <w:r>
        <w:rPr>
          <w:rFonts w:ascii="Arial" w:cs="Arial" w:eastAsia="Arial" w:hAnsi="Arial"/>
          <w:sz w:val="17"/>
          <w:szCs w:val="17"/>
          <w:color w:val="B4B4B4"/>
        </w:rPr>
        <w:t>. . . . . . . . . . . . . . . . . . . . . . . . . .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Other current and non-current assets </w:t>
      </w:r>
      <w:r>
        <w:rPr>
          <w:rFonts w:ascii="Arial" w:cs="Arial" w:eastAsia="Arial" w:hAnsi="Arial"/>
          <w:sz w:val="17"/>
          <w:szCs w:val="17"/>
          <w:color w:val="B4B4B4"/>
        </w:rPr>
        <w:t>. . . . . . . . . . . . . . . . . . . . . . . . . . . . . . . . . . . . . . . . . . . . . . . . . . .</w:t>
      </w:r>
    </w:p>
    <w:p>
      <w:pPr>
        <w:spacing w:after="0" w:line="99"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Total assets transferred </w:t>
      </w:r>
      <w:r>
        <w:rPr>
          <w:rFonts w:ascii="Arial" w:cs="Arial" w:eastAsia="Arial" w:hAnsi="Arial"/>
          <w:sz w:val="17"/>
          <w:szCs w:val="17"/>
          <w:color w:val="B4B4B4"/>
        </w:rPr>
        <w:t>. . . . . . . . . . . . . . . . . . . . . . . . . . . . . . . . . . . . . . . . . . . . . . . . . . . . . . . . . . . .</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Other current and non-current liabilities </w:t>
      </w:r>
      <w:r>
        <w:rPr>
          <w:rFonts w:ascii="Arial" w:cs="Arial" w:eastAsia="Arial" w:hAnsi="Arial"/>
          <w:sz w:val="17"/>
          <w:szCs w:val="17"/>
          <w:color w:val="B4B4B4"/>
        </w:rPr>
        <w:t>. . . . . . . . . . . . . . . . . . . . . . . . . . . . . . . . . . . . . . . . . . . . . . . .</w:t>
      </w:r>
    </w:p>
    <w:p>
      <w:pPr>
        <w:spacing w:after="0" w:line="99"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 xml:space="preserve">Total liabilities transferred  </w:t>
      </w:r>
      <w:r>
        <w:rPr>
          <w:rFonts w:ascii="Arial" w:cs="Arial" w:eastAsia="Arial" w:hAnsi="Arial"/>
          <w:sz w:val="17"/>
          <w:szCs w:val="17"/>
          <w:color w:val="B4B4B4"/>
        </w:rPr>
        <w:t>. . . . . . . . . . . . . . . . . . . . . . . . . . .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Net assets transferred </w:t>
      </w:r>
      <w:r>
        <w:rPr>
          <w:rFonts w:ascii="Arial" w:cs="Arial" w:eastAsia="Arial" w:hAnsi="Arial"/>
          <w:sz w:val="17"/>
          <w:szCs w:val="17"/>
          <w:color w:val="B4B4B4"/>
        </w:rPr>
        <w:t>. . . . . . . . . . . . . . . . . . . . . . . . . . . . . . . . . . . . . . . . . . . . . . . . . . . . . . . . . . . . . .</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880" w:type="dxa"/>
            <w:vAlign w:val="bottom"/>
          </w:tcPr>
          <w:p>
            <w:pPr>
              <w:jc w:val="right"/>
              <w:ind w:right="62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98"/>
        </w:trPr>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r>
      <w:tr>
        <w:trPr>
          <w:trHeight w:val="270"/>
        </w:trPr>
        <w:tc>
          <w:tcPr>
            <w:tcW w:w="8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606"/>
        </w:trPr>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r>
      <w:tr>
        <w:trPr>
          <w:trHeight w:val="274"/>
        </w:trPr>
        <w:tc>
          <w:tcPr>
            <w:tcW w:w="8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r>
      <w:tr>
        <w:trPr>
          <w:trHeight w:val="254"/>
        </w:trPr>
        <w:tc>
          <w:tcPr>
            <w:tcW w:w="880" w:type="dxa"/>
            <w:vAlign w:val="bottom"/>
            <w:tcBorders>
              <w:bottom w:val="single" w:sz="8" w:color="auto"/>
            </w:tcBorders>
          </w:tcPr>
          <w:p>
            <w:pPr>
              <w:jc w:val="right"/>
              <w:ind w:right="62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ectPr>
          <w:pgSz w:w="11880" w:h="15480" w:orient="portrait"/>
          <w:cols w:equalWidth="0" w:num="2">
            <w:col w:w="8060" w:space="120"/>
            <w:col w:w="1860"/>
          </w:cols>
          <w:pgMar w:left="920" w:top="584" w:right="920" w:bottom="0" w:gutter="0" w:footer="0" w:header="0"/>
          <w:type w:val="continuous"/>
        </w:sectPr>
      </w:pPr>
    </w:p>
    <w:p>
      <w:pPr>
        <w:spacing w:after="0"/>
        <w:rPr>
          <w:sz w:val="20"/>
          <w:szCs w:val="20"/>
          <w:color w:val="auto"/>
        </w:rPr>
      </w:pPr>
      <w:r>
        <w:rPr>
          <w:rFonts w:ascii="Arial" w:cs="Arial" w:eastAsia="Arial" w:hAnsi="Arial"/>
          <w:sz w:val="20"/>
          <w:szCs w:val="20"/>
          <w:b w:val="1"/>
          <w:bCs w:val="1"/>
          <w:color w:val="auto"/>
        </w:rPr>
        <w:t>Note 4 — Property, Plant and Equipment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Company’s major classes of property, plant, and equipment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w w:val="92"/>
              </w:rPr>
              <w:t>December 31, 2025</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w w:val="92"/>
              </w:rPr>
              <w:t>December 31, 2024</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Depreciable Lives</w:t>
            </w:r>
          </w:p>
        </w:tc>
      </w:tr>
      <w:tr>
        <w:trPr>
          <w:trHeight w:val="267"/>
        </w:trPr>
        <w:tc>
          <w:tcPr>
            <w:tcW w:w="19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740" w:type="dxa"/>
            <w:vAlign w:val="bottom"/>
            <w:gridSpan w:val="4"/>
          </w:tcPr>
          <w:p>
            <w:pPr>
              <w:jc w:val="right"/>
              <w:ind w:right="1485"/>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98"/>
        </w:trPr>
        <w:tc>
          <w:tcPr>
            <w:tcW w:w="4480" w:type="dxa"/>
            <w:vAlign w:val="bottom"/>
            <w:gridSpan w:val="2"/>
          </w:tcPr>
          <w:p>
            <w:pPr>
              <w:jc w:val="right"/>
              <w:ind w:right="60"/>
              <w:spacing w:after="0"/>
              <w:rPr>
                <w:sz w:val="20"/>
                <w:szCs w:val="20"/>
                <w:color w:val="auto"/>
              </w:rPr>
            </w:pPr>
            <w:r>
              <w:rPr>
                <w:rFonts w:ascii="Arial" w:cs="Arial" w:eastAsia="Arial" w:hAnsi="Arial"/>
                <w:sz w:val="20"/>
                <w:szCs w:val="20"/>
                <w:color w:val="auto"/>
                <w:w w:val="89"/>
              </w:rPr>
              <w:t xml:space="preserve">Facilities and equipment </w:t>
            </w:r>
            <w:r>
              <w:rPr>
                <w:rFonts w:ascii="Arial" w:cs="Arial" w:eastAsia="Arial" w:hAnsi="Arial"/>
                <w:sz w:val="20"/>
                <w:szCs w:val="20"/>
                <w:color w:val="B4B4B4"/>
                <w:w w:val="89"/>
              </w:rPr>
              <w:t>. . . . . . . . . . . . . . . . . . . . . . . . .</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15,095</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13,302</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0"/>
                <w:szCs w:val="20"/>
                <w:color w:val="auto"/>
                <w:w w:val="89"/>
              </w:rPr>
              <w:t>3 - 40 Years</w:t>
            </w:r>
          </w:p>
        </w:tc>
      </w:tr>
      <w:tr>
        <w:trPr>
          <w:trHeight w:val="294"/>
        </w:trPr>
        <w:tc>
          <w:tcPr>
            <w:tcW w:w="4480" w:type="dxa"/>
            <w:vAlign w:val="bottom"/>
            <w:gridSpan w:val="2"/>
          </w:tcPr>
          <w:p>
            <w:pPr>
              <w:jc w:val="right"/>
              <w:ind w:right="60"/>
              <w:spacing w:after="0"/>
              <w:rPr>
                <w:sz w:val="20"/>
                <w:szCs w:val="20"/>
                <w:color w:val="auto"/>
              </w:rPr>
            </w:pPr>
            <w:r>
              <w:rPr>
                <w:rFonts w:ascii="Arial" w:cs="Arial" w:eastAsia="Arial" w:hAnsi="Arial"/>
                <w:sz w:val="20"/>
                <w:szCs w:val="20"/>
                <w:color w:val="auto"/>
                <w:w w:val="89"/>
              </w:rPr>
              <w:t xml:space="preserve">Land and improvements </w:t>
            </w:r>
            <w:r>
              <w:rPr>
                <w:rFonts w:ascii="Arial" w:cs="Arial" w:eastAsia="Arial" w:hAnsi="Arial"/>
                <w:sz w:val="20"/>
                <w:szCs w:val="20"/>
                <w:color w:val="B4B4B4"/>
                <w:w w:val="89"/>
              </w:rPr>
              <w:t>. . . . . . . . . . . . . . . . . . . . . . . . .</w:t>
            </w:r>
          </w:p>
        </w:tc>
        <w:tc>
          <w:tcPr>
            <w:tcW w:w="2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644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537</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98"/>
        </w:trPr>
        <w:tc>
          <w:tcPr>
            <w:tcW w:w="4480" w:type="dxa"/>
            <w:vAlign w:val="bottom"/>
            <w:gridSpan w:val="2"/>
          </w:tcPr>
          <w:p>
            <w:pPr>
              <w:jc w:val="right"/>
              <w:ind w:right="60"/>
              <w:spacing w:after="0"/>
              <w:rPr>
                <w:sz w:val="20"/>
                <w:szCs w:val="20"/>
                <w:color w:val="auto"/>
              </w:rPr>
            </w:pPr>
            <w:r>
              <w:rPr>
                <w:rFonts w:ascii="Arial" w:cs="Arial" w:eastAsia="Arial" w:hAnsi="Arial"/>
                <w:sz w:val="20"/>
                <w:szCs w:val="20"/>
                <w:color w:val="auto"/>
                <w:w w:val="87"/>
              </w:rPr>
              <w:t xml:space="preserve">Construction in progress </w:t>
            </w:r>
            <w:r>
              <w:rPr>
                <w:rFonts w:ascii="Arial" w:cs="Arial" w:eastAsia="Arial" w:hAnsi="Arial"/>
                <w:sz w:val="25"/>
                <w:szCs w:val="25"/>
                <w:color w:val="auto"/>
                <w:w w:val="87"/>
                <w:vertAlign w:val="superscript"/>
              </w:rPr>
              <w:t>(a) (b)</w:t>
            </w:r>
            <w:r>
              <w:rPr>
                <w:rFonts w:ascii="Arial" w:cs="Arial" w:eastAsia="Arial" w:hAnsi="Arial"/>
                <w:sz w:val="20"/>
                <w:szCs w:val="20"/>
                <w:color w:val="auto"/>
                <w:w w:val="87"/>
              </w:rPr>
              <w:t xml:space="preserve"> </w:t>
            </w:r>
            <w:r>
              <w:rPr>
                <w:rFonts w:ascii="Arial" w:cs="Arial" w:eastAsia="Arial" w:hAnsi="Arial"/>
                <w:sz w:val="20"/>
                <w:szCs w:val="20"/>
                <w:color w:val="B4B4B4"/>
                <w:w w:val="87"/>
              </w:rPr>
              <w:t>. . . . . . . . . . . . . . . . . . . . .</w:t>
            </w: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4480" w:type="dxa"/>
            <w:vAlign w:val="bottom"/>
            <w:gridSpan w:val="2"/>
          </w:tcPr>
          <w:p>
            <w:pPr>
              <w:jc w:val="right"/>
              <w:ind w:right="60"/>
              <w:spacing w:after="0"/>
              <w:rPr>
                <w:sz w:val="20"/>
                <w:szCs w:val="20"/>
                <w:color w:val="auto"/>
              </w:rPr>
            </w:pPr>
            <w:r>
              <w:rPr>
                <w:rFonts w:ascii="Arial" w:cs="Arial" w:eastAsia="Arial" w:hAnsi="Arial"/>
                <w:sz w:val="20"/>
                <w:szCs w:val="20"/>
                <w:color w:val="auto"/>
                <w:w w:val="95"/>
              </w:rPr>
              <w:t xml:space="preserve">Total property, plant and equipment </w:t>
            </w:r>
            <w:r>
              <w:rPr>
                <w:rFonts w:ascii="Arial" w:cs="Arial" w:eastAsia="Arial" w:hAnsi="Arial"/>
                <w:sz w:val="20"/>
                <w:szCs w:val="20"/>
                <w:color w:val="B4B4B4"/>
                <w:w w:val="95"/>
              </w:rPr>
              <w:t>. . . . . . . . . . . . .</w:t>
            </w:r>
          </w:p>
        </w:tc>
        <w:tc>
          <w:tcPr>
            <w:tcW w:w="2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16,269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20"/>
                <w:szCs w:val="20"/>
                <w:color w:val="auto"/>
              </w:rPr>
              <w:t>14,030</w:t>
            </w: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98"/>
        </w:trPr>
        <w:tc>
          <w:tcPr>
            <w:tcW w:w="4480" w:type="dxa"/>
            <w:vAlign w:val="bottom"/>
            <w:gridSpan w:val="2"/>
          </w:tcPr>
          <w:p>
            <w:pPr>
              <w:jc w:val="right"/>
              <w:ind w:right="60"/>
              <w:spacing w:after="0"/>
              <w:rPr>
                <w:sz w:val="20"/>
                <w:szCs w:val="20"/>
                <w:color w:val="auto"/>
              </w:rPr>
            </w:pPr>
            <w:r>
              <w:rPr>
                <w:rFonts w:ascii="Arial" w:cs="Arial" w:eastAsia="Arial" w:hAnsi="Arial"/>
                <w:sz w:val="20"/>
                <w:szCs w:val="20"/>
                <w:color w:val="auto"/>
                <w:w w:val="90"/>
              </w:rPr>
              <w:t xml:space="preserve">Accumulated depreciation </w:t>
            </w:r>
            <w:r>
              <w:rPr>
                <w:rFonts w:ascii="Arial" w:cs="Arial" w:eastAsia="Arial" w:hAnsi="Arial"/>
                <w:sz w:val="20"/>
                <w:szCs w:val="20"/>
                <w:color w:val="B4B4B4"/>
                <w:w w:val="90"/>
              </w:rPr>
              <w:t>. . . . . . . . . . . . . . . . . . . . . . .</w:t>
            </w: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(4,673)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(4,086)</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4"/>
        </w:trPr>
        <w:tc>
          <w:tcPr>
            <w:tcW w:w="4480" w:type="dxa"/>
            <w:vAlign w:val="bottom"/>
            <w:gridSpan w:val="2"/>
          </w:tcPr>
          <w:p>
            <w:pPr>
              <w:jc w:val="right"/>
              <w:ind w:right="60"/>
              <w:spacing w:after="0"/>
              <w:rPr>
                <w:sz w:val="20"/>
                <w:szCs w:val="20"/>
                <w:color w:val="auto"/>
              </w:rPr>
            </w:pPr>
            <w:r>
              <w:rPr>
                <w:rFonts w:ascii="Arial" w:cs="Arial" w:eastAsia="Arial" w:hAnsi="Arial"/>
                <w:sz w:val="20"/>
                <w:szCs w:val="20"/>
                <w:color w:val="auto"/>
                <w:w w:val="94"/>
              </w:rPr>
              <w:t xml:space="preserve">Net property, plant and equipment  </w:t>
            </w:r>
            <w:r>
              <w:rPr>
                <w:rFonts w:ascii="Arial" w:cs="Arial" w:eastAsia="Arial" w:hAnsi="Arial"/>
                <w:sz w:val="20"/>
                <w:szCs w:val="20"/>
                <w:color w:val="B4B4B4"/>
                <w:w w:val="94"/>
              </w:rPr>
              <w:t>. . . . . . . . . . . . . .</w:t>
            </w: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11,596</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700" w:type="dxa"/>
            <w:vAlign w:val="bottom"/>
          </w:tcPr>
          <w:p>
            <w:pPr>
              <w:jc w:val="right"/>
              <w:spacing w:after="0"/>
              <w:rPr>
                <w:sz w:val="20"/>
                <w:szCs w:val="20"/>
                <w:color w:val="auto"/>
              </w:rPr>
            </w:pPr>
            <w:r>
              <w:rPr>
                <w:rFonts w:ascii="Arial" w:cs="Arial" w:eastAsia="Arial" w:hAnsi="Arial"/>
                <w:sz w:val="20"/>
                <w:szCs w:val="20"/>
                <w:color w:val="auto"/>
              </w:rPr>
              <w:t>9,944</w:t>
            </w:r>
          </w:p>
        </w:tc>
        <w:tc>
          <w:tcPr>
            <w:tcW w:w="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0"/>
        </w:trPr>
        <w:tc>
          <w:tcPr>
            <w:tcW w:w="1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2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-1247775</wp:posOffset>
            </wp:positionV>
            <wp:extent cx="6410325" cy="1158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8">
                      <a:extLst>
                        <a:ext uri="{28A0092B-C50C-407E-A947-70E740481C1C}"/>
                      </a:extLst>
                    </a:blip>
                    <a:srcRect/>
                    <a:stretch>
                      <a:fillRect/>
                    </a:stretch>
                  </pic:blipFill>
                  <pic:spPr bwMode="auto">
                    <a:xfrm>
                      <a:off x="0" y="0"/>
                      <a:ext cx="6410325" cy="1158240"/>
                    </a:xfrm>
                    <a:prstGeom prst="rect">
                      <a:avLst/>
                    </a:prstGeom>
                    <a:noFill/>
                  </pic:spPr>
                </pic:pic>
              </a:graphicData>
            </a:graphic>
          </wp:anchor>
        </w:drawing>
      </w:r>
    </w:p>
    <w:p>
      <w:pPr>
        <w:spacing w:after="0" w:line="85" w:lineRule="exact"/>
        <w:rPr>
          <w:sz w:val="20"/>
          <w:szCs w:val="20"/>
          <w:color w:val="auto"/>
        </w:rPr>
      </w:pPr>
    </w:p>
    <w:p>
      <w:pPr>
        <w:ind w:left="80" w:firstLine="1"/>
        <w:spacing w:after="0" w:line="243" w:lineRule="auto"/>
        <w:tabs>
          <w:tab w:leader="none" w:pos="274" w:val="left"/>
        </w:tabs>
        <w:numPr>
          <w:ilvl w:val="0"/>
          <w:numId w:val="61"/>
        </w:numPr>
        <w:rPr>
          <w:rFonts w:ascii="Arial" w:cs="Arial" w:eastAsia="Arial" w:hAnsi="Arial"/>
          <w:sz w:val="23"/>
          <w:szCs w:val="23"/>
          <w:color w:val="auto"/>
          <w:vertAlign w:val="superscript"/>
        </w:rPr>
      </w:pPr>
      <w:r>
        <w:rPr>
          <w:rFonts w:ascii="Arial" w:cs="Arial" w:eastAsia="Arial" w:hAnsi="Arial"/>
          <w:sz w:val="16"/>
          <w:szCs w:val="16"/>
          <w:color w:val="auto"/>
        </w:rPr>
        <w:t>As of December 31, 2025 and 2024, construction in progress included $24 million and $23 million, respectively, of capital expenditures that relate to prepaid long-term service agreements for facilities in the Flexible Generation segment.</w:t>
      </w:r>
    </w:p>
    <w:p>
      <w:pPr>
        <w:spacing w:after="0" w:line="51" w:lineRule="exact"/>
        <w:rPr>
          <w:rFonts w:ascii="Arial" w:cs="Arial" w:eastAsia="Arial" w:hAnsi="Arial"/>
          <w:sz w:val="23"/>
          <w:szCs w:val="23"/>
          <w:color w:val="auto"/>
          <w:vertAlign w:val="superscript"/>
        </w:rPr>
      </w:pPr>
    </w:p>
    <w:p>
      <w:pPr>
        <w:ind w:left="80" w:firstLine="1"/>
        <w:spacing w:after="0" w:line="218" w:lineRule="auto"/>
        <w:tabs>
          <w:tab w:leader="none" w:pos="295"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As of December 31, 2025 and 2024, construction in progress included $12 million and $9 million, respectively, of accrued non-cash capital expenditures.</w:t>
      </w:r>
    </w:p>
    <w:p>
      <w:pPr>
        <w:spacing w:after="0" w:line="155"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Depreciation expense related to property, plant and equipment during the years ended December 31, 2025, 2024 and 2023 was $662 million, $610 million and $514 million, respectively. The Company accelerated depreciation of both the Mt. Storm and Goat Mountain wind facilities related to the repowering of the facilities, which resulted in additional depreciation expense in the amount of $22 million for the year ended December 31, 2025.</w:t>
      </w:r>
    </w:p>
    <w:p>
      <w:pPr>
        <w:spacing w:after="0" w:line="130"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 xml:space="preserve">The Company recorded long-lived asset impairments during the year ended December 31, 2023, as further described in Note 9, </w:t>
      </w:r>
      <w:r>
        <w:rPr>
          <w:rFonts w:ascii="Arial" w:cs="Arial" w:eastAsia="Arial" w:hAnsi="Arial"/>
          <w:sz w:val="20"/>
          <w:szCs w:val="20"/>
          <w:b w:val="1"/>
          <w:bCs w:val="1"/>
          <w:i w:val="1"/>
          <w:iCs w:val="1"/>
          <w:color w:val="auto"/>
        </w:rPr>
        <w:t>Asset Impairments.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Investments Accounted for by the Equity Method and Variable Interest Entities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Method Investments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reflects the Company’s equity investments in unconsolidated affiliates as of December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1"/>
                <w:szCs w:val="21"/>
                <w:color w:val="auto"/>
              </w:rPr>
            </w:pPr>
          </w:p>
        </w:tc>
        <w:tc>
          <w:tcPr>
            <w:tcW w:w="21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Economic Interest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144"/>
              <w:spacing w:after="0"/>
              <w:rPr>
                <w:sz w:val="20"/>
                <w:szCs w:val="20"/>
                <w:color w:val="auto"/>
              </w:rPr>
            </w:pPr>
            <w:r>
              <w:rPr>
                <w:rFonts w:ascii="Arial" w:cs="Arial" w:eastAsia="Arial" w:hAnsi="Arial"/>
                <w:sz w:val="18"/>
                <w:szCs w:val="18"/>
                <w:b w:val="1"/>
                <w:bCs w:val="1"/>
                <w:color w:val="auto"/>
                <w:w w:val="88"/>
              </w:rPr>
              <w:t xml:space="preserve">Investment Balance </w:t>
            </w:r>
            <w:r>
              <w:rPr>
                <w:rFonts w:ascii="Arial" w:cs="Arial" w:eastAsia="Arial" w:hAnsi="Arial"/>
                <w:sz w:val="22"/>
                <w:szCs w:val="22"/>
                <w:b w:val="1"/>
                <w:bCs w:val="1"/>
                <w:color w:val="auto"/>
                <w:w w:val="88"/>
                <w:vertAlign w:val="superscript"/>
              </w:rPr>
              <w:t>(a)</w:t>
            </w:r>
          </w:p>
        </w:tc>
      </w:tr>
      <w:tr>
        <w:trPr>
          <w:trHeight w:val="254"/>
        </w:trPr>
        <w:tc>
          <w:tcPr>
            <w:tcW w:w="19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tcPr>
          <w:p>
            <w:pPr>
              <w:jc w:val="right"/>
              <w:ind w:right="504"/>
              <w:spacing w:after="0"/>
              <w:rPr>
                <w:sz w:val="20"/>
                <w:szCs w:val="20"/>
                <w:color w:val="auto"/>
              </w:rPr>
            </w:pPr>
            <w:r>
              <w:rPr>
                <w:rFonts w:ascii="Arial" w:cs="Arial" w:eastAsia="Arial" w:hAnsi="Arial"/>
                <w:sz w:val="18"/>
                <w:szCs w:val="18"/>
                <w:b w:val="1"/>
                <w:bCs w:val="1"/>
                <w:color w:val="auto"/>
              </w:rPr>
              <w:t>(In millions)</w:t>
            </w:r>
          </w:p>
        </w:tc>
      </w:tr>
      <w:tr>
        <w:trPr>
          <w:trHeight w:val="296"/>
        </w:trPr>
        <w:tc>
          <w:tcPr>
            <w:tcW w:w="5580" w:type="dxa"/>
            <w:vAlign w:val="bottom"/>
            <w:gridSpan w:val="2"/>
          </w:tcPr>
          <w:p>
            <w:pPr>
              <w:ind w:left="180"/>
              <w:spacing w:after="0"/>
              <w:rPr>
                <w:sz w:val="20"/>
                <w:szCs w:val="20"/>
                <w:color w:val="auto"/>
              </w:rPr>
            </w:pPr>
            <w:r>
              <w:rPr>
                <w:rFonts w:ascii="Arial" w:cs="Arial" w:eastAsia="Arial" w:hAnsi="Arial"/>
                <w:sz w:val="20"/>
                <w:szCs w:val="20"/>
                <w:color w:val="auto"/>
                <w:w w:val="90"/>
              </w:rPr>
              <w:t xml:space="preserve">Avenal </w:t>
            </w:r>
            <w:r>
              <w:rPr>
                <w:rFonts w:ascii="Arial" w:cs="Arial" w:eastAsia="Arial" w:hAnsi="Arial"/>
                <w:sz w:val="20"/>
                <w:szCs w:val="20"/>
                <w:color w:val="B4B4B4"/>
                <w:w w:val="90"/>
              </w:rPr>
              <w:t>. . . . . . . . . . . . . . . . . . . . . . . . . . . . . . . . . . . . . . . . . . . . . . . .</w:t>
            </w:r>
          </w:p>
        </w:tc>
        <w:tc>
          <w:tcPr>
            <w:tcW w:w="224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50%</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9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94"/>
        </w:trPr>
        <w:tc>
          <w:tcPr>
            <w:tcW w:w="5580" w:type="dxa"/>
            <w:vAlign w:val="bottom"/>
            <w:gridSpan w:val="2"/>
          </w:tcPr>
          <w:p>
            <w:pPr>
              <w:ind w:left="180"/>
              <w:spacing w:after="0"/>
              <w:rPr>
                <w:sz w:val="20"/>
                <w:szCs w:val="20"/>
                <w:color w:val="auto"/>
              </w:rPr>
            </w:pPr>
            <w:r>
              <w:rPr>
                <w:rFonts w:ascii="Arial" w:cs="Arial" w:eastAsia="Arial" w:hAnsi="Arial"/>
                <w:sz w:val="20"/>
                <w:szCs w:val="20"/>
                <w:color w:val="auto"/>
                <w:w w:val="89"/>
              </w:rPr>
              <w:t xml:space="preserve">Desert Sunlight </w:t>
            </w:r>
            <w:r>
              <w:rPr>
                <w:rFonts w:ascii="Arial" w:cs="Arial" w:eastAsia="Arial" w:hAnsi="Arial"/>
                <w:sz w:val="20"/>
                <w:szCs w:val="20"/>
                <w:color w:val="B4B4B4"/>
                <w:w w:val="89"/>
              </w:rPr>
              <w:t>. . . . . . . . . . . . . . . . . . . . . . . . . . . . . . . . . . . . . . . . . .</w:t>
            </w:r>
          </w:p>
        </w:tc>
        <w:tc>
          <w:tcPr>
            <w:tcW w:w="224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212</w:t>
            </w:r>
          </w:p>
        </w:tc>
      </w:tr>
      <w:tr>
        <w:trPr>
          <w:trHeight w:val="294"/>
        </w:trPr>
        <w:tc>
          <w:tcPr>
            <w:tcW w:w="5580" w:type="dxa"/>
            <w:vAlign w:val="bottom"/>
            <w:gridSpan w:val="2"/>
          </w:tcPr>
          <w:p>
            <w:pPr>
              <w:ind w:left="180"/>
              <w:spacing w:after="0"/>
              <w:rPr>
                <w:sz w:val="20"/>
                <w:szCs w:val="20"/>
                <w:color w:val="auto"/>
              </w:rPr>
            </w:pPr>
            <w:r>
              <w:rPr>
                <w:rFonts w:ascii="Arial" w:cs="Arial" w:eastAsia="Arial" w:hAnsi="Arial"/>
                <w:sz w:val="20"/>
                <w:szCs w:val="20"/>
                <w:color w:val="auto"/>
                <w:w w:val="89"/>
              </w:rPr>
              <w:t xml:space="preserve">Elkhorn Ridge  </w:t>
            </w:r>
            <w:r>
              <w:rPr>
                <w:rFonts w:ascii="Arial" w:cs="Arial" w:eastAsia="Arial" w:hAnsi="Arial"/>
                <w:sz w:val="20"/>
                <w:szCs w:val="20"/>
                <w:color w:val="B4B4B4"/>
                <w:w w:val="89"/>
              </w:rPr>
              <w:t>. . . . . . . . . . . . . . . . . . . . . . . . . . . . . . . . . . . . . . . . . .</w:t>
            </w:r>
          </w:p>
        </w:tc>
        <w:tc>
          <w:tcPr>
            <w:tcW w:w="2240" w:type="dxa"/>
            <w:vAlign w:val="bottom"/>
            <w:gridSpan w:val="2"/>
          </w:tcPr>
          <w:p>
            <w:pPr>
              <w:jc w:val="center"/>
              <w:ind w:left="2"/>
              <w:spacing w:after="0"/>
              <w:rPr>
                <w:sz w:val="20"/>
                <w:szCs w:val="20"/>
                <w:color w:val="auto"/>
              </w:rPr>
            </w:pPr>
            <w:r>
              <w:rPr>
                <w:rFonts w:ascii="Arial" w:cs="Arial" w:eastAsia="Arial" w:hAnsi="Arial"/>
                <w:sz w:val="20"/>
                <w:szCs w:val="20"/>
                <w:color w:val="auto"/>
                <w:w w:val="88"/>
              </w:rPr>
              <w:t>66.7%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333"/>
        </w:trPr>
        <w:tc>
          <w:tcPr>
            <w:tcW w:w="5580" w:type="dxa"/>
            <w:vAlign w:val="bottom"/>
            <w:gridSpan w:val="2"/>
          </w:tcPr>
          <w:p>
            <w:pPr>
              <w:ind w:left="180"/>
              <w:spacing w:after="0"/>
              <w:rPr>
                <w:sz w:val="20"/>
                <w:szCs w:val="20"/>
                <w:color w:val="auto"/>
              </w:rPr>
            </w:pPr>
            <w:r>
              <w:rPr>
                <w:rFonts w:ascii="Arial" w:cs="Arial" w:eastAsia="Arial" w:hAnsi="Arial"/>
                <w:sz w:val="20"/>
                <w:szCs w:val="20"/>
                <w:color w:val="auto"/>
                <w:w w:val="88"/>
              </w:rPr>
              <w:t xml:space="preserve">GenConn </w:t>
            </w:r>
            <w:r>
              <w:rPr>
                <w:rFonts w:ascii="Arial" w:cs="Arial" w:eastAsia="Arial" w:hAnsi="Arial"/>
                <w:sz w:val="25"/>
                <w:szCs w:val="25"/>
                <w:color w:val="auto"/>
                <w:w w:val="88"/>
                <w:vertAlign w:val="superscript"/>
              </w:rPr>
              <w:t>(b)</w:t>
            </w:r>
            <w:r>
              <w:rPr>
                <w:rFonts w:ascii="Arial" w:cs="Arial" w:eastAsia="Arial" w:hAnsi="Arial"/>
                <w:sz w:val="20"/>
                <w:szCs w:val="20"/>
                <w:color w:val="auto"/>
                <w:w w:val="88"/>
              </w:rPr>
              <w:t xml:space="preserve">  </w:t>
            </w:r>
            <w:r>
              <w:rPr>
                <w:rFonts w:ascii="Arial" w:cs="Arial" w:eastAsia="Arial" w:hAnsi="Arial"/>
                <w:sz w:val="20"/>
                <w:szCs w:val="20"/>
                <w:color w:val="B4B4B4"/>
                <w:w w:val="88"/>
              </w:rPr>
              <w:t>. . . . . . . . . . . . . . . . . . . . . . . . . . . . . . . . . . . . . . . . . . . .</w:t>
            </w:r>
          </w:p>
        </w:tc>
        <w:tc>
          <w:tcPr>
            <w:tcW w:w="224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58"/>
        </w:trPr>
        <w:tc>
          <w:tcPr>
            <w:tcW w:w="5580" w:type="dxa"/>
            <w:vAlign w:val="bottom"/>
            <w:gridSpan w:val="2"/>
          </w:tcPr>
          <w:p>
            <w:pPr>
              <w:ind w:left="180"/>
              <w:spacing w:after="0"/>
              <w:rPr>
                <w:sz w:val="20"/>
                <w:szCs w:val="20"/>
                <w:color w:val="auto"/>
              </w:rPr>
            </w:pPr>
            <w:r>
              <w:rPr>
                <w:rFonts w:ascii="Arial" w:cs="Arial" w:eastAsia="Arial" w:hAnsi="Arial"/>
                <w:sz w:val="20"/>
                <w:szCs w:val="20"/>
                <w:color w:val="auto"/>
                <w:w w:val="88"/>
              </w:rPr>
              <w:t xml:space="preserve">San Juan Mesa </w:t>
            </w:r>
            <w:r>
              <w:rPr>
                <w:rFonts w:ascii="Arial" w:cs="Arial" w:eastAsia="Arial" w:hAnsi="Arial"/>
                <w:sz w:val="20"/>
                <w:szCs w:val="20"/>
                <w:color w:val="B4B4B4"/>
                <w:w w:val="88"/>
              </w:rPr>
              <w:t>. . . . . . . . . . . . . . . . . . . . . . . . . . . . . . . . . . . . . . . . . .</w:t>
            </w:r>
          </w:p>
        </w:tc>
        <w:tc>
          <w:tcPr>
            <w:tcW w:w="2240" w:type="dxa"/>
            <w:vAlign w:val="bottom"/>
            <w:gridSpan w:val="2"/>
          </w:tcPr>
          <w:p>
            <w:pPr>
              <w:jc w:val="center"/>
              <w:ind w:left="22"/>
              <w:spacing w:after="0"/>
              <w:rPr>
                <w:sz w:val="20"/>
                <w:szCs w:val="20"/>
                <w:color w:val="auto"/>
              </w:rPr>
            </w:pPr>
            <w:r>
              <w:rPr>
                <w:rFonts w:ascii="Arial" w:cs="Arial" w:eastAsia="Arial" w:hAnsi="Arial"/>
                <w:sz w:val="20"/>
                <w:szCs w:val="20"/>
                <w:color w:val="auto"/>
                <w:w w:val="89"/>
              </w:rPr>
              <w:t>75%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54"/>
        </w:trPr>
        <w:tc>
          <w:tcPr>
            <w:tcW w:w="19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960" w:type="dxa"/>
            <w:vAlign w:val="bottom"/>
          </w:tcPr>
          <w:p>
            <w:pPr>
              <w:jc w:val="right"/>
              <w:spacing w:after="0"/>
              <w:rPr>
                <w:sz w:val="20"/>
                <w:szCs w:val="20"/>
                <w:color w:val="auto"/>
              </w:rPr>
            </w:pPr>
            <w:r>
              <w:rPr>
                <w:rFonts w:ascii="Arial" w:cs="Arial" w:eastAsia="Arial" w:hAnsi="Arial"/>
                <w:sz w:val="20"/>
                <w:szCs w:val="20"/>
                <w:color w:val="auto"/>
              </w:rPr>
              <w:t>291</w:t>
            </w:r>
          </w:p>
        </w:tc>
      </w:tr>
      <w:tr>
        <w:trPr>
          <w:trHeight w:val="20"/>
        </w:trPr>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-1247775</wp:posOffset>
            </wp:positionV>
            <wp:extent cx="6410325" cy="1158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9">
                      <a:extLst>
                        <a:ext uri="{28A0092B-C50C-407E-A947-70E740481C1C}"/>
                      </a:extLst>
                    </a:blip>
                    <a:srcRect/>
                    <a:stretch>
                      <a:fillRect/>
                    </a:stretch>
                  </pic:blipFill>
                  <pic:spPr bwMode="auto">
                    <a:xfrm>
                      <a:off x="0" y="0"/>
                      <a:ext cx="6410325" cy="1158240"/>
                    </a:xfrm>
                    <a:prstGeom prst="rect">
                      <a:avLst/>
                    </a:prstGeom>
                    <a:noFill/>
                  </pic:spPr>
                </pic:pic>
              </a:graphicData>
            </a:graphic>
          </wp:anchor>
        </w:drawing>
      </w:r>
    </w:p>
    <w:p>
      <w:pPr>
        <w:ind w:left="300" w:hanging="219"/>
        <w:spacing w:after="0" w:line="230" w:lineRule="auto"/>
        <w:tabs>
          <w:tab w:leader="none" w:pos="300" w:val="left"/>
        </w:tabs>
        <w:numPr>
          <w:ilvl w:val="0"/>
          <w:numId w:val="62"/>
        </w:numPr>
        <w:rPr>
          <w:rFonts w:ascii="Arial" w:cs="Arial" w:eastAsia="Arial" w:hAnsi="Arial"/>
          <w:sz w:val="25"/>
          <w:szCs w:val="25"/>
          <w:color w:val="auto"/>
          <w:vertAlign w:val="superscript"/>
        </w:rPr>
      </w:pPr>
      <w:r>
        <w:rPr>
          <w:rFonts w:ascii="Arial" w:cs="Arial" w:eastAsia="Arial" w:hAnsi="Arial"/>
          <w:sz w:val="18"/>
          <w:szCs w:val="18"/>
          <w:color w:val="auto"/>
        </w:rPr>
        <w:t>The Company’s maximum exposure to loss is limited to its investment balances.</w:t>
      </w:r>
    </w:p>
    <w:p>
      <w:pPr>
        <w:spacing w:after="0" w:line="85" w:lineRule="exact"/>
        <w:rPr>
          <w:rFonts w:ascii="Arial" w:cs="Arial" w:eastAsia="Arial" w:hAnsi="Arial"/>
          <w:sz w:val="25"/>
          <w:szCs w:val="25"/>
          <w:color w:val="auto"/>
          <w:vertAlign w:val="superscript"/>
        </w:rPr>
      </w:pPr>
    </w:p>
    <w:p>
      <w:pPr>
        <w:ind w:left="300" w:hanging="219"/>
        <w:spacing w:after="0" w:line="181" w:lineRule="auto"/>
        <w:tabs>
          <w:tab w:leader="none" w:pos="300" w:val="left"/>
        </w:tabs>
        <w:numPr>
          <w:ilvl w:val="0"/>
          <w:numId w:val="62"/>
        </w:numPr>
        <w:rPr>
          <w:rFonts w:ascii="Arial" w:cs="Arial" w:eastAsia="Arial" w:hAnsi="Arial"/>
          <w:sz w:val="24"/>
          <w:szCs w:val="24"/>
          <w:color w:val="auto"/>
          <w:vertAlign w:val="superscript"/>
        </w:rPr>
      </w:pPr>
      <w:r>
        <w:rPr>
          <w:rFonts w:ascii="Arial" w:cs="Arial" w:eastAsia="Arial" w:hAnsi="Arial"/>
          <w:sz w:val="17"/>
          <w:szCs w:val="17"/>
          <w:color w:val="auto"/>
        </w:rPr>
        <w:t>GenConn is a VIE.</w:t>
      </w:r>
    </w:p>
    <w:p>
      <w:pPr>
        <w:sectPr>
          <w:pgSz w:w="11880" w:h="15480" w:orient="portrait"/>
          <w:cols w:equalWidth="0" w:num="1">
            <w:col w:w="10040"/>
          </w:cols>
          <w:pgMar w:left="920" w:top="584"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880" w:h="15480" w:orient="portrait"/>
          <w:cols w:equalWidth="0" w:num="1">
            <w:col w:w="10040"/>
          </w:cols>
          <w:pgMar w:left="920" w:top="584" w:right="920" w:bottom="0" w:gutter="0" w:footer="0" w:header="0"/>
          <w:type w:val="continuous"/>
        </w:sectPr>
      </w:pPr>
    </w:p>
    <w:bookmarkStart w:id="109" w:name="page110"/>
    <w:bookmarkEnd w:id="109"/>
    <w:p>
      <w:pPr>
        <w:jc w:val="both"/>
        <w:ind w:firstLine="441"/>
        <w:spacing w:after="0" w:line="271" w:lineRule="auto"/>
        <w:rPr>
          <w:sz w:val="20"/>
          <w:szCs w:val="20"/>
          <w:color w:val="auto"/>
        </w:rPr>
      </w:pPr>
      <w:r>
        <w:rPr>
          <w:rFonts w:ascii="Arial" w:cs="Arial" w:eastAsia="Arial" w:hAnsi="Arial"/>
          <w:sz w:val="20"/>
          <w:szCs w:val="20"/>
          <w:color w:val="auto"/>
        </w:rPr>
        <w:t>As of December 31, 2025 and 2024, the Company had $25 million and $20 million, respectively, of undistributed earnings from its equity method investments.</w:t>
      </w:r>
    </w:p>
    <w:p>
      <w:pPr>
        <w:spacing w:after="0" w:line="127"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9"/>
          <w:szCs w:val="19"/>
          <w:color w:val="auto"/>
        </w:rPr>
        <w:t>The Company acquired its interest in Desert Sunlight on June 30, 2015, for $285 million, which resulted in a $181 million difference between the purchase price and the basis of the acquired assets and liabilities. The difference is attributable to the fair value of the property, plant and equipment and PPAs. The Company is amortizing the related basis differences to equity in earnings of unconsolidated subsidiaries over the related useful life of the underlying assets acquired. As of December 31, 2025, the carrying value of the basis difference is $109 million.</w:t>
      </w:r>
    </w:p>
    <w:p>
      <w:pPr>
        <w:spacing w:after="0" w:line="133"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The Company’s pro-rata share of non-recourse debt held by unconsolidated affiliates was $259 million as of December 31, 2025.</w:t>
      </w:r>
    </w:p>
    <w:p>
      <w:pPr>
        <w:spacing w:after="0" w:line="123"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9"/>
          <w:szCs w:val="19"/>
          <w:b w:val="1"/>
          <w:bCs w:val="1"/>
          <w:i w:val="1"/>
          <w:iCs w:val="1"/>
          <w:color w:val="auto"/>
        </w:rPr>
        <w:t xml:space="preserve">Rosie Central BESS </w:t>
      </w:r>
      <w:r>
        <w:rPr>
          <w:rFonts w:ascii="Arial" w:cs="Arial" w:eastAsia="Arial" w:hAnsi="Arial"/>
          <w:sz w:val="19"/>
          <w:szCs w:val="19"/>
          <w:color w:val="auto"/>
        </w:rPr>
        <w:t>— On June 13, 2024, when the Rosamond Central BESS facility reached substantial completion,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Clearway Renew redeemed Rosie Class B LLC’s entire investment of $28 million in Rosie Central BESS utilizing the additional purchase price paid by the Company, as further described in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xml:space="preserve"> Rosie Class B LLC’s equity investment in Rosie Central BESS was comprised of contributions from the Company and the third-party cash equity investor in Rosie TargetCo LLC during the year ended December 31, 2023. The Company previously accounted for its investment in Rosie Central BESS as an equity method investment.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following tables present summarized financial information for the Company’s equity method investments: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6"/>
                <w:szCs w:val="16"/>
                <w:b w:val="1"/>
                <w:bCs w:val="1"/>
                <w:color w:val="auto"/>
                <w:w w:val="89"/>
              </w:rPr>
              <w:t>Year Ended December 31,</w:t>
            </w:r>
          </w:p>
        </w:tc>
        <w:tc>
          <w:tcPr>
            <w:tcW w:w="940" w:type="dxa"/>
            <w:vAlign w:val="bottom"/>
            <w:tcBorders>
              <w:bottom w:val="single" w:sz="8" w:color="auto"/>
            </w:tcBorders>
          </w:tcPr>
          <w:p>
            <w:pPr>
              <w:spacing w:after="0"/>
              <w:rPr>
                <w:sz w:val="18"/>
                <w:szCs w:val="18"/>
                <w:color w:val="auto"/>
              </w:rPr>
            </w:pPr>
          </w:p>
        </w:tc>
      </w:tr>
      <w:tr>
        <w:trPr>
          <w:trHeight w:val="230"/>
        </w:trPr>
        <w:tc>
          <w:tcPr>
            <w:tcW w:w="5740" w:type="dxa"/>
            <w:vAlign w:val="bottom"/>
          </w:tcPr>
          <w:p>
            <w:pPr>
              <w:spacing w:after="0"/>
              <w:rPr>
                <w:sz w:val="19"/>
                <w:szCs w:val="19"/>
                <w:color w:val="auto"/>
              </w:rPr>
            </w:pPr>
          </w:p>
        </w:tc>
        <w:tc>
          <w:tcPr>
            <w:tcW w:w="102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2023</w:t>
            </w:r>
          </w:p>
        </w:tc>
      </w:tr>
      <w:tr>
        <w:trPr>
          <w:trHeight w:val="254"/>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(In millions)</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9"/>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Desert Sunlight</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6"/>
        </w:trPr>
        <w:tc>
          <w:tcPr>
            <w:tcW w:w="5740" w:type="dxa"/>
            <w:vAlign w:val="bottom"/>
          </w:tcPr>
          <w:p>
            <w:pPr>
              <w:ind w:left="40"/>
              <w:spacing w:after="0"/>
              <w:rPr>
                <w:sz w:val="20"/>
                <w:szCs w:val="20"/>
                <w:color w:val="auto"/>
              </w:rPr>
            </w:pPr>
            <w:r>
              <w:rPr>
                <w:rFonts w:ascii="Arial" w:cs="Arial" w:eastAsia="Arial" w:hAnsi="Arial"/>
                <w:sz w:val="20"/>
                <w:szCs w:val="20"/>
                <w:color w:val="auto"/>
                <w:w w:val="88"/>
              </w:rPr>
              <w:t xml:space="preserve">Operating revenues </w:t>
            </w:r>
            <w:r>
              <w:rPr>
                <w:rFonts w:ascii="Arial" w:cs="Arial" w:eastAsia="Arial" w:hAnsi="Arial"/>
                <w:sz w:val="20"/>
                <w:szCs w:val="20"/>
                <w:color w:val="B4B4B4"/>
                <w:w w:val="88"/>
              </w:rPr>
              <w:t>. . . . . . . . . . . . . . . . . . . . . . . . . . . . . . . . . . . . . . . . . .</w:t>
            </w:r>
          </w:p>
        </w:tc>
        <w:tc>
          <w:tcPr>
            <w:tcW w:w="1020" w:type="dxa"/>
            <w:vAlign w:val="bottom"/>
          </w:tcPr>
          <w:p>
            <w:pPr>
              <w:jc w:val="right"/>
              <w:ind w:right="79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6"/>
              </w:rPr>
              <w:t>205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94"/>
        </w:trPr>
        <w:tc>
          <w:tcPr>
            <w:tcW w:w="5740" w:type="dxa"/>
            <w:vAlign w:val="bottom"/>
          </w:tcPr>
          <w:p>
            <w:pPr>
              <w:ind w:left="40"/>
              <w:spacing w:after="0"/>
              <w:rPr>
                <w:sz w:val="20"/>
                <w:szCs w:val="20"/>
                <w:color w:val="auto"/>
              </w:rPr>
            </w:pPr>
            <w:r>
              <w:rPr>
                <w:rFonts w:ascii="Arial" w:cs="Arial" w:eastAsia="Arial" w:hAnsi="Arial"/>
                <w:sz w:val="20"/>
                <w:szCs w:val="20"/>
                <w:color w:val="auto"/>
                <w:w w:val="89"/>
              </w:rPr>
              <w:t xml:space="preserve">Operating income </w:t>
            </w:r>
            <w:r>
              <w:rPr>
                <w:rFonts w:ascii="Arial" w:cs="Arial" w:eastAsia="Arial" w:hAnsi="Arial"/>
                <w:sz w:val="20"/>
                <w:szCs w:val="20"/>
                <w:color w:val="B4B4B4"/>
                <w:w w:val="89"/>
              </w:rPr>
              <w:t>. . . . . . . . . . . . . . . . . . . . . . . . . . . . . . . . . . . . . . . . . . .</w:t>
            </w:r>
          </w:p>
        </w:tc>
        <w:tc>
          <w:tcPr>
            <w:tcW w:w="10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149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94"/>
        </w:trPr>
        <w:tc>
          <w:tcPr>
            <w:tcW w:w="5740" w:type="dxa"/>
            <w:vAlign w:val="bottom"/>
          </w:tcPr>
          <w:p>
            <w:pPr>
              <w:ind w:left="40"/>
              <w:spacing w:after="0"/>
              <w:rPr>
                <w:sz w:val="20"/>
                <w:szCs w:val="20"/>
                <w:color w:val="auto"/>
              </w:rPr>
            </w:pPr>
            <w:r>
              <w:rPr>
                <w:rFonts w:ascii="Arial" w:cs="Arial" w:eastAsia="Arial" w:hAnsi="Arial"/>
                <w:sz w:val="20"/>
                <w:szCs w:val="20"/>
                <w:color w:val="auto"/>
                <w:w w:val="89"/>
              </w:rPr>
              <w:t xml:space="preserve">Net income </w:t>
            </w:r>
            <w:r>
              <w:rPr>
                <w:rFonts w:ascii="Arial" w:cs="Arial" w:eastAsia="Arial" w:hAnsi="Arial"/>
                <w:sz w:val="20"/>
                <w:szCs w:val="20"/>
                <w:color w:val="B4B4B4"/>
                <w:w w:val="89"/>
              </w:rPr>
              <w:t>. . . . . . . . . . . . . . . . . . . . . . . . . . . . . . . . . . . . . . . . . . . . . . . .</w:t>
            </w:r>
          </w:p>
        </w:tc>
        <w:tc>
          <w:tcPr>
            <w:tcW w:w="10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118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9"/>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2"/>
                <w:szCs w:val="22"/>
                <w:b w:val="1"/>
                <w:bCs w:val="1"/>
                <w:color w:val="auto"/>
                <w:vertAlign w:val="superscript"/>
              </w:rPr>
              <w:t>(a)</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5"/>
        </w:trPr>
        <w:tc>
          <w:tcPr>
            <w:tcW w:w="5740" w:type="dxa"/>
            <w:vAlign w:val="bottom"/>
          </w:tcPr>
          <w:p>
            <w:pPr>
              <w:ind w:left="40"/>
              <w:spacing w:after="0"/>
              <w:rPr>
                <w:sz w:val="20"/>
                <w:szCs w:val="20"/>
                <w:color w:val="auto"/>
              </w:rPr>
            </w:pPr>
            <w:r>
              <w:rPr>
                <w:rFonts w:ascii="Arial" w:cs="Arial" w:eastAsia="Arial" w:hAnsi="Arial"/>
                <w:sz w:val="20"/>
                <w:szCs w:val="20"/>
                <w:color w:val="auto"/>
                <w:w w:val="88"/>
              </w:rPr>
              <w:t xml:space="preserve">Operating revenues </w:t>
            </w:r>
            <w:r>
              <w:rPr>
                <w:rFonts w:ascii="Arial" w:cs="Arial" w:eastAsia="Arial" w:hAnsi="Arial"/>
                <w:sz w:val="20"/>
                <w:szCs w:val="20"/>
                <w:color w:val="B4B4B4"/>
                <w:w w:val="88"/>
              </w:rPr>
              <w:t>. . . . . . . . . . . . . . . . . . . . . . . . . . . . . . . . . . . . . . . . . .</w:t>
            </w:r>
          </w:p>
        </w:tc>
        <w:tc>
          <w:tcPr>
            <w:tcW w:w="10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94"/>
        </w:trPr>
        <w:tc>
          <w:tcPr>
            <w:tcW w:w="5740" w:type="dxa"/>
            <w:vAlign w:val="bottom"/>
          </w:tcPr>
          <w:p>
            <w:pPr>
              <w:ind w:left="40"/>
              <w:spacing w:after="0"/>
              <w:rPr>
                <w:sz w:val="20"/>
                <w:szCs w:val="20"/>
                <w:color w:val="auto"/>
              </w:rPr>
            </w:pPr>
            <w:r>
              <w:rPr>
                <w:rFonts w:ascii="Arial" w:cs="Arial" w:eastAsia="Arial" w:hAnsi="Arial"/>
                <w:sz w:val="20"/>
                <w:szCs w:val="20"/>
                <w:color w:val="auto"/>
                <w:w w:val="90"/>
              </w:rPr>
              <w:t xml:space="preserve">Operating income  </w:t>
            </w:r>
            <w:r>
              <w:rPr>
                <w:rFonts w:ascii="Arial" w:cs="Arial" w:eastAsia="Arial" w:hAnsi="Arial"/>
                <w:sz w:val="20"/>
                <w:szCs w:val="20"/>
                <w:color w:val="B4B4B4"/>
                <w:w w:val="90"/>
              </w:rPr>
              <w:t>. . . . . . . . . . . . . . . . . . . . . . . . . . . . . . . . . . . . . . . . . .</w:t>
            </w:r>
          </w:p>
        </w:tc>
        <w:tc>
          <w:tcPr>
            <w:tcW w:w="10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4"/>
        </w:trPr>
        <w:tc>
          <w:tcPr>
            <w:tcW w:w="5740" w:type="dxa"/>
            <w:vAlign w:val="bottom"/>
          </w:tcPr>
          <w:p>
            <w:pPr>
              <w:ind w:left="40"/>
              <w:spacing w:after="0"/>
              <w:rPr>
                <w:sz w:val="20"/>
                <w:szCs w:val="20"/>
                <w:color w:val="auto"/>
              </w:rPr>
            </w:pPr>
            <w:r>
              <w:rPr>
                <w:rFonts w:ascii="Arial" w:cs="Arial" w:eastAsia="Arial" w:hAnsi="Arial"/>
                <w:sz w:val="20"/>
                <w:szCs w:val="20"/>
                <w:color w:val="auto"/>
                <w:w w:val="89"/>
              </w:rPr>
              <w:t xml:space="preserve">Net income </w:t>
            </w:r>
            <w:r>
              <w:rPr>
                <w:rFonts w:ascii="Arial" w:cs="Arial" w:eastAsia="Arial" w:hAnsi="Arial"/>
                <w:sz w:val="20"/>
                <w:szCs w:val="20"/>
                <w:color w:val="B4B4B4"/>
                <w:w w:val="89"/>
              </w:rPr>
              <w:t>. . . . . . . . . . . . . . . . . . . . . . . . . . . . . . . . . . . . . . . . . . . . . . . .</w:t>
            </w:r>
          </w:p>
        </w:tc>
        <w:tc>
          <w:tcPr>
            <w:tcW w:w="10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56"/>
        </w:trPr>
        <w:tc>
          <w:tcPr>
            <w:tcW w:w="5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6"/>
                <w:szCs w:val="16"/>
                <w:b w:val="1"/>
                <w:bCs w:val="1"/>
                <w:color w:val="auto"/>
              </w:rPr>
              <w:t>As of December 31,</w:t>
            </w:r>
          </w:p>
        </w:tc>
      </w:tr>
      <w:tr>
        <w:trPr>
          <w:trHeight w:val="230"/>
        </w:trPr>
        <w:tc>
          <w:tcPr>
            <w:tcW w:w="5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b w:val="1"/>
                <w:bCs w:val="1"/>
                <w:color w:val="auto"/>
                <w:w w:val="89"/>
              </w:rPr>
              <w:t>2025</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2024</w:t>
            </w:r>
          </w:p>
        </w:tc>
      </w:tr>
      <w:tr>
        <w:trPr>
          <w:trHeight w:val="254"/>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Pr>
          <w:p>
            <w:pPr>
              <w:spacing w:after="0"/>
              <w:rPr>
                <w:sz w:val="22"/>
                <w:szCs w:val="22"/>
                <w:color w:val="auto"/>
              </w:rPr>
            </w:pPr>
          </w:p>
        </w:tc>
      </w:tr>
      <w:tr>
        <w:trPr>
          <w:trHeight w:val="279"/>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Desert Sunlight</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6"/>
        </w:trPr>
        <w:tc>
          <w:tcPr>
            <w:tcW w:w="6760" w:type="dxa"/>
            <w:vAlign w:val="bottom"/>
            <w:gridSpan w:val="2"/>
          </w:tcPr>
          <w:p>
            <w:pPr>
              <w:ind w:left="40"/>
              <w:spacing w:after="0"/>
              <w:rPr>
                <w:sz w:val="20"/>
                <w:szCs w:val="20"/>
                <w:color w:val="auto"/>
              </w:rPr>
            </w:pPr>
            <w:r>
              <w:rPr>
                <w:rFonts w:ascii="Arial" w:cs="Arial" w:eastAsia="Arial" w:hAnsi="Arial"/>
                <w:sz w:val="20"/>
                <w:szCs w:val="20"/>
                <w:color w:val="auto"/>
                <w:highlight w:val="white"/>
                <w:w w:val="87"/>
              </w:rPr>
              <w:t xml:space="preserve">Current assets </w:t>
            </w:r>
            <w:r>
              <w:rPr>
                <w:rFonts w:ascii="Arial" w:cs="Arial" w:eastAsia="Arial" w:hAnsi="Arial"/>
                <w:sz w:val="20"/>
                <w:szCs w:val="20"/>
                <w:color w:val="B4B4B4"/>
                <w:highlight w:val="white"/>
                <w:w w:val="87"/>
              </w:rPr>
              <w:t>. . . . . . . .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4B4B4"/>
                <w:highlight w:val="white"/>
              </w:rPr>
              <w:t>. . .</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94"/>
        </w:trPr>
        <w:tc>
          <w:tcPr>
            <w:tcW w:w="6760" w:type="dxa"/>
            <w:vAlign w:val="bottom"/>
            <w:gridSpan w:val="2"/>
          </w:tcPr>
          <w:p>
            <w:pPr>
              <w:ind w:left="40"/>
              <w:spacing w:after="0"/>
              <w:rPr>
                <w:sz w:val="20"/>
                <w:szCs w:val="20"/>
                <w:color w:val="auto"/>
              </w:rPr>
            </w:pPr>
            <w:r>
              <w:rPr>
                <w:rFonts w:ascii="Arial" w:cs="Arial" w:eastAsia="Arial" w:hAnsi="Arial"/>
                <w:sz w:val="20"/>
                <w:szCs w:val="20"/>
                <w:color w:val="auto"/>
                <w:w w:val="88"/>
              </w:rPr>
              <w:t xml:space="preserve">Non-current assets </w:t>
            </w:r>
            <w:r>
              <w:rPr>
                <w:rFonts w:ascii="Arial" w:cs="Arial" w:eastAsia="Arial" w:hAnsi="Arial"/>
                <w:sz w:val="20"/>
                <w:szCs w:val="20"/>
                <w:color w:val="B4B4B4"/>
                <w:w w:val="88"/>
              </w:rPr>
              <w:t>. . . .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4B4B4"/>
              </w:rPr>
              <w:t>. .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1,086</w:t>
            </w:r>
          </w:p>
        </w:tc>
      </w:tr>
      <w:tr>
        <w:trPr>
          <w:trHeight w:val="294"/>
        </w:trPr>
        <w:tc>
          <w:tcPr>
            <w:tcW w:w="6760" w:type="dxa"/>
            <w:vAlign w:val="bottom"/>
            <w:gridSpan w:val="2"/>
          </w:tcPr>
          <w:p>
            <w:pPr>
              <w:ind w:left="40"/>
              <w:spacing w:after="0"/>
              <w:rPr>
                <w:sz w:val="20"/>
                <w:szCs w:val="20"/>
                <w:color w:val="auto"/>
              </w:rPr>
            </w:pPr>
            <w:r>
              <w:rPr>
                <w:rFonts w:ascii="Arial" w:cs="Arial" w:eastAsia="Arial" w:hAnsi="Arial"/>
                <w:sz w:val="20"/>
                <w:szCs w:val="20"/>
                <w:color w:val="auto"/>
                <w:w w:val="89"/>
              </w:rPr>
              <w:t xml:space="preserve">Current liabilities </w:t>
            </w:r>
            <w:r>
              <w:rPr>
                <w:rFonts w:ascii="Arial" w:cs="Arial" w:eastAsia="Arial" w:hAnsi="Arial"/>
                <w:sz w:val="20"/>
                <w:szCs w:val="20"/>
                <w:color w:val="B4B4B4"/>
                <w:w w:val="89"/>
              </w:rPr>
              <w:t>. . . . .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4B4B4"/>
              </w:rPr>
              <w:t>. .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00"/>
        </w:trPr>
        <w:tc>
          <w:tcPr>
            <w:tcW w:w="6760" w:type="dxa"/>
            <w:vAlign w:val="bottom"/>
            <w:tcBorders>
              <w:bottom w:val="single" w:sz="8" w:color="E6E6E6"/>
            </w:tcBorders>
            <w:gridSpan w:val="2"/>
          </w:tcPr>
          <w:p>
            <w:pPr>
              <w:ind w:left="40"/>
              <w:spacing w:after="0"/>
              <w:rPr>
                <w:sz w:val="20"/>
                <w:szCs w:val="20"/>
                <w:color w:val="auto"/>
              </w:rPr>
            </w:pPr>
            <w:r>
              <w:rPr>
                <w:rFonts w:ascii="Arial" w:cs="Arial" w:eastAsia="Arial" w:hAnsi="Arial"/>
                <w:sz w:val="20"/>
                <w:szCs w:val="20"/>
                <w:color w:val="auto"/>
                <w:w w:val="90"/>
              </w:rPr>
              <w:t xml:space="preserve">Non-current liabilities </w:t>
            </w:r>
            <w:r>
              <w:rPr>
                <w:rFonts w:ascii="Arial" w:cs="Arial" w:eastAsia="Arial" w:hAnsi="Arial"/>
                <w:sz w:val="20"/>
                <w:szCs w:val="20"/>
                <w:color w:val="B4B4B4"/>
                <w:w w:val="90"/>
              </w:rPr>
              <w:t>. . . . . . . . . . . . . . . . . . . . . . . . . . . . . . . . . . . . . . . . . . . . . . . . . .</w:t>
            </w:r>
          </w:p>
        </w:tc>
        <w:tc>
          <w:tcPr>
            <w:tcW w:w="340" w:type="dxa"/>
            <w:vAlign w:val="bottom"/>
            <w:tcBorders>
              <w:bottom w:val="single" w:sz="8" w:color="E6E6E6"/>
            </w:tcBorders>
          </w:tcPr>
          <w:p>
            <w:pPr>
              <w:jc w:val="right"/>
              <w:spacing w:after="0"/>
              <w:rPr>
                <w:sz w:val="20"/>
                <w:szCs w:val="20"/>
                <w:color w:val="auto"/>
              </w:rPr>
            </w:pPr>
            <w:r>
              <w:rPr>
                <w:rFonts w:ascii="Arial" w:cs="Arial" w:eastAsia="Arial" w:hAnsi="Arial"/>
                <w:sz w:val="20"/>
                <w:szCs w:val="20"/>
                <w:color w:val="B4B4B4"/>
                <w:w w:val="93"/>
              </w:rPr>
              <w:t>. .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93"/>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2"/>
                <w:szCs w:val="22"/>
                <w:b w:val="1"/>
                <w:bCs w:val="1"/>
                <w:color w:val="auto"/>
                <w:vertAlign w:val="superscript"/>
              </w:rPr>
              <w:t>(a)</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5"/>
        </w:trPr>
        <w:tc>
          <w:tcPr>
            <w:tcW w:w="6760" w:type="dxa"/>
            <w:vAlign w:val="bottom"/>
            <w:gridSpan w:val="2"/>
          </w:tcPr>
          <w:p>
            <w:pPr>
              <w:ind w:left="40"/>
              <w:spacing w:after="0"/>
              <w:rPr>
                <w:sz w:val="20"/>
                <w:szCs w:val="20"/>
                <w:color w:val="auto"/>
              </w:rPr>
            </w:pPr>
            <w:r>
              <w:rPr>
                <w:rFonts w:ascii="Arial" w:cs="Arial" w:eastAsia="Arial" w:hAnsi="Arial"/>
                <w:sz w:val="20"/>
                <w:szCs w:val="20"/>
                <w:color w:val="auto"/>
                <w:w w:val="87"/>
                <w:shd w:val="clear" w:color="auto" w:fill="E6E6E6"/>
              </w:rPr>
              <w:t xml:space="preserve">Current assets </w:t>
            </w:r>
            <w:r>
              <w:rPr>
                <w:rFonts w:ascii="Arial" w:cs="Arial" w:eastAsia="Arial" w:hAnsi="Arial"/>
                <w:sz w:val="20"/>
                <w:szCs w:val="20"/>
                <w:color w:val="B4B4B4"/>
                <w:w w:val="87"/>
                <w:shd w:val="clear" w:color="auto" w:fill="E6E6E6"/>
              </w:rPr>
              <w:t>. . . . . . . .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4B4B4"/>
                <w:shd w:val="clear" w:color="auto" w:fill="E6E6E6"/>
              </w:rPr>
              <w:t>. .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94"/>
        </w:trPr>
        <w:tc>
          <w:tcPr>
            <w:tcW w:w="6760" w:type="dxa"/>
            <w:vAlign w:val="bottom"/>
            <w:gridSpan w:val="2"/>
          </w:tcPr>
          <w:p>
            <w:pPr>
              <w:ind w:left="40"/>
              <w:spacing w:after="0"/>
              <w:rPr>
                <w:sz w:val="20"/>
                <w:szCs w:val="20"/>
                <w:color w:val="auto"/>
              </w:rPr>
            </w:pPr>
            <w:r>
              <w:rPr>
                <w:rFonts w:ascii="Arial" w:cs="Arial" w:eastAsia="Arial" w:hAnsi="Arial"/>
                <w:sz w:val="20"/>
                <w:szCs w:val="20"/>
                <w:color w:val="auto"/>
                <w:w w:val="88"/>
              </w:rPr>
              <w:t xml:space="preserve">Non-current assets </w:t>
            </w:r>
            <w:r>
              <w:rPr>
                <w:rFonts w:ascii="Arial" w:cs="Arial" w:eastAsia="Arial" w:hAnsi="Arial"/>
                <w:sz w:val="20"/>
                <w:szCs w:val="20"/>
                <w:color w:val="B4B4B4"/>
                <w:w w:val="88"/>
              </w:rPr>
              <w:t>. . . .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4B4B4"/>
              </w:rPr>
              <w:t>. .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94"/>
        </w:trPr>
        <w:tc>
          <w:tcPr>
            <w:tcW w:w="6760" w:type="dxa"/>
            <w:vAlign w:val="bottom"/>
            <w:gridSpan w:val="2"/>
          </w:tcPr>
          <w:p>
            <w:pPr>
              <w:ind w:left="40"/>
              <w:spacing w:after="0"/>
              <w:rPr>
                <w:sz w:val="20"/>
                <w:szCs w:val="20"/>
                <w:color w:val="auto"/>
              </w:rPr>
            </w:pPr>
            <w:r>
              <w:rPr>
                <w:rFonts w:ascii="Arial" w:cs="Arial" w:eastAsia="Arial" w:hAnsi="Arial"/>
                <w:sz w:val="20"/>
                <w:szCs w:val="20"/>
                <w:color w:val="auto"/>
                <w:w w:val="89"/>
              </w:rPr>
              <w:t xml:space="preserve">Current liabilities </w:t>
            </w:r>
            <w:r>
              <w:rPr>
                <w:rFonts w:ascii="Arial" w:cs="Arial" w:eastAsia="Arial" w:hAnsi="Arial"/>
                <w:sz w:val="20"/>
                <w:szCs w:val="20"/>
                <w:color w:val="B4B4B4"/>
                <w:w w:val="89"/>
              </w:rPr>
              <w:t>. . . . .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4B4B4"/>
              </w:rPr>
              <w:t>. .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4"/>
        </w:trPr>
        <w:tc>
          <w:tcPr>
            <w:tcW w:w="6760" w:type="dxa"/>
            <w:vAlign w:val="bottom"/>
            <w:gridSpan w:val="2"/>
          </w:tcPr>
          <w:p>
            <w:pPr>
              <w:ind w:left="40"/>
              <w:spacing w:after="0"/>
              <w:rPr>
                <w:sz w:val="20"/>
                <w:szCs w:val="20"/>
                <w:color w:val="auto"/>
              </w:rPr>
            </w:pPr>
            <w:r>
              <w:rPr>
                <w:rFonts w:ascii="Arial" w:cs="Arial" w:eastAsia="Arial" w:hAnsi="Arial"/>
                <w:sz w:val="20"/>
                <w:szCs w:val="20"/>
                <w:color w:val="auto"/>
                <w:w w:val="90"/>
              </w:rPr>
              <w:t xml:space="preserve">Non-current liabilities </w:t>
            </w:r>
            <w:r>
              <w:rPr>
                <w:rFonts w:ascii="Arial" w:cs="Arial" w:eastAsia="Arial" w:hAnsi="Arial"/>
                <w:sz w:val="20"/>
                <w:szCs w:val="20"/>
                <w:color w:val="B4B4B4"/>
                <w:w w:val="90"/>
              </w:rPr>
              <w:t>. . . . . . . . . . . . . . . . . . . . . . . . . . . . . . . . . . . . . . . . . . . . . . . . . .</w:t>
            </w:r>
          </w:p>
        </w:tc>
        <w:tc>
          <w:tcPr>
            <w:tcW w:w="340" w:type="dxa"/>
            <w:vAlign w:val="bottom"/>
          </w:tcPr>
          <w:p>
            <w:pPr>
              <w:jc w:val="right"/>
              <w:spacing w:after="0"/>
              <w:rPr>
                <w:sz w:val="20"/>
                <w:szCs w:val="20"/>
                <w:color w:val="auto"/>
              </w:rPr>
            </w:pPr>
            <w:r>
              <w:rPr>
                <w:rFonts w:ascii="Arial" w:cs="Arial" w:eastAsia="Arial" w:hAnsi="Arial"/>
                <w:sz w:val="20"/>
                <w:szCs w:val="20"/>
                <w:color w:val="B4B4B4"/>
                <w:w w:val="93"/>
              </w:rPr>
              <w:t>. .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-3886835</wp:posOffset>
            </wp:positionV>
            <wp:extent cx="6410325" cy="15005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0">
                      <a:extLst>
                        <a:ext uri="{28A0092B-C50C-407E-A947-70E740481C1C}"/>
                      </a:extLst>
                    </a:blip>
                    <a:srcRect/>
                    <a:stretch>
                      <a:fillRect/>
                    </a:stretch>
                  </pic:blipFill>
                  <pic:spPr bwMode="auto">
                    <a:xfrm>
                      <a:off x="0" y="0"/>
                      <a:ext cx="6410325" cy="15005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-1851660</wp:posOffset>
            </wp:positionV>
            <wp:extent cx="6410325" cy="19761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1">
                      <a:extLst>
                        <a:ext uri="{28A0092B-C50C-407E-A947-70E740481C1C}"/>
                      </a:extLst>
                    </a:blip>
                    <a:srcRect/>
                    <a:stretch>
                      <a:fillRect/>
                    </a:stretch>
                  </pic:blipFill>
                  <pic:spPr bwMode="auto">
                    <a:xfrm>
                      <a:off x="0" y="0"/>
                      <a:ext cx="6410325" cy="1976120"/>
                    </a:xfrm>
                    <a:prstGeom prst="rect">
                      <a:avLst/>
                    </a:prstGeom>
                    <a:noFill/>
                  </pic:spPr>
                </pic:pic>
              </a:graphicData>
            </a:graphic>
          </wp:anchor>
        </w:drawing>
      </w:r>
    </w:p>
    <w:p>
      <w:pPr>
        <w:spacing w:after="0" w:line="157" w:lineRule="exact"/>
        <w:rPr>
          <w:sz w:val="20"/>
          <w:szCs w:val="20"/>
          <w:color w:val="auto"/>
        </w:rPr>
      </w:pPr>
    </w:p>
    <w:p>
      <w:pPr>
        <w:ind w:left="300" w:hanging="219"/>
        <w:spacing w:after="0"/>
        <w:tabs>
          <w:tab w:leader="none" w:pos="300" w:val="left"/>
        </w:tabs>
        <w:numPr>
          <w:ilvl w:val="0"/>
          <w:numId w:val="63"/>
        </w:numPr>
        <w:rPr>
          <w:rFonts w:ascii="Arial" w:cs="Arial" w:eastAsia="Arial" w:hAnsi="Arial"/>
          <w:sz w:val="25"/>
          <w:szCs w:val="25"/>
          <w:color w:val="auto"/>
          <w:vertAlign w:val="superscript"/>
        </w:rPr>
      </w:pPr>
      <w:r>
        <w:rPr>
          <w:rFonts w:ascii="Arial" w:cs="Arial" w:eastAsia="Arial" w:hAnsi="Arial"/>
          <w:sz w:val="16"/>
          <w:szCs w:val="16"/>
          <w:color w:val="auto"/>
        </w:rPr>
        <w:t>Includes Avenal, Elkhorn Ridge, GenConn and San Juan Mesa.</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880" w:h="15480" w:orient="portrait"/>
          <w:cols w:equalWidth="0" w:num="1">
            <w:col w:w="10040"/>
          </w:cols>
          <w:pgMar w:left="920" w:top="584" w:right="920"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Variable Interest Entities, or VIEs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Entities that are Consolidated</w:t>
      </w:r>
    </w:p>
    <w:p>
      <w:pPr>
        <w:spacing w:after="0" w:line="189"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 xml:space="preserve">The Company has a controlling financial interest in certain entities which have been identified as VIEs under ASC 810, </w:t>
      </w:r>
      <w:r>
        <w:rPr>
          <w:rFonts w:ascii="Arial" w:cs="Arial" w:eastAsia="Arial" w:hAnsi="Arial"/>
          <w:sz w:val="17"/>
          <w:szCs w:val="17"/>
          <w:b w:val="1"/>
          <w:bCs w:val="1"/>
          <w:i w:val="1"/>
          <w:iCs w:val="1"/>
          <w:color w:val="auto"/>
        </w:rPr>
        <w:t>Consolidations</w:t>
      </w:r>
      <w:r>
        <w:rPr>
          <w:rFonts w:ascii="Arial" w:cs="Arial" w:eastAsia="Arial" w:hAnsi="Arial"/>
          <w:sz w:val="17"/>
          <w:szCs w:val="17"/>
          <w:color w:val="auto"/>
        </w:rPr>
        <w:t>. These arrangements are primarily related to tax equity arrangements entered into with third parties in order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is a summary of significant activity during 2025 related to the Company’s consolidated VIEs:</w:t>
      </w:r>
    </w:p>
    <w:p>
      <w:pPr>
        <w:spacing w:after="0" w:line="178" w:lineRule="exact"/>
        <w:rPr>
          <w:sz w:val="20"/>
          <w:szCs w:val="20"/>
          <w:color w:val="auto"/>
        </w:rPr>
      </w:pPr>
    </w:p>
    <w:p>
      <w:pPr>
        <w:jc w:val="both"/>
        <w:ind w:firstLine="441"/>
        <w:spacing w:after="0" w:line="265" w:lineRule="auto"/>
        <w:rPr>
          <w:sz w:val="20"/>
          <w:szCs w:val="20"/>
          <w:color w:val="auto"/>
        </w:rPr>
      </w:pPr>
      <w:r>
        <w:rPr>
          <w:rFonts w:ascii="Arial" w:cs="Arial" w:eastAsia="Arial" w:hAnsi="Arial"/>
          <w:sz w:val="19"/>
          <w:szCs w:val="19"/>
          <w:b w:val="1"/>
          <w:bCs w:val="1"/>
          <w:i w:val="1"/>
          <w:iCs w:val="1"/>
          <w:color w:val="auto"/>
        </w:rPr>
        <w:t xml:space="preserve">Honeycomb TE HoldCo LLC </w:t>
      </w:r>
      <w:r>
        <w:rPr>
          <w:rFonts w:ascii="Arial" w:cs="Arial" w:eastAsia="Arial" w:hAnsi="Arial"/>
          <w:sz w:val="19"/>
          <w:szCs w:val="19"/>
          <w:color w:val="auto"/>
        </w:rPr>
        <w:t>— As described in Note 3,</w:t>
      </w:r>
      <w:r>
        <w:rPr>
          <w:rFonts w:ascii="Arial" w:cs="Arial" w:eastAsia="Arial" w:hAnsi="Arial"/>
          <w:sz w:val="19"/>
          <w:szCs w:val="19"/>
          <w:b w:val="1"/>
          <w:bCs w:val="1"/>
          <w:i w:val="1"/>
          <w:iCs w:val="1"/>
          <w:color w:val="auto"/>
        </w:rPr>
        <w:t xml:space="preserve"> Acquisitions and Dispositions</w:t>
      </w:r>
      <w:r>
        <w:rPr>
          <w:rFonts w:ascii="Arial" w:cs="Arial" w:eastAsia="Arial" w:hAnsi="Arial"/>
          <w:sz w:val="19"/>
          <w:szCs w:val="19"/>
          <w:color w:val="auto"/>
        </w:rPr>
        <w:t>, on October 15, 2025,</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Honeycomb 1 Holdco LLC, an indirect subsidiary of the Company, acquired Honeycomb TargetCo. Honeycomb TargetCo consolidates as primary beneficiary, and through its ownership of the Class B membership interests, Honeycomb TE HoldCo LLC, a tax equity fund that owns the Honeycomb Portfolio BESS facilities. The Class A membership interests in Honeycomb TE HoldCo LLC are held by a tax equity investor and are reflected as redeemable noncontrolling interest on the Company’s consolidated balance sheet, as the tax equity arrangement provides the tax equity investor with the right to redeem their interests in the partnership for cash or other assets at a point in time.</w:t>
      </w:r>
    </w:p>
    <w:p>
      <w:pPr>
        <w:spacing w:after="0" w:line="134" w:lineRule="exact"/>
        <w:rPr>
          <w:sz w:val="20"/>
          <w:szCs w:val="20"/>
          <w:color w:val="auto"/>
        </w:rPr>
      </w:pPr>
    </w:p>
    <w:p>
      <w:pPr>
        <w:jc w:val="both"/>
        <w:ind w:firstLine="441"/>
        <w:spacing w:after="0" w:line="304" w:lineRule="auto"/>
        <w:rPr>
          <w:sz w:val="20"/>
          <w:szCs w:val="20"/>
          <w:color w:val="auto"/>
        </w:rPr>
      </w:pPr>
      <w:r>
        <w:rPr>
          <w:rFonts w:ascii="Arial" w:cs="Arial" w:eastAsia="Arial" w:hAnsi="Arial"/>
          <w:sz w:val="17"/>
          <w:szCs w:val="17"/>
          <w:b w:val="1"/>
          <w:bCs w:val="1"/>
          <w:i w:val="1"/>
          <w:iCs w:val="1"/>
          <w:color w:val="auto"/>
        </w:rPr>
        <w:t xml:space="preserve">DGPV Funds </w:t>
      </w:r>
      <w:r>
        <w:rPr>
          <w:rFonts w:ascii="Arial" w:cs="Arial" w:eastAsia="Arial" w:hAnsi="Arial"/>
          <w:sz w:val="17"/>
          <w:szCs w:val="17"/>
          <w:color w:val="auto"/>
        </w:rPr>
        <w:t>— On August 11, 2025, Puma Class B LLC, an indirect subsidiary of the Company, acquired 100%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membership interests in Golden Puma Fund LLC, a tax equity fund that owns several distributed solar facilities, from the tax equity investor for $3 million. Prior to the acquisition, the Company consolidated Golden Puma Fund LLC through its ownership of the Class B membership interests and role as managing member, and the Class A membership interests were reflected as noncontrolling interest on the Company’s consolidated balance sheet. The difference between the historical cost of the Company’s noncontrolling interest and the cash paid to acquire the Class A membership interests was less than $1 million.</w:t>
      </w:r>
    </w:p>
    <w:p>
      <w:pPr>
        <w:spacing w:after="0" w:line="10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9"/>
          <w:szCs w:val="19"/>
          <w:b w:val="1"/>
          <w:bCs w:val="1"/>
          <w:i w:val="1"/>
          <w:iCs w:val="1"/>
          <w:color w:val="auto"/>
        </w:rPr>
        <w:t xml:space="preserve">Pine Forest TargetCo </w:t>
      </w:r>
      <w:r>
        <w:rPr>
          <w:rFonts w:ascii="Arial" w:cs="Arial" w:eastAsia="Arial" w:hAnsi="Arial"/>
          <w:sz w:val="19"/>
          <w:szCs w:val="19"/>
          <w:color w:val="auto"/>
        </w:rPr>
        <w:t>— As described in Note 3,</w:t>
      </w:r>
      <w:r>
        <w:rPr>
          <w:rFonts w:ascii="Arial" w:cs="Arial" w:eastAsia="Arial" w:hAnsi="Arial"/>
          <w:sz w:val="19"/>
          <w:szCs w:val="19"/>
          <w:b w:val="1"/>
          <w:bCs w:val="1"/>
          <w:i w:val="1"/>
          <w:iCs w:val="1"/>
          <w:color w:val="auto"/>
        </w:rPr>
        <w:t xml:space="preserve"> Acquisitions and Dispositions</w:t>
      </w:r>
      <w:r>
        <w:rPr>
          <w:rFonts w:ascii="Arial" w:cs="Arial" w:eastAsia="Arial" w:hAnsi="Arial"/>
          <w:sz w:val="19"/>
          <w:szCs w:val="19"/>
          <w:color w:val="auto"/>
        </w:rPr>
        <w:t>, on June 10, 2025, Pine Forest CE Class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Owner LLC, an indirect subsidiary of the Company, acquired the Class A membership interests in Pine Forest TargetCo, which is a partnership. The Company consolidates Pine Forest TargetCo as a VIE, as the Company is the primary beneficiary. Through its membership interests in Pine Forest TargetCo, the Company receives 50% of distributable cash. The Company recorded the third-party cash equity investor’s noncontrolling interest in Pine Forest TargetCo at the historical carrying amount, with the offset to additional paid-in capital. Pine Forest TargetCo consolidates as primary beneficiary, and through its ownership of the Class B membership interests, Pine Forest TE HoldCo LLC, a tax equity fund that directly owns the Pine Forest solar and BESS facility. The Class A membership interests in Pine Forest TE HoldCo LLC are held by Pine Forest TE Class A, an indirect subsidiary of the Company.</w:t>
      </w:r>
    </w:p>
    <w:p>
      <w:pPr>
        <w:spacing w:after="0" w:line="138" w:lineRule="exact"/>
        <w:rPr>
          <w:sz w:val="20"/>
          <w:szCs w:val="20"/>
          <w:color w:val="auto"/>
        </w:rPr>
      </w:pPr>
    </w:p>
    <w:p>
      <w:pPr>
        <w:jc w:val="both"/>
        <w:ind w:firstLine="441"/>
        <w:spacing w:after="0" w:line="265" w:lineRule="auto"/>
        <w:rPr>
          <w:sz w:val="20"/>
          <w:szCs w:val="20"/>
          <w:color w:val="auto"/>
        </w:rPr>
      </w:pPr>
      <w:r>
        <w:rPr>
          <w:rFonts w:ascii="Arial" w:cs="Arial" w:eastAsia="Arial" w:hAnsi="Arial"/>
          <w:sz w:val="19"/>
          <w:szCs w:val="19"/>
          <w:b w:val="1"/>
          <w:bCs w:val="1"/>
          <w:i w:val="1"/>
          <w:iCs w:val="1"/>
          <w:color w:val="auto"/>
        </w:rPr>
        <w:t xml:space="preserve">Luna Valley TE Holdco LLC </w:t>
      </w:r>
      <w:r>
        <w:rPr>
          <w:rFonts w:ascii="Arial" w:cs="Arial" w:eastAsia="Arial" w:hAnsi="Arial"/>
          <w:sz w:val="19"/>
          <w:szCs w:val="19"/>
          <w:color w:val="auto"/>
        </w:rPr>
        <w:t>— As described in Note 3,</w:t>
      </w:r>
      <w:r>
        <w:rPr>
          <w:rFonts w:ascii="Arial" w:cs="Arial" w:eastAsia="Arial" w:hAnsi="Arial"/>
          <w:sz w:val="19"/>
          <w:szCs w:val="19"/>
          <w:b w:val="1"/>
          <w:bCs w:val="1"/>
          <w:i w:val="1"/>
          <w:iCs w:val="1"/>
          <w:color w:val="auto"/>
        </w:rPr>
        <w:t xml:space="preserve"> Acquisitions and Dispositions</w:t>
      </w:r>
      <w:r>
        <w:rPr>
          <w:rFonts w:ascii="Arial" w:cs="Arial" w:eastAsia="Arial" w:hAnsi="Arial"/>
          <w:sz w:val="19"/>
          <w:szCs w:val="19"/>
          <w:color w:val="auto"/>
        </w:rPr>
        <w:t>, on April 29, 2025, LV-Daggett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Parent Holdco LLC, an indirect subsidiary of the Company, acquired Luna Valley Class B. Luna Valley Class B consolidates as primary beneficiary, and through its ownership of the Class B membership interests, Luna Valley TE Holdco LLC, a tax equity fund that owns the Luna Valley solar facility. The Class A membership interests in Luna Valley TE Holdco LLC are held by a tax equity investor and are reflected as redeemable noncontrolling interest on the Company’s consolidated balance sheet, as the tax equity arrangement provides the tax equity investor with the right to redeem their interests in the partnership for cash or other assets at a point in time.</w:t>
      </w:r>
    </w:p>
    <w:p>
      <w:pPr>
        <w:spacing w:after="0" w:line="134" w:lineRule="exact"/>
        <w:rPr>
          <w:sz w:val="20"/>
          <w:szCs w:val="20"/>
          <w:color w:val="auto"/>
        </w:rPr>
      </w:pPr>
    </w:p>
    <w:p>
      <w:pPr>
        <w:jc w:val="both"/>
        <w:ind w:firstLine="441"/>
        <w:spacing w:after="0" w:line="304" w:lineRule="auto"/>
        <w:rPr>
          <w:sz w:val="20"/>
          <w:szCs w:val="20"/>
          <w:color w:val="auto"/>
        </w:rPr>
      </w:pPr>
      <w:r>
        <w:rPr>
          <w:rFonts w:ascii="Arial" w:cs="Arial" w:eastAsia="Arial" w:hAnsi="Arial"/>
          <w:sz w:val="17"/>
          <w:szCs w:val="17"/>
          <w:b w:val="1"/>
          <w:bCs w:val="1"/>
          <w:i w:val="1"/>
          <w:iCs w:val="1"/>
          <w:color w:val="auto"/>
        </w:rPr>
        <w:t xml:space="preserve">Daggett 1 TE Holdco LLC </w:t>
      </w:r>
      <w:r>
        <w:rPr>
          <w:rFonts w:ascii="Arial" w:cs="Arial" w:eastAsia="Arial" w:hAnsi="Arial"/>
          <w:sz w:val="17"/>
          <w:szCs w:val="17"/>
          <w:color w:val="auto"/>
        </w:rPr>
        <w:t>— As described in Note 3,</w:t>
      </w:r>
      <w:r>
        <w:rPr>
          <w:rFonts w:ascii="Arial" w:cs="Arial" w:eastAsia="Arial" w:hAnsi="Arial"/>
          <w:sz w:val="17"/>
          <w:szCs w:val="17"/>
          <w:b w:val="1"/>
          <w:bCs w:val="1"/>
          <w:i w:val="1"/>
          <w:iCs w:val="1"/>
          <w:color w:val="auto"/>
        </w:rPr>
        <w:t xml:space="preserve"> Acquisitions and Dispositions</w:t>
      </w:r>
      <w:r>
        <w:rPr>
          <w:rFonts w:ascii="Arial" w:cs="Arial" w:eastAsia="Arial" w:hAnsi="Arial"/>
          <w:sz w:val="17"/>
          <w:szCs w:val="17"/>
          <w:color w:val="auto"/>
        </w:rPr>
        <w:t>, on April 29, 2025, LV-Daggett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Parent Holdco LLC acquired Daggett 1 Class B. Daggett 1 Class B consolidates as primary beneficiary, and through its ownership of the Class B membership interests, Daggett 1 TE Holdco LLC, a tax equity fund that owns the Daggett 1 BESS facility. The Class A membership interests in Daggett 1 TE Holdco LLC are held by a tax equity investor and are reflected as redeemable noncontrolling interest on the Company’s consolidated balance sheet, as the tax equity arrangement provides the tax equity investor with the right to redeem their interests in the partnership for cash or other assets at a point in time.</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880" w:h="15480" w:orient="portrait"/>
          <w:cols w:equalWidth="0" w:num="1">
            <w:col w:w="10040"/>
          </w:cols>
          <w:pgMar w:left="920" w:top="577" w:right="920" w:bottom="0" w:gutter="0" w:footer="0" w:header="0"/>
          <w:type w:val="continuous"/>
        </w:sectPr>
      </w:pPr>
    </w:p>
    <w:bookmarkStart w:id="111" w:name="page112"/>
    <w:bookmarkEnd w:id="111"/>
    <w:p>
      <w:pPr>
        <w:jc w:val="both"/>
        <w:ind w:firstLine="441"/>
        <w:spacing w:after="0" w:line="298" w:lineRule="auto"/>
        <w:rPr>
          <w:sz w:val="20"/>
          <w:szCs w:val="20"/>
          <w:color w:val="auto"/>
        </w:rPr>
      </w:pPr>
      <w:r>
        <w:rPr>
          <w:rFonts w:ascii="Arial" w:cs="Arial" w:eastAsia="Arial" w:hAnsi="Arial"/>
          <w:sz w:val="17"/>
          <w:szCs w:val="17"/>
          <w:b w:val="1"/>
          <w:bCs w:val="1"/>
          <w:i w:val="1"/>
          <w:iCs w:val="1"/>
          <w:color w:val="auto"/>
        </w:rPr>
        <w:t xml:space="preserve">Rosie South TargetCo </w:t>
      </w:r>
      <w:r>
        <w:rPr>
          <w:rFonts w:ascii="Arial" w:cs="Arial" w:eastAsia="Arial" w:hAnsi="Arial"/>
          <w:sz w:val="17"/>
          <w:szCs w:val="17"/>
          <w:color w:val="auto"/>
        </w:rPr>
        <w:t>— As described in Note 3,</w:t>
      </w:r>
      <w:r>
        <w:rPr>
          <w:rFonts w:ascii="Arial" w:cs="Arial" w:eastAsia="Arial" w:hAnsi="Arial"/>
          <w:sz w:val="17"/>
          <w:szCs w:val="17"/>
          <w:b w:val="1"/>
          <w:bCs w:val="1"/>
          <w:i w:val="1"/>
          <w:iCs w:val="1"/>
          <w:color w:val="auto"/>
        </w:rPr>
        <w:t xml:space="preserve"> Acquisitions and Dispositions</w:t>
      </w:r>
      <w:r>
        <w:rPr>
          <w:rFonts w:ascii="Arial" w:cs="Arial" w:eastAsia="Arial" w:hAnsi="Arial"/>
          <w:sz w:val="17"/>
          <w:szCs w:val="17"/>
          <w:color w:val="auto"/>
        </w:rPr>
        <w:t>, on March 20, 2025, Rosamond South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LLC, an indirect subsidiary of the Company, acquired the Class A membership interests in Rosie South TargetCo, which is a partnership. The Company consolidates Rosie South TargetCo as a VIE, as the Company is the primary beneficiary. Through its membership interests in Rosie South TargetCo, the Company receives 50% of distributable cash. The Company recorded the third-party cash equity investor’s noncontrolling interest in Rosie South TargetCo at the historical carrying amount, with the offset to additional paid-in capital. Rosie South TargetCo consolidates as primary beneficiary, and through its ownership of the Class B membership interests, Rosie South TE Holdco LLC, a tax equity fund that directly owns the Rosamond South I solar and BESS facility. The Class A membership interests in Rosie South TE Holdco LLC are held by a tax equity investor and are reflected as noncontrolling interest on the Company’s consolidated balance sheet.</w:t>
      </w:r>
    </w:p>
    <w:p>
      <w:pPr>
        <w:spacing w:after="0" w:line="113" w:lineRule="exact"/>
        <w:rPr>
          <w:sz w:val="20"/>
          <w:szCs w:val="20"/>
          <w:color w:val="auto"/>
        </w:rPr>
      </w:pPr>
    </w:p>
    <w:p>
      <w:pPr>
        <w:jc w:val="both"/>
        <w:ind w:firstLine="441"/>
        <w:spacing w:after="0" w:line="361" w:lineRule="auto"/>
        <w:rPr>
          <w:sz w:val="20"/>
          <w:szCs w:val="20"/>
          <w:color w:val="auto"/>
        </w:rPr>
      </w:pPr>
      <w:r>
        <w:rPr>
          <w:rFonts w:ascii="Arial" w:cs="Arial" w:eastAsia="Arial" w:hAnsi="Arial"/>
          <w:sz w:val="17"/>
          <w:szCs w:val="17"/>
          <w:color w:val="auto"/>
        </w:rPr>
        <w:t>The Company has updated the following disclosure of assets and liabilities for its consolidated VIEs to present combined totals, and has revised the amounts as of December 31, 2024 to reflect accurate comparative totals for the same relevant entities:</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6760" w:type="dxa"/>
            <w:vAlign w:val="bottom"/>
          </w:tcPr>
          <w:p>
            <w:pPr>
              <w:jc w:val="right"/>
              <w:ind w:right="5846"/>
              <w:spacing w:after="0"/>
              <w:rPr>
                <w:sz w:val="20"/>
                <w:szCs w:val="20"/>
                <w:color w:val="auto"/>
              </w:rPr>
            </w:pPr>
            <w:r>
              <w:rPr>
                <w:rFonts w:ascii="Arial" w:cs="Arial" w:eastAsia="Arial" w:hAnsi="Arial"/>
                <w:sz w:val="16"/>
                <w:szCs w:val="16"/>
                <w:b w:val="1"/>
                <w:bCs w:val="1"/>
                <w:color w:val="auto"/>
                <w:w w:val="89"/>
              </w:rPr>
              <w:t>(In millions)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2025</w:t>
            </w:r>
          </w:p>
        </w:tc>
        <w:tc>
          <w:tcPr>
            <w:tcW w:w="80" w:type="dxa"/>
            <w:vAlign w:val="bottom"/>
          </w:tcPr>
          <w:p>
            <w:pPr>
              <w:spacing w:after="0"/>
              <w:rPr>
                <w:sz w:val="20"/>
                <w:szCs w:val="20"/>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8"/>
              </w:rPr>
              <w:t>December 31, 2024</w:t>
            </w:r>
          </w:p>
        </w:tc>
      </w:tr>
      <w:tr>
        <w:trPr>
          <w:trHeight w:val="270"/>
        </w:trPr>
        <w:tc>
          <w:tcPr>
            <w:tcW w:w="6760" w:type="dxa"/>
            <w:vAlign w:val="bottom"/>
          </w:tcPr>
          <w:p>
            <w:pPr>
              <w:jc w:val="right"/>
              <w:spacing w:after="0"/>
              <w:rPr>
                <w:sz w:val="20"/>
                <w:szCs w:val="20"/>
                <w:color w:val="auto"/>
              </w:rPr>
            </w:pPr>
            <w:r>
              <w:rPr>
                <w:rFonts w:ascii="Arial" w:cs="Arial" w:eastAsia="Arial" w:hAnsi="Arial"/>
                <w:sz w:val="20"/>
                <w:szCs w:val="20"/>
                <w:color w:val="auto"/>
                <w:w w:val="87"/>
              </w:rPr>
              <w:t xml:space="preserve">Other current and non-current assets </w:t>
            </w:r>
            <w:r>
              <w:rPr>
                <w:rFonts w:ascii="Arial" w:cs="Arial" w:eastAsia="Arial" w:hAnsi="Arial"/>
                <w:sz w:val="20"/>
                <w:szCs w:val="20"/>
                <w:color w:val="B4B4B4"/>
                <w:w w:val="87"/>
              </w:rPr>
              <w:t>. . . . . . . . . . . . . . . . . . . . . . . . . . . . . . . . . . . . . . .</w:t>
            </w:r>
          </w:p>
        </w:tc>
        <w:tc>
          <w:tcPr>
            <w:tcW w:w="600" w:type="dxa"/>
            <w:vAlign w:val="bottom"/>
          </w:tcPr>
          <w:p>
            <w:pPr>
              <w:jc w:val="right"/>
              <w:ind w:right="364"/>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1,031</w:t>
            </w:r>
          </w:p>
        </w:tc>
        <w:tc>
          <w:tcPr>
            <w:tcW w:w="6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755</w:t>
            </w:r>
          </w:p>
        </w:tc>
      </w:tr>
      <w:tr>
        <w:trPr>
          <w:trHeight w:val="298"/>
        </w:trPr>
        <w:tc>
          <w:tcPr>
            <w:tcW w:w="6760" w:type="dxa"/>
            <w:vAlign w:val="bottom"/>
          </w:tcPr>
          <w:p>
            <w:pPr>
              <w:jc w:val="right"/>
              <w:spacing w:after="0"/>
              <w:rPr>
                <w:sz w:val="20"/>
                <w:szCs w:val="20"/>
                <w:color w:val="auto"/>
              </w:rPr>
            </w:pPr>
            <w:r>
              <w:rPr>
                <w:rFonts w:ascii="Arial" w:cs="Arial" w:eastAsia="Arial" w:hAnsi="Arial"/>
                <w:sz w:val="20"/>
                <w:szCs w:val="20"/>
                <w:color w:val="auto"/>
                <w:w w:val="88"/>
              </w:rPr>
              <w:t xml:space="preserve">Property, plant and equipment </w:t>
            </w:r>
            <w:r>
              <w:rPr>
                <w:rFonts w:ascii="Arial" w:cs="Arial" w:eastAsia="Arial" w:hAnsi="Arial"/>
                <w:sz w:val="20"/>
                <w:szCs w:val="20"/>
                <w:color w:val="B4B4B4"/>
                <w:w w:val="88"/>
              </w:rPr>
              <w:t>. . . . . . . . . . . . . . . . . . . . . . . . . . . . . . . . . . . . . . . . . . . .</w:t>
            </w: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7,894</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5,985</w:t>
            </w:r>
          </w:p>
        </w:tc>
      </w:tr>
      <w:tr>
        <w:trPr>
          <w:trHeight w:val="270"/>
        </w:trPr>
        <w:tc>
          <w:tcPr>
            <w:tcW w:w="6760" w:type="dxa"/>
            <w:vAlign w:val="bottom"/>
          </w:tcPr>
          <w:p>
            <w:pPr>
              <w:jc w:val="right"/>
              <w:spacing w:after="0"/>
              <w:rPr>
                <w:sz w:val="20"/>
                <w:szCs w:val="20"/>
                <w:color w:val="auto"/>
              </w:rPr>
            </w:pPr>
            <w:r>
              <w:rPr>
                <w:rFonts w:ascii="Arial" w:cs="Arial" w:eastAsia="Arial" w:hAnsi="Arial"/>
                <w:sz w:val="20"/>
                <w:szCs w:val="20"/>
                <w:color w:val="auto"/>
                <w:w w:val="90"/>
              </w:rPr>
              <w:t xml:space="preserve">Total assets </w:t>
            </w:r>
            <w:r>
              <w:rPr>
                <w:rFonts w:ascii="Arial" w:cs="Arial" w:eastAsia="Arial" w:hAnsi="Arial"/>
                <w:sz w:val="20"/>
                <w:szCs w:val="20"/>
                <w:color w:val="B4B4B4"/>
                <w:w w:val="90"/>
              </w:rPr>
              <w:t>. . . . . . . . . . . . . . . . . . . . . . . . . . . . . . . . . . . . . . . . . . . . . . . . . . . . . . . . .</w:t>
            </w:r>
          </w:p>
        </w:tc>
        <w:tc>
          <w:tcPr>
            <w:tcW w:w="600" w:type="dxa"/>
            <w:vAlign w:val="bottom"/>
          </w:tcPr>
          <w:p>
            <w:pPr>
              <w:jc w:val="right"/>
              <w:ind w:right="364"/>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8,925</w:t>
            </w:r>
          </w:p>
        </w:tc>
        <w:tc>
          <w:tcPr>
            <w:tcW w:w="6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6,740</w:t>
            </w:r>
          </w:p>
        </w:tc>
      </w:tr>
      <w:tr>
        <w:trPr>
          <w:trHeight w:val="294"/>
        </w:trPr>
        <w:tc>
          <w:tcPr>
            <w:tcW w:w="6760" w:type="dxa"/>
            <w:vAlign w:val="bottom"/>
          </w:tcPr>
          <w:p>
            <w:pPr>
              <w:jc w:val="right"/>
              <w:spacing w:after="0"/>
              <w:rPr>
                <w:sz w:val="20"/>
                <w:szCs w:val="20"/>
                <w:color w:val="auto"/>
              </w:rPr>
            </w:pPr>
            <w:r>
              <w:rPr>
                <w:rFonts w:ascii="Arial" w:cs="Arial" w:eastAsia="Arial" w:hAnsi="Arial"/>
                <w:sz w:val="20"/>
                <w:szCs w:val="20"/>
                <w:color w:val="auto"/>
                <w:w w:val="91"/>
              </w:rPr>
              <w:t xml:space="preserve">Total liabilities </w:t>
            </w:r>
            <w:r>
              <w:rPr>
                <w:rFonts w:ascii="Arial" w:cs="Arial" w:eastAsia="Arial" w:hAnsi="Arial"/>
                <w:sz w:val="20"/>
                <w:szCs w:val="20"/>
                <w:color w:val="B4B4B4"/>
                <w:w w:val="91"/>
              </w:rPr>
              <w:t>. . . . . . . . . . . . . . . . . . . . . . . . . . . . . . . . . . . . . . . . . . . . . . . . . . . . . .</w:t>
            </w:r>
          </w:p>
        </w:tc>
        <w:tc>
          <w:tcPr>
            <w:tcW w:w="600" w:type="dxa"/>
            <w:vAlign w:val="bottom"/>
          </w:tcPr>
          <w:p>
            <w:pPr>
              <w:jc w:val="right"/>
              <w:ind w:right="364"/>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2,594</w:t>
            </w:r>
          </w:p>
        </w:tc>
        <w:tc>
          <w:tcPr>
            <w:tcW w:w="66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1,858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-749935</wp:posOffset>
            </wp:positionV>
            <wp:extent cx="6372860" cy="772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2">
                      <a:extLst>
                        <a:ext uri="{28A0092B-C50C-407E-A947-70E740481C1C}"/>
                      </a:extLst>
                    </a:blip>
                    <a:srcRect/>
                    <a:stretch>
                      <a:fillRect/>
                    </a:stretch>
                  </pic:blipFill>
                  <pic:spPr bwMode="auto">
                    <a:xfrm>
                      <a:off x="0" y="0"/>
                      <a:ext cx="6372860" cy="77216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Fair Value of Financial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Accounting under ASC 820</w:t>
      </w:r>
    </w:p>
    <w:p>
      <w:pPr>
        <w:spacing w:after="0" w:line="189" w:lineRule="exact"/>
        <w:rPr>
          <w:sz w:val="20"/>
          <w:szCs w:val="20"/>
          <w:color w:val="auto"/>
        </w:rPr>
      </w:pPr>
    </w:p>
    <w:p>
      <w:pPr>
        <w:ind w:firstLine="441"/>
        <w:spacing w:after="0" w:line="271" w:lineRule="auto"/>
        <w:rPr>
          <w:sz w:val="20"/>
          <w:szCs w:val="20"/>
          <w:color w:val="auto"/>
        </w:rPr>
      </w:pPr>
      <w:r>
        <w:rPr>
          <w:rFonts w:ascii="Arial" w:cs="Arial" w:eastAsia="Arial" w:hAnsi="Arial"/>
          <w:sz w:val="20"/>
          <w:szCs w:val="20"/>
          <w:color w:val="auto"/>
        </w:rPr>
        <w:t>ASC 820 establishes a fair value hierarchy that prioritizes the inputs to valuation techniques used to measure fair value into three levels as follows:</w:t>
      </w:r>
    </w:p>
    <w:p>
      <w:pPr>
        <w:spacing w:after="0" w:line="10" w:lineRule="exact"/>
        <w:rPr>
          <w:sz w:val="20"/>
          <w:szCs w:val="20"/>
          <w:color w:val="auto"/>
        </w:rPr>
      </w:pPr>
    </w:p>
    <w:p>
      <w:pPr>
        <w:ind w:left="1320" w:hanging="269"/>
        <w:spacing w:after="0" w:line="271" w:lineRule="auto"/>
        <w:tabs>
          <w:tab w:leader="none" w:pos="13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Level 1—quoted prices (unadjusted) in active markets for identical assets or liabilities that the Company has the ability to access as of the measurement date.</w:t>
      </w:r>
    </w:p>
    <w:p>
      <w:pPr>
        <w:spacing w:after="0" w:line="9" w:lineRule="exact"/>
        <w:rPr>
          <w:rFonts w:ascii="Arial" w:cs="Arial" w:eastAsia="Arial" w:hAnsi="Arial"/>
          <w:sz w:val="20"/>
          <w:szCs w:val="20"/>
          <w:color w:val="auto"/>
        </w:rPr>
      </w:pPr>
    </w:p>
    <w:p>
      <w:pPr>
        <w:ind w:left="1320" w:hanging="269"/>
        <w:spacing w:after="0" w:line="271" w:lineRule="auto"/>
        <w:tabs>
          <w:tab w:leader="none" w:pos="13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Level 2—inputs other than quoted prices included within Level 1 that are directly observable for the asset or liability or indirectly observable through corroboration with observable market data.</w:t>
      </w:r>
    </w:p>
    <w:p>
      <w:pPr>
        <w:spacing w:after="0" w:line="9" w:lineRule="exact"/>
        <w:rPr>
          <w:rFonts w:ascii="Arial" w:cs="Arial" w:eastAsia="Arial" w:hAnsi="Arial"/>
          <w:sz w:val="20"/>
          <w:szCs w:val="20"/>
          <w:color w:val="auto"/>
        </w:rPr>
      </w:pPr>
    </w:p>
    <w:p>
      <w:pPr>
        <w:ind w:left="1320" w:hanging="269"/>
        <w:spacing w:after="0" w:line="271" w:lineRule="auto"/>
        <w:tabs>
          <w:tab w:leader="none" w:pos="13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Level 3—unobservable inputs for the asset or liability only used when there is little, if any, market activity for the asset or liability at the measurement date.</w:t>
      </w:r>
    </w:p>
    <w:p>
      <w:pPr>
        <w:spacing w:after="0" w:line="69" w:lineRule="exact"/>
        <w:rPr>
          <w:sz w:val="20"/>
          <w:szCs w:val="20"/>
          <w:color w:val="auto"/>
        </w:rPr>
      </w:pPr>
    </w:p>
    <w:p>
      <w:pPr>
        <w:jc w:val="both"/>
        <w:ind w:firstLine="441"/>
        <w:spacing w:after="0" w:line="298" w:lineRule="auto"/>
        <w:rPr>
          <w:sz w:val="20"/>
          <w:szCs w:val="20"/>
          <w:color w:val="auto"/>
        </w:rPr>
      </w:pPr>
      <w:r>
        <w:rPr>
          <w:rFonts w:ascii="Arial" w:cs="Arial" w:eastAsia="Arial" w:hAnsi="Arial"/>
          <w:sz w:val="19"/>
          <w:szCs w:val="19"/>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04"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144"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The carrying amount and estimated fair value of the Company’s recorded financial instrument not carried at fair market value or that does not approximate fair value is as follows:</w:t>
      </w:r>
    </w:p>
    <w:p>
      <w:pPr>
        <w:spacing w:after="0" w:line="83" w:lineRule="exact"/>
        <w:rPr>
          <w:sz w:val="20"/>
          <w:szCs w:val="20"/>
          <w:color w:val="auto"/>
        </w:rPr>
      </w:pPr>
    </w:p>
    <w:tbl>
      <w:tblPr>
        <w:tblLayout w:type="fixed"/>
        <w:tblInd w:w="5540" w:type="dxa"/>
        <w:tblCellMar>
          <w:top w:w="0" w:type="dxa"/>
          <w:left w:w="0" w:type="dxa"/>
          <w:bottom w:w="0" w:type="dxa"/>
          <w:right w:w="0" w:type="dxa"/>
        </w:tblCellMar>
      </w:tblPr>
      <w:tr>
        <w:trPr>
          <w:trHeight w:val="213"/>
        </w:trPr>
        <w:tc>
          <w:tcPr>
            <w:tcW w:w="222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As of December 31, 2025</w:t>
            </w:r>
          </w:p>
        </w:tc>
        <w:tc>
          <w:tcPr>
            <w:tcW w:w="60" w:type="dxa"/>
            <w:vAlign w:val="bottom"/>
          </w:tcPr>
          <w:p>
            <w:pPr>
              <w:spacing w:after="0"/>
              <w:rPr>
                <w:sz w:val="18"/>
                <w:szCs w:val="18"/>
                <w:color w:val="auto"/>
              </w:rPr>
            </w:pPr>
          </w:p>
        </w:tc>
        <w:tc>
          <w:tcPr>
            <w:tcW w:w="222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As of December 31, 2024</w:t>
            </w:r>
          </w:p>
        </w:tc>
        <w:tc>
          <w:tcPr>
            <w:tcW w:w="0" w:type="dxa"/>
            <w:vAlign w:val="bottom"/>
          </w:tcPr>
          <w:p>
            <w:pPr>
              <w:spacing w:after="0"/>
              <w:rPr>
                <w:sz w:val="1"/>
                <w:szCs w:val="1"/>
                <w:color w:val="auto"/>
              </w:rPr>
            </w:pPr>
          </w:p>
        </w:tc>
      </w:tr>
      <w:tr>
        <w:trPr>
          <w:trHeight w:val="138"/>
        </w:trPr>
        <w:tc>
          <w:tcPr>
            <w:tcW w:w="1080" w:type="dxa"/>
            <w:vAlign w:val="bottom"/>
          </w:tcPr>
          <w:p>
            <w:pPr>
              <w:ind w:left="220"/>
              <w:spacing w:after="0" w:line="138" w:lineRule="exact"/>
              <w:rPr>
                <w:sz w:val="20"/>
                <w:szCs w:val="20"/>
                <w:color w:val="auto"/>
              </w:rPr>
            </w:pPr>
            <w:r>
              <w:rPr>
                <w:rFonts w:ascii="Arial" w:cs="Arial" w:eastAsia="Arial" w:hAnsi="Arial"/>
                <w:sz w:val="15"/>
                <w:szCs w:val="15"/>
                <w:b w:val="1"/>
                <w:bCs w:val="1"/>
                <w:color w:val="auto"/>
              </w:rPr>
              <w:t>Carrying</w:t>
            </w:r>
          </w:p>
        </w:tc>
        <w:tc>
          <w:tcPr>
            <w:tcW w:w="11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Fair Value</w:t>
            </w:r>
          </w:p>
        </w:tc>
        <w:tc>
          <w:tcPr>
            <w:tcW w:w="60" w:type="dxa"/>
            <w:vAlign w:val="bottom"/>
          </w:tcPr>
          <w:p>
            <w:pPr>
              <w:spacing w:after="0"/>
              <w:rPr>
                <w:sz w:val="11"/>
                <w:szCs w:val="11"/>
                <w:color w:val="auto"/>
              </w:rPr>
            </w:pPr>
          </w:p>
        </w:tc>
        <w:tc>
          <w:tcPr>
            <w:tcW w:w="1100" w:type="dxa"/>
            <w:vAlign w:val="bottom"/>
          </w:tcPr>
          <w:p>
            <w:pPr>
              <w:ind w:left="240"/>
              <w:spacing w:after="0" w:line="138" w:lineRule="exact"/>
              <w:rPr>
                <w:sz w:val="20"/>
                <w:szCs w:val="20"/>
                <w:color w:val="auto"/>
              </w:rPr>
            </w:pPr>
            <w:r>
              <w:rPr>
                <w:rFonts w:ascii="Arial" w:cs="Arial" w:eastAsia="Arial" w:hAnsi="Arial"/>
                <w:sz w:val="15"/>
                <w:szCs w:val="15"/>
                <w:b w:val="1"/>
                <w:bCs w:val="1"/>
                <w:color w:val="auto"/>
              </w:rPr>
              <w:t>Carrying</w:t>
            </w:r>
          </w:p>
        </w:tc>
        <w:tc>
          <w:tcPr>
            <w:tcW w:w="112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6"/>
        </w:trPr>
        <w:tc>
          <w:tcPr>
            <w:tcW w:w="1080" w:type="dxa"/>
            <w:vAlign w:val="bottom"/>
          </w:tcPr>
          <w:p>
            <w:pPr>
              <w:ind w:left="260"/>
              <w:spacing w:after="0"/>
              <w:rPr>
                <w:sz w:val="20"/>
                <w:szCs w:val="20"/>
                <w:color w:val="auto"/>
              </w:rPr>
            </w:pPr>
            <w:r>
              <w:rPr>
                <w:rFonts w:ascii="Arial" w:cs="Arial" w:eastAsia="Arial" w:hAnsi="Arial"/>
                <w:sz w:val="16"/>
                <w:szCs w:val="16"/>
                <w:b w:val="1"/>
                <w:bCs w:val="1"/>
                <w:color w:val="auto"/>
              </w:rPr>
              <w:t>Amount</w:t>
            </w:r>
          </w:p>
        </w:tc>
        <w:tc>
          <w:tcPr>
            <w:tcW w:w="1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ind w:left="280"/>
              <w:spacing w:after="0"/>
              <w:rPr>
                <w:sz w:val="20"/>
                <w:szCs w:val="20"/>
                <w:color w:val="auto"/>
              </w:rPr>
            </w:pPr>
            <w:r>
              <w:rPr>
                <w:rFonts w:ascii="Arial" w:cs="Arial" w:eastAsia="Arial" w:hAnsi="Arial"/>
                <w:sz w:val="16"/>
                <w:szCs w:val="16"/>
                <w:b w:val="1"/>
                <w:bCs w:val="1"/>
                <w:color w:val="auto"/>
              </w:rPr>
              <w:t>Amount</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3514090</wp:posOffset>
                </wp:positionH>
                <wp:positionV relativeFrom="paragraph">
                  <wp:posOffset>8890</wp:posOffset>
                </wp:positionV>
                <wp:extent cx="68135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7pt,0.7pt" to="330.35pt,0.7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4242435</wp:posOffset>
                </wp:positionH>
                <wp:positionV relativeFrom="paragraph">
                  <wp:posOffset>8890</wp:posOffset>
                </wp:positionV>
                <wp:extent cx="68135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05pt,0.7pt" to="387.7pt,0.7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4970145</wp:posOffset>
                </wp:positionH>
                <wp:positionV relativeFrom="paragraph">
                  <wp:posOffset>8890</wp:posOffset>
                </wp:positionV>
                <wp:extent cx="68135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1.35pt,0.7pt" to="445pt,0.7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5698490</wp:posOffset>
                </wp:positionH>
                <wp:positionV relativeFrom="paragraph">
                  <wp:posOffset>8890</wp:posOffset>
                </wp:positionV>
                <wp:extent cx="68135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7pt,0.7pt" to="502.35pt,0.7pt" o:allowincell="f" strokecolor="#000000" strokeweight="1pt"/>
            </w:pict>
          </mc:Fallback>
        </mc:AlternateContent>
      </w:r>
    </w:p>
    <w:p>
      <w:pPr>
        <w:spacing w:after="0" w:line="7"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6410325" cy="389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3">
                      <a:extLst>
                        <a:ext uri="{28A0092B-C50C-407E-A947-70E740481C1C}"/>
                      </a:extLst>
                    </a:blip>
                    <a:srcRect/>
                    <a:stretch>
                      <a:fillRect/>
                    </a:stretch>
                  </pic:blipFill>
                  <pic:spPr bwMode="auto">
                    <a:xfrm>
                      <a:off x="0" y="0"/>
                      <a:ext cx="6410325" cy="389255"/>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Liabilities:</w:t>
      </w:r>
    </w:p>
    <w:p>
      <w:pPr>
        <w:spacing w:after="0" w:line="68" w:lineRule="exact"/>
        <w:rPr>
          <w:sz w:val="20"/>
          <w:szCs w:val="20"/>
          <w:color w:val="auto"/>
        </w:rPr>
      </w:pPr>
    </w:p>
    <w:p>
      <w:pPr>
        <w:ind w:left="180"/>
        <w:spacing w:after="0"/>
        <w:tabs>
          <w:tab w:leader="none" w:pos="6060" w:val="left"/>
          <w:tab w:leader="none" w:pos="6720" w:val="left"/>
          <w:tab w:leader="none" w:pos="7220" w:val="left"/>
          <w:tab w:leader="none" w:pos="7860" w:val="left"/>
          <w:tab w:leader="none" w:pos="8360" w:val="left"/>
          <w:tab w:leader="none" w:pos="9000" w:val="left"/>
          <w:tab w:leader="none" w:pos="9500" w:val="left"/>
        </w:tabs>
        <w:rPr>
          <w:sz w:val="20"/>
          <w:szCs w:val="20"/>
          <w:color w:val="auto"/>
        </w:rPr>
      </w:pPr>
      <w:r>
        <w:rPr>
          <w:rFonts w:ascii="Arial" w:cs="Arial" w:eastAsia="Arial" w:hAnsi="Arial"/>
          <w:sz w:val="20"/>
          <w:szCs w:val="20"/>
          <w:color w:val="auto"/>
        </w:rPr>
        <w:t xml:space="preserve">Long-term debt, including current portion </w:t>
      </w:r>
      <w:r>
        <w:rPr>
          <w:rFonts w:ascii="Arial" w:cs="Arial" w:eastAsia="Arial" w:hAnsi="Arial"/>
          <w:sz w:val="25"/>
          <w:szCs w:val="25"/>
          <w:color w:val="auto"/>
          <w:vertAlign w:val="superscript"/>
        </w:rPr>
        <w:t>(a)</w:t>
      </w:r>
      <w:r>
        <w:rPr>
          <w:rFonts w:ascii="Arial" w:cs="Arial" w:eastAsia="Arial" w:hAnsi="Arial"/>
          <w:sz w:val="20"/>
          <w:szCs w:val="20"/>
          <w:color w:val="auto"/>
        </w:rPr>
        <w:t xml:space="preserve">  </w:t>
      </w:r>
      <w:r>
        <w:rPr>
          <w:rFonts w:ascii="Arial" w:cs="Arial" w:eastAsia="Arial" w:hAnsi="Arial"/>
          <w:sz w:val="20"/>
          <w:szCs w:val="20"/>
          <w:color w:val="B4B4B4"/>
        </w:rPr>
        <w:t>. . . . . . . . . . . . . . . . . .</w:t>
      </w:r>
      <w:r>
        <w:rPr>
          <w:rFonts w:ascii="Arial" w:cs="Arial" w:eastAsia="Arial" w:hAnsi="Arial"/>
          <w:sz w:val="20"/>
          <w:szCs w:val="20"/>
          <w:color w:val="auto"/>
        </w:rPr>
        <w:t xml:space="preserve"> $</w:t>
      </w:r>
      <w:r>
        <w:rPr>
          <w:sz w:val="20"/>
          <w:szCs w:val="20"/>
          <w:color w:val="auto"/>
        </w:rPr>
        <w:tab/>
      </w:r>
      <w:r>
        <w:rPr>
          <w:rFonts w:ascii="Arial" w:cs="Arial" w:eastAsia="Arial" w:hAnsi="Arial"/>
          <w:sz w:val="20"/>
          <w:szCs w:val="20"/>
          <w:color w:val="auto"/>
        </w:rPr>
        <w:t>8,676</w:t>
        <w:tab/>
        <w:t>$</w:t>
      </w:r>
      <w:r>
        <w:rPr>
          <w:sz w:val="20"/>
          <w:szCs w:val="20"/>
          <w:color w:val="auto"/>
        </w:rPr>
        <w:tab/>
      </w:r>
      <w:r>
        <w:rPr>
          <w:rFonts w:ascii="Arial" w:cs="Arial" w:eastAsia="Arial" w:hAnsi="Arial"/>
          <w:sz w:val="20"/>
          <w:szCs w:val="20"/>
          <w:color w:val="auto"/>
        </w:rPr>
        <w:t>8,382</w:t>
        <w:tab/>
        <w:t>$</w:t>
      </w:r>
      <w:r>
        <w:rPr>
          <w:sz w:val="20"/>
          <w:szCs w:val="20"/>
          <w:color w:val="auto"/>
        </w:rPr>
        <w:tab/>
      </w:r>
      <w:r>
        <w:rPr>
          <w:rFonts w:ascii="Arial" w:cs="Arial" w:eastAsia="Arial" w:hAnsi="Arial"/>
          <w:sz w:val="20"/>
          <w:szCs w:val="20"/>
          <w:color w:val="auto"/>
        </w:rPr>
        <w:t>7,237</w:t>
        <w:tab/>
        <w:t>$</w:t>
      </w:r>
      <w:r>
        <w:rPr>
          <w:sz w:val="20"/>
          <w:szCs w:val="20"/>
          <w:color w:val="auto"/>
        </w:rPr>
        <w:tab/>
      </w:r>
      <w:r>
        <w:rPr>
          <w:rFonts w:ascii="Arial" w:cs="Arial" w:eastAsia="Arial" w:hAnsi="Arial"/>
          <w:sz w:val="17"/>
          <w:szCs w:val="17"/>
          <w:color w:val="auto"/>
        </w:rPr>
        <w:t>6,715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96520</wp:posOffset>
                </wp:positionV>
                <wp:extent cx="124079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07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7.6pt" to="97.35pt,7.6pt" o:allowincell="f" strokecolor="#000000" strokeweight="1pt"/>
            </w:pict>
          </mc:Fallback>
        </mc:AlternateContent>
      </w:r>
    </w:p>
    <w:p>
      <w:pPr>
        <w:spacing w:after="0" w:line="154" w:lineRule="exact"/>
        <w:rPr>
          <w:sz w:val="20"/>
          <w:szCs w:val="20"/>
          <w:color w:val="auto"/>
        </w:rPr>
      </w:pPr>
    </w:p>
    <w:p>
      <w:pPr>
        <w:ind w:left="320" w:hanging="239"/>
        <w:spacing w:after="0"/>
        <w:tabs>
          <w:tab w:leader="none" w:pos="320" w:val="left"/>
        </w:tabs>
        <w:numPr>
          <w:ilvl w:val="0"/>
          <w:numId w:val="65"/>
        </w:numPr>
        <w:rPr>
          <w:rFonts w:ascii="Arial" w:cs="Arial" w:eastAsia="Arial" w:hAnsi="Arial"/>
          <w:sz w:val="23"/>
          <w:szCs w:val="23"/>
          <w:color w:val="auto"/>
          <w:vertAlign w:val="superscript"/>
        </w:rPr>
      </w:pPr>
      <w:r>
        <w:rPr>
          <w:rFonts w:ascii="Arial" w:cs="Arial" w:eastAsia="Arial" w:hAnsi="Arial"/>
          <w:sz w:val="16"/>
          <w:szCs w:val="16"/>
          <w:color w:val="auto"/>
        </w:rPr>
        <w:t>Excludes net debt issuance costs, which are recorded as a reduction to long-term debt on the Company’s consolidated balance sheets.</w:t>
      </w:r>
    </w:p>
    <w:p>
      <w:pPr>
        <w:sectPr>
          <w:pgSz w:w="11880" w:h="15480" w:orient="portrait"/>
          <w:cols w:equalWidth="0" w:num="1">
            <w:col w:w="10040"/>
          </w:cols>
          <w:pgMar w:left="920" w:top="58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880" w:h="15480" w:orient="portrait"/>
          <w:cols w:equalWidth="0" w:num="1">
            <w:col w:w="10040"/>
          </w:cols>
          <w:pgMar w:left="920" w:top="581" w:right="920" w:bottom="0" w:gutter="0" w:footer="0" w:header="0"/>
          <w:type w:val="continuous"/>
        </w:sectPr>
      </w:pPr>
    </w:p>
    <w:bookmarkStart w:id="112" w:name="page113"/>
    <w:bookmarkEnd w:id="112"/>
    <w:p>
      <w:pPr>
        <w:jc w:val="both"/>
        <w:ind w:left="40" w:right="20" w:firstLine="441"/>
        <w:spacing w:after="0" w:line="306" w:lineRule="auto"/>
        <w:rPr>
          <w:sz w:val="20"/>
          <w:szCs w:val="20"/>
          <w:color w:val="auto"/>
        </w:rPr>
      </w:pPr>
      <w:r>
        <w:rPr>
          <w:rFonts w:ascii="Arial" w:cs="Arial" w:eastAsia="Arial" w:hAnsi="Arial"/>
          <w:sz w:val="17"/>
          <w:szCs w:val="17"/>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p>
      <w:pPr>
        <w:spacing w:after="0" w:line="135" w:lineRule="exact"/>
        <w:rPr>
          <w:sz w:val="20"/>
          <w:szCs w:val="20"/>
          <w:color w:val="auto"/>
        </w:rPr>
      </w:pPr>
    </w:p>
    <w:tbl>
      <w:tblPr>
        <w:tblLayout w:type="fixed"/>
        <w:tblInd w:w="22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As of December 31, 2025</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As of December 31, 2024</w:t>
            </w:r>
          </w:p>
        </w:tc>
      </w:tr>
      <w:tr>
        <w:trPr>
          <w:trHeight w:val="230"/>
        </w:trPr>
        <w:tc>
          <w:tcPr>
            <w:tcW w:w="5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Level 3</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9"/>
              </w:rPr>
              <w:t>Level 3</w:t>
            </w:r>
          </w:p>
        </w:tc>
      </w:tr>
      <w:tr>
        <w:trPr>
          <w:trHeight w:val="208"/>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4"/>
          </w:tcPr>
          <w:p>
            <w:pPr>
              <w:jc w:val="right"/>
              <w:ind w:right="615"/>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98"/>
        </w:trPr>
        <w:tc>
          <w:tcPr>
            <w:tcW w:w="5360" w:type="dxa"/>
            <w:vAlign w:val="bottom"/>
          </w:tcPr>
          <w:p>
            <w:pPr>
              <w:spacing w:after="0"/>
              <w:rPr>
                <w:sz w:val="20"/>
                <w:szCs w:val="20"/>
                <w:color w:val="auto"/>
              </w:rPr>
            </w:pPr>
            <w:r>
              <w:rPr>
                <w:rFonts w:ascii="Arial" w:cs="Arial" w:eastAsia="Arial" w:hAnsi="Arial"/>
                <w:sz w:val="20"/>
                <w:szCs w:val="20"/>
                <w:color w:val="auto"/>
                <w:w w:val="91"/>
              </w:rPr>
              <w:t xml:space="preserve">Long-term debt, including current portion </w:t>
            </w:r>
            <w:r>
              <w:rPr>
                <w:rFonts w:ascii="Arial" w:cs="Arial" w:eastAsia="Arial" w:hAnsi="Arial"/>
                <w:sz w:val="20"/>
                <w:szCs w:val="20"/>
                <w:color w:val="B4B4B4"/>
                <w:w w:val="91"/>
              </w:rPr>
              <w:t>.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2,032</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6,350</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1,922</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4,793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-189865</wp:posOffset>
            </wp:positionV>
            <wp:extent cx="6410325" cy="2120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4">
                      <a:extLst>
                        <a:ext uri="{28A0092B-C50C-407E-A947-70E740481C1C}"/>
                      </a:extLst>
                    </a:blip>
                    <a:srcRect/>
                    <a:stretch>
                      <a:fillRect/>
                    </a:stretch>
                  </pic:blipFill>
                  <pic:spPr bwMode="auto">
                    <a:xfrm>
                      <a:off x="0" y="0"/>
                      <a:ext cx="6410325" cy="212090"/>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Recurring Fair Value Measurements</w:t>
      </w:r>
    </w:p>
    <w:p>
      <w:pPr>
        <w:spacing w:after="0" w:line="189" w:lineRule="exact"/>
        <w:rPr>
          <w:sz w:val="20"/>
          <w:szCs w:val="20"/>
          <w:color w:val="auto"/>
        </w:rPr>
      </w:pPr>
    </w:p>
    <w:p>
      <w:pPr>
        <w:jc w:val="both"/>
        <w:ind w:left="40" w:right="20" w:firstLine="441"/>
        <w:spacing w:after="0" w:line="258" w:lineRule="auto"/>
        <w:rPr>
          <w:sz w:val="20"/>
          <w:szCs w:val="20"/>
          <w:color w:val="auto"/>
        </w:rPr>
      </w:pPr>
      <w:r>
        <w:rPr>
          <w:rFonts w:ascii="Arial" w:cs="Arial" w:eastAsia="Arial" w:hAnsi="Arial"/>
          <w:sz w:val="20"/>
          <w:szCs w:val="20"/>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1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8"/>
                <w:szCs w:val="18"/>
                <w:b w:val="1"/>
                <w:bCs w:val="1"/>
                <w:color w:val="auto"/>
              </w:rPr>
              <w:t>As of December 31, 2025</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8"/>
                <w:szCs w:val="18"/>
                <w:b w:val="1"/>
                <w:bCs w:val="1"/>
                <w:color w:val="auto"/>
              </w:rPr>
              <w:t>As of December 31, 2024</w:t>
            </w: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2"/>
                <w:szCs w:val="22"/>
                <w:b w:val="1"/>
                <w:bCs w:val="1"/>
                <w:color w:val="auto"/>
                <w:vertAlign w:val="superscript"/>
              </w:rPr>
              <w:t>(a)</w:t>
            </w:r>
          </w:p>
        </w:tc>
        <w:tc>
          <w:tcPr>
            <w:tcW w:w="11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2"/>
                <w:szCs w:val="22"/>
                <w:b w:val="1"/>
                <w:bCs w:val="1"/>
                <w:color w:val="auto"/>
                <w:vertAlign w:val="superscript"/>
              </w:rPr>
              <w:t>(a)</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25"/>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22"/>
                <w:szCs w:val="22"/>
                <w:b w:val="1"/>
                <w:bCs w:val="1"/>
                <w:color w:val="auto"/>
                <w:vertAlign w:val="superscript"/>
              </w:rPr>
              <w:t>(b)</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b w:val="1"/>
                <w:bCs w:val="1"/>
                <w:color w:val="auto"/>
                <w:w w:val="91"/>
              </w:rPr>
              <w:t>Level 3</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25"/>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22"/>
                <w:szCs w:val="22"/>
                <w:b w:val="1"/>
                <w:bCs w:val="1"/>
                <w:color w:val="auto"/>
                <w:vertAlign w:val="superscript"/>
              </w:rPr>
              <w:t>(b)</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b w:val="1"/>
                <w:bCs w:val="1"/>
                <w:color w:val="auto"/>
                <w:w w:val="91"/>
              </w:rPr>
              <w:t>Level 3</w:t>
            </w:r>
          </w:p>
        </w:tc>
        <w:tc>
          <w:tcPr>
            <w:tcW w:w="0" w:type="dxa"/>
            <w:vAlign w:val="bottom"/>
          </w:tcPr>
          <w:p>
            <w:pPr>
              <w:spacing w:after="0"/>
              <w:rPr>
                <w:sz w:val="1"/>
                <w:szCs w:val="1"/>
                <w:color w:val="auto"/>
              </w:rPr>
            </w:pPr>
          </w:p>
        </w:tc>
      </w:tr>
      <w:tr>
        <w:trPr>
          <w:trHeight w:val="239"/>
        </w:trPr>
        <w:tc>
          <w:tcPr>
            <w:tcW w:w="3340" w:type="dxa"/>
            <w:vAlign w:val="bottom"/>
            <w:gridSpan w:val="2"/>
          </w:tcPr>
          <w:p>
            <w:pPr>
              <w:ind w:left="40"/>
              <w:spacing w:after="0"/>
              <w:rPr>
                <w:sz w:val="20"/>
                <w:szCs w:val="20"/>
                <w:color w:val="auto"/>
              </w:rPr>
            </w:pPr>
            <w:r>
              <w:rPr>
                <w:rFonts w:ascii="Arial" w:cs="Arial" w:eastAsia="Arial" w:hAnsi="Arial"/>
                <w:sz w:val="20"/>
                <w:szCs w:val="20"/>
                <w:b w:val="1"/>
                <w:bCs w:val="1"/>
                <w:color w:val="auto"/>
              </w:rPr>
              <w:t>Derivative assets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3340" w:type="dxa"/>
            <w:vAlign w:val="bottom"/>
            <w:gridSpan w:val="2"/>
          </w:tcPr>
          <w:p>
            <w:pPr>
              <w:jc w:val="right"/>
              <w:ind w:right="80"/>
              <w:spacing w:after="0"/>
              <w:rPr>
                <w:sz w:val="20"/>
                <w:szCs w:val="20"/>
                <w:color w:val="auto"/>
              </w:rPr>
            </w:pPr>
            <w:r>
              <w:rPr>
                <w:rFonts w:ascii="Arial" w:cs="Arial" w:eastAsia="Arial" w:hAnsi="Arial"/>
                <w:sz w:val="20"/>
                <w:szCs w:val="20"/>
                <w:color w:val="auto"/>
                <w:w w:val="95"/>
              </w:rPr>
              <w:t xml:space="preserve">Energy-related commodity contracts </w:t>
            </w:r>
            <w:r>
              <w:rPr>
                <w:rFonts w:ascii="Arial" w:cs="Arial" w:eastAsia="Arial" w:hAnsi="Arial"/>
                <w:sz w:val="11"/>
                <w:szCs w:val="11"/>
                <w:color w:val="auto"/>
                <w:w w:val="95"/>
              </w:rPr>
              <w:t>(c)</w:t>
            </w:r>
          </w:p>
        </w:tc>
        <w:tc>
          <w:tcPr>
            <w:tcW w:w="420" w:type="dxa"/>
            <w:vAlign w:val="bottom"/>
            <w:gridSpan w:val="2"/>
          </w:tcPr>
          <w:p>
            <w:pPr>
              <w:ind w:left="20"/>
              <w:spacing w:after="0"/>
              <w:rPr>
                <w:sz w:val="20"/>
                <w:szCs w:val="20"/>
                <w:color w:val="auto"/>
              </w:rPr>
            </w:pPr>
            <w:r>
              <w:rPr>
                <w:rFonts w:ascii="Arial" w:cs="Arial" w:eastAsia="Arial" w:hAnsi="Arial"/>
                <w:sz w:val="20"/>
                <w:szCs w:val="20"/>
                <w:color w:val="B4B4B4"/>
              </w:rPr>
              <w:t xml:space="preserve">. </w:t>
            </w:r>
            <w:r>
              <w:rPr>
                <w:rFonts w:ascii="Arial" w:cs="Arial" w:eastAsia="Arial" w:hAnsi="Arial"/>
                <w:sz w:val="20"/>
                <w:szCs w:val="20"/>
                <w:color w:val="000000"/>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w:t>
            </w:r>
          </w:p>
        </w:tc>
        <w:tc>
          <w:tcPr>
            <w:tcW w:w="560" w:type="dxa"/>
            <w:vAlign w:val="bottom"/>
            <w:gridSpan w:val="2"/>
          </w:tcPr>
          <w:p>
            <w:pPr>
              <w:jc w:val="right"/>
              <w:ind w:right="24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13</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gridSpan w:val="2"/>
          </w:tcPr>
          <w:p>
            <w:pPr>
              <w:jc w:val="right"/>
              <w:ind w:right="24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94"/>
        </w:trPr>
        <w:tc>
          <w:tcPr>
            <w:tcW w:w="3340" w:type="dxa"/>
            <w:vAlign w:val="bottom"/>
            <w:gridSpan w:val="2"/>
          </w:tcPr>
          <w:p>
            <w:pPr>
              <w:jc w:val="right"/>
              <w:ind w:right="20"/>
              <w:spacing w:after="0"/>
              <w:rPr>
                <w:sz w:val="20"/>
                <w:szCs w:val="20"/>
                <w:color w:val="auto"/>
              </w:rPr>
            </w:pPr>
            <w:r>
              <w:rPr>
                <w:rFonts w:ascii="Arial" w:cs="Arial" w:eastAsia="Arial" w:hAnsi="Arial"/>
                <w:sz w:val="20"/>
                <w:szCs w:val="20"/>
                <w:color w:val="auto"/>
                <w:w w:val="94"/>
              </w:rPr>
              <w:t xml:space="preserve">Interest rate contracts </w:t>
            </w:r>
            <w:r>
              <w:rPr>
                <w:rFonts w:ascii="Arial" w:cs="Arial" w:eastAsia="Arial" w:hAnsi="Arial"/>
                <w:sz w:val="20"/>
                <w:szCs w:val="20"/>
                <w:color w:val="B4B4B4"/>
                <w:w w:val="94"/>
              </w:rPr>
              <w:t>. . . . . . . . . . . . . .</w:t>
            </w:r>
          </w:p>
        </w:tc>
        <w:tc>
          <w:tcPr>
            <w:tcW w:w="140" w:type="dxa"/>
            <w:vAlign w:val="bottom"/>
          </w:tcPr>
          <w:p>
            <w:pPr>
              <w:ind w:left="40"/>
              <w:spacing w:after="0"/>
              <w:rPr>
                <w:sz w:val="20"/>
                <w:szCs w:val="20"/>
                <w:color w:val="auto"/>
              </w:rPr>
            </w:pPr>
            <w:r>
              <w:rPr>
                <w:rFonts w:ascii="Arial" w:cs="Arial" w:eastAsia="Arial" w:hAnsi="Arial"/>
                <w:sz w:val="20"/>
                <w:szCs w:val="20"/>
                <w:color w:val="B4B4B4"/>
              </w:rPr>
              <w:t>.</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142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166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8"/>
        </w:trPr>
        <w:tc>
          <w:tcPr>
            <w:tcW w:w="334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w w:val="90"/>
              </w:rPr>
              <w:t xml:space="preserve">Other financial instruments </w:t>
            </w:r>
            <w:r>
              <w:rPr>
                <w:rFonts w:ascii="Arial" w:cs="Arial" w:eastAsia="Arial" w:hAnsi="Arial"/>
                <w:sz w:val="11"/>
                <w:szCs w:val="11"/>
                <w:b w:val="1"/>
                <w:bCs w:val="1"/>
                <w:color w:val="auto"/>
                <w:w w:val="90"/>
              </w:rPr>
              <w:t>(d)</w:t>
            </w:r>
            <w:r>
              <w:rPr>
                <w:rFonts w:ascii="Arial" w:cs="Arial" w:eastAsia="Arial" w:hAnsi="Arial"/>
                <w:sz w:val="20"/>
                <w:szCs w:val="20"/>
                <w:b w:val="1"/>
                <w:bCs w:val="1"/>
                <w:color w:val="auto"/>
                <w:w w:val="90"/>
              </w:rPr>
              <w:t xml:space="preserve">  </w:t>
            </w:r>
            <w:r>
              <w:rPr>
                <w:rFonts w:ascii="Arial" w:cs="Arial" w:eastAsia="Arial" w:hAnsi="Arial"/>
                <w:sz w:val="20"/>
                <w:szCs w:val="20"/>
                <w:b w:val="1"/>
                <w:bCs w:val="1"/>
                <w:color w:val="B4B4B4"/>
                <w:w w:val="90"/>
              </w:rPr>
              <w:t>. . . . . . .</w:t>
            </w:r>
          </w:p>
        </w:tc>
        <w:tc>
          <w:tcPr>
            <w:tcW w:w="140" w:type="dxa"/>
            <w:vAlign w:val="bottom"/>
          </w:tcPr>
          <w:p>
            <w:pPr>
              <w:ind w:left="20"/>
              <w:spacing w:after="0"/>
              <w:rPr>
                <w:sz w:val="20"/>
                <w:szCs w:val="20"/>
                <w:color w:val="auto"/>
              </w:rPr>
            </w:pPr>
            <w:r>
              <w:rPr>
                <w:rFonts w:ascii="Arial" w:cs="Arial" w:eastAsia="Arial" w:hAnsi="Arial"/>
                <w:sz w:val="20"/>
                <w:szCs w:val="20"/>
                <w:b w:val="1"/>
                <w:bCs w:val="1"/>
                <w:color w:val="B4B4B4"/>
              </w:rPr>
              <w:t>.</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10"/>
        </w:trPr>
        <w:tc>
          <w:tcPr>
            <w:tcW w:w="3480" w:type="dxa"/>
            <w:vAlign w:val="bottom"/>
            <w:gridSpan w:val="3"/>
          </w:tcPr>
          <w:p>
            <w:pPr>
              <w:ind w:left="380"/>
              <w:spacing w:after="0" w:line="210" w:lineRule="exact"/>
              <w:rPr>
                <w:sz w:val="20"/>
                <w:szCs w:val="20"/>
                <w:color w:val="auto"/>
              </w:rPr>
            </w:pPr>
            <w:r>
              <w:rPr>
                <w:rFonts w:ascii="Arial" w:cs="Arial" w:eastAsia="Arial" w:hAnsi="Arial"/>
                <w:sz w:val="20"/>
                <w:szCs w:val="20"/>
                <w:b w:val="1"/>
                <w:bCs w:val="1"/>
                <w:color w:val="B4B4B4"/>
                <w:w w:val="91"/>
              </w:rPr>
              <w:t>. . . . . . . . . . . . . . . . . . . . .</w:t>
            </w:r>
            <w:r>
              <w:rPr>
                <w:rFonts w:ascii="Arial" w:cs="Arial" w:eastAsia="Arial" w:hAnsi="Arial"/>
                <w:sz w:val="20"/>
                <w:szCs w:val="20"/>
                <w:b w:val="1"/>
                <w:bCs w:val="1"/>
                <w:color w:val="000000"/>
                <w:w w:val="91"/>
              </w:rPr>
              <w:t>Totalassets</w:t>
            </w:r>
          </w:p>
        </w:tc>
        <w:tc>
          <w:tcPr>
            <w:tcW w:w="280" w:type="dxa"/>
            <w:vAlign w:val="bottom"/>
            <w:tcBorders>
              <w:bottom w:val="single" w:sz="8" w:color="auto"/>
            </w:tcBorders>
          </w:tcPr>
          <w:p>
            <w:pPr>
              <w:jc w:val="right"/>
              <w:ind w:right="42"/>
              <w:spacing w:after="0" w:line="210"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143</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42"/>
              <w:spacing w:after="0" w:line="210"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42"/>
              <w:spacing w:after="0" w:line="210"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166</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42"/>
              <w:spacing w:after="0" w:line="210"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Derivative liabilities</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3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3340" w:type="dxa"/>
            <w:vAlign w:val="bottom"/>
            <w:gridSpan w:val="2"/>
          </w:tcPr>
          <w:p>
            <w:pPr>
              <w:jc w:val="right"/>
              <w:ind w:right="80"/>
              <w:spacing w:after="0"/>
              <w:rPr>
                <w:sz w:val="20"/>
                <w:szCs w:val="20"/>
                <w:color w:val="auto"/>
              </w:rPr>
            </w:pPr>
            <w:r>
              <w:rPr>
                <w:rFonts w:ascii="Arial" w:cs="Arial" w:eastAsia="Arial" w:hAnsi="Arial"/>
                <w:sz w:val="20"/>
                <w:szCs w:val="20"/>
                <w:color w:val="auto"/>
                <w:w w:val="95"/>
              </w:rPr>
              <w:t xml:space="preserve">Energy-related commodity contracts </w:t>
            </w:r>
            <w:r>
              <w:rPr>
                <w:rFonts w:ascii="Arial" w:cs="Arial" w:eastAsia="Arial" w:hAnsi="Arial"/>
                <w:sz w:val="11"/>
                <w:szCs w:val="11"/>
                <w:color w:val="auto"/>
                <w:w w:val="95"/>
              </w:rPr>
              <w:t>(e)</w:t>
            </w:r>
          </w:p>
        </w:tc>
        <w:tc>
          <w:tcPr>
            <w:tcW w:w="420" w:type="dxa"/>
            <w:vAlign w:val="bottom"/>
            <w:gridSpan w:val="2"/>
          </w:tcPr>
          <w:p>
            <w:pPr>
              <w:ind w:left="20"/>
              <w:spacing w:after="0"/>
              <w:rPr>
                <w:sz w:val="20"/>
                <w:szCs w:val="20"/>
                <w:color w:val="auto"/>
              </w:rPr>
            </w:pPr>
            <w:r>
              <w:rPr>
                <w:rFonts w:ascii="Arial" w:cs="Arial" w:eastAsia="Arial" w:hAnsi="Arial"/>
                <w:sz w:val="20"/>
                <w:szCs w:val="20"/>
                <w:color w:val="B4B4B4"/>
              </w:rPr>
              <w:t xml:space="preserve">. </w:t>
            </w:r>
            <w:r>
              <w:rPr>
                <w:rFonts w:ascii="Arial" w:cs="Arial" w:eastAsia="Arial" w:hAnsi="Arial"/>
                <w:sz w:val="20"/>
                <w:szCs w:val="20"/>
                <w:color w:val="000000"/>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gridSpan w:val="2"/>
          </w:tcPr>
          <w:p>
            <w:pPr>
              <w:jc w:val="right"/>
              <w:ind w:right="24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333</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gridSpan w:val="2"/>
          </w:tcPr>
          <w:p>
            <w:pPr>
              <w:jc w:val="right"/>
              <w:ind w:right="24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98"/>
        </w:trPr>
        <w:tc>
          <w:tcPr>
            <w:tcW w:w="3340" w:type="dxa"/>
            <w:vAlign w:val="bottom"/>
            <w:gridSpan w:val="2"/>
          </w:tcPr>
          <w:p>
            <w:pPr>
              <w:jc w:val="right"/>
              <w:ind w:right="20"/>
              <w:spacing w:after="0"/>
              <w:rPr>
                <w:sz w:val="20"/>
                <w:szCs w:val="20"/>
                <w:color w:val="auto"/>
              </w:rPr>
            </w:pPr>
            <w:r>
              <w:rPr>
                <w:rFonts w:ascii="Arial" w:cs="Arial" w:eastAsia="Arial" w:hAnsi="Arial"/>
                <w:sz w:val="20"/>
                <w:szCs w:val="20"/>
                <w:color w:val="auto"/>
                <w:w w:val="94"/>
              </w:rPr>
              <w:t xml:space="preserve">Interest rate contracts </w:t>
            </w:r>
            <w:r>
              <w:rPr>
                <w:rFonts w:ascii="Arial" w:cs="Arial" w:eastAsia="Arial" w:hAnsi="Arial"/>
                <w:sz w:val="20"/>
                <w:szCs w:val="20"/>
                <w:color w:val="B4B4B4"/>
                <w:w w:val="94"/>
              </w:rPr>
              <w:t>. . . . . . . . . . . . . .</w:t>
            </w:r>
          </w:p>
        </w:tc>
        <w:tc>
          <w:tcPr>
            <w:tcW w:w="140" w:type="dxa"/>
            <w:vAlign w:val="bottom"/>
          </w:tcPr>
          <w:p>
            <w:pPr>
              <w:ind w:left="40"/>
              <w:spacing w:after="0"/>
              <w:rPr>
                <w:sz w:val="20"/>
                <w:szCs w:val="20"/>
                <w:color w:val="auto"/>
              </w:rPr>
            </w:pPr>
            <w:r>
              <w:rPr>
                <w:rFonts w:ascii="Arial" w:cs="Arial" w:eastAsia="Arial" w:hAnsi="Arial"/>
                <w:sz w:val="20"/>
                <w:szCs w:val="20"/>
                <w:color w:val="B4B4B4"/>
              </w:rPr>
              <w:t>.</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3340" w:type="dxa"/>
            <w:vAlign w:val="bottom"/>
            <w:gridSpan w:val="2"/>
          </w:tcPr>
          <w:p>
            <w:pPr>
              <w:jc w:val="right"/>
              <w:ind w:right="20"/>
              <w:spacing w:after="0"/>
              <w:rPr>
                <w:sz w:val="20"/>
                <w:szCs w:val="20"/>
                <w:color w:val="auto"/>
              </w:rPr>
            </w:pPr>
            <w:r>
              <w:rPr>
                <w:rFonts w:ascii="Arial" w:cs="Arial" w:eastAsia="Arial" w:hAnsi="Arial"/>
                <w:sz w:val="20"/>
                <w:szCs w:val="20"/>
                <w:b w:val="1"/>
                <w:bCs w:val="1"/>
                <w:color w:val="B4B4B4"/>
              </w:rPr>
              <w:t>. . . . . . . . . . . . . .</w:t>
            </w:r>
            <w:r>
              <w:rPr>
                <w:rFonts w:ascii="Arial" w:cs="Arial" w:eastAsia="Arial" w:hAnsi="Arial"/>
                <w:sz w:val="20"/>
                <w:szCs w:val="20"/>
                <w:b w:val="1"/>
                <w:bCs w:val="1"/>
                <w:color w:val="000000"/>
              </w:rPr>
              <w:t>Totalliabilities</w:t>
            </w:r>
            <w:r>
              <w:rPr>
                <w:rFonts w:ascii="Arial" w:cs="Arial" w:eastAsia="Arial" w:hAnsi="Arial"/>
                <w:sz w:val="20"/>
                <w:szCs w:val="20"/>
                <w:b w:val="1"/>
                <w:bCs w:val="1"/>
                <w:color w:val="B4B4B4"/>
              </w:rPr>
              <w:t>...</w:t>
            </w:r>
          </w:p>
        </w:tc>
        <w:tc>
          <w:tcPr>
            <w:tcW w:w="420" w:type="dxa"/>
            <w:vAlign w:val="bottom"/>
            <w:gridSpan w:val="2"/>
          </w:tcPr>
          <w:p>
            <w:pPr>
              <w:ind w:left="40"/>
              <w:spacing w:after="0"/>
              <w:rPr>
                <w:sz w:val="20"/>
                <w:szCs w:val="20"/>
                <w:color w:val="auto"/>
              </w:rPr>
            </w:pPr>
            <w:r>
              <w:rPr>
                <w:rFonts w:ascii="Arial" w:cs="Arial" w:eastAsia="Arial" w:hAnsi="Arial"/>
                <w:sz w:val="20"/>
                <w:szCs w:val="20"/>
                <w:b w:val="1"/>
                <w:bCs w:val="1"/>
                <w:color w:val="B4B4B4"/>
              </w:rPr>
              <w:t xml:space="preserve">. </w:t>
            </w:r>
            <w:r>
              <w:rPr>
                <w:rFonts w:ascii="Arial" w:cs="Arial" w:eastAsia="Arial" w:hAnsi="Arial"/>
                <w:sz w:val="20"/>
                <w:szCs w:val="20"/>
                <w:color w:val="000000"/>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27</w:t>
            </w:r>
          </w:p>
        </w:tc>
        <w:tc>
          <w:tcPr>
            <w:tcW w:w="560" w:type="dxa"/>
            <w:vAlign w:val="bottom"/>
            <w:gridSpan w:val="2"/>
          </w:tcPr>
          <w:p>
            <w:pPr>
              <w:jc w:val="right"/>
              <w:ind w:right="24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333</w:t>
            </w:r>
          </w:p>
        </w:tc>
        <w:tc>
          <w:tcPr>
            <w:tcW w:w="36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gridSpan w:val="2"/>
          </w:tcPr>
          <w:p>
            <w:pPr>
              <w:jc w:val="right"/>
              <w:ind w:right="24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371</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-1742440</wp:posOffset>
            </wp:positionV>
            <wp:extent cx="6410325" cy="1652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5">
                      <a:extLst>
                        <a:ext uri="{28A0092B-C50C-407E-A947-70E740481C1C}"/>
                      </a:extLst>
                    </a:blip>
                    <a:srcRect/>
                    <a:stretch>
                      <a:fillRect/>
                    </a:stretch>
                  </pic:blipFill>
                  <pic:spPr bwMode="auto">
                    <a:xfrm>
                      <a:off x="0" y="0"/>
                      <a:ext cx="6410325" cy="1652905"/>
                    </a:xfrm>
                    <a:prstGeom prst="rect">
                      <a:avLst/>
                    </a:prstGeom>
                    <a:noFill/>
                  </pic:spPr>
                </pic:pic>
              </a:graphicData>
            </a:graphic>
          </wp:anchor>
        </w:drawing>
      </w:r>
    </w:p>
    <w:p>
      <w:pPr>
        <w:ind w:left="340" w:hanging="219"/>
        <w:spacing w:after="0" w:line="238" w:lineRule="auto"/>
        <w:tabs>
          <w:tab w:leader="none" w:pos="340"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There were no derivative assets or liabilities classified as Level 1 as of December 31, 2025 and 2024.</w:t>
      </w:r>
    </w:p>
    <w:p>
      <w:pPr>
        <w:spacing w:after="0" w:line="61" w:lineRule="exact"/>
        <w:rPr>
          <w:rFonts w:ascii="Arial" w:cs="Arial" w:eastAsia="Arial" w:hAnsi="Arial"/>
          <w:sz w:val="23"/>
          <w:szCs w:val="23"/>
          <w:color w:val="auto"/>
          <w:vertAlign w:val="superscript"/>
        </w:rPr>
      </w:pPr>
    </w:p>
    <w:p>
      <w:pPr>
        <w:ind w:left="120" w:right="20" w:firstLine="1"/>
        <w:spacing w:after="0" w:line="214" w:lineRule="auto"/>
        <w:tabs>
          <w:tab w:leader="none" w:pos="368"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The Company’s interest rate swaps are measured at fair value using an income approach, which use readily observable inputs, such as forward interest rates (e.g., SOFR) and contractual terms to estimate fair value.</w:t>
      </w:r>
    </w:p>
    <w:p>
      <w:pPr>
        <w:spacing w:after="0" w:line="29" w:lineRule="exact"/>
        <w:rPr>
          <w:rFonts w:ascii="Arial" w:cs="Arial" w:eastAsia="Arial" w:hAnsi="Arial"/>
          <w:sz w:val="23"/>
          <w:szCs w:val="23"/>
          <w:color w:val="auto"/>
          <w:vertAlign w:val="superscript"/>
        </w:rPr>
      </w:pPr>
    </w:p>
    <w:p>
      <w:pPr>
        <w:ind w:left="360" w:hanging="239"/>
        <w:spacing w:after="0"/>
        <w:tabs>
          <w:tab w:leader="none" w:pos="360" w:val="left"/>
        </w:tabs>
        <w:numPr>
          <w:ilvl w:val="0"/>
          <w:numId w:val="66"/>
        </w:numPr>
        <w:rPr>
          <w:rFonts w:ascii="Arial" w:cs="Arial" w:eastAsia="Arial" w:hAnsi="Arial"/>
          <w:sz w:val="21"/>
          <w:szCs w:val="21"/>
          <w:color w:val="auto"/>
          <w:vertAlign w:val="superscript"/>
        </w:rPr>
      </w:pPr>
      <w:r>
        <w:rPr>
          <w:rFonts w:ascii="Arial" w:cs="Arial" w:eastAsia="Arial" w:hAnsi="Arial"/>
          <w:sz w:val="16"/>
          <w:szCs w:val="16"/>
          <w:color w:val="auto"/>
        </w:rPr>
        <w:t>Includes short-term backbone transportation service contracts classified as Level 2 and heat rate call option contracts classified as Level</w:t>
      </w:r>
    </w:p>
    <w:p>
      <w:pPr>
        <w:spacing w:after="0" w:line="2" w:lineRule="exact"/>
        <w:rPr>
          <w:rFonts w:ascii="Arial" w:cs="Arial" w:eastAsia="Arial" w:hAnsi="Arial"/>
          <w:sz w:val="21"/>
          <w:szCs w:val="21"/>
          <w:color w:val="auto"/>
          <w:vertAlign w:val="superscript"/>
        </w:rPr>
      </w:pPr>
    </w:p>
    <w:p>
      <w:pPr>
        <w:ind w:left="120"/>
        <w:spacing w:after="0"/>
        <w:rPr>
          <w:rFonts w:ascii="Arial" w:cs="Arial" w:eastAsia="Arial" w:hAnsi="Arial"/>
          <w:sz w:val="21"/>
          <w:szCs w:val="21"/>
          <w:color w:val="auto"/>
          <w:vertAlign w:val="superscript"/>
        </w:rPr>
      </w:pPr>
      <w:r>
        <w:rPr>
          <w:rFonts w:ascii="Arial" w:cs="Arial" w:eastAsia="Arial" w:hAnsi="Arial"/>
          <w:sz w:val="18"/>
          <w:szCs w:val="18"/>
          <w:color w:val="auto"/>
        </w:rPr>
        <w:t>3.</w:t>
      </w:r>
    </w:p>
    <w:p>
      <w:pPr>
        <w:spacing w:after="0" w:line="8" w:lineRule="exact"/>
        <w:rPr>
          <w:rFonts w:ascii="Arial" w:cs="Arial" w:eastAsia="Arial" w:hAnsi="Arial"/>
          <w:sz w:val="21"/>
          <w:szCs w:val="21"/>
          <w:color w:val="auto"/>
          <w:vertAlign w:val="superscript"/>
        </w:rPr>
      </w:pPr>
    </w:p>
    <w:p>
      <w:pPr>
        <w:ind w:left="340" w:hanging="219"/>
        <w:spacing w:after="0"/>
        <w:tabs>
          <w:tab w:leader="none" w:pos="340"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Includes SREC contract.</w:t>
      </w:r>
    </w:p>
    <w:p>
      <w:pPr>
        <w:spacing w:after="0" w:line="61" w:lineRule="exact"/>
        <w:rPr>
          <w:rFonts w:ascii="Arial" w:cs="Arial" w:eastAsia="Arial" w:hAnsi="Arial"/>
          <w:sz w:val="23"/>
          <w:szCs w:val="23"/>
          <w:color w:val="auto"/>
          <w:vertAlign w:val="superscript"/>
        </w:rPr>
      </w:pPr>
    </w:p>
    <w:p>
      <w:pPr>
        <w:jc w:val="both"/>
        <w:ind w:left="120" w:right="20" w:firstLine="1"/>
        <w:spacing w:after="0" w:line="223" w:lineRule="auto"/>
        <w:tabs>
          <w:tab w:leader="none" w:pos="362"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Includes long-term power commodity contracts and heat rate call option contracts classified as Level 3. As of December 31, 2025 and 2024, $330 million and $366 million, respectively, related to long-term power commodity contracts, and $3 million and $5 million, respectively, related to heat rate call option contracts.</w:t>
      </w:r>
    </w:p>
    <w:p>
      <w:pPr>
        <w:spacing w:after="0" w:line="155" w:lineRule="exact"/>
        <w:rPr>
          <w:sz w:val="20"/>
          <w:szCs w:val="20"/>
          <w:color w:val="auto"/>
        </w:rPr>
      </w:pPr>
    </w:p>
    <w:p>
      <w:pPr>
        <w:ind w:left="40" w:right="20" w:firstLine="441"/>
        <w:spacing w:after="0" w:line="271" w:lineRule="auto"/>
        <w:rPr>
          <w:sz w:val="20"/>
          <w:szCs w:val="20"/>
          <w:color w:val="auto"/>
        </w:rPr>
      </w:pPr>
      <w:r>
        <w:rPr>
          <w:rFonts w:ascii="Arial" w:cs="Arial" w:eastAsia="Arial" w:hAnsi="Arial"/>
          <w:sz w:val="20"/>
          <w:szCs w:val="20"/>
          <w:color w:val="auto"/>
        </w:rPr>
        <w:t>The following table reconciles the beginning and ending balances for instruments that are recognized at fair value in the consolidated financial statements using significant unobservable inputs: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4"/>
          </w:tcPr>
          <w:p>
            <w:pPr>
              <w:jc w:val="center"/>
              <w:ind w:right="124"/>
              <w:spacing w:after="0"/>
              <w:rPr>
                <w:sz w:val="20"/>
                <w:szCs w:val="20"/>
                <w:color w:val="auto"/>
              </w:rPr>
            </w:pPr>
            <w:r>
              <w:rPr>
                <w:rFonts w:ascii="Arial" w:cs="Arial" w:eastAsia="Arial" w:hAnsi="Arial"/>
                <w:sz w:val="18"/>
                <w:szCs w:val="18"/>
                <w:b w:val="1"/>
                <w:bCs w:val="1"/>
                <w:color w:val="auto"/>
                <w:w w:val="88"/>
              </w:rPr>
              <w:t>Year ended December 31,</w:t>
            </w:r>
          </w:p>
        </w:tc>
        <w:tc>
          <w:tcPr>
            <w:tcW w:w="0" w:type="dxa"/>
            <w:vAlign w:val="bottom"/>
          </w:tcPr>
          <w:p>
            <w:pPr>
              <w:spacing w:after="0"/>
              <w:rPr>
                <w:sz w:val="1"/>
                <w:szCs w:val="1"/>
                <w:color w:val="auto"/>
              </w:rPr>
            </w:pPr>
          </w:p>
        </w:tc>
      </w:tr>
      <w:tr>
        <w:trPr>
          <w:trHeight w:val="259"/>
        </w:trPr>
        <w:tc>
          <w:tcPr>
            <w:tcW w:w="6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666"/>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84"/>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2"/>
        </w:trPr>
        <w:tc>
          <w:tcPr>
            <w:tcW w:w="6140" w:type="dxa"/>
            <w:vAlign w:val="bottom"/>
            <w:vMerge w:val="restart"/>
          </w:tcPr>
          <w:p>
            <w:pPr>
              <w:jc w:val="right"/>
              <w:ind w:right="5123"/>
              <w:spacing w:after="0"/>
              <w:rPr>
                <w:sz w:val="20"/>
                <w:szCs w:val="20"/>
                <w:color w:val="auto"/>
              </w:rPr>
            </w:pPr>
            <w:r>
              <w:rPr>
                <w:rFonts w:ascii="Arial" w:cs="Arial" w:eastAsia="Arial" w:hAnsi="Arial"/>
                <w:sz w:val="18"/>
                <w:szCs w:val="18"/>
                <w:b w:val="1"/>
                <w:bCs w:val="1"/>
                <w:color w:val="auto"/>
                <w:w w:val="89"/>
              </w:rPr>
              <w:t>(In millions)</w:t>
            </w:r>
          </w:p>
        </w:tc>
        <w:tc>
          <w:tcPr>
            <w:tcW w:w="220" w:type="dxa"/>
            <w:vAlign w:val="bottom"/>
          </w:tcPr>
          <w:p>
            <w:pPr>
              <w:spacing w:after="0"/>
              <w:rPr>
                <w:sz w:val="17"/>
                <w:szCs w:val="17"/>
                <w:color w:val="auto"/>
              </w:rPr>
            </w:pPr>
          </w:p>
        </w:tc>
        <w:tc>
          <w:tcPr>
            <w:tcW w:w="3640" w:type="dxa"/>
            <w:vAlign w:val="bottom"/>
            <w:gridSpan w:val="4"/>
          </w:tcPr>
          <w:p>
            <w:pPr>
              <w:jc w:val="center"/>
              <w:ind w:right="124"/>
              <w:spacing w:after="0" w:line="202" w:lineRule="exact"/>
              <w:rPr>
                <w:sz w:val="20"/>
                <w:szCs w:val="20"/>
                <w:color w:val="auto"/>
              </w:rPr>
            </w:pPr>
            <w:r>
              <w:rPr>
                <w:rFonts w:ascii="Arial" w:cs="Arial" w:eastAsia="Arial" w:hAnsi="Arial"/>
                <w:sz w:val="18"/>
                <w:szCs w:val="18"/>
                <w:b w:val="1"/>
                <w:bCs w:val="1"/>
                <w:color w:val="auto"/>
                <w:w w:val="89"/>
              </w:rPr>
              <w:t>Fair Value Measurement Using Significant</w:t>
            </w:r>
          </w:p>
        </w:tc>
        <w:tc>
          <w:tcPr>
            <w:tcW w:w="0" w:type="dxa"/>
            <w:vAlign w:val="bottom"/>
          </w:tcPr>
          <w:p>
            <w:pPr>
              <w:spacing w:after="0"/>
              <w:rPr>
                <w:sz w:val="1"/>
                <w:szCs w:val="1"/>
                <w:color w:val="auto"/>
              </w:rPr>
            </w:pPr>
          </w:p>
        </w:tc>
      </w:tr>
      <w:tr>
        <w:trPr>
          <w:trHeight w:val="234"/>
        </w:trPr>
        <w:tc>
          <w:tcPr>
            <w:tcW w:w="6140" w:type="dxa"/>
            <w:vAlign w:val="bottom"/>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4"/>
          </w:tcPr>
          <w:p>
            <w:pPr>
              <w:jc w:val="center"/>
              <w:ind w:right="144"/>
              <w:spacing w:after="0"/>
              <w:rPr>
                <w:sz w:val="20"/>
                <w:szCs w:val="20"/>
                <w:color w:val="auto"/>
              </w:rPr>
            </w:pPr>
            <w:r>
              <w:rPr>
                <w:rFonts w:ascii="Arial" w:cs="Arial" w:eastAsia="Arial" w:hAnsi="Arial"/>
                <w:sz w:val="18"/>
                <w:szCs w:val="18"/>
                <w:b w:val="1"/>
                <w:bCs w:val="1"/>
                <w:color w:val="auto"/>
                <w:w w:val="89"/>
              </w:rPr>
              <w:t>Unobservable Inputs (Level 3)</w:t>
            </w:r>
          </w:p>
        </w:tc>
        <w:tc>
          <w:tcPr>
            <w:tcW w:w="0" w:type="dxa"/>
            <w:vAlign w:val="bottom"/>
          </w:tcPr>
          <w:p>
            <w:pPr>
              <w:spacing w:after="0"/>
              <w:rPr>
                <w:sz w:val="1"/>
                <w:szCs w:val="1"/>
                <w:color w:val="auto"/>
              </w:rPr>
            </w:pPr>
          </w:p>
        </w:tc>
      </w:tr>
      <w:tr>
        <w:trPr>
          <w:trHeight w:val="270"/>
        </w:trPr>
        <w:tc>
          <w:tcPr>
            <w:tcW w:w="6140" w:type="dxa"/>
            <w:vAlign w:val="bottom"/>
          </w:tcPr>
          <w:p>
            <w:pPr>
              <w:jc w:val="right"/>
              <w:ind w:right="43"/>
              <w:spacing w:after="0"/>
              <w:rPr>
                <w:sz w:val="20"/>
                <w:szCs w:val="20"/>
                <w:color w:val="auto"/>
              </w:rPr>
            </w:pPr>
            <w:r>
              <w:rPr>
                <w:rFonts w:ascii="Arial" w:cs="Arial" w:eastAsia="Arial" w:hAnsi="Arial"/>
                <w:sz w:val="20"/>
                <w:szCs w:val="20"/>
                <w:b w:val="1"/>
                <w:bCs w:val="1"/>
                <w:color w:val="auto"/>
                <w:w w:val="88"/>
                <w:shd w:val="clear" w:color="auto" w:fill="E6E6E6"/>
              </w:rPr>
              <w:t xml:space="preserve">Beginning balance </w:t>
            </w:r>
            <w:r>
              <w:rPr>
                <w:rFonts w:ascii="Arial" w:cs="Arial" w:eastAsia="Arial" w:hAnsi="Arial"/>
                <w:sz w:val="20"/>
                <w:szCs w:val="20"/>
                <w:b w:val="1"/>
                <w:bCs w:val="1"/>
                <w:color w:val="B4B4B4"/>
                <w:w w:val="88"/>
                <w:shd w:val="clear" w:color="auto" w:fill="E6E6E6"/>
              </w:rPr>
              <w:t>. . . . . . . . . . . . . . . . . . . . . . . .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(352)</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(317)</w:t>
            </w:r>
          </w:p>
        </w:tc>
        <w:tc>
          <w:tcPr>
            <w:tcW w:w="0" w:type="dxa"/>
            <w:vAlign w:val="bottom"/>
          </w:tcPr>
          <w:p>
            <w:pPr>
              <w:spacing w:after="0"/>
              <w:rPr>
                <w:sz w:val="1"/>
                <w:szCs w:val="1"/>
                <w:color w:val="auto"/>
              </w:rPr>
            </w:pPr>
          </w:p>
        </w:tc>
      </w:tr>
      <w:tr>
        <w:trPr>
          <w:trHeight w:val="294"/>
        </w:trPr>
        <w:tc>
          <w:tcPr>
            <w:tcW w:w="6140" w:type="dxa"/>
            <w:vAlign w:val="bottom"/>
          </w:tcPr>
          <w:p>
            <w:pPr>
              <w:jc w:val="right"/>
              <w:ind w:right="43"/>
              <w:spacing w:after="0"/>
              <w:rPr>
                <w:sz w:val="20"/>
                <w:szCs w:val="20"/>
                <w:color w:val="auto"/>
              </w:rPr>
            </w:pPr>
            <w:r>
              <w:rPr>
                <w:rFonts w:ascii="Arial" w:cs="Arial" w:eastAsia="Arial" w:hAnsi="Arial"/>
                <w:sz w:val="20"/>
                <w:szCs w:val="20"/>
                <w:color w:val="auto"/>
                <w:w w:val="87"/>
              </w:rPr>
              <w:t xml:space="preserve">Settlements </w:t>
            </w:r>
            <w:r>
              <w:rPr>
                <w:rFonts w:ascii="Arial" w:cs="Arial" w:eastAsia="Arial" w:hAnsi="Arial"/>
                <w:sz w:val="20"/>
                <w:szCs w:val="20"/>
                <w:color w:val="B4B4B4"/>
                <w:w w:val="87"/>
              </w:rPr>
              <w:t>. . . . . . . . . . . . . . . . . . . . . . . . . . . . . . . . . . . . . . . . . . . . . . . . . . . .</w:t>
            </w: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20"/>
                <w:szCs w:val="20"/>
                <w:color w:val="auto"/>
              </w:rPr>
              <w:t>83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98"/>
        </w:trPr>
        <w:tc>
          <w:tcPr>
            <w:tcW w:w="6140" w:type="dxa"/>
            <w:vAlign w:val="bottom"/>
          </w:tcPr>
          <w:p>
            <w:pPr>
              <w:jc w:val="right"/>
              <w:ind w:right="43"/>
              <w:spacing w:after="0"/>
              <w:rPr>
                <w:sz w:val="20"/>
                <w:szCs w:val="20"/>
                <w:color w:val="auto"/>
              </w:rPr>
            </w:pPr>
            <w:r>
              <w:rPr>
                <w:rFonts w:ascii="Arial" w:cs="Arial" w:eastAsia="Arial" w:hAnsi="Arial"/>
                <w:sz w:val="20"/>
                <w:szCs w:val="20"/>
                <w:color w:val="auto"/>
                <w:w w:val="89"/>
              </w:rPr>
              <w:t xml:space="preserve">Total losses for the period included in earnings </w:t>
            </w:r>
            <w:r>
              <w:rPr>
                <w:rFonts w:ascii="Arial" w:cs="Arial" w:eastAsia="Arial" w:hAnsi="Arial"/>
                <w:sz w:val="20"/>
                <w:szCs w:val="20"/>
                <w:color w:val="B4B4B4"/>
                <w:w w:val="89"/>
              </w:rPr>
              <w:t>. . . . . . . . . . . . . . . . . . . . . . .</w:t>
            </w: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54"/>
        </w:trPr>
        <w:tc>
          <w:tcPr>
            <w:tcW w:w="6140" w:type="dxa"/>
            <w:vAlign w:val="bottom"/>
          </w:tcPr>
          <w:p>
            <w:pPr>
              <w:jc w:val="right"/>
              <w:ind w:right="43"/>
              <w:spacing w:after="0"/>
              <w:rPr>
                <w:sz w:val="20"/>
                <w:szCs w:val="20"/>
                <w:color w:val="auto"/>
              </w:rPr>
            </w:pPr>
            <w:r>
              <w:rPr>
                <w:rFonts w:ascii="Arial" w:cs="Arial" w:eastAsia="Arial" w:hAnsi="Arial"/>
                <w:sz w:val="20"/>
                <w:szCs w:val="20"/>
                <w:b w:val="1"/>
                <w:bCs w:val="1"/>
                <w:color w:val="auto"/>
                <w:w w:val="87"/>
              </w:rPr>
              <w:t xml:space="preserve">Ending balance </w:t>
            </w:r>
            <w:r>
              <w:rPr>
                <w:rFonts w:ascii="Arial" w:cs="Arial" w:eastAsia="Arial" w:hAnsi="Arial"/>
                <w:sz w:val="20"/>
                <w:szCs w:val="20"/>
                <w:b w:val="1"/>
                <w:bCs w:val="1"/>
                <w:color w:val="B4B4B4"/>
                <w:w w:val="87"/>
              </w:rPr>
              <w:t>. . . . . . . . . . . . . . . . . . . . . . . . . . . . . . . . . . . . . . . . . . . . . . . .</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660" w:type="dxa"/>
            <w:vAlign w:val="bottom"/>
          </w:tcPr>
          <w:p>
            <w:pPr>
              <w:jc w:val="right"/>
              <w:spacing w:after="0"/>
              <w:rPr>
                <w:sz w:val="20"/>
                <w:szCs w:val="20"/>
                <w:color w:val="auto"/>
              </w:rPr>
            </w:pPr>
            <w:r>
              <w:rPr>
                <w:rFonts w:ascii="Arial" w:cs="Arial" w:eastAsia="Arial" w:hAnsi="Arial"/>
                <w:sz w:val="20"/>
                <w:szCs w:val="20"/>
                <w:color w:val="auto"/>
              </w:rPr>
              <w:t>(313)</w:t>
            </w:r>
          </w:p>
        </w:tc>
        <w:tc>
          <w:tcPr>
            <w:tcW w:w="54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(352)</w:t>
            </w:r>
          </w:p>
        </w:tc>
        <w:tc>
          <w:tcPr>
            <w:tcW w:w="0" w:type="dxa"/>
            <w:vAlign w:val="bottom"/>
          </w:tcPr>
          <w:p>
            <w:pPr>
              <w:spacing w:after="0"/>
              <w:rPr>
                <w:sz w:val="1"/>
                <w:szCs w:val="1"/>
                <w:color w:val="auto"/>
              </w:rPr>
            </w:pPr>
          </w:p>
        </w:tc>
      </w:tr>
      <w:tr>
        <w:trPr>
          <w:trHeight w:val="20"/>
        </w:trPr>
        <w:tc>
          <w:tcPr>
            <w:tcW w:w="6140" w:type="dxa"/>
            <w:vAlign w:val="bottom"/>
            <w:vMerge w:val="restart"/>
          </w:tcPr>
          <w:p>
            <w:pPr>
              <w:jc w:val="right"/>
              <w:ind w:right="123"/>
              <w:spacing w:after="0" w:line="228" w:lineRule="exact"/>
              <w:rPr>
                <w:sz w:val="20"/>
                <w:szCs w:val="20"/>
                <w:color w:val="auto"/>
              </w:rPr>
            </w:pPr>
            <w:r>
              <w:rPr>
                <w:rFonts w:ascii="Arial" w:cs="Arial" w:eastAsia="Arial" w:hAnsi="Arial"/>
                <w:sz w:val="20"/>
                <w:szCs w:val="20"/>
                <w:color w:val="auto"/>
                <w:w w:val="90"/>
              </w:rPr>
              <w:t>Change in unrealized losses included in earnings for derivatives and other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140" w:type="dxa"/>
            <w:vAlign w:val="bottom"/>
            <w:vMerge w:val="continue"/>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660" w:type="dxa"/>
            <w:vAlign w:val="bottom"/>
            <w:vMerge w:val="restart"/>
          </w:tcPr>
          <w:p>
            <w:pPr>
              <w:jc w:val="right"/>
              <w:spacing w:after="0"/>
              <w:rPr>
                <w:sz w:val="20"/>
                <w:szCs w:val="20"/>
                <w:color w:val="auto"/>
              </w:rPr>
            </w:pPr>
            <w:r>
              <w:rPr>
                <w:rFonts w:ascii="Arial" w:cs="Arial" w:eastAsia="Arial" w:hAnsi="Arial"/>
                <w:sz w:val="20"/>
                <w:szCs w:val="20"/>
                <w:color w:val="auto"/>
              </w:rPr>
              <w:t>(44)</w:t>
            </w:r>
          </w:p>
        </w:tc>
        <w:tc>
          <w:tcPr>
            <w:tcW w:w="540" w:type="dxa"/>
            <w:vAlign w:val="bottom"/>
            <w:gridSpan w:val="2"/>
            <w:vMerge w:val="restart"/>
          </w:tcPr>
          <w:p>
            <w:pPr>
              <w:jc w:val="right"/>
              <w:ind w:right="300"/>
              <w:spacing w:after="0"/>
              <w:rPr>
                <w:sz w:val="20"/>
                <w:szCs w:val="20"/>
                <w:color w:val="auto"/>
              </w:rPr>
            </w:pPr>
            <w:r>
              <w:rPr>
                <w:rFonts w:ascii="Arial" w:cs="Arial" w:eastAsia="Arial" w:hAnsi="Arial"/>
                <w:sz w:val="20"/>
                <w:szCs w:val="20"/>
                <w:color w:val="auto"/>
              </w:rPr>
              <w:t>$</w:t>
            </w:r>
          </w:p>
        </w:tc>
        <w:tc>
          <w:tcPr>
            <w:tcW w:w="1440" w:type="dxa"/>
            <w:vAlign w:val="bottom"/>
            <w:vMerge w:val="restart"/>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55"/>
        </w:trPr>
        <w:tc>
          <w:tcPr>
            <w:tcW w:w="6140" w:type="dxa"/>
            <w:vAlign w:val="bottom"/>
          </w:tcPr>
          <w:p>
            <w:pPr>
              <w:jc w:val="right"/>
              <w:ind w:right="43"/>
              <w:spacing w:after="0"/>
              <w:rPr>
                <w:sz w:val="20"/>
                <w:szCs w:val="20"/>
                <w:color w:val="auto"/>
              </w:rPr>
            </w:pPr>
            <w:r>
              <w:rPr>
                <w:rFonts w:ascii="Arial" w:cs="Arial" w:eastAsia="Arial" w:hAnsi="Arial"/>
                <w:sz w:val="20"/>
                <w:szCs w:val="20"/>
                <w:color w:val="auto"/>
                <w:w w:val="93"/>
              </w:rPr>
              <w:t xml:space="preserve">financial instruments held as of December 31, </w:t>
            </w:r>
            <w:r>
              <w:rPr>
                <w:rFonts w:ascii="Arial" w:cs="Arial" w:eastAsia="Arial" w:hAnsi="Arial"/>
                <w:sz w:val="20"/>
                <w:szCs w:val="20"/>
                <w:color w:val="B4B4B4"/>
                <w:w w:val="93"/>
              </w:rPr>
              <w:t>. . . . . . . . . . . . . . . . . . . . .</w:t>
            </w:r>
          </w:p>
        </w:tc>
        <w:tc>
          <w:tcPr>
            <w:tcW w:w="220" w:type="dxa"/>
            <w:vAlign w:val="bottom"/>
            <w:vMerge w:val="continue"/>
          </w:tcPr>
          <w:p>
            <w:pPr>
              <w:spacing w:after="0"/>
              <w:rPr>
                <w:sz w:val="22"/>
                <w:szCs w:val="22"/>
                <w:color w:val="auto"/>
              </w:rPr>
            </w:pPr>
          </w:p>
        </w:tc>
        <w:tc>
          <w:tcPr>
            <w:tcW w:w="1660" w:type="dxa"/>
            <w:vAlign w:val="bottom"/>
            <w:vMerge w:val="continue"/>
          </w:tcPr>
          <w:p>
            <w:pPr>
              <w:spacing w:after="0"/>
              <w:rPr>
                <w:sz w:val="22"/>
                <w:szCs w:val="22"/>
                <w:color w:val="auto"/>
              </w:rPr>
            </w:pPr>
          </w:p>
        </w:tc>
        <w:tc>
          <w:tcPr>
            <w:tcW w:w="540" w:type="dxa"/>
            <w:vAlign w:val="bottom"/>
            <w:gridSpan w:val="2"/>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-1058545</wp:posOffset>
            </wp:positionV>
            <wp:extent cx="6410325" cy="10801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6">
                      <a:extLst>
                        <a:ext uri="{28A0092B-C50C-407E-A947-70E740481C1C}"/>
                      </a:extLst>
                    </a:blip>
                    <a:srcRect/>
                    <a:stretch>
                      <a:fillRect/>
                    </a:stretch>
                  </pic:blipFill>
                  <pic:spPr bwMode="auto">
                    <a:xfrm>
                      <a:off x="0" y="0"/>
                      <a:ext cx="6410325" cy="1080135"/>
                    </a:xfrm>
                    <a:prstGeom prst="rect">
                      <a:avLst/>
                    </a:prstGeom>
                    <a:noFill/>
                  </pic:spPr>
                </pic:pic>
              </a:graphicData>
            </a:graphic>
          </wp:anchor>
        </w:drawing>
      </w:r>
    </w:p>
    <w:p>
      <w:pPr>
        <w:sectPr>
          <w:pgSz w:w="11880" w:h="15480" w:orient="portrait"/>
          <w:cols w:equalWidth="0" w:num="1">
            <w:col w:w="10100"/>
          </w:cols>
          <w:pgMar w:left="880" w:top="58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ectPr>
          <w:pgSz w:w="11880" w:h="15480" w:orient="portrait"/>
          <w:cols w:equalWidth="0" w:num="1">
            <w:col w:w="10100"/>
          </w:cols>
          <w:pgMar w:left="880" w:top="584" w:right="900" w:bottom="0"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b w:val="1"/>
          <w:bCs w:val="1"/>
          <w:i w:val="1"/>
          <w:iCs w:val="1"/>
          <w:color w:val="auto"/>
        </w:rPr>
        <w:t>Derivative and Financial Instruments Fair Value Measurements</w:t>
      </w:r>
    </w:p>
    <w:p>
      <w:pPr>
        <w:spacing w:after="0" w:line="189"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December 31, 2025, contracts valued with prices provided by models and other valuation techniques make up 8% of derivative assets, 93% of derivative liabilities and 100% of other financial instruments.</w:t>
      </w:r>
    </w:p>
    <w:p>
      <w:pPr>
        <w:spacing w:after="0" w:line="135"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The Company’s significant positions classified as Level 3 relate to physical and financial energy-related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06"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The following tables quantify the significant unobservable inputs used in developing the fair value of the Company’s Level 3 positions: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912"/>
              <w:spacing w:after="0"/>
              <w:rPr>
                <w:sz w:val="20"/>
                <w:szCs w:val="20"/>
                <w:color w:val="auto"/>
              </w:rPr>
            </w:pPr>
            <w:r>
              <w:rPr>
                <w:rFonts w:ascii="Arial" w:cs="Arial" w:eastAsia="Arial" w:hAnsi="Arial"/>
                <w:sz w:val="18"/>
                <w:szCs w:val="18"/>
                <w:b w:val="1"/>
                <w:bCs w:val="1"/>
                <w:color w:val="auto"/>
              </w:rPr>
              <w:t>December 31, 2025</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9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11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Input/Range</w:t>
            </w: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Valuation</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88"/>
              </w:rPr>
              <w:t>Assets</w:t>
            </w:r>
          </w:p>
        </w:tc>
        <w:tc>
          <w:tcPr>
            <w:tcW w:w="1000" w:type="dxa"/>
            <w:vAlign w:val="bottom"/>
            <w:gridSpan w:val="2"/>
            <w:vMerge w:val="restart"/>
          </w:tcPr>
          <w:p>
            <w:pPr>
              <w:jc w:val="right"/>
              <w:ind w:right="32"/>
              <w:spacing w:after="0"/>
              <w:rPr>
                <w:sz w:val="20"/>
                <w:szCs w:val="20"/>
                <w:color w:val="auto"/>
              </w:rPr>
            </w:pPr>
            <w:r>
              <w:rPr>
                <w:rFonts w:ascii="Arial" w:cs="Arial" w:eastAsia="Arial" w:hAnsi="Arial"/>
                <w:sz w:val="18"/>
                <w:szCs w:val="18"/>
                <w:b w:val="1"/>
                <w:bCs w:val="1"/>
                <w:color w:val="auto"/>
              </w:rPr>
              <w:t>Liabilities</w:t>
            </w:r>
          </w:p>
        </w:tc>
        <w:tc>
          <w:tcPr>
            <w:tcW w:w="1100" w:type="dxa"/>
            <w:vAlign w:val="bottom"/>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Unobservable</w:t>
            </w:r>
          </w:p>
        </w:tc>
        <w:tc>
          <w:tcPr>
            <w:tcW w:w="160" w:type="dxa"/>
            <w:vAlign w:val="bottom"/>
          </w:tcPr>
          <w:p>
            <w:pPr>
              <w:spacing w:after="0"/>
              <w:rPr>
                <w:sz w:val="15"/>
                <w:szCs w:val="15"/>
                <w:color w:val="auto"/>
              </w:rPr>
            </w:pPr>
          </w:p>
        </w:tc>
        <w:tc>
          <w:tcPr>
            <w:tcW w:w="102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Low</w:t>
            </w:r>
          </w:p>
        </w:tc>
        <w:tc>
          <w:tcPr>
            <w:tcW w:w="260" w:type="dxa"/>
            <w:vAlign w:val="bottom"/>
          </w:tcPr>
          <w:p>
            <w:pPr>
              <w:spacing w:after="0"/>
              <w:rPr>
                <w:sz w:val="15"/>
                <w:szCs w:val="15"/>
                <w:color w:val="auto"/>
              </w:rPr>
            </w:pPr>
          </w:p>
        </w:tc>
        <w:tc>
          <w:tcPr>
            <w:tcW w:w="900" w:type="dxa"/>
            <w:vAlign w:val="bottom"/>
            <w:vMerge w:val="restart"/>
          </w:tcPr>
          <w:p>
            <w:pPr>
              <w:jc w:val="center"/>
              <w:ind w:right="192"/>
              <w:spacing w:after="0"/>
              <w:rPr>
                <w:sz w:val="20"/>
                <w:szCs w:val="20"/>
                <w:color w:val="auto"/>
              </w:rPr>
            </w:pPr>
            <w:r>
              <w:rPr>
                <w:rFonts w:ascii="Arial" w:cs="Arial" w:eastAsia="Arial" w:hAnsi="Arial"/>
                <w:sz w:val="18"/>
                <w:szCs w:val="18"/>
                <w:b w:val="1"/>
                <w:bCs w:val="1"/>
                <w:color w:val="auto"/>
                <w:w w:val="94"/>
              </w:rPr>
              <w:t>High</w:t>
            </w: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gridSpan w:val="2"/>
            <w:vMerge w:val="continue"/>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Technique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Input</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69"/>
        </w:trPr>
        <w:tc>
          <w:tcPr>
            <w:tcW w:w="1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gridSpan w:val="3"/>
          </w:tcPr>
          <w:p>
            <w:pPr>
              <w:jc w:val="right"/>
              <w:ind w:right="432"/>
              <w:spacing w:after="0"/>
              <w:rPr>
                <w:sz w:val="20"/>
                <w:szCs w:val="20"/>
                <w:color w:val="auto"/>
              </w:rPr>
            </w:pPr>
            <w:r>
              <w:rPr>
                <w:rFonts w:ascii="Arial" w:cs="Arial" w:eastAsia="Arial" w:hAnsi="Arial"/>
                <w:sz w:val="18"/>
                <w:szCs w:val="18"/>
                <w:b w:val="1"/>
                <w:bCs w:val="1"/>
                <w:color w:val="auto"/>
              </w:rPr>
              <w:t>(In millions)</w:t>
            </w:r>
          </w:p>
        </w:tc>
        <w:tc>
          <w:tcPr>
            <w:tcW w:w="1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4"/>
        </w:trPr>
        <w:tc>
          <w:tcPr>
            <w:tcW w:w="1960" w:type="dxa"/>
            <w:vAlign w:val="bottom"/>
          </w:tcPr>
          <w:p>
            <w:pPr>
              <w:spacing w:after="0"/>
              <w:rPr>
                <w:sz w:val="20"/>
                <w:szCs w:val="20"/>
                <w:color w:val="auto"/>
              </w:rPr>
            </w:pPr>
            <w:r>
              <w:rPr>
                <w:rFonts w:ascii="Arial" w:cs="Arial" w:eastAsia="Arial" w:hAnsi="Arial"/>
                <w:sz w:val="18"/>
                <w:szCs w:val="18"/>
                <w:b w:val="1"/>
                <w:bCs w:val="1"/>
                <w:color w:val="auto"/>
              </w:rPr>
              <w:t>Long-term Power</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330</w:t>
            </w:r>
          </w:p>
        </w:tc>
        <w:tc>
          <w:tcPr>
            <w:tcW w:w="1100" w:type="dxa"/>
            <w:vAlign w:val="bottom"/>
          </w:tcPr>
          <w:p>
            <w:pPr>
              <w:ind w:left="40"/>
              <w:spacing w:after="0"/>
              <w:rPr>
                <w:sz w:val="20"/>
                <w:szCs w:val="20"/>
                <w:color w:val="auto"/>
              </w:rPr>
            </w:pPr>
            <w:r>
              <w:rPr>
                <w:rFonts w:ascii="Arial" w:cs="Arial" w:eastAsia="Arial" w:hAnsi="Arial"/>
                <w:sz w:val="18"/>
                <w:szCs w:val="18"/>
                <w:color w:val="auto"/>
              </w:rPr>
              <w:t>Discounted</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Forward Market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34.04</w:t>
            </w:r>
          </w:p>
        </w:tc>
        <w:tc>
          <w:tcPr>
            <w:tcW w:w="2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89.73</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31"/>
        </w:trPr>
        <w:tc>
          <w:tcPr>
            <w:tcW w:w="1960" w:type="dxa"/>
            <w:vAlign w:val="bottom"/>
          </w:tcPr>
          <w:p>
            <w:pPr>
              <w:spacing w:after="0"/>
              <w:rPr>
                <w:sz w:val="20"/>
                <w:szCs w:val="20"/>
                <w:color w:val="auto"/>
              </w:rPr>
            </w:pPr>
            <w:r>
              <w:rPr>
                <w:rFonts w:ascii="Arial" w:cs="Arial" w:eastAsia="Arial" w:hAnsi="Arial"/>
                <w:sz w:val="18"/>
                <w:szCs w:val="18"/>
                <w:b w:val="1"/>
                <w:bCs w:val="1"/>
                <w:color w:val="auto"/>
              </w:rPr>
              <w:t>Commodity Contracts</w:t>
            </w:r>
          </w:p>
        </w:tc>
        <w:tc>
          <w:tcPr>
            <w:tcW w:w="1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Cash Flow</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Price ($ per MWh)</w:t>
            </w:r>
          </w:p>
        </w:tc>
        <w:tc>
          <w:tcPr>
            <w:tcW w:w="1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w w:val="97"/>
              </w:rPr>
              <w:t>Option Model</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Forward Market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(29.26)</w:t>
            </w:r>
          </w:p>
        </w:tc>
        <w:tc>
          <w:tcPr>
            <w:tcW w:w="2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260.77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29"/>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Heat Rate Call Option</w:t>
            </w:r>
          </w:p>
        </w:tc>
        <w:tc>
          <w:tcPr>
            <w:tcW w:w="1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Price ($ per MWh)</w:t>
            </w:r>
          </w:p>
        </w:tc>
        <w:tc>
          <w:tcPr>
            <w:tcW w:w="1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19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2"/>
              </w:rPr>
              <w:t>Forward Market</w:t>
            </w: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line="176" w:lineRule="exact"/>
              <w:rPr>
                <w:sz w:val="20"/>
                <w:szCs w:val="20"/>
                <w:color w:val="auto"/>
              </w:rPr>
            </w:pPr>
            <w:r>
              <w:rPr>
                <w:rFonts w:ascii="Arial" w:cs="Arial" w:eastAsia="Arial" w:hAnsi="Arial"/>
                <w:sz w:val="18"/>
                <w:szCs w:val="18"/>
                <w:b w:val="1"/>
                <w:bCs w:val="1"/>
                <w:color w:val="auto"/>
              </w:rPr>
              <w:t>Commodity Contracts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w w:val="97"/>
              </w:rPr>
              <w:t>Option Model</w:t>
            </w:r>
          </w:p>
        </w:tc>
        <w:tc>
          <w:tcPr>
            <w:tcW w:w="1480" w:type="dxa"/>
            <w:vAlign w:val="bottom"/>
          </w:tcPr>
          <w:p>
            <w:pPr>
              <w:jc w:val="center"/>
              <w:spacing w:after="0" w:line="150" w:lineRule="exact"/>
              <w:rPr>
                <w:sz w:val="20"/>
                <w:szCs w:val="20"/>
                <w:color w:val="auto"/>
              </w:rPr>
            </w:pPr>
            <w:r>
              <w:rPr>
                <w:rFonts w:ascii="Arial" w:cs="Arial" w:eastAsia="Arial" w:hAnsi="Arial"/>
                <w:sz w:val="17"/>
                <w:szCs w:val="17"/>
                <w:color w:val="auto"/>
                <w:w w:val="93"/>
              </w:rPr>
              <w:t>Price ($ per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0.92</w:t>
            </w:r>
          </w:p>
        </w:tc>
        <w:tc>
          <w:tcPr>
            <w:tcW w:w="2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MMBtu)</w:t>
            </w:r>
          </w:p>
        </w:tc>
        <w:tc>
          <w:tcPr>
            <w:tcW w:w="1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Forecast annual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Other Financial</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Discounted</w:t>
            </w: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88"/>
              </w:rPr>
              <w:t>generation levels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90"/>
              </w:rPr>
              <w:t>of certain DG solar</w:t>
            </w: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2"/>
              </w:rPr>
              <w:t>60,047 MWh</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120,094 MWh</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108,791 MWh</w:t>
            </w:r>
          </w:p>
        </w:tc>
        <w:tc>
          <w:tcPr>
            <w:tcW w:w="0" w:type="dxa"/>
            <w:vAlign w:val="bottom"/>
          </w:tcPr>
          <w:p>
            <w:pPr>
              <w:spacing w:after="0"/>
              <w:rPr>
                <w:sz w:val="1"/>
                <w:szCs w:val="1"/>
                <w:color w:val="auto"/>
              </w:rPr>
            </w:pPr>
          </w:p>
        </w:tc>
      </w:tr>
      <w:tr>
        <w:trPr>
          <w:trHeight w:val="231"/>
        </w:trPr>
        <w:tc>
          <w:tcPr>
            <w:tcW w:w="196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Cash Flow</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facilities</w:t>
            </w:r>
          </w:p>
        </w:tc>
        <w:tc>
          <w:tcPr>
            <w:tcW w:w="1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912"/>
              <w:spacing w:after="0"/>
              <w:rPr>
                <w:sz w:val="20"/>
                <w:szCs w:val="20"/>
                <w:color w:val="auto"/>
              </w:rPr>
            </w:pPr>
            <w:r>
              <w:rPr>
                <w:rFonts w:ascii="Arial" w:cs="Arial" w:eastAsia="Arial" w:hAnsi="Arial"/>
                <w:sz w:val="18"/>
                <w:szCs w:val="18"/>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9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Fair Value</w:t>
            </w:r>
          </w:p>
        </w:tc>
        <w:tc>
          <w:tcPr>
            <w:tcW w:w="11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Input/Range</w:t>
            </w: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Valuation</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center"/>
              <w:ind w:right="112"/>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88"/>
              </w:rPr>
              <w:t>Assets</w:t>
            </w:r>
          </w:p>
        </w:tc>
        <w:tc>
          <w:tcPr>
            <w:tcW w:w="1000" w:type="dxa"/>
            <w:vAlign w:val="bottom"/>
            <w:gridSpan w:val="2"/>
            <w:vMerge w:val="restart"/>
          </w:tcPr>
          <w:p>
            <w:pPr>
              <w:jc w:val="right"/>
              <w:ind w:right="32"/>
              <w:spacing w:after="0"/>
              <w:rPr>
                <w:sz w:val="20"/>
                <w:szCs w:val="20"/>
                <w:color w:val="auto"/>
              </w:rPr>
            </w:pPr>
            <w:r>
              <w:rPr>
                <w:rFonts w:ascii="Arial" w:cs="Arial" w:eastAsia="Arial" w:hAnsi="Arial"/>
                <w:sz w:val="18"/>
                <w:szCs w:val="18"/>
                <w:b w:val="1"/>
                <w:bCs w:val="1"/>
                <w:color w:val="auto"/>
              </w:rPr>
              <w:t>Liabilities</w:t>
            </w:r>
          </w:p>
        </w:tc>
        <w:tc>
          <w:tcPr>
            <w:tcW w:w="1100" w:type="dxa"/>
            <w:vAlign w:val="bottom"/>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Unobservable</w:t>
            </w:r>
          </w:p>
        </w:tc>
        <w:tc>
          <w:tcPr>
            <w:tcW w:w="160" w:type="dxa"/>
            <w:vAlign w:val="bottom"/>
          </w:tcPr>
          <w:p>
            <w:pPr>
              <w:spacing w:after="0"/>
              <w:rPr>
                <w:sz w:val="15"/>
                <w:szCs w:val="15"/>
                <w:color w:val="auto"/>
              </w:rPr>
            </w:pPr>
          </w:p>
        </w:tc>
        <w:tc>
          <w:tcPr>
            <w:tcW w:w="102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Low</w:t>
            </w:r>
          </w:p>
        </w:tc>
        <w:tc>
          <w:tcPr>
            <w:tcW w:w="260" w:type="dxa"/>
            <w:vAlign w:val="bottom"/>
          </w:tcPr>
          <w:p>
            <w:pPr>
              <w:spacing w:after="0"/>
              <w:rPr>
                <w:sz w:val="15"/>
                <w:szCs w:val="15"/>
                <w:color w:val="auto"/>
              </w:rPr>
            </w:pPr>
          </w:p>
        </w:tc>
        <w:tc>
          <w:tcPr>
            <w:tcW w:w="900" w:type="dxa"/>
            <w:vAlign w:val="bottom"/>
            <w:vMerge w:val="restart"/>
          </w:tcPr>
          <w:p>
            <w:pPr>
              <w:jc w:val="center"/>
              <w:ind w:right="192"/>
              <w:spacing w:after="0"/>
              <w:rPr>
                <w:sz w:val="20"/>
                <w:szCs w:val="20"/>
                <w:color w:val="auto"/>
              </w:rPr>
            </w:pPr>
            <w:r>
              <w:rPr>
                <w:rFonts w:ascii="Arial" w:cs="Arial" w:eastAsia="Arial" w:hAnsi="Arial"/>
                <w:sz w:val="18"/>
                <w:szCs w:val="18"/>
                <w:b w:val="1"/>
                <w:bCs w:val="1"/>
                <w:color w:val="auto"/>
                <w:w w:val="94"/>
              </w:rPr>
              <w:t>High</w:t>
            </w:r>
          </w:p>
        </w:tc>
        <w:tc>
          <w:tcPr>
            <w:tcW w:w="1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gridSpan w:val="2"/>
            <w:vMerge w:val="continue"/>
          </w:tcPr>
          <w:p>
            <w:pPr>
              <w:spacing w:after="0"/>
              <w:rPr>
                <w:sz w:val="20"/>
                <w:szCs w:val="20"/>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Technique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Input</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69"/>
        </w:trPr>
        <w:tc>
          <w:tcPr>
            <w:tcW w:w="1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gridSpan w:val="3"/>
          </w:tcPr>
          <w:p>
            <w:pPr>
              <w:jc w:val="right"/>
              <w:ind w:right="432"/>
              <w:spacing w:after="0"/>
              <w:rPr>
                <w:sz w:val="20"/>
                <w:szCs w:val="20"/>
                <w:color w:val="auto"/>
              </w:rPr>
            </w:pPr>
            <w:r>
              <w:rPr>
                <w:rFonts w:ascii="Arial" w:cs="Arial" w:eastAsia="Arial" w:hAnsi="Arial"/>
                <w:sz w:val="18"/>
                <w:szCs w:val="18"/>
                <w:b w:val="1"/>
                <w:bCs w:val="1"/>
                <w:color w:val="auto"/>
              </w:rPr>
              <w:t>(In millions)</w:t>
            </w:r>
          </w:p>
        </w:tc>
        <w:tc>
          <w:tcPr>
            <w:tcW w:w="1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960" w:type="dxa"/>
            <w:vAlign w:val="bottom"/>
          </w:tcPr>
          <w:p>
            <w:pPr>
              <w:spacing w:after="0"/>
              <w:rPr>
                <w:sz w:val="20"/>
                <w:szCs w:val="20"/>
                <w:color w:val="auto"/>
              </w:rPr>
            </w:pPr>
            <w:r>
              <w:rPr>
                <w:rFonts w:ascii="Arial" w:cs="Arial" w:eastAsia="Arial" w:hAnsi="Arial"/>
                <w:sz w:val="18"/>
                <w:szCs w:val="18"/>
                <w:b w:val="1"/>
                <w:bCs w:val="1"/>
                <w:color w:val="auto"/>
              </w:rPr>
              <w:t>Long-term Power</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366</w:t>
            </w:r>
          </w:p>
        </w:tc>
        <w:tc>
          <w:tcPr>
            <w:tcW w:w="1100" w:type="dxa"/>
            <w:vAlign w:val="bottom"/>
          </w:tcPr>
          <w:p>
            <w:pPr>
              <w:ind w:left="40"/>
              <w:spacing w:after="0"/>
              <w:rPr>
                <w:sz w:val="20"/>
                <w:szCs w:val="20"/>
                <w:color w:val="auto"/>
              </w:rPr>
            </w:pPr>
            <w:r>
              <w:rPr>
                <w:rFonts w:ascii="Arial" w:cs="Arial" w:eastAsia="Arial" w:hAnsi="Arial"/>
                <w:sz w:val="18"/>
                <w:szCs w:val="18"/>
                <w:color w:val="auto"/>
              </w:rPr>
              <w:t>Discounted</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Forward Market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21.60</w:t>
            </w:r>
          </w:p>
        </w:tc>
        <w:tc>
          <w:tcPr>
            <w:tcW w:w="2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80.82</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31"/>
        </w:trPr>
        <w:tc>
          <w:tcPr>
            <w:tcW w:w="1960" w:type="dxa"/>
            <w:vAlign w:val="bottom"/>
          </w:tcPr>
          <w:p>
            <w:pPr>
              <w:spacing w:after="0"/>
              <w:rPr>
                <w:sz w:val="20"/>
                <w:szCs w:val="20"/>
                <w:color w:val="auto"/>
              </w:rPr>
            </w:pPr>
            <w:r>
              <w:rPr>
                <w:rFonts w:ascii="Arial" w:cs="Arial" w:eastAsia="Arial" w:hAnsi="Arial"/>
                <w:sz w:val="18"/>
                <w:szCs w:val="18"/>
                <w:b w:val="1"/>
                <w:bCs w:val="1"/>
                <w:color w:val="auto"/>
              </w:rPr>
              <w:t>Commodity Contracts</w:t>
            </w:r>
          </w:p>
        </w:tc>
        <w:tc>
          <w:tcPr>
            <w:tcW w:w="1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Cash Flow</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Price ($ per MWh)</w:t>
            </w:r>
          </w:p>
        </w:tc>
        <w:tc>
          <w:tcPr>
            <w:tcW w:w="1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1"/>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Forward Market</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20"/>
                <w:szCs w:val="20"/>
                <w:color w:val="auto"/>
              </w:rPr>
            </w:pPr>
            <w:r>
              <w:rPr>
                <w:rFonts w:ascii="Arial" w:cs="Arial" w:eastAsia="Arial" w:hAnsi="Arial"/>
                <w:sz w:val="18"/>
                <w:szCs w:val="18"/>
                <w:b w:val="1"/>
                <w:bCs w:val="1"/>
                <w:color w:val="auto"/>
              </w:rPr>
              <w:t>Heat Rate Call Option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100" w:type="dxa"/>
            <w:vAlign w:val="bottom"/>
          </w:tcPr>
          <w:p>
            <w:pPr>
              <w:ind w:left="40"/>
              <w:spacing w:after="0"/>
              <w:rPr>
                <w:sz w:val="20"/>
                <w:szCs w:val="20"/>
                <w:color w:val="auto"/>
              </w:rPr>
            </w:pPr>
            <w:r>
              <w:rPr>
                <w:rFonts w:ascii="Arial" w:cs="Arial" w:eastAsia="Arial" w:hAnsi="Arial"/>
                <w:sz w:val="18"/>
                <w:szCs w:val="18"/>
                <w:color w:val="auto"/>
                <w:w w:val="97"/>
              </w:rPr>
              <w:t>Option Model</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Price ($ per MWh)</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(19.30)</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1,011.79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r>
              <w:rPr>
                <w:rFonts w:ascii="Arial" w:cs="Arial" w:eastAsia="Arial" w:hAnsi="Arial"/>
                <w:sz w:val="18"/>
                <w:szCs w:val="18"/>
                <w:b w:val="1"/>
                <w:bCs w:val="1"/>
                <w:color w:val="auto"/>
              </w:rPr>
              <w:t>Commodity Contracts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Forward Market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w w:val="97"/>
              </w:rPr>
              <w:t>Option Model</w:t>
            </w: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88"/>
              </w:rPr>
              <w:t>Price $ (per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0.85</w:t>
            </w:r>
          </w:p>
        </w:tc>
        <w:tc>
          <w:tcPr>
            <w:tcW w:w="2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10.55</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MMBtu)</w:t>
            </w:r>
          </w:p>
        </w:tc>
        <w:tc>
          <w:tcPr>
            <w:tcW w:w="1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Forecast annual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Other Financial</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Discounted</w:t>
            </w: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88"/>
              </w:rPr>
              <w:t>generation levels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90"/>
              </w:rPr>
              <w:t>of certain DG solar</w:t>
            </w: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2"/>
              </w:rPr>
              <w:t>59,425 MWh</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118,850 MWh</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111,091 MWh</w:t>
            </w:r>
          </w:p>
        </w:tc>
        <w:tc>
          <w:tcPr>
            <w:tcW w:w="0" w:type="dxa"/>
            <w:vAlign w:val="bottom"/>
          </w:tcPr>
          <w:p>
            <w:pPr>
              <w:spacing w:after="0"/>
              <w:rPr>
                <w:sz w:val="1"/>
                <w:szCs w:val="1"/>
                <w:color w:val="auto"/>
              </w:rPr>
            </w:pPr>
          </w:p>
        </w:tc>
      </w:tr>
      <w:tr>
        <w:trPr>
          <w:trHeight w:val="231"/>
        </w:trPr>
        <w:tc>
          <w:tcPr>
            <w:tcW w:w="196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18"/>
                <w:szCs w:val="18"/>
                <w:color w:val="auto"/>
              </w:rPr>
              <w:t>Cash Flow</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facilities</w:t>
            </w:r>
          </w:p>
        </w:tc>
        <w:tc>
          <w:tcPr>
            <w:tcW w:w="1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-4351020</wp:posOffset>
            </wp:positionV>
            <wp:extent cx="6400800" cy="16306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7">
                      <a:extLst>
                        <a:ext uri="{28A0092B-C50C-407E-A947-70E740481C1C}"/>
                      </a:extLst>
                    </a:blip>
                    <a:srcRect/>
                    <a:stretch>
                      <a:fillRect/>
                    </a:stretch>
                  </pic:blipFill>
                  <pic:spPr bwMode="auto">
                    <a:xfrm>
                      <a:off x="0" y="0"/>
                      <a:ext cx="6400800" cy="163068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-1609725</wp:posOffset>
            </wp:positionV>
            <wp:extent cx="6400800" cy="3149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8">
                      <a:extLst>
                        <a:ext uri="{28A0092B-C50C-407E-A947-70E740481C1C}"/>
                      </a:extLst>
                    </a:blip>
                    <a:srcRect/>
                    <a:stretch>
                      <a:fillRect/>
                    </a:stretch>
                  </pic:blipFill>
                  <pic:spPr bwMode="auto">
                    <a:xfrm>
                      <a:off x="0" y="0"/>
                      <a:ext cx="6400800" cy="31496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-517525</wp:posOffset>
            </wp:positionV>
            <wp:extent cx="6400800" cy="5391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9">
                      <a:extLst>
                        <a:ext uri="{28A0092B-C50C-407E-A947-70E740481C1C}"/>
                      </a:extLst>
                    </a:blip>
                    <a:srcRect/>
                    <a:stretch>
                      <a:fillRect/>
                    </a:stretch>
                  </pic:blipFill>
                  <pic:spPr bwMode="auto">
                    <a:xfrm>
                      <a:off x="0" y="0"/>
                      <a:ext cx="6400800" cy="539115"/>
                    </a:xfrm>
                    <a:prstGeom prst="rect">
                      <a:avLst/>
                    </a:prstGeom>
                    <a:noFill/>
                  </pic:spPr>
                </pic:pic>
              </a:graphicData>
            </a:graphic>
          </wp:anchor>
        </w:drawing>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880" w:h="15480" w:orient="portrait"/>
          <w:cols w:equalWidth="0" w:num="1">
            <w:col w:w="10040"/>
          </w:cols>
          <w:pgMar w:left="920" w:top="577" w:right="920" w:bottom="0" w:gutter="0" w:footer="0" w:header="0"/>
          <w:type w:val="continuous"/>
        </w:sectPr>
      </w:pPr>
    </w:p>
    <w:bookmarkStart w:id="114" w:name="page115"/>
    <w:bookmarkEnd w:id="114"/>
    <w:p>
      <w:pPr>
        <w:jc w:val="both"/>
        <w:ind w:left="7" w:firstLine="441"/>
        <w:spacing w:after="0" w:line="271" w:lineRule="auto"/>
        <w:rPr>
          <w:sz w:val="20"/>
          <w:szCs w:val="20"/>
          <w:color w:val="auto"/>
        </w:rPr>
      </w:pPr>
      <w:r>
        <w:rPr>
          <w:rFonts w:ascii="Arial" w:cs="Arial" w:eastAsia="Arial" w:hAnsi="Arial"/>
          <w:sz w:val="20"/>
          <w:szCs w:val="20"/>
          <w:color w:val="auto"/>
        </w:rPr>
        <w:t xml:space="preserve">The following table provides the impact on the fair value measurements to increases/(decreases) in significant unobservable inputs as of December 31, 2025 and </w:t>
      </w:r>
      <w:r>
        <w:rPr>
          <w:rFonts w:ascii="Arial" w:cs="Arial" w:eastAsia="Arial" w:hAnsi="Arial"/>
          <w:sz w:val="17"/>
          <w:szCs w:val="17"/>
          <w:color w:val="auto"/>
        </w:rPr>
        <w:t>2024</w:t>
      </w:r>
      <w:r>
        <w:rPr>
          <w:rFonts w:ascii="Arial" w:cs="Arial" w:eastAsia="Arial" w:hAnsi="Arial"/>
          <w:sz w:val="20"/>
          <w:szCs w:val="20"/>
          <w:color w:val="auto"/>
        </w:rPr>
        <w:t>:</w:t>
      </w:r>
    </w:p>
    <w:p>
      <w:pPr>
        <w:spacing w:after="0" w:line="105" w:lineRule="exact"/>
        <w:rPr>
          <w:sz w:val="20"/>
          <w:szCs w:val="20"/>
          <w:color w:val="auto"/>
        </w:rPr>
      </w:pPr>
    </w:p>
    <w:tbl>
      <w:tblPr>
        <w:tblLayout w:type="fixed"/>
        <w:tblInd w:w="7" w:type="dxa"/>
        <w:tblCellMar>
          <w:top w:w="0" w:type="dxa"/>
          <w:left w:w="0" w:type="dxa"/>
          <w:bottom w:w="0" w:type="dxa"/>
          <w:right w:w="0" w:type="dxa"/>
        </w:tblCellMar>
      </w:tblPr>
      <w:tr>
        <w:trPr>
          <w:trHeight w:val="207"/>
        </w:trPr>
        <w:tc>
          <w:tcPr>
            <w:tcW w:w="236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Type</w:t>
            </w:r>
          </w:p>
        </w:tc>
        <w:tc>
          <w:tcPr>
            <w:tcW w:w="2600" w:type="dxa"/>
            <w:vAlign w:val="bottom"/>
            <w:vMerge w:val="restart"/>
          </w:tcPr>
          <w:p>
            <w:pPr>
              <w:jc w:val="center"/>
              <w:ind w:left="132"/>
              <w:spacing w:after="0"/>
              <w:rPr>
                <w:sz w:val="20"/>
                <w:szCs w:val="20"/>
                <w:color w:val="auto"/>
              </w:rPr>
            </w:pPr>
            <w:r>
              <w:rPr>
                <w:rFonts w:ascii="Arial" w:cs="Arial" w:eastAsia="Arial" w:hAnsi="Arial"/>
                <w:sz w:val="18"/>
                <w:szCs w:val="18"/>
                <w:b w:val="1"/>
                <w:bCs w:val="1"/>
                <w:color w:val="auto"/>
                <w:w w:val="89"/>
              </w:rPr>
              <w:t>Significant Observable Input</w:t>
            </w: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Position</w:t>
            </w:r>
          </w:p>
        </w:tc>
        <w:tc>
          <w:tcPr>
            <w:tcW w:w="1900" w:type="dxa"/>
            <w:vAlign w:val="bottom"/>
            <w:vMerge w:val="restart"/>
          </w:tcPr>
          <w:p>
            <w:pPr>
              <w:jc w:val="center"/>
              <w:ind w:right="52"/>
              <w:spacing w:after="0"/>
              <w:rPr>
                <w:sz w:val="20"/>
                <w:szCs w:val="20"/>
                <w:color w:val="auto"/>
              </w:rPr>
            </w:pPr>
            <w:r>
              <w:rPr>
                <w:rFonts w:ascii="Arial" w:cs="Arial" w:eastAsia="Arial" w:hAnsi="Arial"/>
                <w:sz w:val="18"/>
                <w:szCs w:val="18"/>
                <w:b w:val="1"/>
                <w:bCs w:val="1"/>
                <w:color w:val="auto"/>
                <w:w w:val="91"/>
              </w:rPr>
              <w:t>Change In Input</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Impact on Fair Value</w:t>
            </w:r>
          </w:p>
        </w:tc>
        <w:tc>
          <w:tcPr>
            <w:tcW w:w="0" w:type="dxa"/>
            <w:vAlign w:val="bottom"/>
          </w:tcPr>
          <w:p>
            <w:pPr>
              <w:spacing w:after="0"/>
              <w:rPr>
                <w:sz w:val="1"/>
                <w:szCs w:val="1"/>
                <w:color w:val="auto"/>
              </w:rPr>
            </w:pPr>
          </w:p>
        </w:tc>
      </w:tr>
      <w:tr>
        <w:trPr>
          <w:trHeight w:val="234"/>
        </w:trPr>
        <w:tc>
          <w:tcPr>
            <w:tcW w:w="2360" w:type="dxa"/>
            <w:vAlign w:val="bottom"/>
            <w:tcBorders>
              <w:bottom w:val="single" w:sz="8" w:color="auto"/>
            </w:tcBorders>
            <w:vMerge w:val="continue"/>
          </w:tcPr>
          <w:p>
            <w:pPr>
              <w:spacing w:after="0"/>
              <w:rPr>
                <w:sz w:val="20"/>
                <w:szCs w:val="20"/>
                <w:color w:val="auto"/>
              </w:rPr>
            </w:pPr>
          </w:p>
        </w:tc>
        <w:tc>
          <w:tcPr>
            <w:tcW w:w="260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Measurement</w:t>
            </w:r>
          </w:p>
        </w:tc>
        <w:tc>
          <w:tcPr>
            <w:tcW w:w="0" w:type="dxa"/>
            <w:vAlign w:val="bottom"/>
          </w:tcPr>
          <w:p>
            <w:pPr>
              <w:spacing w:after="0"/>
              <w:rPr>
                <w:sz w:val="1"/>
                <w:szCs w:val="1"/>
                <w:color w:val="auto"/>
              </w:rPr>
            </w:pPr>
          </w:p>
        </w:tc>
      </w:tr>
      <w:tr>
        <w:trPr>
          <w:trHeight w:val="202"/>
        </w:trPr>
        <w:tc>
          <w:tcPr>
            <w:tcW w:w="2360" w:type="dxa"/>
            <w:vAlign w:val="bottom"/>
          </w:tcPr>
          <w:p>
            <w:pPr>
              <w:ind w:left="40"/>
              <w:spacing w:after="0" w:line="202" w:lineRule="exact"/>
              <w:rPr>
                <w:sz w:val="20"/>
                <w:szCs w:val="20"/>
                <w:color w:val="auto"/>
              </w:rPr>
            </w:pPr>
            <w:r>
              <w:rPr>
                <w:rFonts w:ascii="Arial" w:cs="Arial" w:eastAsia="Arial" w:hAnsi="Arial"/>
                <w:sz w:val="18"/>
                <w:szCs w:val="18"/>
                <w:color w:val="auto"/>
              </w:rPr>
              <w:t>Energy-Related Commodity</w:t>
            </w:r>
          </w:p>
        </w:tc>
        <w:tc>
          <w:tcPr>
            <w:tcW w:w="2600" w:type="dxa"/>
            <w:vAlign w:val="bottom"/>
            <w:vMerge w:val="restart"/>
          </w:tcPr>
          <w:p>
            <w:pPr>
              <w:jc w:val="center"/>
              <w:ind w:left="132"/>
              <w:spacing w:after="0"/>
              <w:rPr>
                <w:sz w:val="20"/>
                <w:szCs w:val="20"/>
                <w:color w:val="auto"/>
              </w:rPr>
            </w:pPr>
            <w:r>
              <w:rPr>
                <w:rFonts w:ascii="Arial" w:cs="Arial" w:eastAsia="Arial" w:hAnsi="Arial"/>
                <w:sz w:val="18"/>
                <w:szCs w:val="18"/>
                <w:color w:val="auto"/>
                <w:w w:val="90"/>
              </w:rPr>
              <w:t>Forward Market Price Power</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3"/>
              </w:rPr>
              <w:t>Sell</w:t>
            </w:r>
          </w:p>
        </w:tc>
        <w:tc>
          <w:tcPr>
            <w:tcW w:w="1900" w:type="dxa"/>
            <w:vAlign w:val="bottom"/>
            <w:vMerge w:val="restart"/>
          </w:tcPr>
          <w:p>
            <w:pPr>
              <w:jc w:val="center"/>
              <w:ind w:right="52"/>
              <w:spacing w:after="0"/>
              <w:rPr>
                <w:sz w:val="20"/>
                <w:szCs w:val="20"/>
                <w:color w:val="auto"/>
              </w:rPr>
            </w:pPr>
            <w:r>
              <w:rPr>
                <w:rFonts w:ascii="Arial" w:cs="Arial" w:eastAsia="Arial" w:hAnsi="Arial"/>
                <w:sz w:val="18"/>
                <w:szCs w:val="18"/>
                <w:color w:val="auto"/>
                <w:w w:val="85"/>
              </w:rPr>
              <w:t>Increase/(Decrease)</w:t>
            </w:r>
          </w:p>
        </w:tc>
        <w:tc>
          <w:tcPr>
            <w:tcW w:w="2260" w:type="dxa"/>
            <w:vAlign w:val="bottom"/>
            <w:vMerge w:val="restart"/>
          </w:tcPr>
          <w:p>
            <w:pPr>
              <w:jc w:val="center"/>
              <w:spacing w:after="0"/>
              <w:rPr>
                <w:sz w:val="20"/>
                <w:szCs w:val="20"/>
                <w:color w:val="auto"/>
              </w:rPr>
            </w:pPr>
            <w:r>
              <w:rPr>
                <w:rFonts w:ascii="Arial" w:cs="Arial" w:eastAsia="Arial" w:hAnsi="Arial"/>
                <w:sz w:val="18"/>
                <w:szCs w:val="18"/>
                <w:color w:val="auto"/>
                <w:w w:val="94"/>
              </w:rPr>
              <w:t>Lower/(Higher)</w:t>
            </w:r>
          </w:p>
        </w:tc>
        <w:tc>
          <w:tcPr>
            <w:tcW w:w="0" w:type="dxa"/>
            <w:vAlign w:val="bottom"/>
          </w:tcPr>
          <w:p>
            <w:pPr>
              <w:spacing w:after="0"/>
              <w:rPr>
                <w:sz w:val="1"/>
                <w:szCs w:val="1"/>
                <w:color w:val="auto"/>
              </w:rPr>
            </w:pPr>
          </w:p>
        </w:tc>
      </w:tr>
      <w:tr>
        <w:trPr>
          <w:trHeight w:val="229"/>
        </w:trPr>
        <w:tc>
          <w:tcPr>
            <w:tcW w:w="236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6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60" w:type="dxa"/>
            <w:vAlign w:val="bottom"/>
          </w:tcPr>
          <w:p>
            <w:pPr>
              <w:ind w:left="40"/>
              <w:spacing w:after="0"/>
              <w:rPr>
                <w:sz w:val="20"/>
                <w:szCs w:val="20"/>
                <w:color w:val="auto"/>
              </w:rPr>
            </w:pPr>
            <w:r>
              <w:rPr>
                <w:rFonts w:ascii="Arial" w:cs="Arial" w:eastAsia="Arial" w:hAnsi="Arial"/>
                <w:sz w:val="18"/>
                <w:szCs w:val="18"/>
                <w:color w:val="auto"/>
              </w:rPr>
              <w:t>Energy-Related Commodity</w:t>
            </w:r>
          </w:p>
        </w:tc>
        <w:tc>
          <w:tcPr>
            <w:tcW w:w="2600" w:type="dxa"/>
            <w:vAlign w:val="bottom"/>
            <w:vMerge w:val="restart"/>
          </w:tcPr>
          <w:p>
            <w:pPr>
              <w:jc w:val="center"/>
              <w:ind w:left="112"/>
              <w:spacing w:after="0"/>
              <w:rPr>
                <w:sz w:val="20"/>
                <w:szCs w:val="20"/>
                <w:color w:val="auto"/>
              </w:rPr>
            </w:pPr>
            <w:r>
              <w:rPr>
                <w:rFonts w:ascii="Arial" w:cs="Arial" w:eastAsia="Arial" w:hAnsi="Arial"/>
                <w:sz w:val="18"/>
                <w:szCs w:val="18"/>
                <w:color w:val="auto"/>
                <w:w w:val="89"/>
              </w:rPr>
              <w:t>Forward Market Price Gas</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3"/>
              </w:rPr>
              <w:t>Sell</w:t>
            </w:r>
          </w:p>
        </w:tc>
        <w:tc>
          <w:tcPr>
            <w:tcW w:w="1900" w:type="dxa"/>
            <w:vAlign w:val="bottom"/>
            <w:vMerge w:val="restart"/>
          </w:tcPr>
          <w:p>
            <w:pPr>
              <w:jc w:val="center"/>
              <w:ind w:right="52"/>
              <w:spacing w:after="0"/>
              <w:rPr>
                <w:sz w:val="20"/>
                <w:szCs w:val="20"/>
                <w:color w:val="auto"/>
              </w:rPr>
            </w:pPr>
            <w:r>
              <w:rPr>
                <w:rFonts w:ascii="Arial" w:cs="Arial" w:eastAsia="Arial" w:hAnsi="Arial"/>
                <w:sz w:val="18"/>
                <w:szCs w:val="18"/>
                <w:color w:val="auto"/>
                <w:w w:val="85"/>
              </w:rPr>
              <w:t>Increase/(Decrease)</w:t>
            </w:r>
          </w:p>
        </w:tc>
        <w:tc>
          <w:tcPr>
            <w:tcW w:w="2260" w:type="dxa"/>
            <w:vAlign w:val="bottom"/>
            <w:vMerge w:val="restart"/>
          </w:tcPr>
          <w:p>
            <w:pPr>
              <w:jc w:val="center"/>
              <w:spacing w:after="0"/>
              <w:rPr>
                <w:sz w:val="20"/>
                <w:szCs w:val="20"/>
                <w:color w:val="auto"/>
              </w:rPr>
            </w:pPr>
            <w:r>
              <w:rPr>
                <w:rFonts w:ascii="Arial" w:cs="Arial" w:eastAsia="Arial" w:hAnsi="Arial"/>
                <w:sz w:val="18"/>
                <w:szCs w:val="18"/>
                <w:color w:val="auto"/>
                <w:w w:val="94"/>
              </w:rPr>
              <w:t>Higher/(Lower)</w:t>
            </w:r>
          </w:p>
        </w:tc>
        <w:tc>
          <w:tcPr>
            <w:tcW w:w="0" w:type="dxa"/>
            <w:vAlign w:val="bottom"/>
          </w:tcPr>
          <w:p>
            <w:pPr>
              <w:spacing w:after="0"/>
              <w:rPr>
                <w:sz w:val="1"/>
                <w:szCs w:val="1"/>
                <w:color w:val="auto"/>
              </w:rPr>
            </w:pPr>
          </w:p>
        </w:tc>
      </w:tr>
      <w:tr>
        <w:trPr>
          <w:trHeight w:val="229"/>
        </w:trPr>
        <w:tc>
          <w:tcPr>
            <w:tcW w:w="236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6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360" w:type="dxa"/>
            <w:vAlign w:val="bottom"/>
          </w:tcPr>
          <w:p>
            <w:pPr>
              <w:ind w:left="40"/>
              <w:spacing w:after="0"/>
              <w:rPr>
                <w:sz w:val="20"/>
                <w:szCs w:val="20"/>
                <w:color w:val="auto"/>
              </w:rPr>
            </w:pPr>
            <w:r>
              <w:rPr>
                <w:rFonts w:ascii="Arial" w:cs="Arial" w:eastAsia="Arial" w:hAnsi="Arial"/>
                <w:sz w:val="18"/>
                <w:szCs w:val="18"/>
                <w:color w:val="auto"/>
              </w:rPr>
              <w:t>Other Financial Instruments</w:t>
            </w:r>
          </w:p>
        </w:tc>
        <w:tc>
          <w:tcPr>
            <w:tcW w:w="2600" w:type="dxa"/>
            <w:vAlign w:val="bottom"/>
          </w:tcPr>
          <w:p>
            <w:pPr>
              <w:jc w:val="center"/>
              <w:ind w:left="132"/>
              <w:spacing w:after="0"/>
              <w:rPr>
                <w:sz w:val="20"/>
                <w:szCs w:val="20"/>
                <w:color w:val="auto"/>
              </w:rPr>
            </w:pPr>
            <w:r>
              <w:rPr>
                <w:rFonts w:ascii="Arial" w:cs="Arial" w:eastAsia="Arial" w:hAnsi="Arial"/>
                <w:sz w:val="18"/>
                <w:szCs w:val="18"/>
                <w:color w:val="auto"/>
                <w:w w:val="87"/>
              </w:rPr>
              <w:t>Forecast Generation Levels</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Sell</w:t>
            </w:r>
          </w:p>
        </w:tc>
        <w:tc>
          <w:tcPr>
            <w:tcW w:w="1900" w:type="dxa"/>
            <w:vAlign w:val="bottom"/>
          </w:tcPr>
          <w:p>
            <w:pPr>
              <w:jc w:val="center"/>
              <w:ind w:right="52"/>
              <w:spacing w:after="0"/>
              <w:rPr>
                <w:sz w:val="20"/>
                <w:szCs w:val="20"/>
                <w:color w:val="auto"/>
              </w:rPr>
            </w:pPr>
            <w:r>
              <w:rPr>
                <w:rFonts w:ascii="Arial" w:cs="Arial" w:eastAsia="Arial" w:hAnsi="Arial"/>
                <w:sz w:val="18"/>
                <w:szCs w:val="18"/>
                <w:color w:val="auto"/>
                <w:w w:val="85"/>
              </w:rPr>
              <w:t>Increase/(Decrease)</w:t>
            </w: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Higher/(Lower)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-758190</wp:posOffset>
            </wp:positionV>
            <wp:extent cx="6410325" cy="781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0">
                      <a:extLst>
                        <a:ext uri="{28A0092B-C50C-407E-A947-70E740481C1C}"/>
                      </a:extLst>
                    </a:blip>
                    <a:srcRect/>
                    <a:stretch>
                      <a:fillRect/>
                    </a:stretch>
                  </pic:blipFill>
                  <pic:spPr bwMode="auto">
                    <a:xfrm>
                      <a:off x="0" y="0"/>
                      <a:ext cx="6410325" cy="781685"/>
                    </a:xfrm>
                    <a:prstGeom prst="rect">
                      <a:avLst/>
                    </a:prstGeom>
                    <a:noFill/>
                  </pic:spPr>
                </pic:pic>
              </a:graphicData>
            </a:graphic>
          </wp:anchor>
        </w:drawing>
      </w:r>
    </w:p>
    <w:p>
      <w:pPr>
        <w:spacing w:after="0" w:line="209" w:lineRule="exact"/>
        <w:rPr>
          <w:sz w:val="20"/>
          <w:szCs w:val="20"/>
          <w:color w:val="auto"/>
        </w:rPr>
      </w:pPr>
    </w:p>
    <w:p>
      <w:pPr>
        <w:jc w:val="both"/>
        <w:ind w:left="7" w:firstLine="441"/>
        <w:spacing w:after="0" w:line="297" w:lineRule="auto"/>
        <w:rPr>
          <w:sz w:val="20"/>
          <w:szCs w:val="20"/>
          <w:color w:val="auto"/>
        </w:rPr>
      </w:pPr>
      <w:r>
        <w:rPr>
          <w:rFonts w:ascii="Arial" w:cs="Arial" w:eastAsia="Arial" w:hAnsi="Arial"/>
          <w:sz w:val="17"/>
          <w:szCs w:val="17"/>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2025, the non-performance reserve was a $16 million gain recorded primarily to total operating revenues in the consolidated statements of operations. It is possible that future market prices could vary from those used in recording assets and liabilities and such variations could be material.</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Concentration of Credit Risk</w:t>
      </w:r>
    </w:p>
    <w:p>
      <w:pPr>
        <w:spacing w:after="0" w:line="187" w:lineRule="exact"/>
        <w:rPr>
          <w:sz w:val="20"/>
          <w:szCs w:val="20"/>
          <w:color w:val="auto"/>
        </w:rPr>
      </w:pPr>
    </w:p>
    <w:p>
      <w:pPr>
        <w:jc w:val="both"/>
        <w:ind w:left="7" w:firstLine="441"/>
        <w:spacing w:after="0" w:line="295" w:lineRule="auto"/>
        <w:rPr>
          <w:sz w:val="20"/>
          <w:szCs w:val="20"/>
          <w:color w:val="auto"/>
        </w:rPr>
      </w:pPr>
      <w:r>
        <w:rPr>
          <w:rFonts w:ascii="Arial" w:cs="Arial" w:eastAsia="Arial" w:hAnsi="Arial"/>
          <w:sz w:val="17"/>
          <w:szCs w:val="17"/>
          <w:color w:val="auto"/>
        </w:rPr>
        <w:t xml:space="preserve">In addition to the credit risk discussion as disclosed in Note 2, </w:t>
      </w:r>
      <w:r>
        <w:rPr>
          <w:rFonts w:ascii="Arial" w:cs="Arial" w:eastAsia="Arial" w:hAnsi="Arial"/>
          <w:sz w:val="17"/>
          <w:szCs w:val="17"/>
          <w:b w:val="1"/>
          <w:bCs w:val="1"/>
          <w:i w:val="1"/>
          <w:iCs w:val="1"/>
          <w:color w:val="auto"/>
        </w:rPr>
        <w:t>Summary of Significant Accounting Policies</w:t>
      </w:r>
      <w:r>
        <w:rPr>
          <w:rFonts w:ascii="Arial" w:cs="Arial" w:eastAsia="Arial" w:hAnsi="Arial"/>
          <w:sz w:val="17"/>
          <w:szCs w:val="17"/>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w:t>
      </w:r>
    </w:p>
    <w:p>
      <w:pPr>
        <w:spacing w:after="0" w:line="1" w:lineRule="exact"/>
        <w:rPr>
          <w:sz w:val="20"/>
          <w:szCs w:val="20"/>
          <w:color w:val="auto"/>
        </w:rPr>
      </w:pPr>
    </w:p>
    <w:p>
      <w:pPr>
        <w:jc w:val="both"/>
        <w:ind w:left="7" w:hanging="7"/>
        <w:spacing w:after="0" w:line="246" w:lineRule="auto"/>
        <w:tabs>
          <w:tab w:leader="none" w:pos="301" w:val="left"/>
        </w:tabs>
        <w:numPr>
          <w:ilvl w:val="0"/>
          <w:numId w:val="67"/>
        </w:numPr>
        <w:rPr>
          <w:rFonts w:ascii="Arial" w:cs="Arial" w:eastAsia="Arial" w:hAnsi="Arial"/>
          <w:sz w:val="20"/>
          <w:szCs w:val="20"/>
          <w:color w:val="auto"/>
        </w:rPr>
      </w:pPr>
      <w:r>
        <w:rPr>
          <w:rFonts w:ascii="Arial" w:cs="Arial" w:eastAsia="Arial" w:hAnsi="Arial"/>
          <w:sz w:val="20"/>
          <w:szCs w:val="20"/>
          <w:color w:val="auto"/>
        </w:rPr>
        <w:t>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54" w:lineRule="exact"/>
        <w:rPr>
          <w:sz w:val="20"/>
          <w:szCs w:val="20"/>
          <w:color w:val="auto"/>
        </w:rPr>
      </w:pPr>
    </w:p>
    <w:p>
      <w:pPr>
        <w:jc w:val="both"/>
        <w:ind w:left="7" w:firstLine="441"/>
        <w:spacing w:after="0" w:line="263" w:lineRule="auto"/>
        <w:rPr>
          <w:sz w:val="20"/>
          <w:szCs w:val="20"/>
          <w:color w:val="auto"/>
        </w:rPr>
      </w:pPr>
      <w:r>
        <w:rPr>
          <w:rFonts w:ascii="Arial" w:cs="Arial" w:eastAsia="Arial" w:hAnsi="Arial"/>
          <w:sz w:val="19"/>
          <w:szCs w:val="19"/>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Note 7 — Accounting for Derivative Instruments and Hedging Activities</w:t>
      </w:r>
    </w:p>
    <w:p>
      <w:pPr>
        <w:spacing w:after="0" w:line="189" w:lineRule="exact"/>
        <w:rPr>
          <w:sz w:val="20"/>
          <w:szCs w:val="20"/>
          <w:color w:val="auto"/>
        </w:rPr>
      </w:pPr>
    </w:p>
    <w:p>
      <w:pPr>
        <w:jc w:val="both"/>
        <w:ind w:left="7" w:firstLine="441"/>
        <w:spacing w:after="0" w:line="249" w:lineRule="auto"/>
        <w:rPr>
          <w:sz w:val="20"/>
          <w:szCs w:val="20"/>
          <w:color w:val="auto"/>
        </w:rPr>
      </w:pPr>
      <w:r>
        <w:rPr>
          <w:rFonts w:ascii="Arial" w:cs="Arial" w:eastAsia="Arial" w:hAnsi="Arial"/>
          <w:sz w:val="20"/>
          <w:szCs w:val="20"/>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energy-related commodity contracts and interest rate swaps.</w:t>
      </w:r>
    </w:p>
    <w:p>
      <w:pPr>
        <w:sectPr>
          <w:pgSz w:w="11880" w:h="15480" w:orient="portrait"/>
          <w:cols w:equalWidth="0" w:num="1">
            <w:col w:w="10047"/>
          </w:cols>
          <w:pgMar w:left="913"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113</w:t>
      </w:r>
    </w:p>
    <w:p>
      <w:pPr>
        <w:sectPr>
          <w:pgSz w:w="11880" w:h="15480" w:orient="portrait"/>
          <w:cols w:equalWidth="0" w:num="1">
            <w:col w:w="10047"/>
          </w:cols>
          <w:pgMar w:left="913" w:top="584" w:right="920" w:bottom="0" w:gutter="0" w:footer="0" w:header="0"/>
          <w:type w:val="continuous"/>
        </w:sectPr>
      </w:pPr>
    </w:p>
    <w:bookmarkStart w:id="115" w:name="page116"/>
    <w:bookmarkEnd w:id="115"/>
    <w:p>
      <w:pPr>
        <w:spacing w:after="0"/>
        <w:rPr>
          <w:sz w:val="20"/>
          <w:szCs w:val="20"/>
          <w:color w:val="auto"/>
        </w:rPr>
      </w:pPr>
      <w:r>
        <w:rPr>
          <w:rFonts w:ascii="Arial" w:cs="Arial" w:eastAsia="Arial" w:hAnsi="Arial"/>
          <w:sz w:val="20"/>
          <w:szCs w:val="20"/>
          <w:b w:val="1"/>
          <w:bCs w:val="1"/>
          <w:i w:val="1"/>
          <w:iCs w:val="1"/>
          <w:color w:val="auto"/>
        </w:rPr>
        <w:t>Interest Rate Swaps</w:t>
      </w:r>
    </w:p>
    <w:p>
      <w:pPr>
        <w:spacing w:after="0" w:line="189"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0"/>
          <w:szCs w:val="20"/>
          <w:color w:val="auto"/>
        </w:rPr>
        <w:t>The Company enters into interest rate swap agreements in order to hedge the variability of expected future cash interest payments that may arise in connection with its non-recourse debt or a potential refinancing of its Senior Notes. As of December 31, 2025, the Company had interest rate derivative instruments extending through 2033, a portion of which were designated as cash flow hedges. Under the interest rate swap agreements, the Company pays a fixed rate and the counterparties to the agreements pay a variable interest rate.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Commodity Contracts</w:t>
      </w:r>
    </w:p>
    <w:p>
      <w:pPr>
        <w:spacing w:after="0" w:line="18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As of December 31, 2025, the Company had energy-related derivative instruments extending through 2033. At December 31, 2025, these contracts were not designated as cash flow or fair value hedges.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Volumetric Underlying Derivative Transactions</w:t>
      </w:r>
    </w:p>
    <w:p>
      <w:pPr>
        <w:spacing w:after="0" w:line="150"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The following table summarizes the net notional volume buy/(sell) of the Company’s open derivative transactions broken out by commodity:</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1107"/>
              <w:spacing w:after="0"/>
              <w:rPr>
                <w:sz w:val="20"/>
                <w:szCs w:val="20"/>
                <w:color w:val="auto"/>
              </w:rPr>
            </w:pPr>
            <w:r>
              <w:rPr>
                <w:rFonts w:ascii="Arial" w:cs="Arial" w:eastAsia="Arial" w:hAnsi="Arial"/>
                <w:sz w:val="16"/>
                <w:szCs w:val="16"/>
                <w:b w:val="1"/>
                <w:bCs w:val="1"/>
                <w:color w:val="auto"/>
              </w:rPr>
              <w:t>Total Volume</w:t>
            </w:r>
          </w:p>
        </w:tc>
      </w:tr>
      <w:tr>
        <w:trPr>
          <w:trHeight w:val="215"/>
        </w:trPr>
        <w:tc>
          <w:tcPr>
            <w:tcW w:w="8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87"/>
              </w:rPr>
              <w:t>December 31, 2025</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w w:val="87"/>
              </w:rPr>
              <w:t>December 31, 2024</w:t>
            </w:r>
          </w:p>
        </w:tc>
      </w:tr>
      <w:tr>
        <w:trPr>
          <w:trHeight w:val="175"/>
        </w:trPr>
        <w:tc>
          <w:tcPr>
            <w:tcW w:w="800" w:type="dxa"/>
            <w:vAlign w:val="bottom"/>
          </w:tcPr>
          <w:p>
            <w:pPr>
              <w:spacing w:after="0" w:line="175" w:lineRule="exact"/>
              <w:rPr>
                <w:sz w:val="20"/>
                <w:szCs w:val="20"/>
                <w:color w:val="auto"/>
              </w:rPr>
            </w:pPr>
            <w:r>
              <w:rPr>
                <w:rFonts w:ascii="Arial" w:cs="Arial" w:eastAsia="Arial" w:hAnsi="Arial"/>
                <w:sz w:val="16"/>
                <w:szCs w:val="16"/>
                <w:b w:val="1"/>
                <w:bCs w:val="1"/>
                <w:color w:val="auto"/>
                <w:w w:val="88"/>
              </w:rPr>
              <w:t>Commodity</w:t>
            </w:r>
          </w:p>
        </w:tc>
        <w:tc>
          <w:tcPr>
            <w:tcW w:w="3900" w:type="dxa"/>
            <w:vAlign w:val="bottom"/>
          </w:tcPr>
          <w:p>
            <w:pPr>
              <w:spacing w:after="0"/>
              <w:rPr>
                <w:sz w:val="15"/>
                <w:szCs w:val="15"/>
                <w:color w:val="auto"/>
              </w:rPr>
            </w:pPr>
          </w:p>
        </w:tc>
        <w:tc>
          <w:tcPr>
            <w:tcW w:w="19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Units</w:t>
            </w:r>
          </w:p>
        </w:tc>
        <w:tc>
          <w:tcPr>
            <w:tcW w:w="160" w:type="dxa"/>
            <w:vAlign w:val="bottom"/>
          </w:tcPr>
          <w:p>
            <w:pPr>
              <w:spacing w:after="0"/>
              <w:rPr>
                <w:sz w:val="15"/>
                <w:szCs w:val="15"/>
                <w:color w:val="auto"/>
              </w:rPr>
            </w:pPr>
          </w:p>
        </w:tc>
        <w:tc>
          <w:tcPr>
            <w:tcW w:w="3160" w:type="dxa"/>
            <w:vAlign w:val="bottom"/>
            <w:gridSpan w:val="4"/>
          </w:tcPr>
          <w:p>
            <w:pPr>
              <w:jc w:val="right"/>
              <w:ind w:right="1147"/>
              <w:spacing w:after="0" w:line="175" w:lineRule="exact"/>
              <w:rPr>
                <w:sz w:val="20"/>
                <w:szCs w:val="20"/>
                <w:color w:val="auto"/>
              </w:rPr>
            </w:pPr>
            <w:r>
              <w:rPr>
                <w:rFonts w:ascii="Arial" w:cs="Arial" w:eastAsia="Arial" w:hAnsi="Arial"/>
                <w:sz w:val="16"/>
                <w:szCs w:val="16"/>
                <w:b w:val="1"/>
                <w:bCs w:val="1"/>
                <w:color w:val="auto"/>
              </w:rPr>
              <w:t>(In millions)</w:t>
            </w:r>
          </w:p>
        </w:tc>
      </w:tr>
      <w:tr>
        <w:trPr>
          <w:trHeight w:val="20"/>
        </w:trPr>
        <w:tc>
          <w:tcPr>
            <w:tcW w:w="8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2"/>
        </w:trPr>
        <w:tc>
          <w:tcPr>
            <w:tcW w:w="4700" w:type="dxa"/>
            <w:vAlign w:val="bottom"/>
            <w:gridSpan w:val="2"/>
          </w:tcPr>
          <w:p>
            <w:pPr>
              <w:spacing w:after="0"/>
              <w:rPr>
                <w:sz w:val="20"/>
                <w:szCs w:val="20"/>
                <w:color w:val="auto"/>
              </w:rPr>
            </w:pPr>
            <w:r>
              <w:rPr>
                <w:rFonts w:ascii="Arial" w:cs="Arial" w:eastAsia="Arial" w:hAnsi="Arial"/>
                <w:sz w:val="20"/>
                <w:szCs w:val="20"/>
                <w:color w:val="auto"/>
                <w:w w:val="91"/>
              </w:rPr>
              <w:t xml:space="preserve">Power </w:t>
            </w:r>
            <w:r>
              <w:rPr>
                <w:rFonts w:ascii="Arial" w:cs="Arial" w:eastAsia="Arial" w:hAnsi="Arial"/>
                <w:sz w:val="20"/>
                <w:szCs w:val="20"/>
                <w:color w:val="B4B4B4"/>
                <w:w w:val="91"/>
              </w:rPr>
              <w:t>. . . . . . . . . . . . . . . . . . . . . . . . . . . . . . . . . . . . . . . . .</w:t>
            </w:r>
          </w:p>
        </w:tc>
        <w:tc>
          <w:tcPr>
            <w:tcW w:w="1980" w:type="dxa"/>
            <w:vAlign w:val="bottom"/>
            <w:gridSpan w:val="2"/>
          </w:tcPr>
          <w:p>
            <w:pPr>
              <w:spacing w:after="0"/>
              <w:rPr>
                <w:sz w:val="20"/>
                <w:szCs w:val="20"/>
                <w:color w:val="auto"/>
              </w:rPr>
            </w:pPr>
            <w:r>
              <w:rPr>
                <w:rFonts w:ascii="Arial" w:cs="Arial" w:eastAsia="Arial" w:hAnsi="Arial"/>
                <w:sz w:val="20"/>
                <w:szCs w:val="20"/>
                <w:color w:val="auto"/>
                <w:w w:val="96"/>
              </w:rPr>
              <w:t xml:space="preserve">MWh </w:t>
            </w:r>
            <w:r>
              <w:rPr>
                <w:rFonts w:ascii="Arial" w:cs="Arial" w:eastAsia="Arial" w:hAnsi="Arial"/>
                <w:sz w:val="20"/>
                <w:szCs w:val="20"/>
                <w:color w:val="B4B4B4"/>
                <w:w w:val="96"/>
              </w:rPr>
              <w:t>. . . . . . . . . . . . . .</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5"/>
        </w:trPr>
        <w:tc>
          <w:tcPr>
            <w:tcW w:w="4700" w:type="dxa"/>
            <w:vAlign w:val="bottom"/>
            <w:gridSpan w:val="2"/>
          </w:tcPr>
          <w:p>
            <w:pPr>
              <w:spacing w:after="0"/>
              <w:rPr>
                <w:sz w:val="20"/>
                <w:szCs w:val="20"/>
                <w:color w:val="auto"/>
              </w:rPr>
            </w:pPr>
            <w:r>
              <w:rPr>
                <w:rFonts w:ascii="Arial" w:cs="Arial" w:eastAsia="Arial" w:hAnsi="Arial"/>
                <w:sz w:val="20"/>
                <w:szCs w:val="20"/>
                <w:color w:val="auto"/>
                <w:w w:val="90"/>
              </w:rPr>
              <w:t xml:space="preserve">Natural Gas </w:t>
            </w:r>
            <w:r>
              <w:rPr>
                <w:rFonts w:ascii="Arial" w:cs="Arial" w:eastAsia="Arial" w:hAnsi="Arial"/>
                <w:sz w:val="20"/>
                <w:szCs w:val="20"/>
                <w:color w:val="B4B4B4"/>
                <w:w w:val="90"/>
              </w:rPr>
              <w:t>. . . . . . . . . . . . . . . . . . . . . . . . . . . . . . . . . . . . .</w:t>
            </w:r>
          </w:p>
        </w:tc>
        <w:tc>
          <w:tcPr>
            <w:tcW w:w="1980" w:type="dxa"/>
            <w:vAlign w:val="bottom"/>
            <w:gridSpan w:val="2"/>
          </w:tcPr>
          <w:p>
            <w:pPr>
              <w:spacing w:after="0"/>
              <w:rPr>
                <w:sz w:val="20"/>
                <w:szCs w:val="20"/>
                <w:color w:val="auto"/>
              </w:rPr>
            </w:pPr>
            <w:r>
              <w:rPr>
                <w:rFonts w:ascii="Arial" w:cs="Arial" w:eastAsia="Arial" w:hAnsi="Arial"/>
                <w:sz w:val="20"/>
                <w:szCs w:val="20"/>
                <w:color w:val="auto"/>
                <w:w w:val="99"/>
              </w:rPr>
              <w:t xml:space="preserve">MMBtu </w:t>
            </w:r>
            <w:r>
              <w:rPr>
                <w:rFonts w:ascii="Arial" w:cs="Arial" w:eastAsia="Arial" w:hAnsi="Arial"/>
                <w:sz w:val="20"/>
                <w:szCs w:val="20"/>
                <w:color w:val="B4B4B4"/>
                <w:w w:val="99"/>
              </w:rPr>
              <w:t>. . . . . . . . . . . .</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55"/>
        </w:trPr>
        <w:tc>
          <w:tcPr>
            <w:tcW w:w="4700" w:type="dxa"/>
            <w:vAlign w:val="bottom"/>
            <w:gridSpan w:val="2"/>
          </w:tcPr>
          <w:p>
            <w:pPr>
              <w:spacing w:after="0"/>
              <w:rPr>
                <w:sz w:val="20"/>
                <w:szCs w:val="20"/>
                <w:color w:val="auto"/>
              </w:rPr>
            </w:pPr>
            <w:r>
              <w:rPr>
                <w:rFonts w:ascii="Arial" w:cs="Arial" w:eastAsia="Arial" w:hAnsi="Arial"/>
                <w:sz w:val="20"/>
                <w:szCs w:val="20"/>
                <w:color w:val="auto"/>
                <w:w w:val="90"/>
              </w:rPr>
              <w:t xml:space="preserve">Interest  </w:t>
            </w:r>
            <w:r>
              <w:rPr>
                <w:rFonts w:ascii="Arial" w:cs="Arial" w:eastAsia="Arial" w:hAnsi="Arial"/>
                <w:sz w:val="20"/>
                <w:szCs w:val="20"/>
                <w:color w:val="B4B4B4"/>
                <w:w w:val="90"/>
              </w:rPr>
              <w:t>. . . . . . . . . . . . . . . . . . . . . . . . . . . . . . . . . . . . . . . .</w:t>
            </w:r>
          </w:p>
        </w:tc>
        <w:tc>
          <w:tcPr>
            <w:tcW w:w="1980" w:type="dxa"/>
            <w:vAlign w:val="bottom"/>
            <w:gridSpan w:val="2"/>
          </w:tcPr>
          <w:p>
            <w:pPr>
              <w:spacing w:after="0"/>
              <w:rPr>
                <w:sz w:val="20"/>
                <w:szCs w:val="20"/>
                <w:color w:val="auto"/>
              </w:rPr>
            </w:pPr>
            <w:r>
              <w:rPr>
                <w:rFonts w:ascii="Arial" w:cs="Arial" w:eastAsia="Arial" w:hAnsi="Arial"/>
                <w:sz w:val="20"/>
                <w:szCs w:val="20"/>
                <w:color w:val="auto"/>
              </w:rPr>
              <w:t xml:space="preserve">Dollars </w:t>
            </w:r>
            <w:r>
              <w:rPr>
                <w:rFonts w:ascii="Arial" w:cs="Arial" w:eastAsia="Arial" w:hAnsi="Arial"/>
                <w:sz w:val="20"/>
                <w:szCs w:val="20"/>
                <w:color w:val="B4B4B4"/>
              </w:rPr>
              <w:t>.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4,080</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1,769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-451485</wp:posOffset>
            </wp:positionV>
            <wp:extent cx="6410325" cy="4737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1">
                      <a:extLst>
                        <a:ext uri="{28A0092B-C50C-407E-A947-70E740481C1C}"/>
                      </a:extLst>
                    </a:blip>
                    <a:srcRect/>
                    <a:stretch>
                      <a:fillRect/>
                    </a:stretch>
                  </pic:blipFill>
                  <pic:spPr bwMode="auto">
                    <a:xfrm>
                      <a:off x="0" y="0"/>
                      <a:ext cx="6410325" cy="47371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Derivative Instruments</w:t>
      </w:r>
    </w:p>
    <w:p>
      <w:pPr>
        <w:spacing w:after="0" w:line="16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The following table summarizes the fair value within the derivative instrument valuation on the consolidated balance sheets: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r>
      <w:tr>
        <w:trPr>
          <w:trHeight w:val="274"/>
        </w:trPr>
        <w:tc>
          <w:tcPr>
            <w:tcW w:w="5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6"/>
                <w:szCs w:val="16"/>
                <w:b w:val="1"/>
                <w:bCs w:val="1"/>
                <w:color w:val="auto"/>
              </w:rPr>
              <w:t>Derivative Assets</w:t>
            </w:r>
          </w:p>
        </w:tc>
        <w:tc>
          <w:tcPr>
            <w:tcW w:w="4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5"/>
              </w:rPr>
              <w:t>Derivative Liabilities</w:t>
            </w:r>
          </w:p>
        </w:tc>
        <w:tc>
          <w:tcPr>
            <w:tcW w:w="400" w:type="dxa"/>
            <w:vAlign w:val="bottom"/>
            <w:tcBorders>
              <w:bottom w:val="single" w:sz="8" w:color="auto"/>
            </w:tcBorders>
          </w:tcPr>
          <w:p>
            <w:pPr>
              <w:spacing w:after="0"/>
              <w:rPr>
                <w:sz w:val="23"/>
                <w:szCs w:val="23"/>
                <w:color w:val="auto"/>
              </w:rPr>
            </w:pPr>
          </w:p>
        </w:tc>
      </w:tr>
      <w:tr>
        <w:trPr>
          <w:trHeight w:val="182"/>
        </w:trPr>
        <w:tc>
          <w:tcPr>
            <w:tcW w:w="5180" w:type="dxa"/>
            <w:vAlign w:val="bottom"/>
          </w:tcPr>
          <w:p>
            <w:pPr>
              <w:spacing w:after="0"/>
              <w:rPr>
                <w:sz w:val="15"/>
                <w:szCs w:val="15"/>
                <w:color w:val="auto"/>
              </w:rPr>
            </w:pPr>
          </w:p>
        </w:tc>
        <w:tc>
          <w:tcPr>
            <w:tcW w:w="1140" w:type="dxa"/>
            <w:vAlign w:val="bottom"/>
            <w:gridSpan w:val="2"/>
          </w:tcPr>
          <w:p>
            <w:pPr>
              <w:jc w:val="right"/>
              <w:ind w:right="26"/>
              <w:spacing w:after="0" w:line="182" w:lineRule="exact"/>
              <w:rPr>
                <w:sz w:val="20"/>
                <w:szCs w:val="20"/>
                <w:color w:val="auto"/>
              </w:rPr>
            </w:pPr>
            <w:r>
              <w:rPr>
                <w:rFonts w:ascii="Arial" w:cs="Arial" w:eastAsia="Arial" w:hAnsi="Arial"/>
                <w:sz w:val="16"/>
                <w:szCs w:val="16"/>
                <w:b w:val="1"/>
                <w:bCs w:val="1"/>
                <w:color w:val="auto"/>
                <w:w w:val="96"/>
              </w:rPr>
              <w:t>December 31,</w:t>
            </w:r>
          </w:p>
        </w:tc>
        <w:tc>
          <w:tcPr>
            <w:tcW w:w="80" w:type="dxa"/>
            <w:vAlign w:val="bottom"/>
          </w:tcPr>
          <w:p>
            <w:pPr>
              <w:spacing w:after="0"/>
              <w:rPr>
                <w:sz w:val="15"/>
                <w:szCs w:val="15"/>
                <w:color w:val="auto"/>
              </w:rPr>
            </w:pPr>
          </w:p>
        </w:tc>
        <w:tc>
          <w:tcPr>
            <w:tcW w:w="1140" w:type="dxa"/>
            <w:vAlign w:val="bottom"/>
            <w:gridSpan w:val="2"/>
          </w:tcPr>
          <w:p>
            <w:pPr>
              <w:jc w:val="right"/>
              <w:ind w:right="26"/>
              <w:spacing w:after="0" w:line="182" w:lineRule="exact"/>
              <w:rPr>
                <w:sz w:val="20"/>
                <w:szCs w:val="20"/>
                <w:color w:val="auto"/>
              </w:rPr>
            </w:pPr>
            <w:r>
              <w:rPr>
                <w:rFonts w:ascii="Arial" w:cs="Arial" w:eastAsia="Arial" w:hAnsi="Arial"/>
                <w:sz w:val="16"/>
                <w:szCs w:val="16"/>
                <w:b w:val="1"/>
                <w:bCs w:val="1"/>
                <w:color w:val="auto"/>
                <w:w w:val="96"/>
              </w:rPr>
              <w:t>December 31,</w:t>
            </w:r>
          </w:p>
        </w:tc>
        <w:tc>
          <w:tcPr>
            <w:tcW w:w="80" w:type="dxa"/>
            <w:vAlign w:val="bottom"/>
          </w:tcPr>
          <w:p>
            <w:pPr>
              <w:spacing w:after="0"/>
              <w:rPr>
                <w:sz w:val="15"/>
                <w:szCs w:val="15"/>
                <w:color w:val="auto"/>
              </w:rPr>
            </w:pPr>
          </w:p>
        </w:tc>
        <w:tc>
          <w:tcPr>
            <w:tcW w:w="1140" w:type="dxa"/>
            <w:vAlign w:val="bottom"/>
            <w:gridSpan w:val="2"/>
          </w:tcPr>
          <w:p>
            <w:pPr>
              <w:jc w:val="right"/>
              <w:ind w:right="26"/>
              <w:spacing w:after="0" w:line="182" w:lineRule="exact"/>
              <w:rPr>
                <w:sz w:val="20"/>
                <w:szCs w:val="20"/>
                <w:color w:val="auto"/>
              </w:rPr>
            </w:pPr>
            <w:r>
              <w:rPr>
                <w:rFonts w:ascii="Arial" w:cs="Arial" w:eastAsia="Arial" w:hAnsi="Arial"/>
                <w:sz w:val="16"/>
                <w:szCs w:val="16"/>
                <w:b w:val="1"/>
                <w:bCs w:val="1"/>
                <w:color w:val="auto"/>
                <w:w w:val="96"/>
              </w:rPr>
              <w:t>December 31,</w:t>
            </w:r>
          </w:p>
        </w:tc>
        <w:tc>
          <w:tcPr>
            <w:tcW w:w="80" w:type="dxa"/>
            <w:vAlign w:val="bottom"/>
          </w:tcPr>
          <w:p>
            <w:pPr>
              <w:spacing w:after="0"/>
              <w:rPr>
                <w:sz w:val="15"/>
                <w:szCs w:val="15"/>
                <w:color w:val="auto"/>
              </w:rPr>
            </w:pPr>
          </w:p>
        </w:tc>
        <w:tc>
          <w:tcPr>
            <w:tcW w:w="1160" w:type="dxa"/>
            <w:vAlign w:val="bottom"/>
            <w:gridSpan w:val="2"/>
          </w:tcPr>
          <w:p>
            <w:pPr>
              <w:jc w:val="right"/>
              <w:ind w:right="22"/>
              <w:spacing w:after="0" w:line="182" w:lineRule="exact"/>
              <w:rPr>
                <w:sz w:val="20"/>
                <w:szCs w:val="20"/>
                <w:color w:val="auto"/>
              </w:rPr>
            </w:pPr>
            <w:r>
              <w:rPr>
                <w:rFonts w:ascii="Arial" w:cs="Arial" w:eastAsia="Arial" w:hAnsi="Arial"/>
                <w:sz w:val="16"/>
                <w:szCs w:val="16"/>
                <w:b w:val="1"/>
                <w:bCs w:val="1"/>
                <w:color w:val="auto"/>
                <w:w w:val="97"/>
              </w:rPr>
              <w:t>December 31,</w:t>
            </w:r>
          </w:p>
        </w:tc>
      </w:tr>
      <w:tr>
        <w:trPr>
          <w:trHeight w:val="210"/>
        </w:trPr>
        <w:tc>
          <w:tcPr>
            <w:tcW w:w="5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w w:val="84"/>
              </w:rPr>
              <w:t>2025</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r>
      <w:tr>
        <w:trPr>
          <w:trHeight w:val="223"/>
        </w:trPr>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(In millions)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83"/>
        </w:trPr>
        <w:tc>
          <w:tcPr>
            <w:tcW w:w="5180" w:type="dxa"/>
            <w:vAlign w:val="bottom"/>
          </w:tcPr>
          <w:p>
            <w:pPr>
              <w:spacing w:after="0"/>
              <w:rPr>
                <w:sz w:val="20"/>
                <w:szCs w:val="20"/>
                <w:color w:val="auto"/>
              </w:rPr>
            </w:pPr>
            <w:r>
              <w:rPr>
                <w:rFonts w:ascii="Arial" w:cs="Arial" w:eastAsia="Arial" w:hAnsi="Arial"/>
                <w:sz w:val="20"/>
                <w:szCs w:val="20"/>
                <w:b w:val="1"/>
                <w:bCs w:val="1"/>
                <w:color w:val="auto"/>
              </w:rPr>
              <w:t>Derivatives Designated as Cash Flow Hedges: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79"/>
        </w:trPr>
        <w:tc>
          <w:tcPr>
            <w:tcW w:w="5180" w:type="dxa"/>
            <w:vAlign w:val="bottom"/>
          </w:tcPr>
          <w:p>
            <w:pPr>
              <w:jc w:val="right"/>
              <w:spacing w:after="0"/>
              <w:rPr>
                <w:sz w:val="20"/>
                <w:szCs w:val="20"/>
                <w:color w:val="auto"/>
              </w:rPr>
            </w:pPr>
            <w:r>
              <w:rPr>
                <w:rFonts w:ascii="Arial" w:cs="Arial" w:eastAsia="Arial" w:hAnsi="Arial"/>
                <w:sz w:val="20"/>
                <w:szCs w:val="20"/>
                <w:color w:val="auto"/>
                <w:w w:val="90"/>
              </w:rPr>
              <w:t xml:space="preserve">Interest rate contracts current </w:t>
            </w:r>
            <w:r>
              <w:rPr>
                <w:rFonts w:ascii="Arial" w:cs="Arial" w:eastAsia="Arial" w:hAnsi="Arial"/>
                <w:sz w:val="20"/>
                <w:szCs w:val="20"/>
                <w:color w:val="B4B4B4"/>
                <w:w w:val="90"/>
              </w:rPr>
              <w:t>. . . . . . . . . . . . . . . . . . . . . . . . . . .</w:t>
            </w:r>
          </w:p>
        </w:tc>
        <w:tc>
          <w:tcPr>
            <w:tcW w:w="280" w:type="dxa"/>
            <w:vAlign w:val="bottom"/>
          </w:tcPr>
          <w:p>
            <w:pPr>
              <w:jc w:val="right"/>
              <w:ind w:right="45"/>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w:t>
            </w:r>
          </w:p>
        </w:tc>
        <w:tc>
          <w:tcPr>
            <w:tcW w:w="820" w:type="dxa"/>
            <w:vAlign w:val="bottom"/>
            <w:gridSpan w:val="2"/>
          </w:tcPr>
          <w:p>
            <w:pPr>
              <w:jc w:val="right"/>
              <w:ind w:right="515"/>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5</w:t>
            </w:r>
          </w:p>
        </w:tc>
        <w:tc>
          <w:tcPr>
            <w:tcW w:w="480" w:type="dxa"/>
            <w:vAlign w:val="bottom"/>
            <w:gridSpan w:val="2"/>
          </w:tcPr>
          <w:p>
            <w:pPr>
              <w:jc w:val="right"/>
              <w:ind w:right="172"/>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w:t>
            </w:r>
          </w:p>
        </w:tc>
        <w:tc>
          <w:tcPr>
            <w:tcW w:w="840" w:type="dxa"/>
            <w:vAlign w:val="bottom"/>
            <w:gridSpan w:val="2"/>
          </w:tcPr>
          <w:p>
            <w:pPr>
              <w:jc w:val="right"/>
              <w:ind w:right="535"/>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5180" w:type="dxa"/>
            <w:vAlign w:val="bottom"/>
          </w:tcPr>
          <w:p>
            <w:pPr>
              <w:jc w:val="right"/>
              <w:spacing w:after="0"/>
              <w:rPr>
                <w:sz w:val="20"/>
                <w:szCs w:val="20"/>
                <w:color w:val="auto"/>
              </w:rPr>
            </w:pPr>
            <w:r>
              <w:rPr>
                <w:rFonts w:ascii="Arial" w:cs="Arial" w:eastAsia="Arial" w:hAnsi="Arial"/>
                <w:sz w:val="20"/>
                <w:szCs w:val="20"/>
                <w:color w:val="auto"/>
                <w:w w:val="90"/>
              </w:rPr>
              <w:t xml:space="preserve">Interest rate contracts long-term </w:t>
            </w:r>
            <w:r>
              <w:rPr>
                <w:rFonts w:ascii="Arial" w:cs="Arial" w:eastAsia="Arial" w:hAnsi="Arial"/>
                <w:sz w:val="20"/>
                <w:szCs w:val="20"/>
                <w:color w:val="B4B4B4"/>
                <w:w w:val="90"/>
              </w:rPr>
              <w:t>. . . . . . . . . . . . . . . . . . . . . . . . .</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w:t>
            </w:r>
          </w:p>
        </w:tc>
        <w:tc>
          <w:tcPr>
            <w:tcW w:w="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5180" w:type="dxa"/>
            <w:vAlign w:val="bottom"/>
          </w:tcPr>
          <w:p>
            <w:pPr>
              <w:jc w:val="right"/>
              <w:spacing w:after="0"/>
              <w:rPr>
                <w:sz w:val="20"/>
                <w:szCs w:val="20"/>
                <w:color w:val="auto"/>
              </w:rPr>
            </w:pPr>
            <w:r>
              <w:rPr>
                <w:rFonts w:ascii="Arial" w:cs="Arial" w:eastAsia="Arial" w:hAnsi="Arial"/>
                <w:sz w:val="20"/>
                <w:szCs w:val="20"/>
                <w:b w:val="1"/>
                <w:bCs w:val="1"/>
                <w:color w:val="B4B4B4"/>
                <w:w w:val="93"/>
              </w:rPr>
              <w:t>. . . . . . . . .</w:t>
            </w:r>
            <w:r>
              <w:rPr>
                <w:rFonts w:ascii="Arial" w:cs="Arial" w:eastAsia="Arial" w:hAnsi="Arial"/>
                <w:sz w:val="20"/>
                <w:szCs w:val="20"/>
                <w:b w:val="1"/>
                <w:bCs w:val="1"/>
                <w:color w:val="000000"/>
                <w:w w:val="93"/>
              </w:rPr>
              <w:t>TotalDerivativesDesignatedasCashFlowHedges</w:t>
            </w:r>
          </w:p>
        </w:tc>
        <w:tc>
          <w:tcPr>
            <w:tcW w:w="280" w:type="dxa"/>
            <w:vAlign w:val="bottom"/>
          </w:tcPr>
          <w:p>
            <w:pPr>
              <w:jc w:val="right"/>
              <w:ind w:right="45"/>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31</w:t>
            </w:r>
          </w:p>
        </w:tc>
        <w:tc>
          <w:tcPr>
            <w:tcW w:w="820" w:type="dxa"/>
            <w:vAlign w:val="bottom"/>
            <w:gridSpan w:val="2"/>
          </w:tcPr>
          <w:p>
            <w:pPr>
              <w:jc w:val="right"/>
              <w:ind w:right="515"/>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27</w:t>
            </w:r>
          </w:p>
        </w:tc>
        <w:tc>
          <w:tcPr>
            <w:tcW w:w="480" w:type="dxa"/>
            <w:vAlign w:val="bottom"/>
            <w:gridSpan w:val="2"/>
          </w:tcPr>
          <w:p>
            <w:pPr>
              <w:jc w:val="right"/>
              <w:ind w:right="172"/>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27</w:t>
            </w:r>
          </w:p>
        </w:tc>
        <w:tc>
          <w:tcPr>
            <w:tcW w:w="840" w:type="dxa"/>
            <w:vAlign w:val="bottom"/>
            <w:gridSpan w:val="2"/>
          </w:tcPr>
          <w:p>
            <w:pPr>
              <w:jc w:val="right"/>
              <w:ind w:right="535"/>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5180" w:type="dxa"/>
            <w:vAlign w:val="bottom"/>
          </w:tcPr>
          <w:p>
            <w:pPr>
              <w:spacing w:after="0"/>
              <w:rPr>
                <w:sz w:val="20"/>
                <w:szCs w:val="20"/>
                <w:color w:val="auto"/>
              </w:rPr>
            </w:pPr>
            <w:r>
              <w:rPr>
                <w:rFonts w:ascii="Arial" w:cs="Arial" w:eastAsia="Arial" w:hAnsi="Arial"/>
                <w:sz w:val="20"/>
                <w:szCs w:val="20"/>
                <w:b w:val="1"/>
                <w:bCs w:val="1"/>
                <w:color w:val="auto"/>
              </w:rPr>
              <w:t>Derivatives Not Designated as Cash Flow Hedges:</w:t>
            </w: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r>
      <w:tr>
        <w:trPr>
          <w:trHeight w:val="279"/>
        </w:trPr>
        <w:tc>
          <w:tcPr>
            <w:tcW w:w="5180" w:type="dxa"/>
            <w:vAlign w:val="bottom"/>
          </w:tcPr>
          <w:p>
            <w:pPr>
              <w:jc w:val="right"/>
              <w:spacing w:after="0"/>
              <w:rPr>
                <w:sz w:val="20"/>
                <w:szCs w:val="20"/>
                <w:color w:val="auto"/>
              </w:rPr>
            </w:pPr>
            <w:r>
              <w:rPr>
                <w:rFonts w:ascii="Arial" w:cs="Arial" w:eastAsia="Arial" w:hAnsi="Arial"/>
                <w:sz w:val="20"/>
                <w:szCs w:val="20"/>
                <w:color w:val="auto"/>
                <w:w w:val="90"/>
              </w:rPr>
              <w:t xml:space="preserve">Interest rate contracts current </w:t>
            </w:r>
            <w:r>
              <w:rPr>
                <w:rFonts w:ascii="Arial" w:cs="Arial" w:eastAsia="Arial" w:hAnsi="Arial"/>
                <w:sz w:val="20"/>
                <w:szCs w:val="20"/>
                <w:color w:val="B4B4B4"/>
                <w:w w:val="90"/>
              </w:rPr>
              <w:t>. . . . . . . . . . . . . . . . . . . . . . . . . . .</w:t>
            </w:r>
          </w:p>
        </w:tc>
        <w:tc>
          <w:tcPr>
            <w:tcW w:w="280" w:type="dxa"/>
            <w:vAlign w:val="bottom"/>
          </w:tcPr>
          <w:p>
            <w:pPr>
              <w:jc w:val="right"/>
              <w:ind w:right="45"/>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17</w:t>
            </w:r>
          </w:p>
        </w:tc>
        <w:tc>
          <w:tcPr>
            <w:tcW w:w="820" w:type="dxa"/>
            <w:vAlign w:val="bottom"/>
            <w:gridSpan w:val="2"/>
          </w:tcPr>
          <w:p>
            <w:pPr>
              <w:jc w:val="right"/>
              <w:ind w:right="515"/>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30</w:t>
            </w:r>
          </w:p>
        </w:tc>
        <w:tc>
          <w:tcPr>
            <w:tcW w:w="480" w:type="dxa"/>
            <w:vAlign w:val="bottom"/>
            <w:gridSpan w:val="2"/>
          </w:tcPr>
          <w:p>
            <w:pPr>
              <w:jc w:val="right"/>
              <w:ind w:right="172"/>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tcPr>
          <w:p>
            <w:pPr>
              <w:jc w:val="right"/>
              <w:ind w:right="535"/>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180" w:type="dxa"/>
            <w:vAlign w:val="bottom"/>
          </w:tcPr>
          <w:p>
            <w:pPr>
              <w:jc w:val="right"/>
              <w:spacing w:after="0"/>
              <w:rPr>
                <w:sz w:val="20"/>
                <w:szCs w:val="20"/>
                <w:color w:val="auto"/>
              </w:rPr>
            </w:pPr>
            <w:r>
              <w:rPr>
                <w:rFonts w:ascii="Arial" w:cs="Arial" w:eastAsia="Arial" w:hAnsi="Arial"/>
                <w:sz w:val="20"/>
                <w:szCs w:val="20"/>
                <w:color w:val="auto"/>
                <w:w w:val="90"/>
              </w:rPr>
              <w:t xml:space="preserve">Interest rate contracts long-term </w:t>
            </w:r>
            <w:r>
              <w:rPr>
                <w:rFonts w:ascii="Arial" w:cs="Arial" w:eastAsia="Arial" w:hAnsi="Arial"/>
                <w:sz w:val="20"/>
                <w:szCs w:val="20"/>
                <w:color w:val="B4B4B4"/>
                <w:w w:val="90"/>
              </w:rPr>
              <w:t>. . . . . . . . . . . . . . . . . . . . . . . . .</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94</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w w:val="89"/>
              </w:rPr>
              <w:t>109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180" w:type="dxa"/>
            <w:vAlign w:val="bottom"/>
          </w:tcPr>
          <w:p>
            <w:pPr>
              <w:jc w:val="right"/>
              <w:spacing w:after="0"/>
              <w:rPr>
                <w:sz w:val="20"/>
                <w:szCs w:val="20"/>
                <w:color w:val="auto"/>
              </w:rPr>
            </w:pPr>
            <w:r>
              <w:rPr>
                <w:rFonts w:ascii="Arial" w:cs="Arial" w:eastAsia="Arial" w:hAnsi="Arial"/>
                <w:sz w:val="20"/>
                <w:szCs w:val="20"/>
                <w:color w:val="auto"/>
                <w:w w:val="91"/>
              </w:rPr>
              <w:t xml:space="preserve">Energy-related commodity contracts current </w:t>
            </w:r>
            <w:r>
              <w:rPr>
                <w:rFonts w:ascii="Arial" w:cs="Arial" w:eastAsia="Arial" w:hAnsi="Arial"/>
                <w:sz w:val="20"/>
                <w:szCs w:val="20"/>
                <w:color w:val="B4B4B4"/>
                <w:w w:val="91"/>
              </w:rPr>
              <w:t>. . . . . . . . . . . . . . .</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46</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3"/>
        </w:trPr>
        <w:tc>
          <w:tcPr>
            <w:tcW w:w="5180" w:type="dxa"/>
            <w:vAlign w:val="bottom"/>
          </w:tcPr>
          <w:p>
            <w:pPr>
              <w:jc w:val="right"/>
              <w:spacing w:after="0"/>
              <w:rPr>
                <w:sz w:val="20"/>
                <w:szCs w:val="20"/>
                <w:color w:val="auto"/>
              </w:rPr>
            </w:pPr>
            <w:r>
              <w:rPr>
                <w:rFonts w:ascii="Arial" w:cs="Arial" w:eastAsia="Arial" w:hAnsi="Arial"/>
                <w:sz w:val="20"/>
                <w:szCs w:val="20"/>
                <w:color w:val="auto"/>
                <w:w w:val="92"/>
              </w:rPr>
              <w:t xml:space="preserve">Energy-related commodity contracts long-term  </w:t>
            </w:r>
            <w:r>
              <w:rPr>
                <w:rFonts w:ascii="Arial" w:cs="Arial" w:eastAsia="Arial" w:hAnsi="Arial"/>
                <w:sz w:val="20"/>
                <w:szCs w:val="20"/>
                <w:color w:val="B4B4B4"/>
                <w:w w:val="92"/>
              </w:rPr>
              <w:t>. . . . . . . . . . . .</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w:t>
            </w: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315</w:t>
            </w:r>
          </w:p>
        </w:tc>
      </w:tr>
      <w:tr>
        <w:trPr>
          <w:trHeight w:val="259"/>
        </w:trPr>
        <w:tc>
          <w:tcPr>
            <w:tcW w:w="5180" w:type="dxa"/>
            <w:vAlign w:val="bottom"/>
          </w:tcPr>
          <w:p>
            <w:pPr>
              <w:jc w:val="right"/>
              <w:spacing w:after="0"/>
              <w:rPr>
                <w:sz w:val="20"/>
                <w:szCs w:val="20"/>
                <w:color w:val="auto"/>
              </w:rPr>
            </w:pPr>
            <w:r>
              <w:rPr>
                <w:rFonts w:ascii="Arial" w:cs="Arial" w:eastAsia="Arial" w:hAnsi="Arial"/>
                <w:sz w:val="20"/>
                <w:szCs w:val="20"/>
                <w:b w:val="1"/>
                <w:bCs w:val="1"/>
                <w:color w:val="B4B4B4"/>
                <w:w w:val="95"/>
              </w:rPr>
              <w:t>. . . . .</w:t>
            </w:r>
            <w:r>
              <w:rPr>
                <w:rFonts w:ascii="Arial" w:cs="Arial" w:eastAsia="Arial" w:hAnsi="Arial"/>
                <w:sz w:val="20"/>
                <w:szCs w:val="20"/>
                <w:b w:val="1"/>
                <w:bCs w:val="1"/>
                <w:color w:val="000000"/>
                <w:w w:val="95"/>
              </w:rPr>
              <w:t>TotalDerivativesNotDesignatedasCashFlowHedges</w:t>
            </w:r>
          </w:p>
        </w:tc>
        <w:tc>
          <w:tcPr>
            <w:tcW w:w="280" w:type="dxa"/>
            <w:vAlign w:val="bottom"/>
            <w:tcBorders>
              <w:bottom w:val="single" w:sz="8" w:color="auto"/>
            </w:tcBorders>
          </w:tcPr>
          <w:p>
            <w:pPr>
              <w:jc w:val="right"/>
              <w:ind w:right="45"/>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w:t>
            </w:r>
          </w:p>
        </w:tc>
        <w:tc>
          <w:tcPr>
            <w:tcW w:w="80" w:type="dxa"/>
            <w:vAlign w:val="bottom"/>
          </w:tcPr>
          <w:p>
            <w:pPr>
              <w:spacing w:after="0"/>
              <w:rPr>
                <w:sz w:val="22"/>
                <w:szCs w:val="22"/>
                <w:color w:val="auto"/>
              </w:rPr>
            </w:pPr>
          </w:p>
        </w:tc>
        <w:tc>
          <w:tcPr>
            <w:tcW w:w="740" w:type="dxa"/>
            <w:vAlign w:val="bottom"/>
            <w:tcBorders>
              <w:bottom w:val="single" w:sz="8" w:color="auto"/>
            </w:tcBorders>
          </w:tcPr>
          <w:p>
            <w:pPr>
              <w:jc w:val="right"/>
              <w:ind w:right="515"/>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148</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72"/>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333</w:t>
            </w:r>
          </w:p>
        </w:tc>
        <w:tc>
          <w:tcPr>
            <w:tcW w:w="80" w:type="dxa"/>
            <w:vAlign w:val="bottom"/>
          </w:tcPr>
          <w:p>
            <w:pPr>
              <w:spacing w:after="0"/>
              <w:rPr>
                <w:sz w:val="22"/>
                <w:szCs w:val="22"/>
                <w:color w:val="auto"/>
              </w:rPr>
            </w:pPr>
          </w:p>
        </w:tc>
        <w:tc>
          <w:tcPr>
            <w:tcW w:w="760" w:type="dxa"/>
            <w:vAlign w:val="bottom"/>
            <w:tcBorders>
              <w:bottom w:val="single" w:sz="8" w:color="auto"/>
            </w:tcBorders>
          </w:tcPr>
          <w:p>
            <w:pPr>
              <w:jc w:val="right"/>
              <w:ind w:right="535"/>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371</w:t>
            </w:r>
          </w:p>
        </w:tc>
      </w:tr>
      <w:tr>
        <w:trPr>
          <w:trHeight w:val="240"/>
        </w:trPr>
        <w:tc>
          <w:tcPr>
            <w:tcW w:w="5180" w:type="dxa"/>
            <w:vAlign w:val="bottom"/>
          </w:tcPr>
          <w:p>
            <w:pPr>
              <w:jc w:val="right"/>
              <w:spacing w:after="0"/>
              <w:rPr>
                <w:sz w:val="20"/>
                <w:szCs w:val="20"/>
                <w:color w:val="auto"/>
              </w:rPr>
            </w:pPr>
            <w:r>
              <w:rPr>
                <w:rFonts w:ascii="Arial" w:cs="Arial" w:eastAsia="Arial" w:hAnsi="Arial"/>
                <w:sz w:val="20"/>
                <w:szCs w:val="20"/>
                <w:b w:val="1"/>
                <w:bCs w:val="1"/>
                <w:color w:val="B4B4B4"/>
                <w:w w:val="90"/>
              </w:rPr>
              <w:t>. . . . . . . . . . . . . . . . . . . . . . . . . . . . . . . . . . . . .</w:t>
            </w:r>
            <w:r>
              <w:rPr>
                <w:rFonts w:ascii="Arial" w:cs="Arial" w:eastAsia="Arial" w:hAnsi="Arial"/>
                <w:sz w:val="20"/>
                <w:szCs w:val="20"/>
                <w:b w:val="1"/>
                <w:bCs w:val="1"/>
                <w:color w:val="000000"/>
                <w:w w:val="90"/>
              </w:rPr>
              <w:t>TotalDerivatives</w:t>
            </w:r>
          </w:p>
        </w:tc>
        <w:tc>
          <w:tcPr>
            <w:tcW w:w="280" w:type="dxa"/>
            <w:vAlign w:val="bottom"/>
          </w:tcPr>
          <w:p>
            <w:pPr>
              <w:jc w:val="right"/>
              <w:ind w:right="45"/>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156</w:t>
            </w:r>
          </w:p>
        </w:tc>
        <w:tc>
          <w:tcPr>
            <w:tcW w:w="820" w:type="dxa"/>
            <w:vAlign w:val="bottom"/>
            <w:gridSpan w:val="2"/>
          </w:tcPr>
          <w:p>
            <w:pPr>
              <w:jc w:val="right"/>
              <w:ind w:right="515"/>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w w:val="89"/>
              </w:rPr>
              <w:t>175</w:t>
            </w:r>
          </w:p>
        </w:tc>
        <w:tc>
          <w:tcPr>
            <w:tcW w:w="480" w:type="dxa"/>
            <w:vAlign w:val="bottom"/>
            <w:gridSpan w:val="2"/>
          </w:tcPr>
          <w:p>
            <w:pPr>
              <w:jc w:val="right"/>
              <w:ind w:right="172"/>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360</w:t>
            </w:r>
          </w:p>
        </w:tc>
        <w:tc>
          <w:tcPr>
            <w:tcW w:w="840" w:type="dxa"/>
            <w:vAlign w:val="bottom"/>
            <w:gridSpan w:val="2"/>
          </w:tcPr>
          <w:p>
            <w:pPr>
              <w:jc w:val="right"/>
              <w:ind w:right="535"/>
              <w:spacing w:after="0"/>
              <w:rPr>
                <w:sz w:val="20"/>
                <w:szCs w:val="20"/>
                <w:color w:val="auto"/>
              </w:rPr>
            </w:pPr>
            <w:r>
              <w:rPr>
                <w:rFonts w:ascii="Arial" w:cs="Arial" w:eastAsia="Arial" w:hAnsi="Arial"/>
                <w:sz w:val="20"/>
                <w:szCs w:val="20"/>
                <w:color w:val="auto"/>
              </w:rPr>
              <w:t>$</w:t>
            </w:r>
          </w:p>
        </w:tc>
        <w:tc>
          <w:tcPr>
            <w:tcW w:w="400" w:type="dxa"/>
            <w:vAlign w:val="bottom"/>
          </w:tcPr>
          <w:p>
            <w:pPr>
              <w:jc w:val="right"/>
              <w:spacing w:after="0"/>
              <w:rPr>
                <w:sz w:val="20"/>
                <w:szCs w:val="20"/>
                <w:color w:val="auto"/>
              </w:rPr>
            </w:pPr>
            <w:r>
              <w:rPr>
                <w:rFonts w:ascii="Arial" w:cs="Arial" w:eastAsia="Arial" w:hAnsi="Arial"/>
                <w:sz w:val="20"/>
                <w:szCs w:val="20"/>
                <w:color w:val="auto"/>
                <w:w w:val="89"/>
              </w:rPr>
              <w:t>371</w:t>
            </w:r>
          </w:p>
        </w:tc>
      </w:tr>
      <w:tr>
        <w:trPr>
          <w:trHeight w:val="20"/>
        </w:trPr>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-1981835</wp:posOffset>
            </wp:positionV>
            <wp:extent cx="6410325" cy="19888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2">
                      <a:extLst>
                        <a:ext uri="{28A0092B-C50C-407E-A947-70E740481C1C}"/>
                      </a:extLst>
                    </a:blip>
                    <a:srcRect/>
                    <a:stretch>
                      <a:fillRect/>
                    </a:stretch>
                  </pic:blipFill>
                  <pic:spPr bwMode="auto">
                    <a:xfrm>
                      <a:off x="0" y="0"/>
                      <a:ext cx="6410325" cy="1988820"/>
                    </a:xfrm>
                    <a:prstGeom prst="rect">
                      <a:avLst/>
                    </a:prstGeom>
                    <a:noFill/>
                  </pic:spPr>
                </pic:pic>
              </a:graphicData>
            </a:graphic>
          </wp:anchor>
        </w:drawing>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880" w:h="15480" w:orient="portrait"/>
          <w:cols w:equalWidth="0" w:num="1">
            <w:col w:w="10040"/>
          </w:cols>
          <w:pgMar w:left="920" w:top="577" w:right="920" w:bottom="0" w:gutter="0" w:footer="0" w:header="0"/>
          <w:type w:val="continuous"/>
        </w:sectPr>
      </w:pPr>
    </w:p>
    <w:bookmarkStart w:id="116" w:name="page117"/>
    <w:bookmarkEnd w:id="116"/>
    <w:p>
      <w:pPr>
        <w:jc w:val="both"/>
        <w:ind w:firstLine="441"/>
        <w:spacing w:after="0" w:line="325" w:lineRule="auto"/>
        <w:rPr>
          <w:sz w:val="20"/>
          <w:szCs w:val="20"/>
          <w:color w:val="auto"/>
        </w:rPr>
      </w:pPr>
      <w:r>
        <w:rPr>
          <w:rFonts w:ascii="Arial" w:cs="Arial" w:eastAsia="Arial" w:hAnsi="Arial"/>
          <w:sz w:val="17"/>
          <w:szCs w:val="17"/>
          <w:color w:val="auto"/>
        </w:rPr>
        <w:t>The Company has elected to present derivative assets and liabilities on the balance sheet on a trade-by-trade basis and does not offset amounts at the counterparty level. As of December 31, 2025 and 2024, the amount of outstanding collateral paid or received was immaterial. The following tables summarize the offsetting of derivatives by counterparty:</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gridSpan w:val="7"/>
          </w:tcPr>
          <w:p>
            <w:pPr>
              <w:jc w:val="right"/>
              <w:ind w:right="887"/>
              <w:spacing w:after="0"/>
              <w:rPr>
                <w:sz w:val="20"/>
                <w:szCs w:val="20"/>
                <w:color w:val="auto"/>
              </w:rPr>
            </w:pPr>
            <w:r>
              <w:rPr>
                <w:rFonts w:ascii="Arial" w:cs="Arial" w:eastAsia="Arial" w:hAnsi="Arial"/>
                <w:sz w:val="16"/>
                <w:szCs w:val="16"/>
                <w:b w:val="1"/>
                <w:bCs w:val="1"/>
                <w:color w:val="auto"/>
              </w:rPr>
              <w:t>Gross Amounts Not Offset in the Statement of Financial Position</w:t>
            </w:r>
          </w:p>
        </w:tc>
        <w:tc>
          <w:tcPr>
            <w:tcW w:w="0" w:type="dxa"/>
            <w:vAlign w:val="bottom"/>
          </w:tcPr>
          <w:p>
            <w:pPr>
              <w:spacing w:after="0"/>
              <w:rPr>
                <w:sz w:val="1"/>
                <w:szCs w:val="1"/>
                <w:color w:val="auto"/>
              </w:rPr>
            </w:pPr>
          </w:p>
        </w:tc>
      </w:tr>
      <w:tr>
        <w:trPr>
          <w:trHeight w:val="182"/>
        </w:trPr>
        <w:tc>
          <w:tcPr>
            <w:tcW w:w="3720" w:type="dxa"/>
            <w:vAlign w:val="bottom"/>
            <w:vMerge w:val="restart"/>
          </w:tcPr>
          <w:p>
            <w:pPr>
              <w:spacing w:after="0"/>
              <w:rPr>
                <w:sz w:val="20"/>
                <w:szCs w:val="20"/>
                <w:color w:val="auto"/>
              </w:rPr>
            </w:pPr>
            <w:r>
              <w:rPr>
                <w:rFonts w:ascii="Arial" w:cs="Arial" w:eastAsia="Arial" w:hAnsi="Arial"/>
                <w:sz w:val="20"/>
                <w:szCs w:val="20"/>
                <w:b w:val="1"/>
                <w:bCs w:val="1"/>
                <w:color w:val="auto"/>
              </w:rPr>
              <w:t>As of December 31, 2025</w:t>
            </w:r>
          </w:p>
        </w:tc>
        <w:tc>
          <w:tcPr>
            <w:tcW w:w="160" w:type="dxa"/>
            <w:vAlign w:val="bottom"/>
          </w:tcPr>
          <w:p>
            <w:pPr>
              <w:spacing w:after="0"/>
              <w:rPr>
                <w:sz w:val="15"/>
                <w:szCs w:val="15"/>
                <w:color w:val="auto"/>
              </w:rPr>
            </w:pPr>
          </w:p>
        </w:tc>
        <w:tc>
          <w:tcPr>
            <w:tcW w:w="2240" w:type="dxa"/>
            <w:vAlign w:val="bottom"/>
          </w:tcPr>
          <w:p>
            <w:pPr>
              <w:jc w:val="right"/>
              <w:ind w:right="112"/>
              <w:spacing w:after="0" w:line="182" w:lineRule="exact"/>
              <w:rPr>
                <w:sz w:val="20"/>
                <w:szCs w:val="20"/>
                <w:color w:val="auto"/>
              </w:rPr>
            </w:pPr>
            <w:r>
              <w:rPr>
                <w:rFonts w:ascii="Arial" w:cs="Arial" w:eastAsia="Arial" w:hAnsi="Arial"/>
                <w:sz w:val="16"/>
                <w:szCs w:val="16"/>
                <w:b w:val="1"/>
                <w:bCs w:val="1"/>
                <w:color w:val="auto"/>
                <w:w w:val="86"/>
              </w:rPr>
              <w:t>Gross Amounts of Recognized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Derivative Instruments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vMerge w:val="restart"/>
          </w:tcPr>
          <w:p>
            <w:pPr>
              <w:jc w:val="right"/>
              <w:ind w:right="307"/>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Assets/Liabilities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720" w:type="dxa"/>
            <w:vAlign w:val="bottom"/>
          </w:tcPr>
          <w:p>
            <w:pPr>
              <w:spacing w:after="0"/>
              <w:rPr>
                <w:sz w:val="20"/>
                <w:szCs w:val="20"/>
                <w:color w:val="auto"/>
              </w:rPr>
            </w:pPr>
            <w:r>
              <w:rPr>
                <w:rFonts w:ascii="Arial" w:cs="Arial" w:eastAsia="Arial" w:hAnsi="Arial"/>
                <w:sz w:val="20"/>
                <w:szCs w:val="20"/>
                <w:b w:val="1"/>
                <w:bCs w:val="1"/>
                <w:color w:val="auto"/>
              </w:rPr>
              <w:t>Energy-related commodity contracts</w:t>
            </w:r>
          </w:p>
        </w:tc>
        <w:tc>
          <w:tcPr>
            <w:tcW w:w="1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720" w:type="dxa"/>
            <w:vAlign w:val="bottom"/>
          </w:tcPr>
          <w:p>
            <w:pPr>
              <w:ind w:left="220"/>
              <w:spacing w:after="0"/>
              <w:rPr>
                <w:sz w:val="20"/>
                <w:szCs w:val="20"/>
                <w:color w:val="auto"/>
              </w:rPr>
            </w:pPr>
            <w:r>
              <w:rPr>
                <w:rFonts w:ascii="Arial" w:cs="Arial" w:eastAsia="Arial" w:hAnsi="Arial"/>
                <w:sz w:val="20"/>
                <w:szCs w:val="20"/>
                <w:color w:val="auto"/>
                <w:w w:val="90"/>
              </w:rPr>
              <w:t xml:space="preserve">Derivative assets </w:t>
            </w:r>
            <w:r>
              <w:rPr>
                <w:rFonts w:ascii="Arial" w:cs="Arial" w:eastAsia="Arial" w:hAnsi="Arial"/>
                <w:sz w:val="20"/>
                <w:szCs w:val="20"/>
                <w:color w:val="B4B4B4"/>
                <w:w w:val="90"/>
              </w:rPr>
              <w:t>. . . . . . . . . . . . . . . . . . . . .</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240" w:type="dxa"/>
            <w:vAlign w:val="bottom"/>
          </w:tcPr>
          <w:p>
            <w:pPr>
              <w:jc w:val="right"/>
              <w:spacing w:after="0"/>
              <w:rPr>
                <w:sz w:val="20"/>
                <w:szCs w:val="20"/>
                <w:color w:val="auto"/>
              </w:rPr>
            </w:pPr>
            <w:r>
              <w:rPr>
                <w:rFonts w:ascii="Arial" w:cs="Arial" w:eastAsia="Arial" w:hAnsi="Arial"/>
                <w:sz w:val="20"/>
                <w:szCs w:val="20"/>
                <w:color w:val="auto"/>
              </w:rPr>
              <w:t>14</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900" w:type="dxa"/>
            <w:vAlign w:val="bottom"/>
          </w:tcPr>
          <w:p>
            <w:pPr>
              <w:ind w:left="1620"/>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3"/>
        </w:trPr>
        <w:tc>
          <w:tcPr>
            <w:tcW w:w="3720" w:type="dxa"/>
            <w:vAlign w:val="bottom"/>
          </w:tcPr>
          <w:p>
            <w:pPr>
              <w:ind w:left="240"/>
              <w:spacing w:after="0"/>
              <w:rPr>
                <w:sz w:val="20"/>
                <w:szCs w:val="20"/>
                <w:color w:val="auto"/>
              </w:rPr>
            </w:pPr>
            <w:r>
              <w:rPr>
                <w:rFonts w:ascii="Arial" w:cs="Arial" w:eastAsia="Arial" w:hAnsi="Arial"/>
                <w:sz w:val="20"/>
                <w:szCs w:val="20"/>
                <w:color w:val="auto"/>
                <w:w w:val="93"/>
              </w:rPr>
              <w:t xml:space="preserve">Derivative liabilities </w:t>
            </w:r>
            <w:r>
              <w:rPr>
                <w:rFonts w:ascii="Arial" w:cs="Arial" w:eastAsia="Arial" w:hAnsi="Arial"/>
                <w:sz w:val="20"/>
                <w:szCs w:val="20"/>
                <w:color w:val="B4B4B4"/>
                <w:w w:val="93"/>
              </w:rPr>
              <w:t>. . . . . . . . . . . . . . . . . .</w:t>
            </w: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16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(333)</w:t>
            </w: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0"/>
                <w:szCs w:val="20"/>
                <w:color w:val="auto"/>
              </w:rPr>
            </w:pPr>
            <w:r>
              <w:rPr>
                <w:rFonts w:ascii="Arial" w:cs="Arial" w:eastAsia="Arial" w:hAnsi="Arial"/>
                <w:sz w:val="20"/>
                <w:szCs w:val="20"/>
                <w:b w:val="1"/>
                <w:bCs w:val="1"/>
                <w:color w:val="auto"/>
                <w:w w:val="90"/>
              </w:rPr>
              <w:t xml:space="preserve">Total energy-related commodity contracts </w:t>
            </w:r>
            <w:r>
              <w:rPr>
                <w:rFonts w:ascii="Arial" w:cs="Arial" w:eastAsia="Arial" w:hAnsi="Arial"/>
                <w:sz w:val="20"/>
                <w:szCs w:val="20"/>
                <w:b w:val="1"/>
                <w:bCs w:val="1"/>
                <w:color w:val="B4B4B4"/>
                <w:w w:val="90"/>
              </w:rPr>
              <w: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2240" w:type="dxa"/>
            <w:vAlign w:val="bottom"/>
          </w:tcPr>
          <w:p>
            <w:pPr>
              <w:jc w:val="right"/>
              <w:spacing w:after="0"/>
              <w:rPr>
                <w:sz w:val="20"/>
                <w:szCs w:val="20"/>
                <w:color w:val="auto"/>
              </w:rPr>
            </w:pPr>
            <w:r>
              <w:rPr>
                <w:rFonts w:ascii="Arial" w:cs="Arial" w:eastAsia="Arial" w:hAnsi="Arial"/>
                <w:sz w:val="20"/>
                <w:szCs w:val="20"/>
                <w:color w:val="auto"/>
              </w:rPr>
              <w:t>(319)</w:t>
            </w:r>
          </w:p>
        </w:tc>
        <w:tc>
          <w:tcPr>
            <w:tcW w:w="2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900" w:type="dxa"/>
            <w:vAlign w:val="bottom"/>
          </w:tcPr>
          <w:p>
            <w:pPr>
              <w:ind w:left="1620"/>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(319)</w:t>
            </w:r>
          </w:p>
        </w:tc>
        <w:tc>
          <w:tcPr>
            <w:tcW w:w="0" w:type="dxa"/>
            <w:vAlign w:val="bottom"/>
          </w:tcPr>
          <w:p>
            <w:pPr>
              <w:spacing w:after="0"/>
              <w:rPr>
                <w:sz w:val="1"/>
                <w:szCs w:val="1"/>
                <w:color w:val="auto"/>
              </w:rPr>
            </w:pPr>
          </w:p>
        </w:tc>
      </w:tr>
      <w:tr>
        <w:trPr>
          <w:trHeight w:val="249"/>
        </w:trPr>
        <w:tc>
          <w:tcPr>
            <w:tcW w:w="3720" w:type="dxa"/>
            <w:vAlign w:val="bottom"/>
          </w:tcPr>
          <w:p>
            <w:pPr>
              <w:spacing w:after="0"/>
              <w:rPr>
                <w:sz w:val="20"/>
                <w:szCs w:val="20"/>
                <w:color w:val="auto"/>
              </w:rPr>
            </w:pPr>
            <w:r>
              <w:rPr>
                <w:rFonts w:ascii="Arial" w:cs="Arial" w:eastAsia="Arial" w:hAnsi="Arial"/>
                <w:sz w:val="20"/>
                <w:szCs w:val="20"/>
                <w:b w:val="1"/>
                <w:bCs w:val="1"/>
                <w:color w:val="auto"/>
              </w:rPr>
              <w:t>Interest rate contracts</w:t>
            </w:r>
          </w:p>
        </w:tc>
        <w:tc>
          <w:tcPr>
            <w:tcW w:w="16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-886460</wp:posOffset>
            </wp:positionV>
            <wp:extent cx="6410325" cy="1652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3">
                      <a:extLst>
                        <a:ext uri="{28A0092B-C50C-407E-A947-70E740481C1C}"/>
                      </a:extLst>
                    </a:blip>
                    <a:srcRect/>
                    <a:stretch>
                      <a:fillRect/>
                    </a:stretch>
                  </pic:blipFill>
                  <pic:spPr bwMode="auto">
                    <a:xfrm>
                      <a:off x="0" y="0"/>
                      <a:ext cx="6410325" cy="1652905"/>
                    </a:xfrm>
                    <a:prstGeom prst="rect">
                      <a:avLst/>
                    </a:prstGeom>
                    <a:noFill/>
                  </pic:spPr>
                </pic:pic>
              </a:graphicData>
            </a:graphic>
          </wp:anchor>
        </w:drawing>
      </w:r>
    </w:p>
    <w:p>
      <w:pPr>
        <w:sectPr>
          <w:pgSz w:w="11880" w:h="15480" w:orient="portrait"/>
          <w:cols w:equalWidth="0" w:num="1">
            <w:col w:w="10040"/>
          </w:cols>
          <w:pgMar w:left="920" w:top="584" w:right="920" w:bottom="0" w:gutter="0" w:footer="0" w:header="0"/>
        </w:sectPr>
      </w:pPr>
    </w:p>
    <w:p>
      <w:pPr>
        <w:spacing w:after="0" w:line="46" w:lineRule="exact"/>
        <w:rPr>
          <w:sz w:val="20"/>
          <w:szCs w:val="20"/>
          <w:color w:val="auto"/>
        </w:rPr>
      </w:pPr>
    </w:p>
    <w:p>
      <w:pPr>
        <w:ind w:left="280" w:right="1100" w:hanging="14"/>
        <w:spacing w:after="0" w:line="349" w:lineRule="auto"/>
        <w:rPr>
          <w:sz w:val="20"/>
          <w:szCs w:val="20"/>
          <w:color w:val="auto"/>
        </w:rPr>
      </w:pPr>
      <w:r>
        <w:rPr>
          <w:rFonts w:ascii="Arial" w:cs="Arial" w:eastAsia="Arial" w:hAnsi="Arial"/>
          <w:sz w:val="17"/>
          <w:szCs w:val="17"/>
          <w:color w:val="auto"/>
        </w:rPr>
        <w:t xml:space="preserve">Derivative assets </w:t>
      </w:r>
      <w:r>
        <w:rPr>
          <w:rFonts w:ascii="Arial" w:cs="Arial" w:eastAsia="Arial" w:hAnsi="Arial"/>
          <w:sz w:val="17"/>
          <w:szCs w:val="17"/>
          <w:color w:val="B4B4B4"/>
        </w:rPr>
        <w:t>. . . . . . . . . . . . . . . . . . . . .</w:t>
      </w:r>
      <w:r>
        <w:rPr>
          <w:rFonts w:ascii="Arial" w:cs="Arial" w:eastAsia="Arial" w:hAnsi="Arial"/>
          <w:sz w:val="17"/>
          <w:szCs w:val="17"/>
          <w:color w:val="auto"/>
        </w:rPr>
        <w:t xml:space="preserve"> $ Derivative liabilities </w:t>
      </w:r>
      <w:r>
        <w:rPr>
          <w:rFonts w:ascii="Arial" w:cs="Arial" w:eastAsia="Arial" w:hAnsi="Arial"/>
          <w:sz w:val="17"/>
          <w:szCs w:val="17"/>
          <w:color w:val="B4B4B4"/>
        </w:rPr>
        <w:t>. . . . . . . . . . . . . . . . . .</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Total interest rate contracts </w:t>
      </w:r>
      <w:r>
        <w:rPr>
          <w:rFonts w:ascii="Arial" w:cs="Arial" w:eastAsia="Arial" w:hAnsi="Arial"/>
          <w:sz w:val="17"/>
          <w:szCs w:val="17"/>
          <w:b w:val="1"/>
          <w:bCs w:val="1"/>
          <w:color w:val="B4B4B4"/>
        </w:rPr>
        <w:t>. . . . . . . . . . . . .</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84" w:lineRule="exact"/>
        <w:rPr>
          <w:sz w:val="20"/>
          <w:szCs w:val="20"/>
          <w:color w:val="auto"/>
        </w:rPr>
      </w:pPr>
    </w:p>
    <w:p>
      <w:pPr>
        <w:ind w:left="40"/>
        <w:spacing w:after="0"/>
        <w:tabs>
          <w:tab w:leader="none" w:pos="3780" w:val="left"/>
        </w:tabs>
        <w:rPr>
          <w:sz w:val="20"/>
          <w:szCs w:val="20"/>
          <w:color w:val="auto"/>
        </w:rPr>
      </w:pPr>
      <w:r>
        <w:rPr>
          <w:rFonts w:ascii="Arial" w:cs="Arial" w:eastAsia="Arial" w:hAnsi="Arial"/>
          <w:sz w:val="20"/>
          <w:szCs w:val="20"/>
          <w:b w:val="1"/>
          <w:bCs w:val="1"/>
          <w:color w:val="auto"/>
        </w:rPr>
        <w:t>Total derivative instruments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520" w:type="dxa"/>
            <w:vAlign w:val="bottom"/>
          </w:tcPr>
          <w:p>
            <w:pPr>
              <w:jc w:val="right"/>
              <w:ind w:right="62"/>
              <w:spacing w:after="0"/>
              <w:rPr>
                <w:sz w:val="20"/>
                <w:szCs w:val="20"/>
                <w:color w:val="auto"/>
              </w:rPr>
            </w:pPr>
            <w:r>
              <w:rPr>
                <w:rFonts w:ascii="Arial" w:cs="Arial" w:eastAsia="Arial" w:hAnsi="Arial"/>
                <w:sz w:val="20"/>
                <w:szCs w:val="20"/>
                <w:color w:val="auto"/>
              </w:rPr>
              <w:t>142</w:t>
            </w:r>
          </w:p>
        </w:tc>
        <w:tc>
          <w:tcPr>
            <w:tcW w:w="980" w:type="dxa"/>
            <w:vAlign w:val="bottom"/>
          </w:tcPr>
          <w:p>
            <w:pPr>
              <w:jc w:val="right"/>
              <w:ind w:right="742"/>
              <w:spacing w:after="0"/>
              <w:rPr>
                <w:sz w:val="20"/>
                <w:szCs w:val="20"/>
                <w:color w:val="auto"/>
              </w:rPr>
            </w:pPr>
            <w:r>
              <w:rPr>
                <w:rFonts w:ascii="Arial" w:cs="Arial" w:eastAsia="Arial" w:hAnsi="Arial"/>
                <w:sz w:val="20"/>
                <w:szCs w:val="20"/>
                <w:color w:val="auto"/>
              </w:rPr>
              <w:t>$</w:t>
            </w:r>
          </w:p>
        </w:tc>
        <w:tc>
          <w:tcPr>
            <w:tcW w:w="1120" w:type="dxa"/>
            <w:vAlign w:val="bottom"/>
          </w:tcPr>
          <w:p>
            <w:pPr>
              <w:ind w:left="840"/>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42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142</w:t>
            </w:r>
          </w:p>
        </w:tc>
      </w:tr>
      <w:tr>
        <w:trPr>
          <w:trHeight w:val="283"/>
        </w:trPr>
        <w:tc>
          <w:tcPr>
            <w:tcW w:w="520" w:type="dxa"/>
            <w:vAlign w:val="bottom"/>
          </w:tcPr>
          <w:p>
            <w:pPr>
              <w:jc w:val="right"/>
              <w:spacing w:after="0"/>
              <w:rPr>
                <w:sz w:val="20"/>
                <w:szCs w:val="20"/>
                <w:color w:val="auto"/>
              </w:rPr>
            </w:pPr>
            <w:r>
              <w:rPr>
                <w:rFonts w:ascii="Arial" w:cs="Arial" w:eastAsia="Arial" w:hAnsi="Arial"/>
                <w:sz w:val="20"/>
                <w:szCs w:val="20"/>
                <w:color w:val="auto"/>
              </w:rPr>
              <w:t>(27)</w:t>
            </w:r>
          </w:p>
        </w:tc>
        <w:tc>
          <w:tcPr>
            <w:tcW w:w="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w:t>
            </w:r>
          </w:p>
        </w:tc>
      </w:tr>
      <w:tr>
        <w:trPr>
          <w:trHeight w:val="274"/>
        </w:trPr>
        <w:tc>
          <w:tcPr>
            <w:tcW w:w="520" w:type="dxa"/>
            <w:vAlign w:val="bottom"/>
          </w:tcPr>
          <w:p>
            <w:pPr>
              <w:jc w:val="right"/>
              <w:ind w:right="62"/>
              <w:spacing w:after="0"/>
              <w:rPr>
                <w:sz w:val="20"/>
                <w:szCs w:val="20"/>
                <w:color w:val="auto"/>
              </w:rPr>
            </w:pPr>
            <w:r>
              <w:rPr>
                <w:rFonts w:ascii="Arial" w:cs="Arial" w:eastAsia="Arial" w:hAnsi="Arial"/>
                <w:sz w:val="20"/>
                <w:szCs w:val="20"/>
                <w:color w:val="auto"/>
              </w:rPr>
              <w:t>115</w:t>
            </w:r>
          </w:p>
        </w:tc>
        <w:tc>
          <w:tcPr>
            <w:tcW w:w="980" w:type="dxa"/>
            <w:vAlign w:val="bottom"/>
            <w:tcBorders>
              <w:bottom w:val="single" w:sz="8" w:color="auto"/>
            </w:tcBorders>
          </w:tcPr>
          <w:p>
            <w:pPr>
              <w:jc w:val="right"/>
              <w:ind w:right="74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66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w:t>
            </w:r>
          </w:p>
        </w:tc>
      </w:tr>
      <w:tr>
        <w:trPr>
          <w:trHeight w:val="240"/>
        </w:trPr>
        <w:tc>
          <w:tcPr>
            <w:tcW w:w="520" w:type="dxa"/>
            <w:vAlign w:val="bottom"/>
          </w:tcPr>
          <w:p>
            <w:pPr>
              <w:jc w:val="right"/>
              <w:spacing w:after="0"/>
              <w:rPr>
                <w:sz w:val="20"/>
                <w:szCs w:val="20"/>
                <w:color w:val="auto"/>
              </w:rPr>
            </w:pPr>
            <w:r>
              <w:rPr>
                <w:rFonts w:ascii="Arial" w:cs="Arial" w:eastAsia="Arial" w:hAnsi="Arial"/>
                <w:sz w:val="20"/>
                <w:szCs w:val="20"/>
                <w:color w:val="auto"/>
                <w:w w:val="89"/>
              </w:rPr>
              <w:t>(204)</w:t>
            </w:r>
          </w:p>
        </w:tc>
        <w:tc>
          <w:tcPr>
            <w:tcW w:w="980" w:type="dxa"/>
            <w:vAlign w:val="bottom"/>
          </w:tcPr>
          <w:p>
            <w:pPr>
              <w:jc w:val="right"/>
              <w:ind w:right="742"/>
              <w:spacing w:after="0"/>
              <w:rPr>
                <w:sz w:val="20"/>
                <w:szCs w:val="20"/>
                <w:color w:val="auto"/>
              </w:rPr>
            </w:pPr>
            <w:r>
              <w:rPr>
                <w:rFonts w:ascii="Arial" w:cs="Arial" w:eastAsia="Arial" w:hAnsi="Arial"/>
                <w:sz w:val="20"/>
                <w:szCs w:val="20"/>
                <w:color w:val="auto"/>
              </w:rPr>
              <w:t>$</w:t>
            </w:r>
          </w:p>
        </w:tc>
        <w:tc>
          <w:tcPr>
            <w:tcW w:w="1120" w:type="dxa"/>
            <w:vAlign w:val="bottom"/>
          </w:tcPr>
          <w:p>
            <w:pPr>
              <w:ind w:left="840"/>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42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(204)</w:t>
            </w:r>
          </w:p>
        </w:tc>
      </w:tr>
      <w:tr>
        <w:trPr>
          <w:trHeight w:val="20"/>
        </w:trPr>
        <w:tc>
          <w:tcPr>
            <w:tcW w:w="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2">
            <w:col w:w="5000" w:space="720"/>
            <w:col w:w="4320"/>
          </w:cols>
          <w:pgMar w:left="920" w:top="584" w:right="920" w:bottom="0" w:gutter="0" w:footer="0" w:header="0"/>
          <w:type w:val="continuous"/>
        </w:sectPr>
      </w:pP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628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rPr>
              <w:t>Gross Amounts Not Offset in the Statement of Financial Position</w:t>
            </w:r>
          </w:p>
        </w:tc>
        <w:tc>
          <w:tcPr>
            <w:tcW w:w="0" w:type="dxa"/>
            <w:vAlign w:val="bottom"/>
          </w:tcPr>
          <w:p>
            <w:pPr>
              <w:spacing w:after="0"/>
              <w:rPr>
                <w:sz w:val="1"/>
                <w:szCs w:val="1"/>
                <w:color w:val="auto"/>
              </w:rPr>
            </w:pPr>
          </w:p>
        </w:tc>
      </w:tr>
      <w:tr>
        <w:trPr>
          <w:trHeight w:val="182"/>
        </w:trPr>
        <w:tc>
          <w:tcPr>
            <w:tcW w:w="3720" w:type="dxa"/>
            <w:vAlign w:val="bottom"/>
            <w:vMerge w:val="restart"/>
          </w:tcPr>
          <w:p>
            <w:pPr>
              <w:spacing w:after="0"/>
              <w:rPr>
                <w:sz w:val="20"/>
                <w:szCs w:val="20"/>
                <w:color w:val="auto"/>
              </w:rPr>
            </w:pPr>
            <w:r>
              <w:rPr>
                <w:rFonts w:ascii="Arial" w:cs="Arial" w:eastAsia="Arial" w:hAnsi="Arial"/>
                <w:sz w:val="20"/>
                <w:szCs w:val="20"/>
                <w:b w:val="1"/>
                <w:bCs w:val="1"/>
                <w:color w:val="auto"/>
              </w:rPr>
              <w:t>As of December 31, 2024</w:t>
            </w:r>
          </w:p>
        </w:tc>
        <w:tc>
          <w:tcPr>
            <w:tcW w:w="24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5"/>
              </w:rPr>
              <w:t>Gross Amounts of Recognized</w:t>
            </w:r>
          </w:p>
        </w:tc>
        <w:tc>
          <w:tcPr>
            <w:tcW w:w="80" w:type="dxa"/>
            <w:vAlign w:val="bottom"/>
          </w:tcPr>
          <w:p>
            <w:pPr>
              <w:spacing w:after="0"/>
              <w:rPr>
                <w:sz w:val="15"/>
                <w:szCs w:val="15"/>
                <w:color w:val="auto"/>
              </w:rPr>
            </w:pPr>
          </w:p>
        </w:tc>
        <w:tc>
          <w:tcPr>
            <w:tcW w:w="21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Derivative Instruments</w:t>
            </w:r>
          </w:p>
        </w:tc>
        <w:tc>
          <w:tcPr>
            <w:tcW w:w="80" w:type="dxa"/>
            <w:vAlign w:val="bottom"/>
          </w:tcPr>
          <w:p>
            <w:pPr>
              <w:spacing w:after="0"/>
              <w:rPr>
                <w:sz w:val="15"/>
                <w:szCs w:val="15"/>
                <w:color w:val="auto"/>
              </w:rPr>
            </w:pPr>
          </w:p>
        </w:tc>
        <w:tc>
          <w:tcPr>
            <w:tcW w:w="16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Assets/Liabilities</w:t>
            </w:r>
          </w:p>
        </w:tc>
        <w:tc>
          <w:tcPr>
            <w:tcW w:w="80" w:type="dxa"/>
            <w:vAlign w:val="bottom"/>
          </w:tcPr>
          <w:p>
            <w:pPr>
              <w:spacing w:after="0"/>
              <w:rPr>
                <w:sz w:val="18"/>
                <w:szCs w:val="18"/>
                <w:color w:val="auto"/>
              </w:rPr>
            </w:pPr>
          </w:p>
        </w:tc>
        <w:tc>
          <w:tcPr>
            <w:tcW w:w="2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20" w:type="dxa"/>
            <w:vAlign w:val="bottom"/>
          </w:tcPr>
          <w:p>
            <w:pPr>
              <w:spacing w:after="0"/>
              <w:rPr>
                <w:sz w:val="20"/>
                <w:szCs w:val="20"/>
                <w:color w:val="auto"/>
              </w:rPr>
            </w:pPr>
            <w:r>
              <w:rPr>
                <w:rFonts w:ascii="Arial" w:cs="Arial" w:eastAsia="Arial" w:hAnsi="Arial"/>
                <w:sz w:val="20"/>
                <w:szCs w:val="20"/>
                <w:b w:val="1"/>
                <w:bCs w:val="1"/>
                <w:color w:val="auto"/>
              </w:rPr>
              <w:t>Energy-related commodity contracts</w:t>
            </w:r>
          </w:p>
        </w:tc>
        <w:tc>
          <w:tcPr>
            <w:tcW w:w="2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tcPr>
          <w:p>
            <w:pPr>
              <w:ind w:left="260"/>
              <w:spacing w:after="0"/>
              <w:rPr>
                <w:sz w:val="20"/>
                <w:szCs w:val="20"/>
                <w:color w:val="auto"/>
              </w:rPr>
            </w:pPr>
            <w:r>
              <w:rPr>
                <w:rFonts w:ascii="Arial" w:cs="Arial" w:eastAsia="Arial" w:hAnsi="Arial"/>
                <w:sz w:val="16"/>
                <w:szCs w:val="16"/>
                <w:b w:val="1"/>
                <w:bCs w:val="1"/>
                <w:color w:val="auto"/>
              </w:rPr>
              <w:t>(In millions)</w:t>
            </w: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-176530</wp:posOffset>
            </wp:positionV>
            <wp:extent cx="6410325" cy="1456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4">
                      <a:extLst>
                        <a:ext uri="{28A0092B-C50C-407E-A947-70E740481C1C}"/>
                      </a:extLst>
                    </a:blip>
                    <a:srcRect/>
                    <a:stretch>
                      <a:fillRect/>
                    </a:stretch>
                  </pic:blipFill>
                  <pic:spPr bwMode="auto">
                    <a:xfrm>
                      <a:off x="0" y="0"/>
                      <a:ext cx="6410325" cy="1456690"/>
                    </a:xfrm>
                    <a:prstGeom prst="rect">
                      <a:avLst/>
                    </a:prstGeom>
                    <a:noFill/>
                  </pic:spPr>
                </pic:pic>
              </a:graphicData>
            </a:graphic>
          </wp:anchor>
        </w:drawing>
      </w:r>
    </w:p>
    <w:p>
      <w:pPr>
        <w:sectPr>
          <w:pgSz w:w="11880" w:h="15480" w:orient="portrait"/>
          <w:cols w:equalWidth="0" w:num="1">
            <w:col w:w="10040"/>
          </w:cols>
          <w:pgMar w:left="920" w:top="584" w:right="920" w:bottom="0" w:gutter="0" w:footer="0" w:header="0"/>
          <w:type w:val="continuous"/>
        </w:sectPr>
      </w:pPr>
    </w:p>
    <w:p>
      <w:pPr>
        <w:spacing w:after="0" w:line="31" w:lineRule="exact"/>
        <w:rPr>
          <w:sz w:val="20"/>
          <w:szCs w:val="20"/>
          <w:color w:val="auto"/>
        </w:rPr>
      </w:pPr>
    </w:p>
    <w:p>
      <w:pPr>
        <w:ind w:left="280" w:right="1100" w:hanging="14"/>
        <w:spacing w:after="0" w:line="340" w:lineRule="auto"/>
        <w:rPr>
          <w:sz w:val="20"/>
          <w:szCs w:val="20"/>
          <w:color w:val="auto"/>
        </w:rPr>
      </w:pPr>
      <w:r>
        <w:rPr>
          <w:rFonts w:ascii="Arial" w:cs="Arial" w:eastAsia="Arial" w:hAnsi="Arial"/>
          <w:sz w:val="17"/>
          <w:szCs w:val="17"/>
          <w:color w:val="auto"/>
        </w:rPr>
        <w:t xml:space="preserve">Derivative assets </w:t>
      </w:r>
      <w:r>
        <w:rPr>
          <w:rFonts w:ascii="Arial" w:cs="Arial" w:eastAsia="Arial" w:hAnsi="Arial"/>
          <w:sz w:val="17"/>
          <w:szCs w:val="17"/>
          <w:color w:val="B4B4B4"/>
        </w:rPr>
        <w:t>. . . . . . . . . . . . . . . . . . . . .</w:t>
      </w:r>
      <w:r>
        <w:rPr>
          <w:rFonts w:ascii="Arial" w:cs="Arial" w:eastAsia="Arial" w:hAnsi="Arial"/>
          <w:sz w:val="17"/>
          <w:szCs w:val="17"/>
          <w:color w:val="auto"/>
        </w:rPr>
        <w:t xml:space="preserve"> $ Derivative liabilities </w:t>
      </w:r>
      <w:r>
        <w:rPr>
          <w:rFonts w:ascii="Arial" w:cs="Arial" w:eastAsia="Arial" w:hAnsi="Arial"/>
          <w:sz w:val="17"/>
          <w:szCs w:val="17"/>
          <w:color w:val="B4B4B4"/>
        </w:rPr>
        <w:t>. . . . . . . . . . . . . . . . . .</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Total energy-related commodity contracts </w:t>
      </w:r>
      <w:r>
        <w:rPr>
          <w:rFonts w:ascii="Arial" w:cs="Arial" w:eastAsia="Arial" w:hAnsi="Arial"/>
          <w:sz w:val="17"/>
          <w:szCs w:val="17"/>
          <w:b w:val="1"/>
          <w:bCs w:val="1"/>
          <w:color w:val="B4B4B4"/>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Interest rate contracts</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Derivative assets </w:t>
      </w:r>
      <w:r>
        <w:rPr>
          <w:rFonts w:ascii="Arial" w:cs="Arial" w:eastAsia="Arial" w:hAnsi="Arial"/>
          <w:sz w:val="17"/>
          <w:szCs w:val="17"/>
          <w:color w:val="B4B4B4"/>
        </w:rPr>
        <w:t>. . . . . . . . . . . . . . . . . . . . .</w:t>
      </w:r>
      <w:r>
        <w:rPr>
          <w:rFonts w:ascii="Arial" w:cs="Arial" w:eastAsia="Arial" w:hAnsi="Arial"/>
          <w:sz w:val="17"/>
          <w:szCs w:val="17"/>
          <w:color w:val="auto"/>
        </w:rPr>
        <w:t xml:space="preserve"> $</w:t>
      </w:r>
    </w:p>
    <w:p>
      <w:pPr>
        <w:spacing w:after="0" w:line="80" w:lineRule="exact"/>
        <w:rPr>
          <w:sz w:val="20"/>
          <w:szCs w:val="20"/>
          <w:color w:val="auto"/>
        </w:rPr>
      </w:pPr>
    </w:p>
    <w:p>
      <w:pPr>
        <w:ind w:left="40" w:right="1100"/>
        <w:spacing w:after="0" w:line="420" w:lineRule="auto"/>
        <w:rPr>
          <w:sz w:val="20"/>
          <w:szCs w:val="20"/>
          <w:color w:val="auto"/>
        </w:rPr>
      </w:pPr>
      <w:r>
        <w:rPr>
          <w:rFonts w:ascii="Arial" w:cs="Arial" w:eastAsia="Arial" w:hAnsi="Arial"/>
          <w:sz w:val="17"/>
          <w:szCs w:val="17"/>
          <w:b w:val="1"/>
          <w:bCs w:val="1"/>
          <w:color w:val="auto"/>
        </w:rPr>
        <w:t xml:space="preserve">Total interest rate contracts </w:t>
      </w:r>
      <w:r>
        <w:rPr>
          <w:rFonts w:ascii="Arial" w:cs="Arial" w:eastAsia="Arial" w:hAnsi="Arial"/>
          <w:sz w:val="17"/>
          <w:szCs w:val="17"/>
          <w:b w:val="1"/>
          <w:bCs w:val="1"/>
          <w:color w:val="B4B4B4"/>
        </w:rPr>
        <w:t>. . . . . . . . . . . . .</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 xml:space="preserve"> Total derivative instruments </w:t>
      </w:r>
      <w:r>
        <w:rPr>
          <w:rFonts w:ascii="Arial" w:cs="Arial" w:eastAsia="Arial" w:hAnsi="Arial"/>
          <w:sz w:val="17"/>
          <w:szCs w:val="17"/>
          <w:b w:val="1"/>
          <w:bCs w:val="1"/>
          <w:color w:val="B4B4B4"/>
        </w:rPr>
        <w:t>. . . . . . . . . . . . .</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520" w:type="dxa"/>
            <w:vAlign w:val="bottom"/>
          </w:tcPr>
          <w:p>
            <w:pPr>
              <w:jc w:val="right"/>
              <w:ind w:right="62"/>
              <w:spacing w:after="0"/>
              <w:rPr>
                <w:sz w:val="20"/>
                <w:szCs w:val="20"/>
                <w:color w:val="auto"/>
              </w:rPr>
            </w:pPr>
            <w:r>
              <w:rPr>
                <w:rFonts w:ascii="Arial" w:cs="Arial" w:eastAsia="Arial" w:hAnsi="Arial"/>
                <w:sz w:val="20"/>
                <w:szCs w:val="20"/>
                <w:color w:val="auto"/>
              </w:rPr>
              <w:t>9</w:t>
            </w:r>
          </w:p>
        </w:tc>
        <w:tc>
          <w:tcPr>
            <w:tcW w:w="980" w:type="dxa"/>
            <w:vAlign w:val="bottom"/>
          </w:tcPr>
          <w:p>
            <w:pPr>
              <w:jc w:val="right"/>
              <w:ind w:right="742"/>
              <w:spacing w:after="0"/>
              <w:rPr>
                <w:sz w:val="20"/>
                <w:szCs w:val="20"/>
                <w:color w:val="auto"/>
              </w:rPr>
            </w:pPr>
            <w:r>
              <w:rPr>
                <w:rFonts w:ascii="Arial" w:cs="Arial" w:eastAsia="Arial" w:hAnsi="Arial"/>
                <w:sz w:val="20"/>
                <w:szCs w:val="20"/>
                <w:color w:val="auto"/>
              </w:rPr>
              <w:t>$</w:t>
            </w:r>
          </w:p>
        </w:tc>
        <w:tc>
          <w:tcPr>
            <w:tcW w:w="1120" w:type="dxa"/>
            <w:vAlign w:val="bottom"/>
          </w:tcPr>
          <w:p>
            <w:pPr>
              <w:ind w:left="840"/>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42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3"/>
        </w:trPr>
        <w:tc>
          <w:tcPr>
            <w:tcW w:w="520" w:type="dxa"/>
            <w:vAlign w:val="bottom"/>
          </w:tcPr>
          <w:p>
            <w:pPr>
              <w:jc w:val="right"/>
              <w:spacing w:after="0"/>
              <w:rPr>
                <w:sz w:val="20"/>
                <w:szCs w:val="20"/>
                <w:color w:val="auto"/>
              </w:rPr>
            </w:pPr>
            <w:r>
              <w:rPr>
                <w:rFonts w:ascii="Arial" w:cs="Arial" w:eastAsia="Arial" w:hAnsi="Arial"/>
                <w:sz w:val="20"/>
                <w:szCs w:val="20"/>
                <w:color w:val="auto"/>
                <w:w w:val="89"/>
              </w:rPr>
              <w:t>(371)</w:t>
            </w:r>
          </w:p>
        </w:tc>
        <w:tc>
          <w:tcPr>
            <w:tcW w:w="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(371)</w:t>
            </w:r>
          </w:p>
        </w:tc>
      </w:tr>
      <w:tr>
        <w:trPr>
          <w:trHeight w:val="259"/>
        </w:trPr>
        <w:tc>
          <w:tcPr>
            <w:tcW w:w="520" w:type="dxa"/>
            <w:vAlign w:val="bottom"/>
          </w:tcPr>
          <w:p>
            <w:pPr>
              <w:jc w:val="right"/>
              <w:spacing w:after="0"/>
              <w:rPr>
                <w:sz w:val="20"/>
                <w:szCs w:val="20"/>
                <w:color w:val="auto"/>
              </w:rPr>
            </w:pPr>
            <w:r>
              <w:rPr>
                <w:rFonts w:ascii="Arial" w:cs="Arial" w:eastAsia="Arial" w:hAnsi="Arial"/>
                <w:sz w:val="20"/>
                <w:szCs w:val="20"/>
                <w:color w:val="auto"/>
                <w:w w:val="89"/>
              </w:rPr>
              <w:t>(362)</w:t>
            </w:r>
          </w:p>
        </w:tc>
        <w:tc>
          <w:tcPr>
            <w:tcW w:w="980" w:type="dxa"/>
            <w:vAlign w:val="bottom"/>
            <w:tcBorders>
              <w:bottom w:val="single" w:sz="8" w:color="auto"/>
            </w:tcBorders>
          </w:tcPr>
          <w:p>
            <w:pPr>
              <w:jc w:val="right"/>
              <w:ind w:right="74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66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(362)</w:t>
            </w:r>
          </w:p>
        </w:tc>
      </w:tr>
      <w:tr>
        <w:trPr>
          <w:trHeight w:val="539"/>
        </w:trPr>
        <w:tc>
          <w:tcPr>
            <w:tcW w:w="520" w:type="dxa"/>
            <w:vAlign w:val="bottom"/>
          </w:tcPr>
          <w:p>
            <w:pPr>
              <w:jc w:val="right"/>
              <w:ind w:right="62"/>
              <w:spacing w:after="0"/>
              <w:rPr>
                <w:sz w:val="20"/>
                <w:szCs w:val="20"/>
                <w:color w:val="auto"/>
              </w:rPr>
            </w:pPr>
            <w:r>
              <w:rPr>
                <w:rFonts w:ascii="Arial" w:cs="Arial" w:eastAsia="Arial" w:hAnsi="Arial"/>
                <w:sz w:val="20"/>
                <w:szCs w:val="20"/>
                <w:color w:val="auto"/>
              </w:rPr>
              <w:t>166</w:t>
            </w:r>
          </w:p>
        </w:tc>
        <w:tc>
          <w:tcPr>
            <w:tcW w:w="980" w:type="dxa"/>
            <w:vAlign w:val="bottom"/>
            <w:tcBorders>
              <w:bottom w:val="single" w:sz="8" w:color="auto"/>
            </w:tcBorders>
          </w:tcPr>
          <w:p>
            <w:pPr>
              <w:jc w:val="right"/>
              <w:ind w:right="74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66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166</w:t>
            </w:r>
          </w:p>
        </w:tc>
      </w:tr>
      <w:tr>
        <w:trPr>
          <w:trHeight w:val="259"/>
        </w:trPr>
        <w:tc>
          <w:tcPr>
            <w:tcW w:w="520" w:type="dxa"/>
            <w:vAlign w:val="bottom"/>
          </w:tcPr>
          <w:p>
            <w:pPr>
              <w:jc w:val="right"/>
              <w:ind w:right="62"/>
              <w:spacing w:after="0"/>
              <w:rPr>
                <w:sz w:val="20"/>
                <w:szCs w:val="20"/>
                <w:color w:val="auto"/>
              </w:rPr>
            </w:pPr>
            <w:r>
              <w:rPr>
                <w:rFonts w:ascii="Arial" w:cs="Arial" w:eastAsia="Arial" w:hAnsi="Arial"/>
                <w:sz w:val="20"/>
                <w:szCs w:val="20"/>
                <w:color w:val="auto"/>
              </w:rPr>
              <w:t>166</w:t>
            </w:r>
          </w:p>
        </w:tc>
        <w:tc>
          <w:tcPr>
            <w:tcW w:w="980" w:type="dxa"/>
            <w:vAlign w:val="bottom"/>
            <w:tcBorders>
              <w:bottom w:val="single" w:sz="8" w:color="auto"/>
            </w:tcBorders>
          </w:tcPr>
          <w:p>
            <w:pPr>
              <w:jc w:val="right"/>
              <w:ind w:right="74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ind w:left="8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66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166</w:t>
            </w:r>
          </w:p>
        </w:tc>
      </w:tr>
      <w:tr>
        <w:trPr>
          <w:trHeight w:val="240"/>
        </w:trPr>
        <w:tc>
          <w:tcPr>
            <w:tcW w:w="520" w:type="dxa"/>
            <w:vAlign w:val="bottom"/>
          </w:tcPr>
          <w:p>
            <w:pPr>
              <w:jc w:val="right"/>
              <w:spacing w:after="0"/>
              <w:rPr>
                <w:sz w:val="20"/>
                <w:szCs w:val="20"/>
                <w:color w:val="auto"/>
              </w:rPr>
            </w:pPr>
            <w:r>
              <w:rPr>
                <w:rFonts w:ascii="Arial" w:cs="Arial" w:eastAsia="Arial" w:hAnsi="Arial"/>
                <w:sz w:val="20"/>
                <w:szCs w:val="20"/>
                <w:color w:val="auto"/>
                <w:w w:val="89"/>
              </w:rPr>
              <w:t>(196)</w:t>
            </w:r>
          </w:p>
        </w:tc>
        <w:tc>
          <w:tcPr>
            <w:tcW w:w="980" w:type="dxa"/>
            <w:vAlign w:val="bottom"/>
          </w:tcPr>
          <w:p>
            <w:pPr>
              <w:jc w:val="right"/>
              <w:ind w:right="742"/>
              <w:spacing w:after="0"/>
              <w:rPr>
                <w:sz w:val="20"/>
                <w:szCs w:val="20"/>
                <w:color w:val="auto"/>
              </w:rPr>
            </w:pPr>
            <w:r>
              <w:rPr>
                <w:rFonts w:ascii="Arial" w:cs="Arial" w:eastAsia="Arial" w:hAnsi="Arial"/>
                <w:sz w:val="20"/>
                <w:szCs w:val="20"/>
                <w:color w:val="auto"/>
              </w:rPr>
              <w:t>$</w:t>
            </w:r>
          </w:p>
        </w:tc>
        <w:tc>
          <w:tcPr>
            <w:tcW w:w="1120" w:type="dxa"/>
            <w:vAlign w:val="bottom"/>
          </w:tcPr>
          <w:p>
            <w:pPr>
              <w:ind w:left="840"/>
              <w:spacing w:after="0"/>
              <w:rPr>
                <w:sz w:val="20"/>
                <w:szCs w:val="20"/>
                <w:color w:val="auto"/>
              </w:rPr>
            </w:pPr>
            <w:r>
              <w:rPr>
                <w:rFonts w:ascii="Arial" w:cs="Arial" w:eastAsia="Arial" w:hAnsi="Arial"/>
                <w:sz w:val="20"/>
                <w:szCs w:val="20"/>
                <w:color w:val="auto"/>
              </w:rPr>
              <w:t>—</w:t>
            </w:r>
          </w:p>
        </w:tc>
        <w:tc>
          <w:tcPr>
            <w:tcW w:w="740" w:type="dxa"/>
            <w:vAlign w:val="bottom"/>
            <w:gridSpan w:val="2"/>
          </w:tcPr>
          <w:p>
            <w:pPr>
              <w:jc w:val="right"/>
              <w:ind w:right="42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(196)</w:t>
            </w:r>
          </w:p>
        </w:tc>
      </w:tr>
      <w:tr>
        <w:trPr>
          <w:trHeight w:val="20"/>
        </w:trPr>
        <w:tc>
          <w:tcPr>
            <w:tcW w:w="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ectPr>
          <w:pgSz w:w="11880" w:h="15480" w:orient="portrait"/>
          <w:cols w:equalWidth="0" w:num="2">
            <w:col w:w="5000" w:space="720"/>
            <w:col w:w="4320"/>
          </w:cols>
          <w:pgMar w:left="920" w:top="584"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880" w:h="15480" w:orient="portrait"/>
          <w:cols w:equalWidth="0" w:num="1">
            <w:col w:w="10040"/>
          </w:cols>
          <w:pgMar w:left="920" w:top="584" w:right="920" w:bottom="0" w:gutter="0" w:footer="0" w:header="0"/>
          <w:type w:val="continuous"/>
        </w:sectPr>
      </w:pPr>
    </w:p>
    <w:bookmarkStart w:id="117" w:name="page118"/>
    <w:bookmarkEnd w:id="117"/>
    <w:p>
      <w:pPr>
        <w:spacing w:after="0"/>
        <w:rPr>
          <w:sz w:val="20"/>
          <w:szCs w:val="20"/>
          <w:color w:val="auto"/>
        </w:rPr>
      </w:pPr>
      <w:r>
        <w:rPr>
          <w:rFonts w:ascii="Arial" w:cs="Arial" w:eastAsia="Arial" w:hAnsi="Arial"/>
          <w:sz w:val="20"/>
          <w:szCs w:val="20"/>
          <w:b w:val="1"/>
          <w:bCs w:val="1"/>
          <w:i w:val="1"/>
          <w:iCs w:val="1"/>
          <w:color w:val="auto"/>
        </w:rPr>
        <w:t>Accumulated Other Comprehensive Income (Loss)</w:t>
      </w:r>
    </w:p>
    <w:p>
      <w:pPr>
        <w:spacing w:after="0" w:line="189" w:lineRule="exact"/>
        <w:rPr>
          <w:sz w:val="20"/>
          <w:szCs w:val="20"/>
          <w:color w:val="auto"/>
        </w:rPr>
      </w:pPr>
    </w:p>
    <w:p>
      <w:pPr>
        <w:ind w:firstLine="441"/>
        <w:spacing w:after="0" w:line="271" w:lineRule="auto"/>
        <w:rPr>
          <w:sz w:val="20"/>
          <w:szCs w:val="20"/>
          <w:color w:val="auto"/>
        </w:rPr>
      </w:pPr>
      <w:r>
        <w:rPr>
          <w:rFonts w:ascii="Arial" w:cs="Arial" w:eastAsia="Arial" w:hAnsi="Arial"/>
          <w:sz w:val="20"/>
          <w:szCs w:val="20"/>
          <w:color w:val="auto"/>
        </w:rPr>
        <w:t>The following table summarizes the effects on the Company’s accumulated OCI (OCL) balance attributable to interest rate swaps designated as cash flow hedge derivatives, net of tax:</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8"/>
              </w:rPr>
              <w:t>Year ended December 31,</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44"/>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6860" w:type="dxa"/>
            <w:vAlign w:val="bottom"/>
          </w:tcPr>
          <w:p>
            <w:pPr>
              <w:spacing w:after="0"/>
              <w:rPr>
                <w:sz w:val="20"/>
                <w:szCs w:val="20"/>
                <w:color w:val="auto"/>
              </w:rPr>
            </w:pPr>
            <w:r>
              <w:rPr>
                <w:rFonts w:ascii="Arial" w:cs="Arial" w:eastAsia="Arial" w:hAnsi="Arial"/>
                <w:sz w:val="20"/>
                <w:szCs w:val="20"/>
                <w:color w:val="auto"/>
                <w:w w:val="90"/>
              </w:rPr>
              <w:t xml:space="preserve">Accumulated OCI beginning balance </w:t>
            </w:r>
            <w:r>
              <w:rPr>
                <w:rFonts w:ascii="Arial" w:cs="Arial" w:eastAsia="Arial" w:hAnsi="Arial"/>
                <w:sz w:val="20"/>
                <w:szCs w:val="20"/>
                <w:color w:val="B4B4B4"/>
                <w:w w:val="90"/>
              </w:rPr>
              <w:t>. . . . . . . . . . . . . . . . . . . . . . . . . . . . . . . . . . . . . . .</w:t>
            </w:r>
          </w:p>
        </w:tc>
        <w:tc>
          <w:tcPr>
            <w:tcW w:w="680" w:type="dxa"/>
            <w:vAlign w:val="bottom"/>
          </w:tcPr>
          <w:p>
            <w:pPr>
              <w:jc w:val="right"/>
              <w:ind w:right="427"/>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w w:val="98"/>
              </w:rPr>
              <w:t>14</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18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333"/>
        </w:trPr>
        <w:tc>
          <w:tcPr>
            <w:tcW w:w="6860" w:type="dxa"/>
            <w:vAlign w:val="bottom"/>
          </w:tcPr>
          <w:p>
            <w:pPr>
              <w:jc w:val="right"/>
              <w:spacing w:after="0"/>
              <w:rPr>
                <w:sz w:val="20"/>
                <w:szCs w:val="20"/>
                <w:color w:val="auto"/>
              </w:rPr>
            </w:pPr>
            <w:r>
              <w:rPr>
                <w:rFonts w:ascii="Arial" w:cs="Arial" w:eastAsia="Arial" w:hAnsi="Arial"/>
                <w:sz w:val="20"/>
                <w:szCs w:val="20"/>
                <w:color w:val="auto"/>
                <w:w w:val="90"/>
              </w:rPr>
              <w:t xml:space="preserve">Rosamond South I Drop Down </w:t>
            </w:r>
            <w:r>
              <w:rPr>
                <w:rFonts w:ascii="Arial" w:cs="Arial" w:eastAsia="Arial" w:hAnsi="Arial"/>
                <w:sz w:val="25"/>
                <w:szCs w:val="25"/>
                <w:color w:val="auto"/>
                <w:w w:val="90"/>
                <w:vertAlign w:val="superscript"/>
              </w:rPr>
              <w:t>(a)</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w:t>
            </w: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860" w:type="dxa"/>
            <w:vAlign w:val="bottom"/>
          </w:tcPr>
          <w:p>
            <w:pPr>
              <w:jc w:val="right"/>
              <w:spacing w:after="0"/>
              <w:rPr>
                <w:sz w:val="20"/>
                <w:szCs w:val="20"/>
                <w:color w:val="auto"/>
              </w:rPr>
            </w:pPr>
            <w:r>
              <w:rPr>
                <w:rFonts w:ascii="Arial" w:cs="Arial" w:eastAsia="Arial" w:hAnsi="Arial"/>
                <w:sz w:val="20"/>
                <w:szCs w:val="20"/>
                <w:color w:val="auto"/>
                <w:w w:val="90"/>
              </w:rPr>
              <w:t xml:space="preserve">Daggett 1 Drop Down </w:t>
            </w:r>
            <w:r>
              <w:rPr>
                <w:rFonts w:ascii="Arial" w:cs="Arial" w:eastAsia="Arial" w:hAnsi="Arial"/>
                <w:sz w:val="25"/>
                <w:szCs w:val="25"/>
                <w:color w:val="auto"/>
                <w:w w:val="90"/>
                <w:vertAlign w:val="superscript"/>
              </w:rPr>
              <w:t>(b)</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 . . . .</w:t>
            </w: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9"/>
        </w:trPr>
        <w:tc>
          <w:tcPr>
            <w:tcW w:w="6860" w:type="dxa"/>
            <w:vAlign w:val="bottom"/>
          </w:tcPr>
          <w:p>
            <w:pPr>
              <w:jc w:val="right"/>
              <w:spacing w:after="0"/>
              <w:rPr>
                <w:sz w:val="20"/>
                <w:szCs w:val="20"/>
                <w:color w:val="auto"/>
              </w:rPr>
            </w:pPr>
            <w:r>
              <w:rPr>
                <w:rFonts w:ascii="Arial" w:cs="Arial" w:eastAsia="Arial" w:hAnsi="Arial"/>
                <w:sz w:val="20"/>
                <w:szCs w:val="20"/>
                <w:color w:val="auto"/>
                <w:w w:val="90"/>
              </w:rPr>
              <w:t xml:space="preserve">Luna Valley Drop Down </w:t>
            </w:r>
            <w:r>
              <w:rPr>
                <w:rFonts w:ascii="Arial" w:cs="Arial" w:eastAsia="Arial" w:hAnsi="Arial"/>
                <w:sz w:val="25"/>
                <w:szCs w:val="25"/>
                <w:color w:val="auto"/>
                <w:w w:val="90"/>
                <w:vertAlign w:val="superscript"/>
              </w:rPr>
              <w:t>(c)</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 . . . . . . . .</w:t>
            </w: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6860" w:type="dxa"/>
            <w:vAlign w:val="bottom"/>
          </w:tcPr>
          <w:p>
            <w:pPr>
              <w:jc w:val="right"/>
              <w:spacing w:after="0"/>
              <w:rPr>
                <w:sz w:val="20"/>
                <w:szCs w:val="20"/>
                <w:color w:val="auto"/>
              </w:rPr>
            </w:pPr>
            <w:r>
              <w:rPr>
                <w:rFonts w:ascii="Arial" w:cs="Arial" w:eastAsia="Arial" w:hAnsi="Arial"/>
                <w:sz w:val="20"/>
                <w:szCs w:val="20"/>
                <w:color w:val="auto"/>
                <w:w w:val="89"/>
              </w:rPr>
              <w:t xml:space="preserve">Pine Forest Drop Down </w:t>
            </w:r>
            <w:r>
              <w:rPr>
                <w:rFonts w:ascii="Arial" w:cs="Arial" w:eastAsia="Arial" w:hAnsi="Arial"/>
                <w:sz w:val="25"/>
                <w:szCs w:val="25"/>
                <w:color w:val="auto"/>
                <w:w w:val="89"/>
                <w:vertAlign w:val="superscript"/>
              </w:rPr>
              <w:t>(d)</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 . . . . . . . . . . . . . .</w:t>
            </w:r>
          </w:p>
        </w:tc>
        <w:tc>
          <w:tcPr>
            <w:tcW w:w="6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6860" w:type="dxa"/>
            <w:vAlign w:val="bottom"/>
          </w:tcPr>
          <w:p>
            <w:pPr>
              <w:jc w:val="right"/>
              <w:spacing w:after="0" w:line="259" w:lineRule="exact"/>
              <w:rPr>
                <w:sz w:val="20"/>
                <w:szCs w:val="20"/>
                <w:color w:val="auto"/>
              </w:rPr>
            </w:pPr>
            <w:r>
              <w:rPr>
                <w:rFonts w:ascii="Arial" w:cs="Arial" w:eastAsia="Arial" w:hAnsi="Arial"/>
                <w:sz w:val="20"/>
                <w:szCs w:val="20"/>
                <w:color w:val="auto"/>
                <w:w w:val="90"/>
              </w:rPr>
              <w:t xml:space="preserve">Honeycomb Portfolio Drop Down </w:t>
            </w:r>
            <w:r>
              <w:rPr>
                <w:rFonts w:ascii="Arial" w:cs="Arial" w:eastAsia="Arial" w:hAnsi="Arial"/>
                <w:sz w:val="25"/>
                <w:szCs w:val="25"/>
                <w:color w:val="auto"/>
                <w:w w:val="90"/>
                <w:vertAlign w:val="superscript"/>
              </w:rPr>
              <w:t>(e)</w:t>
            </w:r>
            <w:r>
              <w:rPr>
                <w:rFonts w:ascii="Arial" w:cs="Arial" w:eastAsia="Arial" w:hAnsi="Arial"/>
                <w:sz w:val="20"/>
                <w:szCs w:val="20"/>
                <w:color w:val="auto"/>
                <w:w w:val="90"/>
              </w:rPr>
              <w:t xml:space="preserve">  </w:t>
            </w:r>
            <w:r>
              <w:rPr>
                <w:rFonts w:ascii="Arial" w:cs="Arial" w:eastAsia="Arial" w:hAnsi="Arial"/>
                <w:sz w:val="20"/>
                <w:szCs w:val="20"/>
                <w:color w:val="B4B4B4"/>
                <w:w w:val="90"/>
              </w:rPr>
              <w:t>. . . . . . . . . . . . . . . . . . . . . . . . . . . . . . . . . . . . . .</w:t>
            </w:r>
          </w:p>
        </w:tc>
        <w:tc>
          <w:tcPr>
            <w:tcW w:w="6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7"/>
        </w:trPr>
        <w:tc>
          <w:tcPr>
            <w:tcW w:w="6860" w:type="dxa"/>
            <w:vAlign w:val="bottom"/>
          </w:tcPr>
          <w:p>
            <w:pPr>
              <w:ind w:left="140"/>
              <w:spacing w:after="0" w:line="197" w:lineRule="exact"/>
              <w:rPr>
                <w:sz w:val="20"/>
                <w:szCs w:val="20"/>
                <w:color w:val="auto"/>
              </w:rPr>
            </w:pPr>
            <w:r>
              <w:rPr>
                <w:rFonts w:ascii="Arial" w:cs="Arial" w:eastAsia="Arial" w:hAnsi="Arial"/>
                <w:sz w:val="20"/>
                <w:szCs w:val="20"/>
                <w:color w:val="auto"/>
                <w:w w:val="98"/>
              </w:rPr>
              <w:t>Reclassified from accumulated OCI to income due to realization of previously</w:t>
            </w:r>
          </w:p>
        </w:tc>
        <w:tc>
          <w:tcPr>
            <w:tcW w:w="680" w:type="dxa"/>
            <w:vAlign w:val="bottom"/>
          </w:tcPr>
          <w:p>
            <w:pPr>
              <w:spacing w:after="0"/>
              <w:rPr>
                <w:sz w:val="17"/>
                <w:szCs w:val="17"/>
                <w:color w:val="auto"/>
              </w:rPr>
            </w:pP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55"/>
        </w:trPr>
        <w:tc>
          <w:tcPr>
            <w:tcW w:w="6860" w:type="dxa"/>
            <w:vAlign w:val="bottom"/>
          </w:tcPr>
          <w:p>
            <w:pPr>
              <w:jc w:val="right"/>
              <w:spacing w:after="0"/>
              <w:rPr>
                <w:sz w:val="20"/>
                <w:szCs w:val="20"/>
                <w:color w:val="auto"/>
              </w:rPr>
            </w:pPr>
            <w:r>
              <w:rPr>
                <w:rFonts w:ascii="Arial" w:cs="Arial" w:eastAsia="Arial" w:hAnsi="Arial"/>
                <w:sz w:val="20"/>
                <w:szCs w:val="20"/>
                <w:color w:val="auto"/>
                <w:w w:val="92"/>
              </w:rPr>
              <w:t xml:space="preserve">deferred amounts </w:t>
            </w:r>
            <w:r>
              <w:rPr>
                <w:rFonts w:ascii="Arial" w:cs="Arial" w:eastAsia="Arial" w:hAnsi="Arial"/>
                <w:sz w:val="20"/>
                <w:szCs w:val="20"/>
                <w:color w:val="B4B4B4"/>
                <w:w w:val="92"/>
              </w:rPr>
              <w:t>. . . . . . . . . . . . . . . . . . . . . . . . . . . . . . . . . . . . . . . . . . . . . . . . . . . .</w:t>
            </w:r>
          </w:p>
        </w:tc>
        <w:tc>
          <w:tcPr>
            <w:tcW w:w="680" w:type="dxa"/>
            <w:vAlign w:val="bottom"/>
          </w:tcPr>
          <w:p>
            <w:pPr>
              <w:spacing w:after="0"/>
              <w:rPr>
                <w:sz w:val="22"/>
                <w:szCs w:val="22"/>
                <w:color w:val="auto"/>
              </w:rPr>
            </w:pPr>
          </w:p>
        </w:tc>
        <w:tc>
          <w:tcPr>
            <w:tcW w:w="3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860" w:type="dxa"/>
            <w:vAlign w:val="bottom"/>
          </w:tcPr>
          <w:p>
            <w:pPr>
              <w:jc w:val="right"/>
              <w:spacing w:after="0"/>
              <w:rPr>
                <w:sz w:val="20"/>
                <w:szCs w:val="20"/>
                <w:color w:val="auto"/>
              </w:rPr>
            </w:pPr>
            <w:r>
              <w:rPr>
                <w:rFonts w:ascii="Arial" w:cs="Arial" w:eastAsia="Arial" w:hAnsi="Arial"/>
                <w:sz w:val="20"/>
                <w:szCs w:val="20"/>
                <w:color w:val="auto"/>
                <w:w w:val="91"/>
              </w:rPr>
              <w:t xml:space="preserve">Mark-to-market of cash flow hedge accounting contracts </w:t>
            </w:r>
            <w:r>
              <w:rPr>
                <w:rFonts w:ascii="Arial" w:cs="Arial" w:eastAsia="Arial" w:hAnsi="Arial"/>
                <w:sz w:val="20"/>
                <w:szCs w:val="20"/>
                <w:color w:val="B4B4B4"/>
                <w:w w:val="91"/>
              </w:rPr>
              <w:t>. . . . . . . . . . . . . . . . . . . . . .</w:t>
            </w: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8"/>
        </w:trPr>
        <w:tc>
          <w:tcPr>
            <w:tcW w:w="6860" w:type="dxa"/>
            <w:vAlign w:val="bottom"/>
          </w:tcPr>
          <w:p>
            <w:pPr>
              <w:spacing w:after="0" w:line="207" w:lineRule="exact"/>
              <w:rPr>
                <w:sz w:val="20"/>
                <w:szCs w:val="20"/>
                <w:color w:val="auto"/>
              </w:rPr>
            </w:pPr>
            <w:r>
              <w:rPr>
                <w:rFonts w:ascii="Arial" w:cs="Arial" w:eastAsia="Arial" w:hAnsi="Arial"/>
                <w:sz w:val="20"/>
                <w:szCs w:val="20"/>
                <w:color w:val="auto"/>
                <w:w w:val="91"/>
              </w:rPr>
              <w:t>Accumulated (OCL) OCI ending balance, net of income tax (benefit) expense of $(1),</w:t>
            </w:r>
          </w:p>
        </w:tc>
        <w:tc>
          <w:tcPr>
            <w:tcW w:w="680" w:type="dxa"/>
            <w:vAlign w:val="bottom"/>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38"/>
        </w:trPr>
        <w:tc>
          <w:tcPr>
            <w:tcW w:w="6860" w:type="dxa"/>
            <w:vAlign w:val="bottom"/>
          </w:tcPr>
          <w:p>
            <w:pPr>
              <w:jc w:val="right"/>
              <w:spacing w:after="0"/>
              <w:rPr>
                <w:sz w:val="20"/>
                <w:szCs w:val="20"/>
                <w:color w:val="auto"/>
              </w:rPr>
            </w:pPr>
            <w:r>
              <w:rPr>
                <w:rFonts w:ascii="Arial" w:cs="Arial" w:eastAsia="Arial" w:hAnsi="Arial"/>
                <w:sz w:val="20"/>
                <w:szCs w:val="20"/>
                <w:color w:val="auto"/>
                <w:w w:val="90"/>
              </w:rPr>
              <w:t xml:space="preserve">$1 and $2, respectively </w:t>
            </w:r>
            <w:r>
              <w:rPr>
                <w:rFonts w:ascii="Arial" w:cs="Arial" w:eastAsia="Arial" w:hAnsi="Arial"/>
                <w:sz w:val="20"/>
                <w:szCs w:val="20"/>
                <w:color w:val="B4B4B4"/>
                <w:w w:val="90"/>
              </w:rPr>
              <w:t>. . . . . . . . . . . . . . . . . . . . . . . . . . . . . . . . . . . . . . . . . . . . . . . . .</w:t>
            </w: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20"/>
                <w:szCs w:val="20"/>
                <w:color w:val="auto"/>
              </w:rPr>
              <w:t>Accumulated OCI attributable to noncontrolling interests</w:t>
            </w: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860" w:type="dxa"/>
            <w:vAlign w:val="bottom"/>
            <w:vMerge w:val="continue"/>
          </w:tcPr>
          <w:p>
            <w:pPr>
              <w:jc w:val="right"/>
              <w:spacing w:after="0" w:line="192" w:lineRule="exact"/>
              <w:rPr>
                <w:sz w:val="20"/>
                <w:szCs w:val="20"/>
                <w:color w:val="auto"/>
              </w:rPr>
            </w:pPr>
            <w:r>
              <w:rPr>
                <w:rFonts w:ascii="Arial" w:cs="Arial" w:eastAsia="Arial" w:hAnsi="Arial"/>
                <w:sz w:val="20"/>
                <w:szCs w:val="20"/>
                <w:color w:val="B4B4B4"/>
              </w:rPr>
              <w:t>. . . . . . . . . . . . . . . . . . . . . . . .</w:t>
            </w: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54"/>
        </w:trPr>
        <w:tc>
          <w:tcPr>
            <w:tcW w:w="6860" w:type="dxa"/>
            <w:vAlign w:val="bottom"/>
          </w:tcPr>
          <w:p>
            <w:pPr>
              <w:spacing w:after="0"/>
              <w:rPr>
                <w:sz w:val="20"/>
                <w:szCs w:val="20"/>
                <w:color w:val="auto"/>
              </w:rPr>
            </w:pPr>
            <w:r>
              <w:rPr>
                <w:rFonts w:ascii="Arial" w:cs="Arial" w:eastAsia="Arial" w:hAnsi="Arial"/>
                <w:sz w:val="20"/>
                <w:szCs w:val="20"/>
                <w:color w:val="auto"/>
                <w:w w:val="90"/>
              </w:rPr>
              <w:t xml:space="preserve">Accumulated (OCL) OCI attributable to Clearway Energy, Inc. </w:t>
            </w:r>
            <w:r>
              <w:rPr>
                <w:rFonts w:ascii="Arial" w:cs="Arial" w:eastAsia="Arial" w:hAnsi="Arial"/>
                <w:sz w:val="20"/>
                <w:szCs w:val="20"/>
                <w:color w:val="B4B4B4"/>
                <w:w w:val="90"/>
              </w:rPr>
              <w:t>. . . . . . . . . . . . . . . . . . .</w:t>
            </w:r>
          </w:p>
        </w:tc>
        <w:tc>
          <w:tcPr>
            <w:tcW w:w="680" w:type="dxa"/>
            <w:vAlign w:val="bottom"/>
          </w:tcPr>
          <w:p>
            <w:pPr>
              <w:jc w:val="right"/>
              <w:ind w:right="427"/>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(5)</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140"/>
              <w:spacing w:after="0" w:line="228" w:lineRule="exact"/>
              <w:rPr>
                <w:sz w:val="20"/>
                <w:szCs w:val="20"/>
                <w:color w:val="auto"/>
              </w:rPr>
            </w:pPr>
            <w:r>
              <w:rPr>
                <w:rFonts w:ascii="Arial" w:cs="Arial" w:eastAsia="Arial" w:hAnsi="Arial"/>
                <w:sz w:val="20"/>
                <w:szCs w:val="20"/>
                <w:color w:val="auto"/>
                <w:w w:val="91"/>
              </w:rPr>
              <w:t>Losses expected to be realized from OCL during the next 12 months, net of income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860" w:type="dxa"/>
            <w:vAlign w:val="bottom"/>
            <w:vMerge w:val="continue"/>
          </w:tcPr>
          <w:p>
            <w:pPr>
              <w:spacing w:after="0"/>
              <w:rPr>
                <w:sz w:val="16"/>
                <w:szCs w:val="16"/>
                <w:color w:val="auto"/>
              </w:rPr>
            </w:pPr>
          </w:p>
        </w:tc>
        <w:tc>
          <w:tcPr>
            <w:tcW w:w="680" w:type="dxa"/>
            <w:vAlign w:val="bottom"/>
            <w:vMerge w:val="restart"/>
          </w:tcPr>
          <w:p>
            <w:pPr>
              <w:jc w:val="right"/>
              <w:ind w:right="427"/>
              <w:spacing w:after="0"/>
              <w:rPr>
                <w:sz w:val="20"/>
                <w:szCs w:val="20"/>
                <w:color w:val="auto"/>
              </w:rPr>
            </w:pPr>
            <w:r>
              <w:rPr>
                <w:rFonts w:ascii="Arial" w:cs="Arial" w:eastAsia="Arial" w:hAnsi="Arial"/>
                <w:sz w:val="20"/>
                <w:szCs w:val="20"/>
                <w:color w:val="auto"/>
              </w:rPr>
              <w:t>$</w:t>
            </w: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860" w:type="dxa"/>
            <w:vAlign w:val="bottom"/>
          </w:tcPr>
          <w:p>
            <w:pPr>
              <w:jc w:val="right"/>
              <w:spacing w:after="0"/>
              <w:rPr>
                <w:sz w:val="20"/>
                <w:szCs w:val="20"/>
                <w:color w:val="auto"/>
              </w:rPr>
            </w:pPr>
            <w:r>
              <w:rPr>
                <w:rFonts w:ascii="Arial" w:cs="Arial" w:eastAsia="Arial" w:hAnsi="Arial"/>
                <w:sz w:val="20"/>
                <w:szCs w:val="20"/>
                <w:color w:val="auto"/>
                <w:w w:val="92"/>
              </w:rPr>
              <w:t xml:space="preserve">tax benefit of $2 </w:t>
            </w:r>
            <w:r>
              <w:rPr>
                <w:rFonts w:ascii="Arial" w:cs="Arial" w:eastAsia="Arial" w:hAnsi="Arial"/>
                <w:sz w:val="20"/>
                <w:szCs w:val="20"/>
                <w:color w:val="B4B4B4"/>
                <w:w w:val="92"/>
              </w:rPr>
              <w:t>. . . . . . . . . . . . . . . . . . . . . . . . . . . . . . . . . . . . . . . . . . . . . . . . . . . . .</w:t>
            </w:r>
          </w:p>
        </w:tc>
        <w:tc>
          <w:tcPr>
            <w:tcW w:w="68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-2757805</wp:posOffset>
            </wp:positionV>
            <wp:extent cx="6410325" cy="2881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5">
                      <a:extLst>
                        <a:ext uri="{28A0092B-C50C-407E-A947-70E740481C1C}"/>
                      </a:extLst>
                    </a:blip>
                    <a:srcRect/>
                    <a:stretch>
                      <a:fillRect/>
                    </a:stretch>
                  </pic:blipFill>
                  <pic:spPr bwMode="auto">
                    <a:xfrm>
                      <a:off x="0" y="0"/>
                      <a:ext cx="6410325" cy="2881630"/>
                    </a:xfrm>
                    <a:prstGeom prst="rect">
                      <a:avLst/>
                    </a:prstGeom>
                    <a:noFill/>
                  </pic:spPr>
                </pic:pic>
              </a:graphicData>
            </a:graphic>
          </wp:anchor>
        </w:drawing>
      </w:r>
    </w:p>
    <w:p>
      <w:pPr>
        <w:spacing w:after="0" w:line="157" w:lineRule="exact"/>
        <w:rPr>
          <w:sz w:val="20"/>
          <w:szCs w:val="20"/>
          <w:color w:val="auto"/>
        </w:rPr>
      </w:pPr>
    </w:p>
    <w:p>
      <w:pPr>
        <w:ind w:left="320" w:hanging="239"/>
        <w:spacing w:after="0"/>
        <w:tabs>
          <w:tab w:leader="none" w:pos="320" w:val="left"/>
        </w:tabs>
        <w:numPr>
          <w:ilvl w:val="0"/>
          <w:numId w:val="68"/>
        </w:numPr>
        <w:rPr>
          <w:rFonts w:ascii="Arial" w:cs="Arial" w:eastAsia="Arial" w:hAnsi="Arial"/>
          <w:sz w:val="25"/>
          <w:szCs w:val="25"/>
          <w:color w:val="auto"/>
          <w:vertAlign w:val="superscript"/>
        </w:rPr>
      </w:pPr>
      <w:r>
        <w:rPr>
          <w:rFonts w:ascii="Arial" w:cs="Arial" w:eastAsia="Arial" w:hAnsi="Arial"/>
          <w:sz w:val="16"/>
          <w:szCs w:val="16"/>
          <w:color w:val="auto"/>
        </w:rPr>
        <w:t>Represents $1 million attributable to the Company and $3 million attributable to noncontrolling interests.</w:t>
      </w:r>
    </w:p>
    <w:p>
      <w:pPr>
        <w:spacing w:after="0" w:line="101" w:lineRule="exact"/>
        <w:rPr>
          <w:rFonts w:ascii="Arial" w:cs="Arial" w:eastAsia="Arial" w:hAnsi="Arial"/>
          <w:sz w:val="25"/>
          <w:szCs w:val="25"/>
          <w:color w:val="auto"/>
          <w:vertAlign w:val="superscript"/>
        </w:rPr>
      </w:pPr>
    </w:p>
    <w:p>
      <w:pPr>
        <w:ind w:left="320" w:hanging="239"/>
        <w:spacing w:after="0" w:line="182" w:lineRule="auto"/>
        <w:tabs>
          <w:tab w:leader="none" w:pos="32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Represents $4 million attributable to the Company and $2 million attributable to noncontrolling interests.</w:t>
      </w:r>
    </w:p>
    <w:p>
      <w:pPr>
        <w:spacing w:after="0" w:line="102" w:lineRule="exact"/>
        <w:rPr>
          <w:rFonts w:ascii="Arial" w:cs="Arial" w:eastAsia="Arial" w:hAnsi="Arial"/>
          <w:sz w:val="22"/>
          <w:szCs w:val="22"/>
          <w:color w:val="auto"/>
          <w:vertAlign w:val="superscript"/>
        </w:rPr>
      </w:pPr>
    </w:p>
    <w:p>
      <w:pPr>
        <w:ind w:left="320" w:hanging="239"/>
        <w:spacing w:after="0" w:line="182" w:lineRule="auto"/>
        <w:tabs>
          <w:tab w:leader="none" w:pos="32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Represents $5 million attributable to the Company and $3 million attributable to noncontrolling interests.</w:t>
      </w:r>
    </w:p>
    <w:p>
      <w:pPr>
        <w:spacing w:after="0" w:line="102" w:lineRule="exact"/>
        <w:rPr>
          <w:rFonts w:ascii="Arial" w:cs="Arial" w:eastAsia="Arial" w:hAnsi="Arial"/>
          <w:sz w:val="22"/>
          <w:szCs w:val="22"/>
          <w:color w:val="auto"/>
          <w:vertAlign w:val="superscript"/>
        </w:rPr>
      </w:pPr>
    </w:p>
    <w:p>
      <w:pPr>
        <w:ind w:left="320" w:hanging="239"/>
        <w:spacing w:after="0" w:line="182" w:lineRule="auto"/>
        <w:tabs>
          <w:tab w:leader="none" w:pos="32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Represents $3 million attributable to the Company and $2 million attributable to noncontrolling interests.</w:t>
      </w:r>
    </w:p>
    <w:p>
      <w:pPr>
        <w:spacing w:after="0" w:line="102" w:lineRule="exact"/>
        <w:rPr>
          <w:rFonts w:ascii="Arial" w:cs="Arial" w:eastAsia="Arial" w:hAnsi="Arial"/>
          <w:sz w:val="22"/>
          <w:szCs w:val="22"/>
          <w:color w:val="auto"/>
          <w:vertAlign w:val="superscript"/>
        </w:rPr>
      </w:pPr>
    </w:p>
    <w:p>
      <w:pPr>
        <w:ind w:left="320" w:hanging="239"/>
        <w:spacing w:after="0" w:line="182" w:lineRule="auto"/>
        <w:tabs>
          <w:tab w:leader="none" w:pos="32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Represents $2 million attributable to the Company and $1 million attributable to noncontrolling interests.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Amounts reclassified from accumulated OCI/OCL into income are recorded to interest expense.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Derivative Instruments on the Consolidated Statements of Operations</w:t>
      </w:r>
    </w:p>
    <w:p>
      <w:pPr>
        <w:spacing w:after="0" w:line="189" w:lineRule="exact"/>
        <w:rPr>
          <w:sz w:val="20"/>
          <w:szCs w:val="20"/>
          <w:color w:val="auto"/>
        </w:rPr>
      </w:pPr>
    </w:p>
    <w:p>
      <w:pPr>
        <w:ind w:firstLine="441"/>
        <w:spacing w:after="0" w:line="271" w:lineRule="auto"/>
        <w:rPr>
          <w:sz w:val="20"/>
          <w:szCs w:val="20"/>
          <w:color w:val="auto"/>
        </w:rPr>
      </w:pPr>
      <w:r>
        <w:rPr>
          <w:rFonts w:ascii="Arial" w:cs="Arial" w:eastAsia="Arial" w:hAnsi="Arial"/>
          <w:sz w:val="20"/>
          <w:szCs w:val="20"/>
          <w:color w:val="auto"/>
        </w:rPr>
        <w:t>Mark-to-market gains/(losses) related to the Company’s derivatives are recorded in the consolidated statements of operations as follows: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8"/>
              </w:rPr>
              <w:t>Year ended December 31,</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860" w:type="dxa"/>
            <w:vAlign w:val="bottom"/>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center"/>
              <w:ind w:right="147"/>
              <w:spacing w:after="0"/>
              <w:rPr>
                <w:sz w:val="20"/>
                <w:szCs w:val="20"/>
                <w:color w:val="auto"/>
              </w:rPr>
            </w:pPr>
            <w:r>
              <w:rPr>
                <w:rFonts w:ascii="Arial" w:cs="Arial" w:eastAsia="Arial" w:hAnsi="Arial"/>
                <w:sz w:val="16"/>
                <w:szCs w:val="16"/>
                <w:b w:val="1"/>
                <w:bCs w:val="1"/>
                <w:color w:val="auto"/>
                <w:w w:val="89"/>
              </w:rPr>
              <w:t>2024</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47"/>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(In millions)</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6860" w:type="dxa"/>
            <w:vAlign w:val="bottom"/>
          </w:tcPr>
          <w:p>
            <w:pPr>
              <w:spacing w:after="0"/>
              <w:rPr>
                <w:sz w:val="20"/>
                <w:szCs w:val="20"/>
                <w:color w:val="auto"/>
              </w:rPr>
            </w:pPr>
            <w:r>
              <w:rPr>
                <w:rFonts w:ascii="Arial" w:cs="Arial" w:eastAsia="Arial" w:hAnsi="Arial"/>
                <w:sz w:val="20"/>
                <w:szCs w:val="20"/>
                <w:color w:val="auto"/>
                <w:w w:val="88"/>
              </w:rPr>
              <w:t xml:space="preserve">Interest Rate Contracts (Interest expense) </w:t>
            </w:r>
            <w:r>
              <w:rPr>
                <w:rFonts w:ascii="Arial" w:cs="Arial" w:eastAsia="Arial" w:hAnsi="Arial"/>
                <w:sz w:val="20"/>
                <w:szCs w:val="20"/>
                <w:color w:val="B4B4B4"/>
                <w:w w:val="88"/>
              </w:rPr>
              <w:t>. . . . . . . . . . . . . . . . . . . . . . . . . . . . . . . . . . . .</w:t>
            </w:r>
          </w:p>
        </w:tc>
        <w:tc>
          <w:tcPr>
            <w:tcW w:w="660" w:type="dxa"/>
            <w:vAlign w:val="bottom"/>
          </w:tcPr>
          <w:p>
            <w:pPr>
              <w:jc w:val="right"/>
              <w:ind w:right="412"/>
              <w:spacing w:after="0"/>
              <w:rPr>
                <w:sz w:val="20"/>
                <w:szCs w:val="20"/>
                <w:color w:val="auto"/>
              </w:rPr>
            </w:pPr>
            <w:r>
              <w:rPr>
                <w:rFonts w:ascii="Arial" w:cs="Arial" w:eastAsia="Arial" w:hAnsi="Arial"/>
                <w:sz w:val="20"/>
                <w:szCs w:val="20"/>
                <w:color w:val="auto"/>
              </w:rPr>
              <w:t>$</w:t>
            </w:r>
          </w:p>
        </w:tc>
        <w:tc>
          <w:tcPr>
            <w:tcW w:w="340" w:type="dxa"/>
            <w:vAlign w:val="bottom"/>
          </w:tcPr>
          <w:p>
            <w:pPr>
              <w:jc w:val="right"/>
              <w:spacing w:after="0"/>
              <w:rPr>
                <w:sz w:val="20"/>
                <w:szCs w:val="20"/>
                <w:color w:val="auto"/>
              </w:rPr>
            </w:pPr>
            <w:r>
              <w:rPr>
                <w:rFonts w:ascii="Arial" w:cs="Arial" w:eastAsia="Arial" w:hAnsi="Arial"/>
                <w:sz w:val="20"/>
                <w:szCs w:val="20"/>
                <w:color w:val="auto"/>
                <w:w w:val="84"/>
              </w:rPr>
              <w:t>(31)</w:t>
            </w:r>
          </w:p>
        </w:tc>
        <w:tc>
          <w:tcPr>
            <w:tcW w:w="32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29</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31"/>
        </w:trPr>
        <w:tc>
          <w:tcPr>
            <w:tcW w:w="6860" w:type="dxa"/>
            <w:vAlign w:val="bottom"/>
          </w:tcPr>
          <w:p>
            <w:pPr>
              <w:spacing w:after="0"/>
              <w:rPr>
                <w:sz w:val="20"/>
                <w:szCs w:val="20"/>
                <w:color w:val="auto"/>
              </w:rPr>
            </w:pPr>
            <w:r>
              <w:rPr>
                <w:rFonts w:ascii="Arial" w:cs="Arial" w:eastAsia="Arial" w:hAnsi="Arial"/>
                <w:sz w:val="20"/>
                <w:szCs w:val="20"/>
                <w:color w:val="auto"/>
              </w:rPr>
              <w:t>Energy-Related Commodity Contracts (Mark-to-market for economic hedging</w:t>
            </w:r>
          </w:p>
        </w:tc>
        <w:tc>
          <w:tcPr>
            <w:tcW w:w="660" w:type="dxa"/>
            <w:vAlign w:val="bottom"/>
          </w:tcPr>
          <w:p>
            <w:pPr>
              <w:spacing w:after="0"/>
              <w:rPr>
                <w:sz w:val="20"/>
                <w:szCs w:val="20"/>
                <w:color w:val="auto"/>
              </w:rPr>
            </w:pPr>
          </w:p>
        </w:tc>
        <w:tc>
          <w:tcPr>
            <w:tcW w:w="340" w:type="dxa"/>
            <w:vAlign w:val="bottom"/>
            <w:vMerge w:val="restart"/>
          </w:tcPr>
          <w:p>
            <w:pPr>
              <w:jc w:val="right"/>
              <w:spacing w:after="0"/>
              <w:rPr>
                <w:sz w:val="20"/>
                <w:szCs w:val="20"/>
                <w:color w:val="auto"/>
              </w:rPr>
            </w:pPr>
            <w:r>
              <w:rPr>
                <w:rFonts w:ascii="Arial" w:cs="Arial" w:eastAsia="Arial" w:hAnsi="Arial"/>
                <w:sz w:val="20"/>
                <w:szCs w:val="20"/>
                <w:color w:val="auto"/>
                <w:w w:val="84"/>
              </w:rPr>
              <w:t>(20)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(32)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88"/>
        </w:trPr>
        <w:tc>
          <w:tcPr>
            <w:tcW w:w="6860" w:type="dxa"/>
            <w:vAlign w:val="bottom"/>
          </w:tcPr>
          <w:p>
            <w:pPr>
              <w:ind w:left="180"/>
              <w:spacing w:after="0"/>
              <w:rPr>
                <w:sz w:val="20"/>
                <w:szCs w:val="20"/>
                <w:color w:val="auto"/>
              </w:rPr>
            </w:pPr>
            <w:r>
              <w:rPr>
                <w:rFonts w:ascii="Arial" w:cs="Arial" w:eastAsia="Arial" w:hAnsi="Arial"/>
                <w:sz w:val="20"/>
                <w:szCs w:val="20"/>
                <w:color w:val="auto"/>
                <w:w w:val="88"/>
              </w:rPr>
              <w:t xml:space="preserve">activities included in Total operating revenues) </w:t>
            </w:r>
            <w:r>
              <w:rPr>
                <w:rFonts w:ascii="Arial" w:cs="Arial" w:eastAsia="Arial" w:hAnsi="Arial"/>
                <w:sz w:val="25"/>
                <w:szCs w:val="25"/>
                <w:color w:val="auto"/>
                <w:w w:val="88"/>
                <w:vertAlign w:val="superscript"/>
              </w:rPr>
              <w:t>(a)</w:t>
            </w:r>
            <w:r>
              <w:rPr>
                <w:rFonts w:ascii="Arial" w:cs="Arial" w:eastAsia="Arial" w:hAnsi="Arial"/>
                <w:sz w:val="20"/>
                <w:szCs w:val="20"/>
                <w:color w:val="auto"/>
                <w:w w:val="88"/>
              </w:rPr>
              <w:t xml:space="preserve"> </w:t>
            </w:r>
            <w:r>
              <w:rPr>
                <w:rFonts w:ascii="Arial" w:cs="Arial" w:eastAsia="Arial" w:hAnsi="Arial"/>
                <w:sz w:val="20"/>
                <w:szCs w:val="20"/>
                <w:color w:val="B4B4B4"/>
                <w:w w:val="88"/>
              </w:rPr>
              <w:t>. . . . . . . . . . . . . . . . . . . . . . . . . . . .</w:t>
            </w:r>
          </w:p>
        </w:tc>
        <w:tc>
          <w:tcPr>
            <w:tcW w:w="6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860" w:type="dxa"/>
            <w:vAlign w:val="bottom"/>
          </w:tcPr>
          <w:p>
            <w:pPr>
              <w:spacing w:after="0" w:line="197" w:lineRule="exact"/>
              <w:rPr>
                <w:sz w:val="20"/>
                <w:szCs w:val="20"/>
                <w:color w:val="auto"/>
              </w:rPr>
            </w:pPr>
            <w:r>
              <w:rPr>
                <w:rFonts w:ascii="Arial" w:cs="Arial" w:eastAsia="Arial" w:hAnsi="Arial"/>
                <w:sz w:val="20"/>
                <w:szCs w:val="20"/>
                <w:color w:val="auto"/>
              </w:rPr>
              <w:t>Energy-Related Commodity Contracts (Mark-to-market for economic hedging</w:t>
            </w:r>
          </w:p>
        </w:tc>
        <w:tc>
          <w:tcPr>
            <w:tcW w:w="660" w:type="dxa"/>
            <w:vAlign w:val="bottom"/>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343"/>
        </w:trPr>
        <w:tc>
          <w:tcPr>
            <w:tcW w:w="6860" w:type="dxa"/>
            <w:vAlign w:val="bottom"/>
          </w:tcPr>
          <w:p>
            <w:pPr>
              <w:ind w:left="180"/>
              <w:spacing w:after="0"/>
              <w:rPr>
                <w:sz w:val="20"/>
                <w:szCs w:val="20"/>
                <w:color w:val="auto"/>
              </w:rPr>
            </w:pPr>
            <w:r>
              <w:rPr>
                <w:rFonts w:ascii="Arial" w:cs="Arial" w:eastAsia="Arial" w:hAnsi="Arial"/>
                <w:sz w:val="20"/>
                <w:szCs w:val="20"/>
                <w:color w:val="auto"/>
                <w:w w:val="89"/>
              </w:rPr>
              <w:t xml:space="preserve">activities included in Cost of operations) </w:t>
            </w:r>
            <w:r>
              <w:rPr>
                <w:rFonts w:ascii="Arial" w:cs="Arial" w:eastAsia="Arial" w:hAnsi="Arial"/>
                <w:sz w:val="25"/>
                <w:szCs w:val="25"/>
                <w:color w:val="auto"/>
                <w:w w:val="89"/>
                <w:vertAlign w:val="superscript"/>
              </w:rPr>
              <w:t>(b)</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 . . . . . . .</w:t>
            </w:r>
          </w:p>
        </w:tc>
        <w:tc>
          <w:tcPr>
            <w:tcW w:w="6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-862965</wp:posOffset>
            </wp:positionV>
            <wp:extent cx="6410325" cy="8280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6">
                      <a:extLst>
                        <a:ext uri="{28A0092B-C50C-407E-A947-70E740481C1C}"/>
                      </a:extLst>
                    </a:blip>
                    <a:srcRect/>
                    <a:stretch>
                      <a:fillRect/>
                    </a:stretch>
                  </pic:blipFill>
                  <pic:spPr bwMode="auto">
                    <a:xfrm>
                      <a:off x="0" y="0"/>
                      <a:ext cx="6410325" cy="8280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-4445</wp:posOffset>
                </wp:positionH>
                <wp:positionV relativeFrom="paragraph">
                  <wp:posOffset>60325</wp:posOffset>
                </wp:positionV>
                <wp:extent cx="124079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07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4.75pt" to="97.35pt,4.75pt" o:allowincell="f" strokecolor="#000000" strokeweight="1pt"/>
            </w:pict>
          </mc:Fallback>
        </mc:AlternateContent>
      </w:r>
    </w:p>
    <w:p>
      <w:pPr>
        <w:spacing w:after="0" w:line="152" w:lineRule="exact"/>
        <w:rPr>
          <w:sz w:val="20"/>
          <w:szCs w:val="20"/>
          <w:color w:val="auto"/>
        </w:rPr>
      </w:pPr>
    </w:p>
    <w:p>
      <w:pPr>
        <w:ind w:left="80" w:firstLine="1"/>
        <w:spacing w:after="0" w:line="209" w:lineRule="auto"/>
        <w:tabs>
          <w:tab w:leader="none" w:pos="301" w:val="left"/>
        </w:tabs>
        <w:numPr>
          <w:ilvl w:val="0"/>
          <w:numId w:val="69"/>
        </w:numPr>
        <w:rPr>
          <w:rFonts w:ascii="Arial" w:cs="Arial" w:eastAsia="Arial" w:hAnsi="Arial"/>
          <w:sz w:val="25"/>
          <w:szCs w:val="25"/>
          <w:color w:val="auto"/>
          <w:vertAlign w:val="superscript"/>
        </w:rPr>
      </w:pPr>
      <w:r>
        <w:rPr>
          <w:rFonts w:ascii="Arial" w:cs="Arial" w:eastAsia="Arial" w:hAnsi="Arial"/>
          <w:sz w:val="16"/>
          <w:szCs w:val="16"/>
          <w:color w:val="auto"/>
        </w:rPr>
        <w:t>Relates to long-term energy-related commodity contracts at Elbow Creek, Mesquite Star, Mt. Storm, Langford and Mesquite Sky and heat rate call option energy-related commodity contracts at El Segundo, Marsh Landing and Walnut Creek.</w:t>
      </w:r>
    </w:p>
    <w:p>
      <w:pPr>
        <w:spacing w:after="0" w:line="1" w:lineRule="exact"/>
        <w:rPr>
          <w:rFonts w:ascii="Arial" w:cs="Arial" w:eastAsia="Arial" w:hAnsi="Arial"/>
          <w:sz w:val="25"/>
          <w:szCs w:val="25"/>
          <w:color w:val="auto"/>
          <w:vertAlign w:val="superscript"/>
        </w:rPr>
      </w:pPr>
    </w:p>
    <w:p>
      <w:pPr>
        <w:ind w:left="300" w:hanging="219"/>
        <w:spacing w:after="0" w:line="228" w:lineRule="auto"/>
        <w:tabs>
          <w:tab w:leader="none" w:pos="300" w:val="left"/>
        </w:tabs>
        <w:numPr>
          <w:ilvl w:val="0"/>
          <w:numId w:val="69"/>
        </w:numPr>
        <w:rPr>
          <w:rFonts w:ascii="Arial" w:cs="Arial" w:eastAsia="Arial" w:hAnsi="Arial"/>
          <w:sz w:val="25"/>
          <w:szCs w:val="25"/>
          <w:color w:val="auto"/>
          <w:vertAlign w:val="superscript"/>
        </w:rPr>
      </w:pPr>
      <w:r>
        <w:rPr>
          <w:rFonts w:ascii="Arial" w:cs="Arial" w:eastAsia="Arial" w:hAnsi="Arial"/>
          <w:sz w:val="16"/>
          <w:szCs w:val="16"/>
          <w:color w:val="auto"/>
        </w:rPr>
        <w:t>Relates to backbone transportation service energy-related commodity contracts at El Segundo and Walnut Creek.</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 xml:space="preserve">See Note 6, </w:t>
      </w:r>
      <w:r>
        <w:rPr>
          <w:rFonts w:ascii="Arial" w:cs="Arial" w:eastAsia="Arial" w:hAnsi="Arial"/>
          <w:sz w:val="20"/>
          <w:szCs w:val="20"/>
          <w:b w:val="1"/>
          <w:bCs w:val="1"/>
          <w:i w:val="1"/>
          <w:iCs w:val="1"/>
          <w:color w:val="auto"/>
        </w:rPr>
        <w:t>Fair Value of Financial Instruments</w:t>
      </w:r>
      <w:r>
        <w:rPr>
          <w:rFonts w:ascii="Arial" w:cs="Arial" w:eastAsia="Arial" w:hAnsi="Arial"/>
          <w:sz w:val="20"/>
          <w:szCs w:val="20"/>
          <w:color w:val="auto"/>
        </w:rPr>
        <w:t>, for a discussion regarding concentration of credit risk.</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880" w:h="15480" w:orient="portrait"/>
          <w:cols w:equalWidth="0" w:num="1">
            <w:col w:w="10040"/>
          </w:cols>
          <w:pgMar w:left="920" w:top="577" w:right="920"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Note 8 — Intangible Assets</w:t>
      </w:r>
    </w:p>
    <w:p>
      <w:pPr>
        <w:spacing w:after="0" w:line="187" w:lineRule="exact"/>
        <w:rPr>
          <w:sz w:val="20"/>
          <w:szCs w:val="20"/>
          <w:color w:val="auto"/>
        </w:rPr>
      </w:pPr>
    </w:p>
    <w:p>
      <w:pPr>
        <w:ind w:firstLine="441"/>
        <w:spacing w:after="0" w:line="273" w:lineRule="auto"/>
        <w:rPr>
          <w:sz w:val="20"/>
          <w:szCs w:val="20"/>
          <w:color w:val="auto"/>
        </w:rPr>
      </w:pPr>
      <w:r>
        <w:rPr>
          <w:rFonts w:ascii="Arial" w:cs="Arial" w:eastAsia="Arial" w:hAnsi="Arial"/>
          <w:sz w:val="20"/>
          <w:szCs w:val="20"/>
          <w:b w:val="1"/>
          <w:bCs w:val="1"/>
          <w:i w:val="1"/>
          <w:iCs w:val="1"/>
          <w:color w:val="auto"/>
        </w:rPr>
        <w:t xml:space="preserve">Intangible Assets </w:t>
      </w:r>
      <w:r>
        <w:rPr>
          <w:rFonts w:ascii="Arial" w:cs="Arial" w:eastAsia="Arial" w:hAnsi="Arial"/>
          <w:sz w:val="20"/>
          <w:szCs w:val="20"/>
          <w:color w:val="auto"/>
        </w:rPr>
        <w:t>— The Company’s intangible assets as of December 31, 2025 and 2024 primarily reflect intangible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assets established from its business acquisitions and are comprised of the following:</w:t>
      </w:r>
    </w:p>
    <w:p>
      <w:pPr>
        <w:spacing w:after="0" w:line="6" w:lineRule="exact"/>
        <w:rPr>
          <w:sz w:val="20"/>
          <w:szCs w:val="20"/>
          <w:color w:val="auto"/>
        </w:rPr>
      </w:pPr>
    </w:p>
    <w:p>
      <w:pPr>
        <w:jc w:val="both"/>
        <w:ind w:left="700" w:hanging="355"/>
        <w:spacing w:after="0" w:line="254" w:lineRule="auto"/>
        <w:tabs>
          <w:tab w:leader="none" w:pos="700" w:val="left"/>
        </w:tabs>
        <w:numPr>
          <w:ilvl w:val="0"/>
          <w:numId w:val="70"/>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PPAs </w:t>
      </w:r>
      <w:r>
        <w:rPr>
          <w:rFonts w:ascii="Arial" w:cs="Arial" w:eastAsia="Arial" w:hAnsi="Arial"/>
          <w:sz w:val="20"/>
          <w:szCs w:val="20"/>
          <w:color w:val="auto"/>
        </w:rPr>
        <w:t>— Established predominantly with the acquisitions of the Alta Wind Portfolio, Tapestry, Laredo Ridge,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Carlsbad Energy Center, Agua Caliente, the Utah Solar Portfolio, the Capistrano Wind Portfolio, Tuolumne and Catalina. These represent the fair value of the PPAs acquired. These are amortized on a straight-line basis, over the term of the PPA.</w:t>
      </w:r>
    </w:p>
    <w:p>
      <w:pPr>
        <w:spacing w:after="0" w:line="26" w:lineRule="exact"/>
        <w:rPr>
          <w:rFonts w:ascii="Arial" w:cs="Arial" w:eastAsia="Arial" w:hAnsi="Arial"/>
          <w:sz w:val="20"/>
          <w:szCs w:val="20"/>
          <w:b w:val="1"/>
          <w:bCs w:val="1"/>
          <w:i w:val="1"/>
          <w:iCs w:val="1"/>
          <w:color w:val="auto"/>
        </w:rPr>
      </w:pPr>
    </w:p>
    <w:p>
      <w:pPr>
        <w:jc w:val="both"/>
        <w:ind w:left="700" w:hanging="355"/>
        <w:spacing w:after="0" w:line="266" w:lineRule="auto"/>
        <w:tabs>
          <w:tab w:leader="none" w:pos="700" w:val="left"/>
        </w:tabs>
        <w:numPr>
          <w:ilvl w:val="0"/>
          <w:numId w:val="7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Leasehold Rights </w:t>
      </w:r>
      <w:r>
        <w:rPr>
          <w:rFonts w:ascii="Arial" w:cs="Arial" w:eastAsia="Arial" w:hAnsi="Arial"/>
          <w:sz w:val="19"/>
          <w:szCs w:val="19"/>
          <w:color w:val="auto"/>
        </w:rPr>
        <w:t>— Established with the acquisition of the Alta Wind Portfolio, this represents the fair value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contractual rights to receive royalty payments equal to a percentage of PPA revenue from certain facilities. These are amortized as a reduction to operating revenue on a straight-line basis over the term of the PPAs.</w:t>
      </w:r>
    </w:p>
    <w:p>
      <w:pPr>
        <w:jc w:val="both"/>
        <w:ind w:left="700" w:hanging="355"/>
        <w:spacing w:after="0" w:line="231" w:lineRule="auto"/>
        <w:tabs>
          <w:tab w:leader="none" w:pos="700" w:val="left"/>
        </w:tabs>
        <w:numPr>
          <w:ilvl w:val="0"/>
          <w:numId w:val="7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Emission Allowances </w:t>
      </w:r>
      <w:r>
        <w:rPr>
          <w:rFonts w:ascii="Arial" w:cs="Arial" w:eastAsia="Arial" w:hAnsi="Arial"/>
          <w:sz w:val="20"/>
          <w:szCs w:val="20"/>
          <w:color w:val="auto"/>
        </w:rPr>
        <w:t>— These intangibles primarily consist of SO</w:t>
      </w:r>
      <w:r>
        <w:rPr>
          <w:rFonts w:ascii="Arial" w:cs="Arial" w:eastAsia="Arial" w:hAnsi="Arial"/>
          <w:sz w:val="25"/>
          <w:szCs w:val="25"/>
          <w:color w:val="auto"/>
          <w:vertAlign w:val="subscript"/>
        </w:rPr>
        <w:t>2</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NO</w:t>
      </w:r>
      <w:r>
        <w:rPr>
          <w:rFonts w:ascii="Arial" w:cs="Arial" w:eastAsia="Arial" w:hAnsi="Arial"/>
          <w:sz w:val="15"/>
          <w:szCs w:val="15"/>
          <w:color w:val="auto"/>
        </w:rPr>
        <w:t>x</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emission allowances established with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El Segundo, Walnut Creek and Carlsbad Energy Center acquisitions. These emission allowances are held-for-use and are amortized to cost of operations, with NO</w:t>
      </w:r>
      <w:r>
        <w:rPr>
          <w:rFonts w:ascii="Arial" w:cs="Arial" w:eastAsia="Arial" w:hAnsi="Arial"/>
          <w:sz w:val="15"/>
          <w:szCs w:val="15"/>
          <w:color w:val="auto"/>
        </w:rPr>
        <w:t>x</w:t>
      </w:r>
      <w:r>
        <w:rPr>
          <w:rFonts w:ascii="Arial" w:cs="Arial" w:eastAsia="Arial" w:hAnsi="Arial"/>
          <w:sz w:val="20"/>
          <w:szCs w:val="20"/>
          <w:color w:val="auto"/>
        </w:rPr>
        <w:t xml:space="preserve"> allowances amortized on a straight-line basis and SO</w:t>
      </w:r>
      <w:r>
        <w:rPr>
          <w:rFonts w:ascii="Arial" w:cs="Arial" w:eastAsia="Arial" w:hAnsi="Arial"/>
          <w:sz w:val="25"/>
          <w:szCs w:val="25"/>
          <w:color w:val="auto"/>
          <w:vertAlign w:val="subscript"/>
        </w:rPr>
        <w:t>2</w:t>
      </w:r>
      <w:r>
        <w:rPr>
          <w:rFonts w:ascii="Arial" w:cs="Arial" w:eastAsia="Arial" w:hAnsi="Arial"/>
          <w:sz w:val="20"/>
          <w:szCs w:val="20"/>
          <w:color w:val="auto"/>
        </w:rPr>
        <w:t xml:space="preserve"> allowances amortized based on units of production.</w:t>
      </w:r>
    </w:p>
    <w:p>
      <w:pPr>
        <w:spacing w:after="0" w:line="40" w:lineRule="exact"/>
        <w:rPr>
          <w:rFonts w:ascii="Arial" w:cs="Arial" w:eastAsia="Arial" w:hAnsi="Arial"/>
          <w:sz w:val="20"/>
          <w:szCs w:val="20"/>
          <w:color w:val="auto"/>
        </w:rPr>
      </w:pPr>
    </w:p>
    <w:p>
      <w:pPr>
        <w:jc w:val="both"/>
        <w:ind w:left="700" w:hanging="355"/>
        <w:spacing w:after="0" w:line="307" w:lineRule="auto"/>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Other </w:t>
      </w:r>
      <w:r>
        <w:rPr>
          <w:rFonts w:ascii="Arial" w:cs="Arial" w:eastAsia="Arial" w:hAnsi="Arial"/>
          <w:sz w:val="17"/>
          <w:szCs w:val="17"/>
          <w:color w:val="auto"/>
        </w:rPr>
        <w:t>— Consists of a) the acquisition date fair value of the contractual rights to a ground lease for South Trent and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utilize certain interconnection facilities for Blythe as well as land rights acquired in connection with the acquisition of Elbow Creek; b) development rights related to certain solar business acquisitions; c) purchased software for certain solar facilities; d) RECs acquired in connection with the acquisition of the Utah Solar Portfolio; and e) favorable land leases acquired in connection with the acquisition of the Utah Solar Portfolio.</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following tables summarize the components of intangible assets subject to amortization: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8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Year ended December 31, 2025</w:t>
            </w:r>
          </w:p>
        </w:tc>
        <w:tc>
          <w:tcPr>
            <w:tcW w:w="260" w:type="dxa"/>
            <w:vAlign w:val="bottom"/>
          </w:tcPr>
          <w:p>
            <w:pPr>
              <w:spacing w:after="0"/>
              <w:rPr>
                <w:sz w:val="16"/>
                <w:szCs w:val="16"/>
                <w:color w:val="auto"/>
              </w:rPr>
            </w:pPr>
          </w:p>
        </w:tc>
        <w:tc>
          <w:tcPr>
            <w:tcW w:w="90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PPAs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154"/>
              <w:spacing w:after="0"/>
              <w:rPr>
                <w:sz w:val="20"/>
                <w:szCs w:val="20"/>
                <w:color w:val="auto"/>
              </w:rPr>
            </w:pPr>
            <w:r>
              <w:rPr>
                <w:rFonts w:ascii="Arial" w:cs="Arial" w:eastAsia="Arial" w:hAnsi="Arial"/>
                <w:sz w:val="16"/>
                <w:szCs w:val="16"/>
                <w:b w:val="1"/>
                <w:bCs w:val="1"/>
                <w:color w:val="auto"/>
                <w:w w:val="90"/>
              </w:rPr>
              <w:t>Leasehold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94"/>
              <w:spacing w:after="0"/>
              <w:rPr>
                <w:sz w:val="20"/>
                <w:szCs w:val="20"/>
                <w:color w:val="auto"/>
              </w:rPr>
            </w:pPr>
            <w:r>
              <w:rPr>
                <w:rFonts w:ascii="Arial" w:cs="Arial" w:eastAsia="Arial" w:hAnsi="Arial"/>
                <w:sz w:val="16"/>
                <w:szCs w:val="16"/>
                <w:b w:val="1"/>
                <w:bCs w:val="1"/>
                <w:color w:val="auto"/>
                <w:w w:val="98"/>
              </w:rPr>
              <w:t>Emission</w:t>
            </w:r>
          </w:p>
        </w:tc>
        <w:tc>
          <w:tcPr>
            <w:tcW w:w="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8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94"/>
              <w:spacing w:after="0" w:line="170" w:lineRule="exact"/>
              <w:rPr>
                <w:sz w:val="20"/>
                <w:szCs w:val="20"/>
                <w:color w:val="auto"/>
              </w:rPr>
            </w:pPr>
            <w:r>
              <w:rPr>
                <w:rFonts w:ascii="Arial" w:cs="Arial" w:eastAsia="Arial" w:hAnsi="Arial"/>
                <w:sz w:val="16"/>
                <w:szCs w:val="16"/>
                <w:b w:val="1"/>
                <w:bCs w:val="1"/>
                <w:color w:val="auto"/>
              </w:rPr>
              <w:t>Rights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14"/>
              <w:spacing w:after="0" w:line="170" w:lineRule="exact"/>
              <w:rPr>
                <w:sz w:val="20"/>
                <w:szCs w:val="20"/>
                <w:color w:val="auto"/>
              </w:rPr>
            </w:pPr>
            <w:r>
              <w:rPr>
                <w:rFonts w:ascii="Arial" w:cs="Arial" w:eastAsia="Arial" w:hAnsi="Arial"/>
                <w:sz w:val="16"/>
                <w:szCs w:val="16"/>
                <w:b w:val="1"/>
                <w:bCs w:val="1"/>
                <w:color w:val="auto"/>
                <w:w w:val="88"/>
              </w:rPr>
              <w:t>Allowances</w:t>
            </w: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7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080" w:type="dxa"/>
            <w:vAlign w:val="bottom"/>
            <w:gridSpan w:val="2"/>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4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w w:val="88"/>
              </w:rPr>
              <w:t xml:space="preserve">January 1, 2025 </w:t>
            </w:r>
            <w:r>
              <w:rPr>
                <w:rFonts w:ascii="Arial" w:cs="Arial" w:eastAsia="Arial" w:hAnsi="Arial"/>
                <w:sz w:val="18"/>
                <w:szCs w:val="18"/>
                <w:color w:val="B4B4B4"/>
                <w:w w:val="88"/>
              </w:rPr>
              <w:t>. . . . . . . . . . . . . . . . . . . . . . . . . . . . . .</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3,265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940" w:type="dxa"/>
            <w:vAlign w:val="bottom"/>
            <w:gridSpan w:val="2"/>
          </w:tcPr>
          <w:p>
            <w:pPr>
              <w:jc w:val="right"/>
              <w:ind w:right="64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359"/>
        </w:trPr>
        <w:tc>
          <w:tcPr>
            <w:tcW w:w="4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w w:val="96"/>
              </w:rPr>
              <w:t xml:space="preserve">Acquisitions </w:t>
            </w:r>
            <w:r>
              <w:rPr>
                <w:rFonts w:ascii="Arial" w:cs="Arial" w:eastAsia="Arial" w:hAnsi="Arial"/>
                <w:sz w:val="22"/>
                <w:szCs w:val="22"/>
                <w:color w:val="auto"/>
                <w:w w:val="96"/>
                <w:vertAlign w:val="superscript"/>
              </w:rPr>
              <w:t>(a)</w:t>
            </w:r>
            <w:r>
              <w:rPr>
                <w:rFonts w:ascii="Arial" w:cs="Arial" w:eastAsia="Arial" w:hAnsi="Arial"/>
                <w:sz w:val="18"/>
                <w:szCs w:val="18"/>
                <w:color w:val="auto"/>
                <w:w w:val="96"/>
              </w:rPr>
              <w:t xml:space="preserve">  </w:t>
            </w:r>
            <w:r>
              <w:rPr>
                <w:rFonts w:ascii="Arial" w:cs="Arial" w:eastAsia="Arial" w:hAnsi="Arial"/>
                <w:sz w:val="18"/>
                <w:szCs w:val="18"/>
                <w:color w:val="B4B4B4"/>
                <w:w w:val="96"/>
              </w:rPr>
              <w:t>. . . . . . . . . . . . . . . . . . . . . . . . . . . . . .</w:t>
            </w:r>
          </w:p>
        </w:tc>
        <w:tc>
          <w:tcPr>
            <w:tcW w:w="900" w:type="dxa"/>
            <w:vAlign w:val="bottom"/>
          </w:tcPr>
          <w:p>
            <w:pPr>
              <w:jc w:val="right"/>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w w:val="89"/>
              </w:rPr>
              <w:t xml:space="preserve">Other </w:t>
            </w:r>
            <w:r>
              <w:rPr>
                <w:rFonts w:ascii="Arial" w:cs="Arial" w:eastAsia="Arial" w:hAnsi="Arial"/>
                <w:sz w:val="18"/>
                <w:szCs w:val="18"/>
                <w:color w:val="B4B4B4"/>
                <w:w w:val="89"/>
              </w:rPr>
              <w:t>. . . . . . . . . . . . . . . . . . . . . . . . . . . . . . . . . . . . . .</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w w:val="95"/>
              </w:rPr>
              <w:t xml:space="preserve">December 31, 2025 </w:t>
            </w:r>
            <w:r>
              <w:rPr>
                <w:rFonts w:ascii="Arial" w:cs="Arial" w:eastAsia="Arial" w:hAnsi="Arial"/>
                <w:sz w:val="18"/>
                <w:szCs w:val="18"/>
                <w:color w:val="B4B4B4"/>
                <w:w w:val="95"/>
              </w:rPr>
              <w:t>. . . . . . . . . . . . . . . . . . . . . . . . . . .</w:t>
            </w:r>
          </w:p>
        </w:tc>
        <w:tc>
          <w:tcPr>
            <w:tcW w:w="900" w:type="dxa"/>
            <w:vAlign w:val="bottom"/>
          </w:tcPr>
          <w:p>
            <w:pPr>
              <w:jc w:val="right"/>
              <w:spacing w:after="0"/>
              <w:rPr>
                <w:sz w:val="20"/>
                <w:szCs w:val="20"/>
                <w:color w:val="auto"/>
              </w:rPr>
            </w:pPr>
            <w:r>
              <w:rPr>
                <w:rFonts w:ascii="Arial" w:cs="Arial" w:eastAsia="Arial" w:hAnsi="Arial"/>
                <w:sz w:val="18"/>
                <w:szCs w:val="18"/>
                <w:color w:val="auto"/>
              </w:rPr>
              <w:t>3,616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3840" w:type="dxa"/>
            <w:vAlign w:val="bottom"/>
            <w:gridSpan w:val="3"/>
          </w:tcPr>
          <w:p>
            <w:pPr>
              <w:ind w:left="180"/>
              <w:spacing w:after="0"/>
              <w:rPr>
                <w:sz w:val="20"/>
                <w:szCs w:val="20"/>
                <w:color w:val="auto"/>
              </w:rPr>
            </w:pPr>
            <w:r>
              <w:rPr>
                <w:rFonts w:ascii="Arial" w:cs="Arial" w:eastAsia="Arial" w:hAnsi="Arial"/>
                <w:sz w:val="18"/>
                <w:szCs w:val="18"/>
                <w:color w:val="auto"/>
                <w:w w:val="90"/>
              </w:rPr>
              <w:t xml:space="preserve">Less accumulated amortization  </w:t>
            </w:r>
            <w:r>
              <w:rPr>
                <w:rFonts w:ascii="Arial" w:cs="Arial" w:eastAsia="Arial" w:hAnsi="Arial"/>
                <w:sz w:val="18"/>
                <w:szCs w:val="18"/>
                <w:color w:val="B4B4B4"/>
                <w:w w:val="90"/>
              </w:rPr>
              <w:t>. . . . . . . . . . . . . . .</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w w:val="90"/>
              </w:rPr>
              <w:t xml:space="preserve">Net carrying amount </w:t>
            </w:r>
            <w:r>
              <w:rPr>
                <w:rFonts w:ascii="Arial" w:cs="Arial" w:eastAsia="Arial" w:hAnsi="Arial"/>
                <w:sz w:val="18"/>
                <w:szCs w:val="18"/>
                <w:color w:val="B4B4B4"/>
                <w:w w:val="90"/>
              </w:rPr>
              <w:t>. . . . . . . . . . . . . . . . . . . . . . . . . .</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64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-1247140</wp:posOffset>
            </wp:positionV>
            <wp:extent cx="6410325" cy="1158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7">
                      <a:extLst>
                        <a:ext uri="{28A0092B-C50C-407E-A947-70E740481C1C}"/>
                      </a:extLst>
                    </a:blip>
                    <a:srcRect/>
                    <a:stretch>
                      <a:fillRect/>
                    </a:stretch>
                  </pic:blipFill>
                  <pic:spPr bwMode="auto">
                    <a:xfrm>
                      <a:off x="0" y="0"/>
                      <a:ext cx="6410325" cy="1158240"/>
                    </a:xfrm>
                    <a:prstGeom prst="rect">
                      <a:avLst/>
                    </a:prstGeom>
                    <a:noFill/>
                  </pic:spPr>
                </pic:pic>
              </a:graphicData>
            </a:graphic>
          </wp:anchor>
        </w:drawing>
      </w:r>
    </w:p>
    <w:p>
      <w:pPr>
        <w:ind w:left="300" w:hanging="219"/>
        <w:spacing w:after="0" w:line="225" w:lineRule="auto"/>
        <w:tabs>
          <w:tab w:leader="none" w:pos="300" w:val="left"/>
        </w:tabs>
        <w:numPr>
          <w:ilvl w:val="0"/>
          <w:numId w:val="71"/>
        </w:numPr>
        <w:rPr>
          <w:rFonts w:ascii="Arial" w:cs="Arial" w:eastAsia="Arial" w:hAnsi="Arial"/>
          <w:sz w:val="25"/>
          <w:szCs w:val="25"/>
          <w:color w:val="auto"/>
          <w:vertAlign w:val="superscript"/>
        </w:rPr>
      </w:pPr>
      <w:r>
        <w:rPr>
          <w:rFonts w:ascii="Arial" w:cs="Arial" w:eastAsia="Arial" w:hAnsi="Arial"/>
          <w:sz w:val="16"/>
          <w:szCs w:val="16"/>
          <w:color w:val="auto"/>
        </w:rPr>
        <w:t>The weighted average life of acquired intangibles was 14 years for PPAs.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Year ended December 31, 2024</w:t>
            </w:r>
          </w:p>
        </w:tc>
        <w:tc>
          <w:tcPr>
            <w:tcW w:w="260" w:type="dxa"/>
            <w:vAlign w:val="bottom"/>
          </w:tcPr>
          <w:p>
            <w:pPr>
              <w:spacing w:after="0"/>
              <w:rPr>
                <w:sz w:val="16"/>
                <w:szCs w:val="16"/>
                <w:color w:val="auto"/>
              </w:rPr>
            </w:pPr>
          </w:p>
        </w:tc>
        <w:tc>
          <w:tcPr>
            <w:tcW w:w="90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PPAs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155"/>
              <w:spacing w:after="0"/>
              <w:rPr>
                <w:sz w:val="20"/>
                <w:szCs w:val="20"/>
                <w:color w:val="auto"/>
              </w:rPr>
            </w:pPr>
            <w:r>
              <w:rPr>
                <w:rFonts w:ascii="Arial" w:cs="Arial" w:eastAsia="Arial" w:hAnsi="Arial"/>
                <w:sz w:val="16"/>
                <w:szCs w:val="16"/>
                <w:b w:val="1"/>
                <w:bCs w:val="1"/>
                <w:color w:val="auto"/>
                <w:w w:val="90"/>
              </w:rPr>
              <w:t>Leasehold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Arial" w:cs="Arial" w:eastAsia="Arial" w:hAnsi="Arial"/>
                <w:sz w:val="16"/>
                <w:szCs w:val="16"/>
                <w:b w:val="1"/>
                <w:bCs w:val="1"/>
                <w:color w:val="auto"/>
                <w:w w:val="98"/>
              </w:rPr>
              <w:t>Emission</w:t>
            </w:r>
          </w:p>
        </w:tc>
        <w:tc>
          <w:tcPr>
            <w:tcW w:w="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0"/>
        </w:trPr>
        <w:tc>
          <w:tcPr>
            <w:tcW w:w="3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95"/>
              <w:spacing w:after="0" w:line="170" w:lineRule="exact"/>
              <w:rPr>
                <w:sz w:val="20"/>
                <w:szCs w:val="20"/>
                <w:color w:val="auto"/>
              </w:rPr>
            </w:pPr>
            <w:r>
              <w:rPr>
                <w:rFonts w:ascii="Arial" w:cs="Arial" w:eastAsia="Arial" w:hAnsi="Arial"/>
                <w:sz w:val="16"/>
                <w:szCs w:val="16"/>
                <w:b w:val="1"/>
                <w:bCs w:val="1"/>
                <w:color w:val="auto"/>
              </w:rPr>
              <w:t>Rights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15"/>
              <w:spacing w:after="0" w:line="170" w:lineRule="exact"/>
              <w:rPr>
                <w:sz w:val="20"/>
                <w:szCs w:val="20"/>
                <w:color w:val="auto"/>
              </w:rPr>
            </w:pPr>
            <w:r>
              <w:rPr>
                <w:rFonts w:ascii="Arial" w:cs="Arial" w:eastAsia="Arial" w:hAnsi="Arial"/>
                <w:sz w:val="16"/>
                <w:szCs w:val="16"/>
                <w:b w:val="1"/>
                <w:bCs w:val="1"/>
                <w:color w:val="auto"/>
                <w:w w:val="88"/>
              </w:rPr>
              <w:t>Allowances</w:t>
            </w: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7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208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3840" w:type="dxa"/>
            <w:vAlign w:val="bottom"/>
            <w:gridSpan w:val="2"/>
          </w:tcPr>
          <w:p>
            <w:pPr>
              <w:spacing w:after="0"/>
              <w:rPr>
                <w:sz w:val="20"/>
                <w:szCs w:val="20"/>
                <w:color w:val="auto"/>
              </w:rPr>
            </w:pPr>
            <w:r>
              <w:rPr>
                <w:rFonts w:ascii="Arial" w:cs="Arial" w:eastAsia="Arial" w:hAnsi="Arial"/>
                <w:sz w:val="18"/>
                <w:szCs w:val="18"/>
                <w:color w:val="auto"/>
                <w:w w:val="88"/>
              </w:rPr>
              <w:t xml:space="preserve">January 1, 2024 </w:t>
            </w:r>
            <w:r>
              <w:rPr>
                <w:rFonts w:ascii="Arial" w:cs="Arial" w:eastAsia="Arial" w:hAnsi="Arial"/>
                <w:sz w:val="18"/>
                <w:szCs w:val="18"/>
                <w:color w:val="B4B4B4"/>
                <w:w w:val="88"/>
              </w:rPr>
              <w:t>. . . . . . . . . . . . . . . . . . . . . . . . . . . . . .</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3,265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940" w:type="dxa"/>
            <w:vAlign w:val="bottom"/>
            <w:gridSpan w:val="2"/>
          </w:tcPr>
          <w:p>
            <w:pPr>
              <w:jc w:val="right"/>
              <w:ind w:right="64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85"/>
        </w:trPr>
        <w:tc>
          <w:tcPr>
            <w:tcW w:w="3840" w:type="dxa"/>
            <w:vAlign w:val="bottom"/>
            <w:gridSpan w:val="2"/>
          </w:tcPr>
          <w:p>
            <w:pPr>
              <w:spacing w:after="0"/>
              <w:rPr>
                <w:sz w:val="20"/>
                <w:szCs w:val="20"/>
                <w:color w:val="auto"/>
              </w:rPr>
            </w:pPr>
            <w:r>
              <w:rPr>
                <w:rFonts w:ascii="Arial" w:cs="Arial" w:eastAsia="Arial" w:hAnsi="Arial"/>
                <w:sz w:val="18"/>
                <w:szCs w:val="18"/>
                <w:color w:val="auto"/>
                <w:w w:val="89"/>
              </w:rPr>
              <w:t xml:space="preserve">Other </w:t>
            </w:r>
            <w:r>
              <w:rPr>
                <w:rFonts w:ascii="Arial" w:cs="Arial" w:eastAsia="Arial" w:hAnsi="Arial"/>
                <w:sz w:val="18"/>
                <w:szCs w:val="18"/>
                <w:color w:val="B4B4B4"/>
                <w:w w:val="89"/>
              </w:rPr>
              <w:t>. . . . . . . . . . . . . . . . . . . . . . . . . . . . . . . . . . . . . .</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4"/>
        </w:trPr>
        <w:tc>
          <w:tcPr>
            <w:tcW w:w="4100" w:type="dxa"/>
            <w:vAlign w:val="bottom"/>
            <w:gridSpan w:val="3"/>
          </w:tcPr>
          <w:p>
            <w:pPr>
              <w:spacing w:after="0"/>
              <w:rPr>
                <w:sz w:val="20"/>
                <w:szCs w:val="20"/>
                <w:color w:val="auto"/>
              </w:rPr>
            </w:pPr>
            <w:r>
              <w:rPr>
                <w:rFonts w:ascii="Arial" w:cs="Arial" w:eastAsia="Arial" w:hAnsi="Arial"/>
                <w:sz w:val="18"/>
                <w:szCs w:val="18"/>
                <w:color w:val="auto"/>
                <w:w w:val="95"/>
              </w:rPr>
              <w:t xml:space="preserve">December 31, 2024 </w:t>
            </w:r>
            <w:r>
              <w:rPr>
                <w:rFonts w:ascii="Arial" w:cs="Arial" w:eastAsia="Arial" w:hAnsi="Arial"/>
                <w:sz w:val="18"/>
                <w:szCs w:val="18"/>
                <w:color w:val="B4B4B4"/>
                <w:w w:val="95"/>
              </w:rPr>
              <w:t>. . . . . . . . . . . . . . . . . . . . . . . . . . .</w:t>
            </w:r>
          </w:p>
        </w:tc>
        <w:tc>
          <w:tcPr>
            <w:tcW w:w="900" w:type="dxa"/>
            <w:vAlign w:val="bottom"/>
          </w:tcPr>
          <w:p>
            <w:pPr>
              <w:jc w:val="right"/>
              <w:spacing w:after="0"/>
              <w:rPr>
                <w:sz w:val="20"/>
                <w:szCs w:val="20"/>
                <w:color w:val="auto"/>
              </w:rPr>
            </w:pPr>
            <w:r>
              <w:rPr>
                <w:rFonts w:ascii="Arial" w:cs="Arial" w:eastAsia="Arial" w:hAnsi="Arial"/>
                <w:sz w:val="18"/>
                <w:szCs w:val="18"/>
                <w:color w:val="auto"/>
              </w:rPr>
              <w:t>3,265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85"/>
        </w:trPr>
        <w:tc>
          <w:tcPr>
            <w:tcW w:w="3840" w:type="dxa"/>
            <w:vAlign w:val="bottom"/>
            <w:gridSpan w:val="2"/>
          </w:tcPr>
          <w:p>
            <w:pPr>
              <w:ind w:left="180"/>
              <w:spacing w:after="0"/>
              <w:rPr>
                <w:sz w:val="20"/>
                <w:szCs w:val="20"/>
                <w:color w:val="auto"/>
              </w:rPr>
            </w:pPr>
            <w:r>
              <w:rPr>
                <w:rFonts w:ascii="Arial" w:cs="Arial" w:eastAsia="Arial" w:hAnsi="Arial"/>
                <w:sz w:val="18"/>
                <w:szCs w:val="18"/>
                <w:color w:val="auto"/>
                <w:w w:val="90"/>
              </w:rPr>
              <w:t xml:space="preserve">Less accumulated amortization  </w:t>
            </w:r>
            <w:r>
              <w:rPr>
                <w:rFonts w:ascii="Arial" w:cs="Arial" w:eastAsia="Arial" w:hAnsi="Arial"/>
                <w:sz w:val="18"/>
                <w:szCs w:val="18"/>
                <w:color w:val="B4B4B4"/>
                <w:w w:val="90"/>
              </w:rPr>
              <w:t>. . . . . . . . . . . . . . .</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0"/>
        </w:trPr>
        <w:tc>
          <w:tcPr>
            <w:tcW w:w="3840" w:type="dxa"/>
            <w:vAlign w:val="bottom"/>
            <w:gridSpan w:val="2"/>
          </w:tcPr>
          <w:p>
            <w:pPr>
              <w:spacing w:after="0"/>
              <w:rPr>
                <w:sz w:val="20"/>
                <w:szCs w:val="20"/>
                <w:color w:val="auto"/>
              </w:rPr>
            </w:pPr>
            <w:r>
              <w:rPr>
                <w:rFonts w:ascii="Arial" w:cs="Arial" w:eastAsia="Arial" w:hAnsi="Arial"/>
                <w:sz w:val="18"/>
                <w:szCs w:val="18"/>
                <w:color w:val="auto"/>
                <w:w w:val="90"/>
              </w:rPr>
              <w:t xml:space="preserve">Net carrying amount </w:t>
            </w:r>
            <w:r>
              <w:rPr>
                <w:rFonts w:ascii="Arial" w:cs="Arial" w:eastAsia="Arial" w:hAnsi="Arial"/>
                <w:sz w:val="18"/>
                <w:szCs w:val="18"/>
                <w:color w:val="B4B4B4"/>
                <w:w w:val="90"/>
              </w:rPr>
              <w:t>. . . . . . . . . . . . . . . . . . . . . . . . . .</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2,125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ind w:right="64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10325" cy="924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8">
                      <a:extLst>
                        <a:ext uri="{28A0092B-C50C-407E-A947-70E740481C1C}"/>
                      </a:extLst>
                    </a:blip>
                    <a:srcRect/>
                    <a:stretch>
                      <a:fillRect/>
                    </a:stretch>
                  </pic:blipFill>
                  <pic:spPr bwMode="auto">
                    <a:xfrm>
                      <a:off x="0" y="0"/>
                      <a:ext cx="6410325" cy="924560"/>
                    </a:xfrm>
                    <a:prstGeom prst="rect">
                      <a:avLst/>
                    </a:prstGeom>
                    <a:noFill/>
                  </pic:spPr>
                </pic:pic>
              </a:graphicData>
            </a:graphic>
          </wp:anchor>
        </w:drawing>
      </w:r>
    </w:p>
    <w:p>
      <w:pPr>
        <w:spacing w:after="0" w:line="164"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The Company recorded amortization expense of $189 million, $184 million and $186 million during the years ended December 31, 2025, 2024 and 2023, respectively. Of these amounts, $183 million, $178 million and $181 million during the years ended December 31, 2025, 2024 and 2023, respectively, were related to the amortization of intangible assets for PPAs and were recorded to contract amortization expense, which reduced operating revenues in the consolidated statements of operations. The Company estimates the amortization expense for its intangibles for each of the next five years will be $200 million.</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880" w:h="15480" w:orient="portrait"/>
          <w:cols w:equalWidth="0" w:num="1">
            <w:col w:w="10040"/>
          </w:cols>
          <w:pgMar w:left="920" w:top="577" w:right="920" w:bottom="0" w:gutter="0" w:footer="0" w:header="0"/>
          <w:type w:val="continuous"/>
        </w:sectPr>
      </w:pPr>
    </w:p>
    <w:bookmarkStart w:id="119" w:name="page120"/>
    <w:bookmarkEnd w:id="119"/>
    <w:p>
      <w:pPr>
        <w:spacing w:after="0"/>
        <w:rPr>
          <w:sz w:val="20"/>
          <w:szCs w:val="20"/>
          <w:color w:val="auto"/>
        </w:rPr>
      </w:pPr>
      <w:r>
        <w:rPr>
          <w:rFonts w:ascii="Arial" w:cs="Arial" w:eastAsia="Arial" w:hAnsi="Arial"/>
          <w:sz w:val="20"/>
          <w:szCs w:val="20"/>
          <w:b w:val="1"/>
          <w:bCs w:val="1"/>
          <w:color w:val="auto"/>
        </w:rPr>
        <w:t>Note 9 — Asset Impairments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2023 Impairment Losses</w:t>
      </w:r>
    </w:p>
    <w:p>
      <w:pPr>
        <w:spacing w:after="0" w:line="189"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During the fourth quarter of 2023,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impairment analysis reviews certain qualitative factors as well as the results of long-term operating expectations and its carrying value to determine if impairment indicators are present. The impairment analysis indicated that the projected future cash flows for certain facilities within the Renewables &amp; Storage segment no longer supported the recoverability of the carrying value of the related long-lived assets. As such, the Company recorded an impairment loss of $12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Long-term Debt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Company’s borrowings, including short-term and long-term portions, consisted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Maturity Date</w:t>
            </w:r>
          </w:p>
        </w:tc>
        <w:tc>
          <w:tcPr>
            <w:tcW w:w="60" w:type="dxa"/>
            <w:vAlign w:val="bottom"/>
          </w:tcPr>
          <w:p>
            <w:pPr>
              <w:spacing w:after="0"/>
              <w:rPr>
                <w:sz w:val="16"/>
                <w:szCs w:val="16"/>
                <w:color w:val="auto"/>
              </w:rPr>
            </w:pPr>
          </w:p>
        </w:tc>
        <w:tc>
          <w:tcPr>
            <w:tcW w:w="1140" w:type="dxa"/>
            <w:vAlign w:val="bottom"/>
            <w:gridSpan w:val="2"/>
          </w:tcPr>
          <w:p>
            <w:pPr>
              <w:jc w:val="right"/>
              <w:ind w:right="33"/>
              <w:spacing w:after="0"/>
              <w:rPr>
                <w:sz w:val="20"/>
                <w:szCs w:val="20"/>
                <w:color w:val="auto"/>
              </w:rPr>
            </w:pPr>
            <w:r>
              <w:rPr>
                <w:rFonts w:ascii="Arial" w:cs="Arial" w:eastAsia="Arial" w:hAnsi="Arial"/>
                <w:sz w:val="16"/>
                <w:szCs w:val="16"/>
                <w:b w:val="1"/>
                <w:bCs w:val="1"/>
                <w:color w:val="auto"/>
                <w:w w:val="96"/>
              </w:rPr>
              <w:t>December 31,</w:t>
            </w:r>
          </w:p>
        </w:tc>
        <w:tc>
          <w:tcPr>
            <w:tcW w:w="80" w:type="dxa"/>
            <w:vAlign w:val="bottom"/>
          </w:tcPr>
          <w:p>
            <w:pPr>
              <w:spacing w:after="0"/>
              <w:rPr>
                <w:sz w:val="16"/>
                <w:szCs w:val="16"/>
                <w:color w:val="auto"/>
              </w:rPr>
            </w:pPr>
          </w:p>
        </w:tc>
        <w:tc>
          <w:tcPr>
            <w:tcW w:w="112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w w:val="96"/>
              </w:rPr>
              <w:t>December 31,</w:t>
            </w:r>
          </w:p>
        </w:tc>
        <w:tc>
          <w:tcPr>
            <w:tcW w:w="80" w:type="dxa"/>
            <w:vAlign w:val="bottom"/>
          </w:tcPr>
          <w:p>
            <w:pPr>
              <w:spacing w:after="0"/>
              <w:rPr>
                <w:sz w:val="16"/>
                <w:szCs w:val="16"/>
                <w:color w:val="auto"/>
              </w:rPr>
            </w:pPr>
          </w:p>
        </w:tc>
        <w:tc>
          <w:tcPr>
            <w:tcW w:w="1620" w:type="dxa"/>
            <w:vAlign w:val="bottom"/>
            <w:gridSpan w:val="2"/>
            <w:vMerge w:val="restart"/>
          </w:tcPr>
          <w:p>
            <w:pPr>
              <w:jc w:val="right"/>
              <w:ind w:right="132"/>
              <w:spacing w:after="0"/>
              <w:rPr>
                <w:sz w:val="20"/>
                <w:szCs w:val="20"/>
                <w:color w:val="auto"/>
              </w:rPr>
            </w:pPr>
            <w:r>
              <w:rPr>
                <w:rFonts w:ascii="Arial" w:cs="Arial" w:eastAsia="Arial" w:hAnsi="Arial"/>
                <w:sz w:val="16"/>
                <w:szCs w:val="16"/>
                <w:b w:val="1"/>
                <w:bCs w:val="1"/>
                <w:color w:val="auto"/>
              </w:rPr>
              <w:t xml:space="preserve">Interest rate % </w:t>
            </w:r>
            <w:r>
              <w:rPr>
                <w:rFonts w:ascii="Arial" w:cs="Arial" w:eastAsia="Arial" w:hAnsi="Arial"/>
                <w:sz w:val="20"/>
                <w:szCs w:val="20"/>
                <w:b w:val="1"/>
                <w:bCs w:val="1"/>
                <w:color w:val="auto"/>
                <w:vertAlign w:val="superscript"/>
              </w:rPr>
              <w:t>(a)</w:t>
            </w: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6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4"/>
          </w:tcPr>
          <w:p>
            <w:pPr>
              <w:jc w:val="right"/>
              <w:ind w:right="355"/>
              <w:spacing w:after="0"/>
              <w:rPr>
                <w:sz w:val="20"/>
                <w:szCs w:val="20"/>
                <w:color w:val="auto"/>
              </w:rPr>
            </w:pPr>
            <w:r>
              <w:rPr>
                <w:rFonts w:ascii="Arial" w:cs="Arial" w:eastAsia="Arial" w:hAnsi="Arial"/>
                <w:sz w:val="16"/>
                <w:szCs w:val="16"/>
                <w:b w:val="1"/>
                <w:bCs w:val="1"/>
                <w:color w:val="auto"/>
                <w:w w:val="85"/>
              </w:rPr>
              <w:t>(In millions, except rates)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820" w:type="dxa"/>
            <w:vAlign w:val="bottom"/>
            <w:gridSpan w:val="2"/>
          </w:tcPr>
          <w:p>
            <w:pPr>
              <w:ind w:left="40"/>
              <w:spacing w:after="0"/>
              <w:rPr>
                <w:sz w:val="20"/>
                <w:szCs w:val="20"/>
                <w:color w:val="auto"/>
              </w:rPr>
            </w:pPr>
            <w:r>
              <w:rPr>
                <w:rFonts w:ascii="Arial" w:cs="Arial" w:eastAsia="Arial" w:hAnsi="Arial"/>
                <w:sz w:val="18"/>
                <w:szCs w:val="18"/>
                <w:color w:val="auto"/>
                <w:w w:val="90"/>
              </w:rPr>
              <w:t xml:space="preserve">Senior Notes </w:t>
            </w:r>
            <w:r>
              <w:rPr>
                <w:rFonts w:ascii="Arial" w:cs="Arial" w:eastAsia="Arial" w:hAnsi="Arial"/>
                <w:sz w:val="18"/>
                <w:szCs w:val="18"/>
                <w:color w:val="B4B4B4"/>
                <w:w w:val="90"/>
              </w:rPr>
              <w:t>. . . . . . . . . . . . . . . . . . . . . . . . . . . . . . . . . . . . . . . . . .</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2028-2032</w:t>
            </w:r>
          </w:p>
        </w:tc>
        <w:tc>
          <w:tcPr>
            <w:tcW w:w="3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2,125</w:t>
            </w:r>
          </w:p>
        </w:tc>
        <w:tc>
          <w:tcPr>
            <w:tcW w:w="34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- 4.750%</w:t>
            </w:r>
          </w:p>
        </w:tc>
        <w:tc>
          <w:tcPr>
            <w:tcW w:w="0" w:type="dxa"/>
            <w:vAlign w:val="bottom"/>
          </w:tcPr>
          <w:p>
            <w:pPr>
              <w:spacing w:after="0"/>
              <w:rPr>
                <w:sz w:val="1"/>
                <w:szCs w:val="1"/>
                <w:color w:val="auto"/>
              </w:rPr>
            </w:pPr>
          </w:p>
        </w:tc>
      </w:tr>
      <w:tr>
        <w:trPr>
          <w:trHeight w:val="226"/>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Clearway Energy LLC and Clearway Energy Operating LLC</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9"/>
              </w:rPr>
              <w:t>2028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rPr>
              <w:t>S+1.750%</w:t>
            </w:r>
          </w:p>
        </w:tc>
        <w:tc>
          <w:tcPr>
            <w:tcW w:w="0" w:type="dxa"/>
            <w:vAlign w:val="bottom"/>
          </w:tcPr>
          <w:p>
            <w:pPr>
              <w:spacing w:after="0"/>
              <w:rPr>
                <w:sz w:val="1"/>
                <w:szCs w:val="1"/>
                <w:color w:val="auto"/>
              </w:rPr>
            </w:pPr>
          </w:p>
        </w:tc>
      </w:tr>
      <w:tr>
        <w:trPr>
          <w:trHeight w:val="278"/>
        </w:trPr>
        <w:tc>
          <w:tcPr>
            <w:tcW w:w="4820" w:type="dxa"/>
            <w:vAlign w:val="bottom"/>
            <w:gridSpan w:val="2"/>
          </w:tcPr>
          <w:p>
            <w:pPr>
              <w:ind w:left="40"/>
              <w:spacing w:after="0"/>
              <w:rPr>
                <w:sz w:val="20"/>
                <w:szCs w:val="20"/>
                <w:color w:val="auto"/>
              </w:rPr>
            </w:pPr>
            <w:r>
              <w:rPr>
                <w:rFonts w:ascii="Arial" w:cs="Arial" w:eastAsia="Arial" w:hAnsi="Arial"/>
                <w:sz w:val="18"/>
                <w:szCs w:val="18"/>
                <w:color w:val="auto"/>
                <w:w w:val="91"/>
              </w:rPr>
              <w:t xml:space="preserve">Revolving Credit Facility </w:t>
            </w:r>
            <w:r>
              <w:rPr>
                <w:rFonts w:ascii="Arial" w:cs="Arial" w:eastAsia="Arial" w:hAnsi="Arial"/>
                <w:sz w:val="22"/>
                <w:szCs w:val="22"/>
                <w:color w:val="auto"/>
                <w:w w:val="91"/>
                <w:vertAlign w:val="superscript"/>
              </w:rPr>
              <w:t>(b) (c)</w:t>
            </w:r>
            <w:r>
              <w:rPr>
                <w:rFonts w:ascii="Arial" w:cs="Arial" w:eastAsia="Arial" w:hAnsi="Arial"/>
                <w:sz w:val="18"/>
                <w:szCs w:val="18"/>
                <w:color w:val="auto"/>
                <w:w w:val="91"/>
              </w:rPr>
              <w:t xml:space="preserve">  </w:t>
            </w:r>
            <w:r>
              <w:rPr>
                <w:rFonts w:ascii="Arial" w:cs="Arial" w:eastAsia="Arial" w:hAnsi="Arial"/>
                <w:sz w:val="18"/>
                <w:szCs w:val="18"/>
                <w:color w:val="B4B4B4"/>
                <w:w w:val="91"/>
              </w:rPr>
              <w:t>. . . . . . . . . . . . . . . . . . . . . . . . . . . .</w:t>
            </w:r>
          </w:p>
        </w:tc>
        <w:tc>
          <w:tcPr>
            <w:tcW w:w="11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Non-recourse facility-level debt:</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820" w:type="dxa"/>
            <w:vAlign w:val="bottom"/>
            <w:gridSpan w:val="2"/>
          </w:tcPr>
          <w:p>
            <w:pPr>
              <w:ind w:left="40"/>
              <w:spacing w:after="0"/>
              <w:rPr>
                <w:sz w:val="20"/>
                <w:szCs w:val="20"/>
                <w:color w:val="auto"/>
              </w:rPr>
            </w:pPr>
            <w:r>
              <w:rPr>
                <w:rFonts w:ascii="Arial" w:cs="Arial" w:eastAsia="Arial" w:hAnsi="Arial"/>
                <w:sz w:val="18"/>
                <w:szCs w:val="18"/>
                <w:color w:val="auto"/>
                <w:w w:val="91"/>
              </w:rPr>
              <w:t xml:space="preserve">Fixed rate </w:t>
            </w:r>
            <w:r>
              <w:rPr>
                <w:rFonts w:ascii="Arial" w:cs="Arial" w:eastAsia="Arial" w:hAnsi="Arial"/>
                <w:sz w:val="18"/>
                <w:szCs w:val="18"/>
                <w:color w:val="B4B4B4"/>
                <w:w w:val="91"/>
              </w:rPr>
              <w:t>. . . . . . . . . . . . . . . . . . . . . . . . . . . . . . . . . . . . . . . . . . . .</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2031-2040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2.339%</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- 8.000%</w:t>
            </w:r>
          </w:p>
        </w:tc>
        <w:tc>
          <w:tcPr>
            <w:tcW w:w="0" w:type="dxa"/>
            <w:vAlign w:val="bottom"/>
          </w:tcPr>
          <w:p>
            <w:pPr>
              <w:spacing w:after="0"/>
              <w:rPr>
                <w:sz w:val="1"/>
                <w:szCs w:val="1"/>
                <w:color w:val="auto"/>
              </w:rPr>
            </w:pPr>
          </w:p>
        </w:tc>
      </w:tr>
      <w:tr>
        <w:trPr>
          <w:trHeight w:val="285"/>
        </w:trPr>
        <w:tc>
          <w:tcPr>
            <w:tcW w:w="4820" w:type="dxa"/>
            <w:vAlign w:val="bottom"/>
            <w:gridSpan w:val="2"/>
          </w:tcPr>
          <w:p>
            <w:pPr>
              <w:ind w:left="40"/>
              <w:spacing w:after="0"/>
              <w:rPr>
                <w:sz w:val="20"/>
                <w:szCs w:val="20"/>
                <w:color w:val="auto"/>
              </w:rPr>
            </w:pPr>
            <w:r>
              <w:rPr>
                <w:rFonts w:ascii="Arial" w:cs="Arial" w:eastAsia="Arial" w:hAnsi="Arial"/>
                <w:sz w:val="18"/>
                <w:szCs w:val="18"/>
                <w:color w:val="auto"/>
                <w:w w:val="91"/>
              </w:rPr>
              <w:t xml:space="preserve">Variable rate </w:t>
            </w:r>
            <w:r>
              <w:rPr>
                <w:rFonts w:ascii="Arial" w:cs="Arial" w:eastAsia="Arial" w:hAnsi="Arial"/>
                <w:sz w:val="18"/>
                <w:szCs w:val="18"/>
                <w:color w:val="B4B4B4"/>
                <w:w w:val="91"/>
              </w:rPr>
              <w:t>. . . . . . . . . . . . . . . . . . . . . . . . . . . . . . . . . . . . . . . . . .</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2026-2033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S+1.375%</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- 2.750%</w:t>
            </w:r>
          </w:p>
        </w:tc>
        <w:tc>
          <w:tcPr>
            <w:tcW w:w="0" w:type="dxa"/>
            <w:vAlign w:val="bottom"/>
          </w:tcPr>
          <w:p>
            <w:pPr>
              <w:spacing w:after="0"/>
              <w:rPr>
                <w:sz w:val="1"/>
                <w:szCs w:val="1"/>
                <w:color w:val="auto"/>
              </w:rPr>
            </w:pPr>
          </w:p>
        </w:tc>
      </w:tr>
      <w:tr>
        <w:trPr>
          <w:trHeight w:val="254"/>
        </w:trPr>
        <w:tc>
          <w:tcPr>
            <w:tcW w:w="4820" w:type="dxa"/>
            <w:vAlign w:val="bottom"/>
            <w:gridSpan w:val="2"/>
          </w:tcPr>
          <w:p>
            <w:pPr>
              <w:ind w:left="400"/>
              <w:spacing w:after="0"/>
              <w:rPr>
                <w:sz w:val="20"/>
                <w:szCs w:val="20"/>
                <w:color w:val="auto"/>
              </w:rPr>
            </w:pPr>
            <w:r>
              <w:rPr>
                <w:rFonts w:ascii="Arial" w:cs="Arial" w:eastAsia="Arial" w:hAnsi="Arial"/>
                <w:sz w:val="18"/>
                <w:szCs w:val="18"/>
                <w:color w:val="B4B4B4"/>
              </w:rPr>
              <w:t>. . . . . . . . . . . . . . . . . . . . . . . . . . . . . . .</w:t>
            </w:r>
            <w:r>
              <w:rPr>
                <w:rFonts w:ascii="Arial" w:cs="Arial" w:eastAsia="Arial" w:hAnsi="Arial"/>
                <w:sz w:val="18"/>
                <w:szCs w:val="18"/>
                <w:color w:val="000000"/>
              </w:rPr>
              <w:t>Totaldebt</w:t>
            </w:r>
            <w:r>
              <w:rPr>
                <w:rFonts w:ascii="Arial" w:cs="Arial" w:eastAsia="Arial" w:hAnsi="Arial"/>
                <w:sz w:val="18"/>
                <w:szCs w:val="18"/>
                <w:color w:val="B4B4B4"/>
              </w:rPr>
              <w:t>.........</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8,674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7,235</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940" w:type="dxa"/>
            <w:vAlign w:val="bottom"/>
            <w:gridSpan w:val="3"/>
          </w:tcPr>
          <w:p>
            <w:pPr>
              <w:ind w:left="40"/>
              <w:spacing w:after="0"/>
              <w:rPr>
                <w:sz w:val="20"/>
                <w:szCs w:val="20"/>
                <w:color w:val="auto"/>
              </w:rPr>
            </w:pPr>
            <w:r>
              <w:rPr>
                <w:rFonts w:ascii="Arial" w:cs="Arial" w:eastAsia="Arial" w:hAnsi="Arial"/>
                <w:sz w:val="18"/>
                <w:szCs w:val="18"/>
                <w:color w:val="auto"/>
              </w:rPr>
              <w:t xml:space="preserve">Less current maturities </w:t>
            </w:r>
            <w:r>
              <w:rPr>
                <w:rFonts w:ascii="Arial" w:cs="Arial" w:eastAsia="Arial" w:hAnsi="Arial"/>
                <w:sz w:val="18"/>
                <w:szCs w:val="18"/>
                <w:color w:val="B4B4B4"/>
              </w:rPr>
              <w:t>. . . . . . . . . . . . . . . . . . . . . . . . . . . . . . . . . .</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820" w:type="dxa"/>
            <w:vAlign w:val="bottom"/>
            <w:gridSpan w:val="2"/>
          </w:tcPr>
          <w:p>
            <w:pPr>
              <w:ind w:left="40"/>
              <w:spacing w:after="0"/>
              <w:rPr>
                <w:sz w:val="20"/>
                <w:szCs w:val="20"/>
                <w:color w:val="auto"/>
              </w:rPr>
            </w:pPr>
            <w:r>
              <w:rPr>
                <w:rFonts w:ascii="Arial" w:cs="Arial" w:eastAsia="Arial" w:hAnsi="Arial"/>
                <w:sz w:val="18"/>
                <w:szCs w:val="18"/>
                <w:color w:val="auto"/>
                <w:w w:val="89"/>
              </w:rPr>
              <w:t xml:space="preserve">Less net debt issuance costs </w:t>
            </w:r>
            <w:r>
              <w:rPr>
                <w:rFonts w:ascii="Arial" w:cs="Arial" w:eastAsia="Arial" w:hAnsi="Arial"/>
                <w:sz w:val="18"/>
                <w:szCs w:val="18"/>
                <w:color w:val="B4B4B4"/>
                <w:w w:val="89"/>
              </w:rPr>
              <w:t>. . . . . . . . . . . . . . . . . . . . . . . . . . . . . .</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940" w:type="dxa"/>
            <w:vAlign w:val="bottom"/>
            <w:gridSpan w:val="3"/>
          </w:tcPr>
          <w:p>
            <w:pPr>
              <w:ind w:left="40"/>
              <w:spacing w:after="0"/>
              <w:rPr>
                <w:sz w:val="20"/>
                <w:szCs w:val="20"/>
                <w:color w:val="auto"/>
              </w:rPr>
            </w:pPr>
            <w:r>
              <w:rPr>
                <w:rFonts w:ascii="Arial" w:cs="Arial" w:eastAsia="Arial" w:hAnsi="Arial"/>
                <w:sz w:val="18"/>
                <w:szCs w:val="18"/>
                <w:color w:val="auto"/>
              </w:rPr>
              <w:t xml:space="preserve">Add premiums </w:t>
            </w:r>
            <w:r>
              <w:rPr>
                <w:rFonts w:ascii="Arial" w:cs="Arial" w:eastAsia="Arial" w:hAnsi="Arial"/>
                <w:sz w:val="22"/>
                <w:szCs w:val="22"/>
                <w:color w:val="auto"/>
                <w:vertAlign w:val="superscript"/>
              </w:rPr>
              <w:t>(d)</w:t>
            </w:r>
            <w:r>
              <w:rPr>
                <w:rFonts w:ascii="Arial" w:cs="Arial" w:eastAsia="Arial" w:hAnsi="Arial"/>
                <w:sz w:val="18"/>
                <w:szCs w:val="18"/>
                <w:color w:val="auto"/>
              </w:rPr>
              <w:t xml:space="preserve">  </w:t>
            </w:r>
            <w:r>
              <w:rPr>
                <w:rFonts w:ascii="Arial" w:cs="Arial" w:eastAsia="Arial" w:hAnsi="Arial"/>
                <w:sz w:val="18"/>
                <w:szCs w:val="18"/>
                <w:color w:val="B4B4B4"/>
              </w:rPr>
              <w:t>. . . . . . . . . . . . . . . . . . . . . . . . . . . . . . . . . . . . . .</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820" w:type="dxa"/>
            <w:vAlign w:val="bottom"/>
            <w:gridSpan w:val="2"/>
          </w:tcPr>
          <w:p>
            <w:pPr>
              <w:ind w:left="180"/>
              <w:spacing w:after="0"/>
              <w:rPr>
                <w:sz w:val="20"/>
                <w:szCs w:val="20"/>
                <w:color w:val="auto"/>
              </w:rPr>
            </w:pPr>
            <w:r>
              <w:rPr>
                <w:rFonts w:ascii="Arial" w:cs="Arial" w:eastAsia="Arial" w:hAnsi="Arial"/>
                <w:sz w:val="18"/>
                <w:szCs w:val="18"/>
                <w:color w:val="B4B4B4"/>
                <w:w w:val="98"/>
              </w:rPr>
              <w:t>. . . . . . . . . . . . . . . . . . . . . . . . . . . . . . .</w:t>
            </w:r>
            <w:r>
              <w:rPr>
                <w:rFonts w:ascii="Arial" w:cs="Arial" w:eastAsia="Arial" w:hAnsi="Arial"/>
                <w:sz w:val="18"/>
                <w:szCs w:val="18"/>
                <w:color w:val="000000"/>
                <w:w w:val="98"/>
              </w:rPr>
              <w:t>Totallong-termdebt</w:t>
            </w:r>
            <w:r>
              <w:rPr>
                <w:rFonts w:ascii="Arial" w:cs="Arial" w:eastAsia="Arial" w:hAnsi="Arial"/>
                <w:sz w:val="18"/>
                <w:szCs w:val="18"/>
                <w:color w:val="B4B4B4"/>
                <w:w w:val="98"/>
              </w:rPr>
              <w:t>...</w:t>
            </w:r>
          </w:p>
        </w:tc>
        <w:tc>
          <w:tcPr>
            <w:tcW w:w="1120" w:type="dxa"/>
            <w:vAlign w:val="bottom"/>
          </w:tcPr>
          <w:p>
            <w:pPr>
              <w:spacing w:after="0"/>
              <w:rPr>
                <w:sz w:val="20"/>
                <w:szCs w:val="20"/>
                <w:color w:val="auto"/>
              </w:rPr>
            </w:pPr>
          </w:p>
        </w:tc>
        <w:tc>
          <w:tcPr>
            <w:tcW w:w="3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7,898</w:t>
            </w:r>
          </w:p>
        </w:tc>
        <w:tc>
          <w:tcPr>
            <w:tcW w:w="34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6,750</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-2012950</wp:posOffset>
            </wp:positionV>
            <wp:extent cx="6410325" cy="1923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9">
                      <a:extLst>
                        <a:ext uri="{28A0092B-C50C-407E-A947-70E740481C1C}"/>
                      </a:extLst>
                    </a:blip>
                    <a:srcRect/>
                    <a:stretch>
                      <a:fillRect/>
                    </a:stretch>
                  </pic:blipFill>
                  <pic:spPr bwMode="auto">
                    <a:xfrm>
                      <a:off x="0" y="0"/>
                      <a:ext cx="6410325" cy="1923415"/>
                    </a:xfrm>
                    <a:prstGeom prst="rect">
                      <a:avLst/>
                    </a:prstGeom>
                    <a:noFill/>
                  </pic:spPr>
                </pic:pic>
              </a:graphicData>
            </a:graphic>
          </wp:anchor>
        </w:drawing>
      </w:r>
    </w:p>
    <w:p>
      <w:pPr>
        <w:ind w:left="280" w:hanging="199"/>
        <w:spacing w:after="0"/>
        <w:tabs>
          <w:tab w:leader="none" w:pos="280" w:val="left"/>
        </w:tabs>
        <w:numPr>
          <w:ilvl w:val="0"/>
          <w:numId w:val="72"/>
        </w:numPr>
        <w:rPr>
          <w:rFonts w:ascii="Arial" w:cs="Arial" w:eastAsia="Arial" w:hAnsi="Arial"/>
          <w:sz w:val="20"/>
          <w:szCs w:val="20"/>
          <w:color w:val="auto"/>
          <w:vertAlign w:val="superscript"/>
        </w:rPr>
      </w:pPr>
      <w:r>
        <w:rPr>
          <w:rFonts w:ascii="Arial" w:cs="Arial" w:eastAsia="Arial" w:hAnsi="Arial"/>
          <w:sz w:val="16"/>
          <w:szCs w:val="16"/>
          <w:color w:val="auto"/>
        </w:rPr>
        <w:t>As of December 31, 2025, S+ equals SOFR plus x%.</w:t>
      </w:r>
    </w:p>
    <w:p>
      <w:pPr>
        <w:spacing w:after="0" w:line="41" w:lineRule="exact"/>
        <w:rPr>
          <w:rFonts w:ascii="Arial" w:cs="Arial" w:eastAsia="Arial" w:hAnsi="Arial"/>
          <w:sz w:val="20"/>
          <w:szCs w:val="20"/>
          <w:color w:val="auto"/>
          <w:vertAlign w:val="superscript"/>
        </w:rPr>
      </w:pPr>
    </w:p>
    <w:p>
      <w:pPr>
        <w:ind w:left="280" w:hanging="199"/>
        <w:spacing w:after="0" w:line="203" w:lineRule="auto"/>
        <w:tabs>
          <w:tab w:leader="none" w:pos="280" w:val="left"/>
        </w:tabs>
        <w:numPr>
          <w:ilvl w:val="0"/>
          <w:numId w:val="72"/>
        </w:numPr>
        <w:rPr>
          <w:rFonts w:ascii="Arial" w:cs="Arial" w:eastAsia="Arial" w:hAnsi="Arial"/>
          <w:sz w:val="19"/>
          <w:szCs w:val="19"/>
          <w:color w:val="auto"/>
          <w:vertAlign w:val="superscript"/>
        </w:rPr>
      </w:pPr>
      <w:r>
        <w:rPr>
          <w:rFonts w:ascii="Arial" w:cs="Arial" w:eastAsia="Arial" w:hAnsi="Arial"/>
          <w:sz w:val="15"/>
          <w:szCs w:val="15"/>
          <w:color w:val="auto"/>
        </w:rPr>
        <w:t>Applicable rate is determined by the borrower leverage ratio, as defined in the credit agreement, and only applies to outstanding borrowings.</w:t>
      </w:r>
    </w:p>
    <w:p>
      <w:pPr>
        <w:spacing w:after="0" w:line="42" w:lineRule="exact"/>
        <w:rPr>
          <w:rFonts w:ascii="Arial" w:cs="Arial" w:eastAsia="Arial" w:hAnsi="Arial"/>
          <w:sz w:val="19"/>
          <w:szCs w:val="19"/>
          <w:color w:val="auto"/>
          <w:vertAlign w:val="superscript"/>
        </w:rPr>
      </w:pPr>
    </w:p>
    <w:p>
      <w:pPr>
        <w:ind w:left="80" w:right="180" w:firstLine="1"/>
        <w:spacing w:after="0" w:line="216" w:lineRule="auto"/>
        <w:tabs>
          <w:tab w:leader="none" w:pos="271" w:val="left"/>
        </w:tabs>
        <w:numPr>
          <w:ilvl w:val="0"/>
          <w:numId w:val="72"/>
        </w:numPr>
        <w:rPr>
          <w:rFonts w:ascii="Arial" w:cs="Arial" w:eastAsia="Arial" w:hAnsi="Arial"/>
          <w:sz w:val="20"/>
          <w:szCs w:val="20"/>
          <w:color w:val="auto"/>
          <w:vertAlign w:val="superscript"/>
        </w:rPr>
      </w:pPr>
      <w:r>
        <w:rPr>
          <w:rFonts w:ascii="Arial" w:cs="Arial" w:eastAsia="Arial" w:hAnsi="Arial"/>
          <w:sz w:val="16"/>
          <w:szCs w:val="16"/>
          <w:color w:val="auto"/>
        </w:rPr>
        <w:t>During January 2026, the Company repaid all of the outstanding borrowings under the revolving credit facility utilizing the proceeds from the sale of the 2034 Senior Notes, as further described below.</w:t>
      </w:r>
    </w:p>
    <w:p>
      <w:pPr>
        <w:spacing w:after="0" w:line="1" w:lineRule="exact"/>
        <w:rPr>
          <w:rFonts w:ascii="Arial" w:cs="Arial" w:eastAsia="Arial" w:hAnsi="Arial"/>
          <w:sz w:val="20"/>
          <w:szCs w:val="20"/>
          <w:color w:val="auto"/>
          <w:vertAlign w:val="superscript"/>
        </w:rPr>
      </w:pPr>
    </w:p>
    <w:p>
      <w:pPr>
        <w:ind w:left="280" w:hanging="199"/>
        <w:spacing w:after="0" w:line="237" w:lineRule="auto"/>
        <w:tabs>
          <w:tab w:leader="none" w:pos="280" w:val="left"/>
        </w:tabs>
        <w:numPr>
          <w:ilvl w:val="0"/>
          <w:numId w:val="72"/>
        </w:numPr>
        <w:rPr>
          <w:rFonts w:ascii="Arial" w:cs="Arial" w:eastAsia="Arial" w:hAnsi="Arial"/>
          <w:sz w:val="20"/>
          <w:szCs w:val="20"/>
          <w:color w:val="auto"/>
          <w:vertAlign w:val="superscript"/>
        </w:rPr>
      </w:pPr>
      <w:r>
        <w:rPr>
          <w:rFonts w:ascii="Arial" w:cs="Arial" w:eastAsia="Arial" w:hAnsi="Arial"/>
          <w:sz w:val="16"/>
          <w:szCs w:val="16"/>
          <w:color w:val="auto"/>
        </w:rPr>
        <w:t>Premiums relate to the 2028 Senior Notes.</w:t>
      </w:r>
    </w:p>
    <w:p>
      <w:pPr>
        <w:spacing w:after="0" w:line="149" w:lineRule="exact"/>
        <w:rPr>
          <w:sz w:val="20"/>
          <w:szCs w:val="20"/>
          <w:color w:val="auto"/>
        </w:rPr>
      </w:pPr>
    </w:p>
    <w:p>
      <w:pPr>
        <w:jc w:val="both"/>
        <w:ind w:left="80" w:firstLine="441"/>
        <w:spacing w:after="0" w:line="299" w:lineRule="auto"/>
        <w:rPr>
          <w:sz w:val="20"/>
          <w:szCs w:val="20"/>
          <w:color w:val="auto"/>
        </w:rPr>
      </w:pPr>
      <w:r>
        <w:rPr>
          <w:rFonts w:ascii="Arial" w:cs="Arial" w:eastAsia="Arial" w:hAnsi="Arial"/>
          <w:sz w:val="17"/>
          <w:szCs w:val="17"/>
          <w:color w:val="auto"/>
        </w:rPr>
        <w:t>The financing arrangements listed above contain certain covenants, including financial covenants that the Company is required to be in compliance with during the term of each respective arrangement. Under the facility-level financing arrangements, each facility is permitted to pay distributions out of available cash as long as certain conditions are satisfied, including that no default under the applicable arrangements has occurred and that each facility is otherwise in compliance with all relevant conditions under the financing agreements, including meeting required financial ratios, where applicable. The Company’s facility-level financing arrangements are non-recourse to the Company, thus, each facility pledges its underlying assets as collateral, and if a facility is in default under its financing arrangement, then the related lender could demand repayment of the facility’s obligations or enforce its security interests with respect to the pledged collateral.</w:t>
      </w:r>
    </w:p>
    <w:p>
      <w:pPr>
        <w:spacing w:after="0" w:line="110"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As of December 31, 2025, the Company had $1,063 million in letters of credit outstanding, $96 million of which is related to the Company’s revolving credit facility. Also as of December 31, 2025, the Company was in compliance with all of the required covenants.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880" w:h="15480" w:orient="portrait"/>
          <w:cols w:equalWidth="0" w:num="1">
            <w:col w:w="10040"/>
          </w:cols>
          <w:pgMar w:left="920" w:top="577" w:right="920" w:bottom="0" w:gutter="0" w:footer="0" w:header="0"/>
          <w:type w:val="continuous"/>
        </w:sectPr>
      </w:pPr>
    </w:p>
    <w:bookmarkStart w:id="120" w:name="page121"/>
    <w:bookmarkEnd w:id="120"/>
    <w:p>
      <w:pPr>
        <w:spacing w:after="0"/>
        <w:rPr>
          <w:sz w:val="20"/>
          <w:szCs w:val="20"/>
          <w:color w:val="auto"/>
        </w:rPr>
      </w:pPr>
      <w:r>
        <w:rPr>
          <w:rFonts w:ascii="Arial" w:cs="Arial" w:eastAsia="Arial" w:hAnsi="Arial"/>
          <w:sz w:val="20"/>
          <w:szCs w:val="20"/>
          <w:b w:val="1"/>
          <w:bCs w:val="1"/>
          <w:i w:val="1"/>
          <w:iCs w:val="1"/>
          <w:color w:val="auto"/>
        </w:rPr>
        <w:t>2034 Senior Notes</w:t>
      </w:r>
    </w:p>
    <w:p>
      <w:pPr>
        <w:spacing w:after="0" w:line="18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color w:val="auto"/>
        </w:rPr>
        <w:t>On January 13, 2026, Clearway Energy Operating LLC completed the sale of $600 million aggregate principal amount of senior unsecured notes due 2034, or the 2034 Senior Notes. The 2034 Senior Notes bear interest at 5.750% and mature on January 15, 2034. Interest on the 2034 Senior Notes is payable semi-annually on January 15 and July 15 of each year, beginning on July 15, 2026. The 2034 Senior Notes are unsecured obligations of Clearway Energy Operating LLC and are guaranteed by Clearway Energy LLC and by certain of Clearway Energy Operating LLC’s wholly-owned current and future subsidiaries. The net proceeds from the 2034 Senior Notes were used to repay $361 million in outstanding borrowings under the revolving credit facility and for general corporate purposes.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Facility-level Debt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Deriva Solar Portfolio</w:t>
      </w:r>
    </w:p>
    <w:p>
      <w:pPr>
        <w:spacing w:after="0" w:line="183"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On February 5, 2026, in order to partially fund the third-party acquisition of the Deriva Solar Portfolio, which is expected to close in the first half of 2026, the Company, through its indirect subsidiary, Cardinal Investment Holdco LLC, entered into a financing agreement that provides for a term loan of up to $100 million and $119 million in letters of credit in support of debt service and facility obligations. The financing will be supported by the Company’s interest in the Deriva Solar Portfolio upon closing of the acquisition. Upon funding, the term loan will bear interest a rate of SOFR plus 2.00% per annum and will mature 364 days after the funding date.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Pine Forest</w:t>
      </w:r>
    </w:p>
    <w:p>
      <w:pPr>
        <w:spacing w:after="0" w:line="182"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 xml:space="preserve">On June 10, 2025, as part of the acquisition of Pine Forest, as further described in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the Company assumed the facility’s financing agreement, which included a $103 million construction loan, a $102 million cash equity bridge loan, a $41 million tax equity bridge loan and a $275 million tax credit transfer bridge loan, offset by $6 million in unamortized debt issuance costs. A partial payment of $54 million was made on the cash equity bridge loan at acquisition date utilizing all of the proceeds from the Company, which were contributed back to the Company by CEG, and the third-party cash equity investor related to the Pine Forest TargetCo acquisition.</w:t>
      </w:r>
    </w:p>
    <w:p>
      <w:pPr>
        <w:spacing w:after="0" w:line="136" w:lineRule="exact"/>
        <w:rPr>
          <w:sz w:val="20"/>
          <w:szCs w:val="20"/>
          <w:color w:val="auto"/>
        </w:rPr>
      </w:pPr>
    </w:p>
    <w:p>
      <w:pPr>
        <w:jc w:val="both"/>
        <w:ind w:firstLine="441"/>
        <w:spacing w:after="0" w:line="262" w:lineRule="auto"/>
        <w:rPr>
          <w:sz w:val="20"/>
          <w:szCs w:val="20"/>
          <w:color w:val="auto"/>
        </w:rPr>
      </w:pPr>
      <w:r>
        <w:rPr>
          <w:rFonts w:ascii="Arial" w:cs="Arial" w:eastAsia="Arial" w:hAnsi="Arial"/>
          <w:sz w:val="19"/>
          <w:szCs w:val="19"/>
          <w:color w:val="auto"/>
        </w:rPr>
        <w:t xml:space="preserve">On December 17, 2025, when Pine Forest reached substantial completion, the Company paid $50 million to Clearway Renew as an additional purchase price, as further described in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the third-party cash equity investor contributed $144 million, the Company contributed an additional $38 million for its Class A membership interests in Pine Forest TE HoldCo LLC and CEG contributed $49 million, which were utilized, along with the $9 million previously held in escrow, to repay the $100 million cash equity bridge loan, to repay the $41 million tax equity bridge loan, to partially repay $44 million of the tax credit transfer bridge loan, to fund $39 million in construction completion reserves, which is included in restricted cash on the Company’s consolidated balance sheet, and to pay $15 million in associated fees. Additionally, on December 17, 2025, the outstanding construction loans were converted to a term loan in the amount of $103 million that matures on December 17, 2030. Subsequent to the acquisition during 2025, the Company borrowed an additional $52 million in cash equity bridge loans.</w:t>
      </w:r>
    </w:p>
    <w:p>
      <w:pPr>
        <w:spacing w:after="0" w:line="143" w:lineRule="exact"/>
        <w:rPr>
          <w:sz w:val="20"/>
          <w:szCs w:val="20"/>
          <w:color w:val="auto"/>
        </w:rPr>
      </w:pPr>
    </w:p>
    <w:p>
      <w:pPr>
        <w:jc w:val="both"/>
        <w:ind w:firstLine="512"/>
        <w:spacing w:after="0" w:line="258" w:lineRule="auto"/>
        <w:rPr>
          <w:sz w:val="20"/>
          <w:szCs w:val="20"/>
          <w:color w:val="auto"/>
        </w:rPr>
      </w:pPr>
      <w:r>
        <w:rPr>
          <w:rFonts w:ascii="Arial" w:cs="Arial" w:eastAsia="Arial" w:hAnsi="Arial"/>
          <w:sz w:val="20"/>
          <w:szCs w:val="20"/>
          <w:color w:val="auto"/>
        </w:rPr>
        <w:t xml:space="preserve">In January 2026, the Company repaid the $231 million outstanding on the tax credit transfer bridge loan utilizing the proceeds received from the sale of transferable ITCs, as further described in Note 14, </w:t>
      </w:r>
      <w:r>
        <w:rPr>
          <w:rFonts w:ascii="Arial" w:cs="Arial" w:eastAsia="Arial" w:hAnsi="Arial"/>
          <w:sz w:val="20"/>
          <w:szCs w:val="20"/>
          <w:b w:val="1"/>
          <w:bCs w:val="1"/>
          <w:i w:val="1"/>
          <w:iCs w:val="1"/>
          <w:color w:val="auto"/>
        </w:rPr>
        <w:t>Income Taxes</w:t>
      </w:r>
      <w:r>
        <w:rPr>
          <w:rFonts w:ascii="Arial" w:cs="Arial" w:eastAsia="Arial" w:hAnsi="Arial"/>
          <w:sz w:val="20"/>
          <w:szCs w:val="20"/>
          <w:color w:val="auto"/>
        </w:rPr>
        <w:t>, and distributed the remaining $51 million to CEG.</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Honeycomb Portfolio</w:t>
      </w:r>
    </w:p>
    <w:p>
      <w:pPr>
        <w:spacing w:after="0" w:line="182"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 xml:space="preserve">On October 15, 2025, as part of the acquisition of the Honeycomb Portfolio, as further described in Note 3, </w:t>
      </w:r>
      <w:r>
        <w:rPr>
          <w:rFonts w:ascii="Arial" w:cs="Arial" w:eastAsia="Arial" w:hAnsi="Arial"/>
          <w:sz w:val="17"/>
          <w:szCs w:val="17"/>
          <w:b w:val="1"/>
          <w:bCs w:val="1"/>
          <w:i w:val="1"/>
          <w:iCs w:val="1"/>
          <w:color w:val="auto"/>
        </w:rPr>
        <w:t>Acquisitions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and Dispositions</w:t>
      </w:r>
      <w:r>
        <w:rPr>
          <w:rFonts w:ascii="Arial" w:cs="Arial" w:eastAsia="Arial" w:hAnsi="Arial"/>
          <w:sz w:val="17"/>
          <w:szCs w:val="17"/>
          <w:color w:val="auto"/>
        </w:rPr>
        <w:t>, the Company assumed the facility’s financing agreement, which included a $218 million construction loan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converts to a term loan at substantial completion, which is expected to occur in the first half of 2026, and a $234 million tax equity bridge loan, offset by $9 million in unamortized debt issuance costs. The tax equity bridge loan will be repaid at substantial completion with the final proceeds received from the tax equity investor, as well as the Company’s additional purchase price, along with the $59 million that was contributed into escrow by the tax equity investor at acquisition date, which is included in restricted cash on the Company’s consolidated balance sheet. Subsequent to the acquisition during 2025, the Company borrowed an additional $38 million in construction loans through December 31, 2025.</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Daggett 1</w:t>
      </w:r>
    </w:p>
    <w:p>
      <w:pPr>
        <w:spacing w:after="0" w:line="182"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9"/>
          <w:szCs w:val="19"/>
          <w:color w:val="auto"/>
        </w:rPr>
        <w:t xml:space="preserve">On April 29, 2025, as part of the acquisition of Daggett 1, as further described in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the Company assumed the facility’s financing agreement, which included a $92 million construction loan and a $131 million tax equity bridge loan, offset by $3 million in unamortized debt issuance costs.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ectPr>
          <w:pgSz w:w="11880" w:h="15480" w:orient="portrait"/>
          <w:cols w:equalWidth="0" w:num="1">
            <w:col w:w="10040"/>
          </w:cols>
          <w:pgMar w:left="920" w:top="577" w:right="920" w:bottom="0" w:gutter="0" w:footer="0" w:header="0"/>
          <w:type w:val="continuous"/>
        </w:sectPr>
      </w:pPr>
    </w:p>
    <w:bookmarkStart w:id="121" w:name="page122"/>
    <w:bookmarkEnd w:id="121"/>
    <w:p>
      <w:pPr>
        <w:jc w:val="both"/>
        <w:ind w:firstLine="441"/>
        <w:spacing w:after="0" w:line="299" w:lineRule="auto"/>
        <w:rPr>
          <w:sz w:val="20"/>
          <w:szCs w:val="20"/>
          <w:color w:val="auto"/>
        </w:rPr>
      </w:pPr>
      <w:r>
        <w:rPr>
          <w:rFonts w:ascii="Arial" w:cs="Arial" w:eastAsia="Arial" w:hAnsi="Arial"/>
          <w:sz w:val="17"/>
          <w:szCs w:val="17"/>
          <w:color w:val="auto"/>
        </w:rPr>
        <w:t xml:space="preserve">On September 19, 2025, when Daggett 1 reached substantial completion, the Company paid $42 million to Clearway Renew as additional purchase price, as further described in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and the tax equity investor contributed an additional $108 million, which was utilized, along with the $38 million previously held in escrow and $31 million in construction loan proceeds, to repay the $131 million tax equity bridge loan, to fund $6 million in construction completion reserves, which is included in restricted cash on the Company’s consolidated balance sheet, and to pay $7 million in associated fees with the remaining $33 million distributed to CEG. Additionally, on September 19, 2025, the outstanding construction loans were converted to a term loan in the amount of $132 million that matures on September 19, 2030. Subsequent to the acquisition during 2025, the Company borrowed an additional $40 million in construction loans.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Luna Valley</w:t>
      </w:r>
    </w:p>
    <w:p>
      <w:pPr>
        <w:spacing w:after="0" w:line="182"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9"/>
          <w:szCs w:val="19"/>
          <w:color w:val="auto"/>
        </w:rPr>
        <w:t xml:space="preserve">On April 29, 2025, as part of the acquisition of Luna Valley, as further described in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the Company assumed the facility’s financing agreement, which included a $144 million construction loan, a $64 million cash equity bridge loan and a $144 million tax equity bridge loan, offset by $4 million in unamortized debt issuance costs. A partial payment of $18 million was made on the cash equity bridge loan at acquisition date utilizing all of the proceeds from the Company, which were contributed back to the Company by CEG.</w:t>
      </w:r>
    </w:p>
    <w:p>
      <w:pPr>
        <w:spacing w:after="0" w:line="13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9"/>
          <w:szCs w:val="19"/>
          <w:color w:val="auto"/>
        </w:rPr>
        <w:t xml:space="preserve">On September 4, 2025, when Luna Valley facility reached substantial completion, the Company paid $72 million to Clearway Renew as additional purchase price, as further described in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the tax equity investor contributed an additional $114 million and CEG contributed $50 million, which were utilized, along with the $29 million previously held in escrow and $28 million in construction loan proceeds, to repay the $46 million cash equity bridge loan, to repay the $144 million tax equity bridge loan, to fund $22 million in construction completion reserves, which is included in restricted cash on the Company’s consolidated balance sheet, and to pay $9 million in associated fees. Additionally, on September 4, 2025, the outstanding construction loans were converted to a term loan in the amount of $195 million that matures on September 4, 2030. Subsequent to the acquisition during 2025, the Company borrowed an additional $51 million in construction loans.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Rosamond South I</w:t>
      </w:r>
    </w:p>
    <w:p>
      <w:pPr>
        <w:spacing w:after="0" w:line="182"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 xml:space="preserve">On March 20, 2025, as part of the acquisition of Rosamond South I, as further described in Note 3, </w:t>
      </w:r>
      <w:r>
        <w:rPr>
          <w:rFonts w:ascii="Arial" w:cs="Arial" w:eastAsia="Arial" w:hAnsi="Arial"/>
          <w:sz w:val="19"/>
          <w:szCs w:val="19"/>
          <w:b w:val="1"/>
          <w:bCs w:val="1"/>
          <w:i w:val="1"/>
          <w:iCs w:val="1"/>
          <w:color w:val="auto"/>
        </w:rPr>
        <w:t>Acquisitions and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Dispositions</w:t>
      </w:r>
      <w:r>
        <w:rPr>
          <w:rFonts w:ascii="Arial" w:cs="Arial" w:eastAsia="Arial" w:hAnsi="Arial"/>
          <w:sz w:val="19"/>
          <w:szCs w:val="19"/>
          <w:color w:val="auto"/>
        </w:rPr>
        <w:t>, the Company assumed the facility’s financing agreement, which included a $179 million construction loan,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$6 million cash equity bridge loan and a $284 million tax equity bridge loan, offset by $1 million in unamortized debt issuance costs. The cash equity bridge loan was repaid at acquisition date, along with $3 million in associated fees, utilizing $2 million from the third-party cash equity investor, as well as all of the proceeds from the Company, which were contributed back to the Company by CEG, and an additional $3 million contributed by CEG.</w:t>
      </w:r>
    </w:p>
    <w:p>
      <w:pPr>
        <w:spacing w:after="0" w:line="13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9"/>
          <w:szCs w:val="19"/>
          <w:color w:val="auto"/>
        </w:rPr>
        <w:t xml:space="preserve">On August 13, 2025, when Rosamond South I reached substantial completion, the Company paid $29 million to Clearway Renew as additional purchase price, as further described in Note 3, </w:t>
      </w:r>
      <w:r>
        <w:rPr>
          <w:rFonts w:ascii="Arial" w:cs="Arial" w:eastAsia="Arial" w:hAnsi="Arial"/>
          <w:sz w:val="19"/>
          <w:szCs w:val="19"/>
          <w:b w:val="1"/>
          <w:bCs w:val="1"/>
          <w:i w:val="1"/>
          <w:iCs w:val="1"/>
          <w:color w:val="auto"/>
        </w:rPr>
        <w:t>Acquisitions and Dispositions</w:t>
      </w:r>
      <w:r>
        <w:rPr>
          <w:rFonts w:ascii="Arial" w:cs="Arial" w:eastAsia="Arial" w:hAnsi="Arial"/>
          <w:sz w:val="19"/>
          <w:szCs w:val="19"/>
          <w:color w:val="auto"/>
        </w:rPr>
        <w:t>, the third-party cash equity investor contributed an additional $41 million and the tax equity investor contributed an additional $226 million, which were utilized, along with the $58 million previously held in escrow and $13 million in construction loan proceeds, to repay the $276 million tax equity bridge loan and to pay $9 million in associated fees with the remaining $53 million distributed to CEG. Additionally, on August 13, 2025, the outstanding construction loans were converted to a term loan in the amount of $228 million that matures on August 13, 2030. Subsequent to the acquisition during 2025, the Company borrowed an additional $49 million in construction loans and also received $46 million in contributions from CEG to pay for construction completion expenses.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Dan’s Mountain</w:t>
      </w:r>
    </w:p>
    <w:p>
      <w:pPr>
        <w:spacing w:after="0" w:line="182" w:lineRule="exact"/>
        <w:rPr>
          <w:sz w:val="20"/>
          <w:szCs w:val="20"/>
          <w:color w:val="auto"/>
        </w:rPr>
      </w:pPr>
    </w:p>
    <w:p>
      <w:pPr>
        <w:jc w:val="both"/>
        <w:ind w:firstLine="441"/>
        <w:spacing w:after="0" w:line="252" w:lineRule="auto"/>
        <w:rPr>
          <w:sz w:val="20"/>
          <w:szCs w:val="20"/>
          <w:color w:val="auto"/>
        </w:rPr>
      </w:pPr>
      <w:r>
        <w:rPr>
          <w:rFonts w:ascii="Arial" w:cs="Arial" w:eastAsia="Arial" w:hAnsi="Arial"/>
          <w:sz w:val="20"/>
          <w:szCs w:val="20"/>
          <w:color w:val="auto"/>
        </w:rPr>
        <w:t xml:space="preserve">On November 18, 2024, as part of the acquisition of Dan’s Mountain, as further described in Note 3, </w:t>
      </w:r>
      <w:r>
        <w:rPr>
          <w:rFonts w:ascii="Arial" w:cs="Arial" w:eastAsia="Arial" w:hAnsi="Arial"/>
          <w:sz w:val="20"/>
          <w:szCs w:val="20"/>
          <w:b w:val="1"/>
          <w:bCs w:val="1"/>
          <w:i w:val="1"/>
          <w:iCs w:val="1"/>
          <w:color w:val="auto"/>
        </w:rPr>
        <w:t>Acquisitions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Dispositions, </w:t>
      </w:r>
      <w:r>
        <w:rPr>
          <w:rFonts w:ascii="Arial" w:cs="Arial" w:eastAsia="Arial" w:hAnsi="Arial"/>
          <w:sz w:val="20"/>
          <w:szCs w:val="20"/>
          <w:color w:val="auto"/>
        </w:rPr>
        <w:t>the Company assumed the facility’s financing agreement, which included a $77 million cash equity bridge loan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a $49 million tax equity bridge loan, offset by $1 million in unamortized debt issuance costs. A partial payment of $7 million was made on the cash equity bridge loan at acquisition date utilizing all of the proceeds from the Company, which were contributed back to the Company by CEG.</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880" w:h="15480" w:orient="portrait"/>
          <w:cols w:equalWidth="0" w:num="1">
            <w:col w:w="10040"/>
          </w:cols>
          <w:pgMar w:left="920" w:top="584" w:right="920" w:bottom="0" w:gutter="0" w:footer="0" w:header="0"/>
          <w:type w:val="continuous"/>
        </w:sectPr>
      </w:pPr>
    </w:p>
    <w:bookmarkStart w:id="122" w:name="page123"/>
    <w:bookmarkEnd w:id="122"/>
    <w:p>
      <w:pPr>
        <w:jc w:val="both"/>
        <w:ind w:firstLine="441"/>
        <w:spacing w:after="0" w:line="296" w:lineRule="auto"/>
        <w:rPr>
          <w:sz w:val="20"/>
          <w:szCs w:val="20"/>
          <w:color w:val="auto"/>
        </w:rPr>
      </w:pPr>
      <w:r>
        <w:rPr>
          <w:rFonts w:ascii="Arial" w:cs="Arial" w:eastAsia="Arial" w:hAnsi="Arial"/>
          <w:sz w:val="17"/>
          <w:szCs w:val="17"/>
          <w:color w:val="auto"/>
        </w:rPr>
        <w:t xml:space="preserve">On May 21, 2025, when the Dan’s Mountain facility reached substantial completion, the Company paid $36 million to Clearway Renew as additional purchase price, as further described in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third-party cash equity and tax equity investors, along with the Company’s entire additional purchase price, which was contributed back to the Company by CEG, and the $18 million previously held in escrow, to repay the $91 million tax equity bridge loan, to repay the $70 million cash equity bridge loan and to pay $2 million in associated fees with the remaining $26 million distributed to CEG. Subsequent to the acquisition, the Company borrowed an additional $24 million in tax equity bridge loans during 2024 and $18 million in tax equity bridge loans during 2025. The Company also received $16 million in contributions from CEG to pay for construction completion expenses during 2025.</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Tuolumne</w:t>
      </w:r>
    </w:p>
    <w:p>
      <w:pPr>
        <w:spacing w:after="0" w:line="183"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0"/>
          <w:szCs w:val="20"/>
          <w:color w:val="auto"/>
        </w:rPr>
        <w:t xml:space="preserve">On April 29, 2025, in order to partially fund the third-party acquisition of the Tuolumne wind facility, as further described in Note 3, </w:t>
      </w:r>
      <w:r>
        <w:rPr>
          <w:rFonts w:ascii="Arial" w:cs="Arial" w:eastAsia="Arial" w:hAnsi="Arial"/>
          <w:sz w:val="20"/>
          <w:szCs w:val="20"/>
          <w:b w:val="1"/>
          <w:bCs w:val="1"/>
          <w:i w:val="1"/>
          <w:iCs w:val="1"/>
          <w:color w:val="auto"/>
        </w:rPr>
        <w:t>Acquisitions and Dispositions</w:t>
      </w:r>
      <w:r>
        <w:rPr>
          <w:rFonts w:ascii="Arial" w:cs="Arial" w:eastAsia="Arial" w:hAnsi="Arial"/>
          <w:sz w:val="20"/>
          <w:szCs w:val="20"/>
          <w:color w:val="auto"/>
        </w:rPr>
        <w:t>, the Company entered into a financing agreement, which included the issuance of a $163 million term loan, as well as $22 million in letters of credit in support of debt service and facility obligations, supported by the Company’s interests in the Tuolumne wind facility. The term loan bears interest at a rate of SOFR plus 1.625% per annum and matures on April 29, 2030.</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Buckthorn Solar</w:t>
      </w:r>
    </w:p>
    <w:p>
      <w:pPr>
        <w:spacing w:after="0" w:line="183"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On April 9, 2025, the Company, through its indirect subsidiary, Buckthorn Solar Portfolio LLC, refinanced its existing credit agreement, which was scheduled to mature in May 2025, resulting in the issuance of a $104 million term loan facility, as well as $22 million in letters of credit in support of debt service and facility obligations, supported by the Company’s interests in the Buckthorn Solar facility. The term loan bears interest at a rate of SOFR plus 1.625% per annum and matures on April 9, 2031. The Company utilized the proceeds from the term loan and existing sources of liquidity to pay off the existing debt in the amount of $112 million.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Cedro Hill Repowering</w:t>
      </w:r>
    </w:p>
    <w:p>
      <w:pPr>
        <w:spacing w:after="0" w:line="183" w:lineRule="exact"/>
        <w:rPr>
          <w:sz w:val="20"/>
          <w:szCs w:val="20"/>
          <w:color w:val="auto"/>
        </w:rPr>
      </w:pPr>
    </w:p>
    <w:p>
      <w:pPr>
        <w:jc w:val="both"/>
        <w:ind w:firstLine="441"/>
        <w:spacing w:after="0" w:line="262" w:lineRule="auto"/>
        <w:rPr>
          <w:sz w:val="20"/>
          <w:szCs w:val="20"/>
          <w:color w:val="auto"/>
        </w:rPr>
      </w:pPr>
      <w:r>
        <w:rPr>
          <w:rFonts w:ascii="Arial" w:cs="Arial" w:eastAsia="Arial" w:hAnsi="Arial"/>
          <w:sz w:val="19"/>
          <w:szCs w:val="19"/>
          <w:color w:val="auto"/>
        </w:rPr>
        <w:t>On December 12, 2023, the Company entered into a financing agreement for non-recourse debt for a total commitment of $254 million, which consists of construction loans, a tax equity bridge loan and a cash equity bridge loan, related to the repowering of the Cedro Hill wind facility. The Company’s initial borrowing of $165 million was utilized to repay the $72 million of outstanding principal under the original financing agreement, to pay $55 million to Clearway Renew for the future delivery of equipment, which was included in other non-current assets on the Company’s consolidated balance sheet, to pay $27 million to a third party for the future delivery of equipment, which was included in other non-current assets on the Company’s consolidated balance sheet, to pay a $4 million development services fee to Clearway Renew, to pay for $4 million in debt issuance costs that were deferred and to pay for $3 million in capital expenditures. During 2024, the $82 million of equipment was delivered, and therefore, was included in property, plant and equipment, net on the Company’s consolidated balance sheet as of December 31, 2024.</w:t>
      </w:r>
    </w:p>
    <w:p>
      <w:pPr>
        <w:spacing w:after="0" w:line="143"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On December 27, 2024, when the repowering of the Cedro Hill wind facility reached substantial completion, tax equity investors contributed $152 million to acquire the Class A membership interests in Cedro Hill TE Holdco LLC, a tax equity fund that owns the Cedro Hill wind facility. The tax equity proceeds were utilized, along with $54 million in construction loan proceeds, to repay the $138 million tax equity bridge loan, the $16 million cash equity bridge loan, to fund $38 million in construction completion and related reserves, which was included in restricted cash on the Company’s consolidated balance sheet, to pay $11 million in construction invoices and to pay $4 million in associated fees with the remaining $26 million distributed to CEG. Also at substantial completion, the outstanding construction loans were converted to a term loan in the amount of $99 million. Under the new financing agreement, the Company borrowed $88 million during 2024.</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Capistrano Portfolio Holdco LLC</w:t>
      </w:r>
    </w:p>
    <w:p>
      <w:pPr>
        <w:spacing w:after="0" w:line="183"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supported by the Company’s interests in the Broken Bow, Crofton Bluffs, Mountain Wind 1 and Mountain Wind 2 wind facilities. The Company utilized the proceeds from the term loan to pay off the existing debt in the amount of $63 million related to Broken Bow and Crofton Bluffs and to pay related financing costs.</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880" w:h="15480" w:orient="portrait"/>
          <w:cols w:equalWidth="0" w:num="1">
            <w:col w:w="10040"/>
          </w:cols>
          <w:pgMar w:left="920" w:top="584" w:right="920" w:bottom="0" w:gutter="0" w:footer="0" w:header="0"/>
          <w:type w:val="continuous"/>
        </w:sectPr>
      </w:pPr>
    </w:p>
    <w:bookmarkStart w:id="123" w:name="page124"/>
    <w:bookmarkEnd w:id="123"/>
    <w:p>
      <w:pPr>
        <w:ind w:left="440"/>
        <w:spacing w:after="0"/>
        <w:rPr>
          <w:sz w:val="20"/>
          <w:szCs w:val="20"/>
          <w:color w:val="auto"/>
        </w:rPr>
      </w:pPr>
      <w:r>
        <w:rPr>
          <w:rFonts w:ascii="Arial" w:cs="Arial" w:eastAsia="Arial" w:hAnsi="Arial"/>
          <w:sz w:val="20"/>
          <w:szCs w:val="20"/>
          <w:b w:val="1"/>
          <w:bCs w:val="1"/>
          <w:i w:val="1"/>
          <w:iCs w:val="1"/>
          <w:color w:val="auto"/>
        </w:rPr>
        <w:t>Natural Gas Holdco LC Facility</w:t>
      </w:r>
    </w:p>
    <w:p>
      <w:pPr>
        <w:spacing w:after="0" w:line="183"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On July 25, 2024, the Company, through its indirect subsidiary, Natural Gas Holdco, entered into a financing agreement that provides for a $200 million letter of credit facility, which is being utilized to support the collateral needs of the merchant facilities in the Flexible Generation segment. The letter of credit facility has an initial term of three years and the option for two additional one-year extensions.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Rosamond Central (Rosie Class B LLC)</w:t>
      </w:r>
    </w:p>
    <w:p>
      <w:pPr>
        <w:spacing w:after="0" w:line="183"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On June 30, 2023, Rosie Class B LLC, the indirect owner of the Rosamond Central solar facility, amended its financing agreement to provide for (i) a refinanced term loan in the amount of $77 million, (ii) construction loans up to $115 million, (iii) tax equity bridge loans up to $188 million, (iv) an increase to the letter of credit sublimit to $41 million and (v) an extension of the maturity date of the term loan and construction loans to June 13, 2029.</w:t>
      </w:r>
    </w:p>
    <w:p>
      <w:pPr>
        <w:spacing w:after="0" w:line="130" w:lineRule="exact"/>
        <w:rPr>
          <w:sz w:val="20"/>
          <w:szCs w:val="20"/>
          <w:color w:val="auto"/>
        </w:rPr>
      </w:pPr>
    </w:p>
    <w:p>
      <w:pPr>
        <w:jc w:val="both"/>
        <w:ind w:firstLine="441"/>
        <w:spacing w:after="0" w:line="313" w:lineRule="auto"/>
        <w:rPr>
          <w:sz w:val="20"/>
          <w:szCs w:val="20"/>
          <w:color w:val="auto"/>
        </w:rPr>
      </w:pPr>
      <w:r>
        <w:rPr>
          <w:rFonts w:ascii="Arial" w:cs="Arial" w:eastAsia="Arial" w:hAnsi="Arial"/>
          <w:sz w:val="17"/>
          <w:szCs w:val="17"/>
          <w:color w:val="auto"/>
        </w:rPr>
        <w:t xml:space="preserve">On July 3, 2023, Rosie Class B LLC issued a loan to Clearway Renew, utilizing a portion of the loan proceeds under the amended financing agreement, in order to finance the construction of the BESS facility. On December 1, 2023, the Rosamond Central solar facility acquired the BESS facility from Clearway Renew for initial cash consideration of $70 million, as further described in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and Clearway Renew utilized the funds to partially repay the loan.</w:t>
      </w:r>
    </w:p>
    <w:p>
      <w:pPr>
        <w:spacing w:after="0" w:line="97" w:lineRule="exact"/>
        <w:rPr>
          <w:sz w:val="20"/>
          <w:szCs w:val="20"/>
          <w:color w:val="auto"/>
        </w:rPr>
      </w:pPr>
    </w:p>
    <w:p>
      <w:pPr>
        <w:jc w:val="both"/>
        <w:ind w:firstLine="706"/>
        <w:spacing w:after="0" w:line="297" w:lineRule="auto"/>
        <w:rPr>
          <w:sz w:val="20"/>
          <w:szCs w:val="20"/>
          <w:color w:val="auto"/>
        </w:rPr>
      </w:pPr>
      <w:r>
        <w:rPr>
          <w:rFonts w:ascii="Arial" w:cs="Arial" w:eastAsia="Arial" w:hAnsi="Arial"/>
          <w:sz w:val="17"/>
          <w:szCs w:val="17"/>
          <w:color w:val="auto"/>
        </w:rPr>
        <w:t xml:space="preserve">On June 13, 2024, when the Rosamond Central BESS facility reached substantial completion, Clearway Renew repaid the $184 million outstanding loan balance owed to Rosie Class B LLC utilizing the additional purchase price of $279 million paid by the Company, as further described in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The Company utilized the proceeds from Clearway Renew, along with $39 million held previously in escrow and $56 million of the Company’s additional purchase price that was contributed back to the Company by CEG, to repay the $186 million tax equity bridge loan, to distribute $44 million to the third-party cash equity investor, to fund $21 million in construction completion reserves, which was included in restricted cash on the Company’s consolidated balance sheet, and to pay $11 million in associated fees. Additionally, on June 13, 2024, the outstanding construction loans were converted to a term loan in the amount of $115 million. Under the amended financing agreement, the Company borrowed $271 million during 2023 and $30 million during 2024.</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NIMH Solar</w:t>
      </w:r>
    </w:p>
    <w:p>
      <w:pPr>
        <w:spacing w:after="0" w:line="183"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On June 11, 2024, the Company, through its indirect subsidiary, NIMH Solar LLC, refinanced its amended and restated credit agreement, which was scheduled to mature in September 2024, resulting in the issuance of a $137 million term loan facility, as well as $17 million in letters of credit in support of debt service and facility obligations. The obligations under the new financing arrangement are supported by the Company’s interests in the Alpine, Blythe and Roadrunner solar facilities. The Company utilized the proceeds from the term loan and existing sources of liquidity to pay off the existing debt in the amount of $146 million.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Victory Pass and Arica</w:t>
      </w:r>
    </w:p>
    <w:p>
      <w:pPr>
        <w:spacing w:after="0" w:line="182" w:lineRule="exact"/>
        <w:rPr>
          <w:sz w:val="20"/>
          <w:szCs w:val="20"/>
          <w:color w:val="auto"/>
        </w:rPr>
      </w:pPr>
    </w:p>
    <w:p>
      <w:pPr>
        <w:jc w:val="both"/>
        <w:ind w:firstLine="441"/>
        <w:spacing w:after="0" w:line="307" w:lineRule="auto"/>
        <w:rPr>
          <w:sz w:val="20"/>
          <w:szCs w:val="20"/>
          <w:color w:val="auto"/>
        </w:rPr>
      </w:pPr>
      <w:r>
        <w:rPr>
          <w:rFonts w:ascii="Arial" w:cs="Arial" w:eastAsia="Arial" w:hAnsi="Arial"/>
          <w:sz w:val="17"/>
          <w:szCs w:val="17"/>
          <w:color w:val="auto"/>
        </w:rPr>
        <w:t xml:space="preserve">On October 31, 2023, as part of the acquisition of Victory Pass and Arica, as further described in Note 3, </w:t>
      </w:r>
      <w:r>
        <w:rPr>
          <w:rFonts w:ascii="Arial" w:cs="Arial" w:eastAsia="Arial" w:hAnsi="Arial"/>
          <w:sz w:val="17"/>
          <w:szCs w:val="17"/>
          <w:b w:val="1"/>
          <w:bCs w:val="1"/>
          <w:i w:val="1"/>
          <w:iCs w:val="1"/>
          <w:color w:val="auto"/>
        </w:rPr>
        <w:t>Acquisitions 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Dispositions, </w:t>
      </w:r>
      <w:r>
        <w:rPr>
          <w:rFonts w:ascii="Arial" w:cs="Arial" w:eastAsia="Arial" w:hAnsi="Arial"/>
          <w:sz w:val="17"/>
          <w:szCs w:val="17"/>
          <w:color w:val="auto"/>
        </w:rPr>
        <w:t>the Company assumed the facility’s financing agreement, which included a $483 million cash equity bridge loan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 $385 million tax equity bridge loan, offset by $4 million in unamortized debt issuance costs. A partial payment of $133 million was made on the cash equity bridge loan at acquisition date utilizing all of the proceeds from the Company, which were contributed back to the Company by CEG, and the contribution from the third-party cash equity investor.</w:t>
      </w:r>
    </w:p>
    <w:p>
      <w:pPr>
        <w:spacing w:after="0" w:line="104"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 xml:space="preserve">On May 1, 2024, when the facilities reached substantial completion, the Company paid $165 million to Clearway Renew as additional purchase price, as further described in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the third-party cash equity investor contributed an additional $347 million, the tax equity investor contributed an additional $410 million and CEG contributed $52 million, which were utilized, along with $103 million held previously in escrow, to repay the $351 million cash equity bridge loan, to repay the $468 million tax equity bridge loan, to fund $75 million in construction completion reserves, which was included in restricted cash on the Company’s consolidated balance sheet, and to pay $18 million in associated fees. Subsequent to the acquisition, the Company borrowed an additional $22 million during 2023 and $62 million during 2024.</w:t>
      </w:r>
    </w:p>
    <w:p>
      <w:pPr>
        <w:sectPr>
          <w:pgSz w:w="11880" w:h="15480" w:orient="portrait"/>
          <w:cols w:equalWidth="0" w:num="1">
            <w:col w:w="10040"/>
          </w:cols>
          <w:pgMar w:left="920" w:top="58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880" w:h="15480" w:orient="portrait"/>
          <w:cols w:equalWidth="0" w:num="1">
            <w:col w:w="10040"/>
          </w:cols>
          <w:pgMar w:left="920" w:top="583" w:right="920" w:bottom="0" w:gutter="0" w:footer="0" w:header="0"/>
          <w:type w:val="continuous"/>
        </w:sectPr>
      </w:pPr>
    </w:p>
    <w:bookmarkStart w:id="124" w:name="page125"/>
    <w:bookmarkEnd w:id="124"/>
    <w:p>
      <w:pPr>
        <w:ind w:left="440"/>
        <w:spacing w:after="0"/>
        <w:rPr>
          <w:sz w:val="20"/>
          <w:szCs w:val="20"/>
          <w:color w:val="auto"/>
        </w:rPr>
      </w:pPr>
      <w:r>
        <w:rPr>
          <w:rFonts w:ascii="Arial" w:cs="Arial" w:eastAsia="Arial" w:hAnsi="Arial"/>
          <w:sz w:val="20"/>
          <w:szCs w:val="20"/>
          <w:b w:val="1"/>
          <w:bCs w:val="1"/>
          <w:i w:val="1"/>
          <w:iCs w:val="1"/>
          <w:color w:val="auto"/>
        </w:rPr>
        <w:t>Cedar Creek</w:t>
      </w:r>
    </w:p>
    <w:p>
      <w:pPr>
        <w:spacing w:after="0" w:line="182"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 xml:space="preserve">On April 16, 2024, as part of the acquisition of Cedar Creek, as further described in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the Company assumed the facility’s financing agreement, which included a $112 million construction loan, a $91 million cash equity bridge loan and a $109 million tax equity bridge loan, offset by $3 million in unamortized debt issuance costs. At acquisition date, the tax equity investor contributed $108 million, which was utilized, along with the Company’s entire purchase price that was contributed back to the Company by CEG, to repay the tax equity bridge loan, to repay the cash equity bridge loan, to partially repay $2 million in construction loans, to fund $16 million in construction completion reserves, which was included in restricted cash on the Company’s consolidated balance sheet, and to pay $6 million in associated fees. Also at acquisition date, the outstanding construction loans were converted to a term loan in the amount of $110 million.</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20"/>
          <w:szCs w:val="20"/>
          <w:b w:val="1"/>
          <w:bCs w:val="1"/>
          <w:i w:val="1"/>
          <w:iCs w:val="1"/>
          <w:color w:val="auto"/>
        </w:rPr>
        <w:t>Texas Solar Nova 1 and Texas Solar Nova 2</w:t>
      </w:r>
    </w:p>
    <w:p>
      <w:pPr>
        <w:spacing w:after="0" w:line="183"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7"/>
          <w:szCs w:val="17"/>
          <w:color w:val="auto"/>
        </w:rPr>
        <w:t>On December 28, 2023, as part of the acquisition of Texas Solar Nova 1, the Company assumed the facility’s financing agreement, which included a $90 million construction loan, $109 million cash equity bridge loan and $151 million tax equity bridge loan, offset by $1 million in unamortized debt issuance costs. At acquisition date, the tax equity investor contributed $148 million, which was utilized, along with the Company’s entire purchase price that was contributed back to the Company by CEG and the proceeds from the third-party cash equity investor, to repay the $109 million cash equity bridge loan, to repay the $151 million tax equity bridge loan, to fund $18 million in construction completion reserves, which was included in restricted cash on the Company’s consolidated balance sheet, and to pay $5 million in associated fees with the remaining $9 million distributed back to CEG. Also at acquisition date, the $90 million construction loan was converted into a term loan in the amount of $102 million, which includes an additional borrowing of $12 million.</w:t>
      </w:r>
    </w:p>
    <w:p>
      <w:pPr>
        <w:spacing w:after="0" w:line="114"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 xml:space="preserve">On March 15, 2024, as part of the acquisition of Texas Solar Nova 2, as further described in Note 3, </w:t>
      </w:r>
      <w:r>
        <w:rPr>
          <w:rFonts w:ascii="Arial" w:cs="Arial" w:eastAsia="Arial" w:hAnsi="Arial"/>
          <w:sz w:val="20"/>
          <w:szCs w:val="20"/>
          <w:b w:val="1"/>
          <w:bCs w:val="1"/>
          <w:i w:val="1"/>
          <w:iCs w:val="1"/>
          <w:color w:val="auto"/>
        </w:rPr>
        <w:t>Acquisitions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Dispositions</w:t>
      </w:r>
      <w:r>
        <w:rPr>
          <w:rFonts w:ascii="Arial" w:cs="Arial" w:eastAsia="Arial" w:hAnsi="Arial"/>
          <w:sz w:val="20"/>
          <w:szCs w:val="20"/>
          <w:color w:val="auto"/>
        </w:rPr>
        <w:t>, the Company assumed the facility’s financing agreement, which included an $80 million term loan and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$115 million tax equity bridge loan, offset by $1 million in unamortized debt issuance costs. At acquisition date, the tax equity investor contributed $130 million, which was utilized, along with $9 million of the Company’s purchase price that was contributed back to the Company by CEG, to repay the $115 million tax equity bridge loan, to fund $19 million in construction completion reserves, which was included in restricted cash on the Company’s consolidated balance sheet, and to pay $4 million in associated fees.</w:t>
      </w:r>
    </w:p>
    <w:p>
      <w:pPr>
        <w:spacing w:after="0" w:line="148" w:lineRule="exact"/>
        <w:rPr>
          <w:sz w:val="20"/>
          <w:szCs w:val="20"/>
          <w:color w:val="auto"/>
        </w:rPr>
      </w:pPr>
    </w:p>
    <w:p>
      <w:pPr>
        <w:jc w:val="both"/>
        <w:ind w:firstLine="441"/>
        <w:spacing w:after="0" w:line="298" w:lineRule="auto"/>
        <w:rPr>
          <w:sz w:val="20"/>
          <w:szCs w:val="20"/>
          <w:color w:val="auto"/>
        </w:rPr>
      </w:pPr>
      <w:r>
        <w:rPr>
          <w:rFonts w:ascii="Arial" w:cs="Arial" w:eastAsia="Arial" w:hAnsi="Arial"/>
          <w:sz w:val="19"/>
          <w:szCs w:val="19"/>
          <w:color w:val="auto"/>
        </w:rPr>
        <w:t>Additionally, on March 15, 2024, Texas Solar Nova 1’s financing agreement was amended to merge the Texas Solar Nova 1 and Texas Solar Nova 2 term loans as a combined term loan under TSN1 Class B Member LLC.</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Swaps</w:t>
      </w:r>
    </w:p>
    <w:p>
      <w:pPr>
        <w:spacing w:after="0" w:line="189"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The Company enters into interest rate swap agreements in order to hedge the variability of expected future cash interest payments that may arise in connection with its non-recourse facility level debt or any potential refinancing of its Senior Notes. The facility level debt swaps amortize in proportion to their respective loans and are floating for a fixed rate where the subsidiary pays its counterparty the equivalent of a fixed interest payment on a predetermined notional amount and will receive quarterly the equivalent of a floating interest payment based on the same notional amount. All interest rate swap payments by the subsidiary and its counterparty are made quarterly and the SOFR is determined in advance of each interest period.</w:t>
      </w:r>
    </w:p>
    <w:p>
      <w:pPr>
        <w:sectPr>
          <w:pgSz w:w="11880" w:h="15480" w:orient="portrait"/>
          <w:cols w:equalWidth="0" w:num="1">
            <w:col w:w="10040"/>
          </w:cols>
          <w:pgMar w:left="920" w:top="58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880" w:h="15480" w:orient="portrait"/>
          <w:cols w:equalWidth="0" w:num="1">
            <w:col w:w="10040"/>
          </w:cols>
          <w:pgMar w:left="920" w:top="583" w:right="920" w:bottom="0" w:gutter="0" w:footer="0" w:header="0"/>
          <w:type w:val="continuous"/>
        </w:sectPr>
      </w:pPr>
    </w:p>
    <w:bookmarkStart w:id="125" w:name="page126"/>
    <w:bookmarkEnd w:id="125"/>
    <w:p>
      <w:pPr>
        <w:ind w:firstLine="441"/>
        <w:spacing w:after="0" w:line="271" w:lineRule="auto"/>
        <w:rPr>
          <w:sz w:val="20"/>
          <w:szCs w:val="20"/>
          <w:color w:val="auto"/>
        </w:rPr>
      </w:pPr>
      <w:r>
        <w:rPr>
          <w:rFonts w:ascii="Arial" w:cs="Arial" w:eastAsia="Arial" w:hAnsi="Arial"/>
          <w:sz w:val="20"/>
          <w:szCs w:val="20"/>
          <w:color w:val="auto"/>
        </w:rPr>
        <w:t>The following table summarizes the swaps, some of which are forward starting as indicated, related to the Company’s facility level debt and the potential refinancing of its Senior Notes: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 of</w:t>
            </w: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9"/>
              </w:rPr>
              <w:t>Fixed</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Floating</w:t>
            </w:r>
          </w:p>
        </w:tc>
        <w:tc>
          <w:tcPr>
            <w:tcW w:w="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Notional Amount</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Interest</w:t>
            </w:r>
          </w:p>
        </w:tc>
        <w:tc>
          <w:tcPr>
            <w:tcW w:w="80" w:type="dxa"/>
            <w:vAlign w:val="bottom"/>
          </w:tcPr>
          <w:p>
            <w:pPr>
              <w:spacing w:after="0"/>
              <w:rPr>
                <w:sz w:val="15"/>
                <w:szCs w:val="15"/>
                <w:color w:val="auto"/>
              </w:rPr>
            </w:pPr>
          </w:p>
        </w:tc>
        <w:tc>
          <w:tcPr>
            <w:tcW w:w="1440" w:type="dxa"/>
            <w:vAlign w:val="bottom"/>
            <w:gridSpan w:val="2"/>
          </w:tcPr>
          <w:p>
            <w:pPr>
              <w:jc w:val="right"/>
              <w:ind w:right="12"/>
              <w:spacing w:after="0" w:line="176" w:lineRule="exact"/>
              <w:rPr>
                <w:sz w:val="20"/>
                <w:szCs w:val="20"/>
                <w:color w:val="auto"/>
              </w:rPr>
            </w:pPr>
            <w:r>
              <w:rPr>
                <w:rFonts w:ascii="Arial" w:cs="Arial" w:eastAsia="Arial" w:hAnsi="Arial"/>
                <w:sz w:val="18"/>
                <w:szCs w:val="18"/>
                <w:b w:val="1"/>
                <w:bCs w:val="1"/>
                <w:color w:val="auto"/>
                <w:w w:val="95"/>
              </w:rPr>
              <w:t>at December 31,</w:t>
            </w:r>
          </w:p>
        </w:tc>
        <w:tc>
          <w:tcPr>
            <w:tcW w:w="80" w:type="dxa"/>
            <w:vAlign w:val="bottom"/>
          </w:tcPr>
          <w:p>
            <w:pPr>
              <w:spacing w:after="0"/>
              <w:rPr>
                <w:sz w:val="15"/>
                <w:szCs w:val="15"/>
                <w:color w:val="auto"/>
              </w:rPr>
            </w:pPr>
          </w:p>
        </w:tc>
        <w:tc>
          <w:tcPr>
            <w:tcW w:w="1580" w:type="dxa"/>
            <w:vAlign w:val="bottom"/>
            <w:vMerge w:val="restart"/>
          </w:tcPr>
          <w:p>
            <w:pPr>
              <w:jc w:val="right"/>
              <w:ind w:right="172"/>
              <w:spacing w:after="0"/>
              <w:rPr>
                <w:sz w:val="20"/>
                <w:szCs w:val="20"/>
                <w:color w:val="auto"/>
              </w:rPr>
            </w:pPr>
            <w:r>
              <w:rPr>
                <w:rFonts w:ascii="Arial" w:cs="Arial" w:eastAsia="Arial" w:hAnsi="Arial"/>
                <w:sz w:val="18"/>
                <w:szCs w:val="18"/>
                <w:b w:val="1"/>
                <w:bCs w:val="1"/>
                <w:color w:val="auto"/>
              </w:rPr>
              <w:t>Effective Date</w:t>
            </w:r>
          </w:p>
        </w:tc>
        <w:tc>
          <w:tcPr>
            <w:tcW w:w="80" w:type="dxa"/>
            <w:vAlign w:val="bottom"/>
          </w:tcPr>
          <w:p>
            <w:pPr>
              <w:spacing w:after="0"/>
              <w:rPr>
                <w:sz w:val="15"/>
                <w:szCs w:val="15"/>
                <w:color w:val="auto"/>
              </w:rPr>
            </w:pPr>
          </w:p>
        </w:tc>
        <w:tc>
          <w:tcPr>
            <w:tcW w:w="15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Maturity Date</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Principal</w:t>
            </w:r>
          </w:p>
        </w:tc>
        <w:tc>
          <w:tcPr>
            <w:tcW w:w="8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Rate</w:t>
            </w:r>
          </w:p>
        </w:tc>
        <w:tc>
          <w:tcPr>
            <w:tcW w:w="80" w:type="dxa"/>
            <w:vAlign w:val="bottom"/>
          </w:tcPr>
          <w:p>
            <w:pPr>
              <w:spacing w:after="0"/>
              <w:rPr>
                <w:sz w:val="20"/>
                <w:szCs w:val="20"/>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3"/>
              </w:rPr>
              <w:t>2025 (In millions)</w:t>
            </w:r>
          </w:p>
        </w:tc>
        <w:tc>
          <w:tcPr>
            <w:tcW w:w="80" w:type="dxa"/>
            <w:vAlign w:val="bottom"/>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 xml:space="preserve">Avra Valley </w:t>
            </w:r>
            <w:r>
              <w:rPr>
                <w:rFonts w:ascii="Arial" w:cs="Arial" w:eastAsia="Arial" w:hAnsi="Arial"/>
                <w:sz w:val="18"/>
                <w:szCs w:val="18"/>
                <w:color w:val="B4B4B4"/>
                <w:w w:val="92"/>
              </w:rPr>
              <w:t>.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85 %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2.20 %</w:t>
            </w:r>
          </w:p>
        </w:tc>
        <w:tc>
          <w:tcPr>
            <w:tcW w:w="80" w:type="dxa"/>
            <w:vAlign w:val="bottom"/>
          </w:tcPr>
          <w:p>
            <w:pPr>
              <w:spacing w:after="0"/>
              <w:rPr>
                <w:sz w:val="22"/>
                <w:szCs w:val="22"/>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March 31, 2023</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January 31, 2031</w:t>
            </w:r>
          </w:p>
        </w:tc>
        <w:tc>
          <w:tcPr>
            <w:tcW w:w="0" w:type="dxa"/>
            <w:vAlign w:val="bottom"/>
          </w:tcPr>
          <w:p>
            <w:pPr>
              <w:spacing w:after="0"/>
              <w:rPr>
                <w:sz w:val="1"/>
                <w:szCs w:val="1"/>
                <w:color w:val="auto"/>
              </w:rPr>
            </w:pPr>
          </w:p>
        </w:tc>
      </w:tr>
      <w:tr>
        <w:trPr>
          <w:trHeight w:val="456"/>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 xml:space="preserve">Alta Wind Asset Management  </w:t>
            </w:r>
            <w:r>
              <w:rPr>
                <w:rFonts w:ascii="Arial" w:cs="Arial" w:eastAsia="Arial" w:hAnsi="Arial"/>
                <w:sz w:val="18"/>
                <w:szCs w:val="18"/>
                <w:color w:val="B4B4B4"/>
                <w:w w:val="92"/>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2.22 %</w:t>
            </w:r>
          </w:p>
        </w:tc>
        <w:tc>
          <w:tcPr>
            <w:tcW w:w="8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May 22, 2013</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May 15, 2031</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 xml:space="preserve">Buckthorn Solar </w:t>
            </w:r>
            <w:r>
              <w:rPr>
                <w:rFonts w:ascii="Arial" w:cs="Arial" w:eastAsia="Arial" w:hAnsi="Arial"/>
                <w:sz w:val="18"/>
                <w:szCs w:val="18"/>
                <w:color w:val="B4B4B4"/>
                <w:w w:val="90"/>
              </w:rPr>
              <w:t>.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100 %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2.63 %</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April 9, 2025</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July 31, 2043</w:t>
            </w:r>
          </w:p>
        </w:tc>
        <w:tc>
          <w:tcPr>
            <w:tcW w:w="0" w:type="dxa"/>
            <w:vAlign w:val="bottom"/>
          </w:tcPr>
          <w:p>
            <w:pPr>
              <w:spacing w:after="0"/>
              <w:rPr>
                <w:sz w:val="1"/>
                <w:szCs w:val="1"/>
                <w:color w:val="auto"/>
              </w:rPr>
            </w:pPr>
          </w:p>
        </w:tc>
      </w:tr>
      <w:tr>
        <w:trPr>
          <w:trHeight w:val="279"/>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 xml:space="preserve">Capistrano Portfolio Holdco </w:t>
            </w:r>
            <w:r>
              <w:rPr>
                <w:rFonts w:ascii="Arial" w:cs="Arial" w:eastAsia="Arial" w:hAnsi="Arial"/>
                <w:sz w:val="18"/>
                <w:szCs w:val="18"/>
                <w:color w:val="B4B4B4"/>
                <w:w w:val="93"/>
              </w:rPr>
              <w:t>. . .</w:t>
            </w:r>
          </w:p>
        </w:tc>
        <w:tc>
          <w:tcPr>
            <w:tcW w:w="80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October 24, 2024</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w w:val="90"/>
              </w:rPr>
              <w:t>September 30, 2033</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xml:space="preserve">Carlsbad Energy Holdings  </w:t>
            </w:r>
            <w:r>
              <w:rPr>
                <w:rFonts w:ascii="Arial" w:cs="Arial" w:eastAsia="Arial" w:hAnsi="Arial"/>
                <w:sz w:val="18"/>
                <w:szCs w:val="18"/>
                <w:color w:val="B4B4B4"/>
                <w:w w:val="91"/>
              </w:rPr>
              <w:t>. . . .</w:t>
            </w:r>
          </w:p>
        </w:tc>
        <w:tc>
          <w:tcPr>
            <w:tcW w:w="80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w w:val="90"/>
              </w:rPr>
              <w:t>September 30, 2027</w:t>
            </w:r>
          </w:p>
        </w:tc>
        <w:tc>
          <w:tcPr>
            <w:tcW w:w="0" w:type="dxa"/>
            <w:vAlign w:val="bottom"/>
          </w:tcPr>
          <w:p>
            <w:pPr>
              <w:spacing w:after="0"/>
              <w:rPr>
                <w:sz w:val="1"/>
                <w:szCs w:val="1"/>
                <w:color w:val="auto"/>
              </w:rPr>
            </w:pPr>
          </w:p>
        </w:tc>
      </w:tr>
      <w:tr>
        <w:trPr>
          <w:trHeight w:val="279"/>
        </w:trPr>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 xml:space="preserve">Cedar Creek </w:t>
            </w:r>
            <w:r>
              <w:rPr>
                <w:rFonts w:ascii="Arial" w:cs="Arial" w:eastAsia="Arial" w:hAnsi="Arial"/>
                <w:sz w:val="18"/>
                <w:szCs w:val="18"/>
                <w:color w:val="B4B4B4"/>
                <w:w w:val="89"/>
              </w:rPr>
              <w:t>.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100 %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3.02 %</w:t>
            </w:r>
          </w:p>
        </w:tc>
        <w:tc>
          <w:tcPr>
            <w:tcW w:w="8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April 30, 2024</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March 31, 2049</w:t>
            </w:r>
          </w:p>
        </w:tc>
        <w:tc>
          <w:tcPr>
            <w:tcW w:w="0" w:type="dxa"/>
            <w:vAlign w:val="bottom"/>
          </w:tcPr>
          <w:p>
            <w:pPr>
              <w:spacing w:after="0"/>
              <w:rPr>
                <w:sz w:val="1"/>
                <w:szCs w:val="1"/>
                <w:color w:val="auto"/>
              </w:rPr>
            </w:pPr>
          </w:p>
        </w:tc>
      </w:tr>
      <w:tr>
        <w:trPr>
          <w:trHeight w:val="279"/>
        </w:trPr>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 xml:space="preserve">Cedro Hill </w:t>
            </w:r>
            <w:r>
              <w:rPr>
                <w:rFonts w:ascii="Arial" w:cs="Arial" w:eastAsia="Arial" w:hAnsi="Arial"/>
                <w:sz w:val="18"/>
                <w:szCs w:val="18"/>
                <w:color w:val="B4B4B4"/>
                <w:w w:val="93"/>
              </w:rPr>
              <w:t>.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w w:val="90"/>
              </w:rPr>
              <w:t>September 30, 2044</w:t>
            </w:r>
          </w:p>
        </w:tc>
        <w:tc>
          <w:tcPr>
            <w:tcW w:w="0" w:type="dxa"/>
            <w:vAlign w:val="bottom"/>
          </w:tcPr>
          <w:p>
            <w:pPr>
              <w:spacing w:after="0"/>
              <w:rPr>
                <w:sz w:val="1"/>
                <w:szCs w:val="1"/>
                <w:color w:val="auto"/>
              </w:rPr>
            </w:pPr>
          </w:p>
        </w:tc>
      </w:tr>
      <w:tr>
        <w:trPr>
          <w:trHeight w:val="300"/>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xml:space="preserve">Clearway Energy Operating </w:t>
            </w:r>
            <w:r>
              <w:rPr>
                <w:rFonts w:ascii="Arial" w:cs="Arial" w:eastAsia="Arial" w:hAnsi="Arial"/>
                <w:sz w:val="22"/>
                <w:szCs w:val="22"/>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4B4B4"/>
                <w:w w:val="8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29"/>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xml:space="preserve">Daggett 1 </w:t>
            </w:r>
            <w:r>
              <w:rPr>
                <w:rFonts w:ascii="Arial" w:cs="Arial" w:eastAsia="Arial" w:hAnsi="Arial"/>
                <w:sz w:val="18"/>
                <w:szCs w:val="18"/>
                <w:color w:val="B4B4B4"/>
                <w:w w:val="89"/>
              </w:rPr>
              <w:t>.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xml:space="preserve">Daggett 2 </w:t>
            </w:r>
            <w:r>
              <w:rPr>
                <w:rFonts w:ascii="Arial" w:cs="Arial" w:eastAsia="Arial" w:hAnsi="Arial"/>
                <w:sz w:val="18"/>
                <w:szCs w:val="18"/>
                <w:color w:val="B4B4B4"/>
                <w:w w:val="89"/>
              </w:rPr>
              <w:t>.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87 %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March 29, 2024</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March 31, 2043</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xml:space="preserve">Daggett 3 </w:t>
            </w:r>
            <w:r>
              <w:rPr>
                <w:rFonts w:ascii="Arial" w:cs="Arial" w:eastAsia="Arial" w:hAnsi="Arial"/>
                <w:sz w:val="18"/>
                <w:szCs w:val="18"/>
                <w:color w:val="B4B4B4"/>
                <w:w w:val="89"/>
              </w:rPr>
              <w:t>. .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84 %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w w:val="93"/>
              </w:rPr>
              <w:t>September 30, 2024</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w w:val="90"/>
              </w:rPr>
              <w:t>September 30, 2043</w:t>
            </w:r>
          </w:p>
        </w:tc>
        <w:tc>
          <w:tcPr>
            <w:tcW w:w="0" w:type="dxa"/>
            <w:vAlign w:val="bottom"/>
          </w:tcPr>
          <w:p>
            <w:pPr>
              <w:spacing w:after="0"/>
              <w:rPr>
                <w:sz w:val="1"/>
                <w:szCs w:val="1"/>
                <w:color w:val="auto"/>
              </w:rPr>
            </w:pPr>
          </w:p>
        </w:tc>
      </w:tr>
      <w:tr>
        <w:trPr>
          <w:trHeight w:val="271"/>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 xml:space="preserve">Honeycomb Portfolio </w:t>
            </w:r>
            <w:r>
              <w:rPr>
                <w:rFonts w:ascii="Arial" w:cs="Arial" w:eastAsia="Arial" w:hAnsi="Arial"/>
                <w:sz w:val="22"/>
                <w:szCs w:val="22"/>
                <w:color w:val="auto"/>
                <w:w w:val="90"/>
                <w:vertAlign w:val="superscript"/>
              </w:rPr>
              <w:t>(a)</w:t>
            </w:r>
            <w:r>
              <w:rPr>
                <w:rFonts w:ascii="Arial" w:cs="Arial" w:eastAsia="Arial" w:hAnsi="Arial"/>
                <w:sz w:val="18"/>
                <w:szCs w:val="18"/>
                <w:color w:val="auto"/>
                <w:w w:val="90"/>
              </w:rPr>
              <w:t xml:space="preserve">  </w:t>
            </w:r>
            <w:r>
              <w:rPr>
                <w:rFonts w:ascii="Arial" w:cs="Arial" w:eastAsia="Arial" w:hAnsi="Arial"/>
                <w:sz w:val="18"/>
                <w:szCs w:val="18"/>
                <w:color w:val="B4B4B4"/>
                <w:w w:val="90"/>
              </w:rPr>
              <w:t>. . . . . .</w:t>
            </w:r>
          </w:p>
        </w:tc>
        <w:tc>
          <w:tcPr>
            <w:tcW w:w="800" w:type="dxa"/>
            <w:vAlign w:val="bottom"/>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3"/>
                <w:szCs w:val="23"/>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29"/>
        </w:trPr>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 xml:space="preserve">Kansas South </w:t>
            </w:r>
            <w:r>
              <w:rPr>
                <w:rFonts w:ascii="Arial" w:cs="Arial" w:eastAsia="Arial" w:hAnsi="Arial"/>
                <w:sz w:val="18"/>
                <w:szCs w:val="18"/>
                <w:color w:val="B4B4B4"/>
                <w:w w:val="89"/>
              </w:rPr>
              <w:t>.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75 %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8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3200" w:type="dxa"/>
            <w:vAlign w:val="bottom"/>
            <w:gridSpan w:val="3"/>
          </w:tcPr>
          <w:p>
            <w:pPr>
              <w:jc w:val="right"/>
              <w:spacing w:after="0"/>
              <w:rPr>
                <w:sz w:val="20"/>
                <w:szCs w:val="20"/>
                <w:color w:val="auto"/>
              </w:rPr>
            </w:pPr>
            <w:r>
              <w:rPr>
                <w:rFonts w:ascii="Arial" w:cs="Arial" w:eastAsia="Arial" w:hAnsi="Arial"/>
                <w:sz w:val="18"/>
                <w:szCs w:val="18"/>
                <w:color w:val="auto"/>
              </w:rPr>
              <w:t>June 28, 2013   December 31, 2030</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 xml:space="preserve">Luna Valley </w:t>
            </w:r>
            <w:r>
              <w:rPr>
                <w:rFonts w:ascii="Arial" w:cs="Arial" w:eastAsia="Arial" w:hAnsi="Arial"/>
                <w:sz w:val="18"/>
                <w:szCs w:val="18"/>
                <w:color w:val="B4B4B4"/>
                <w:w w:val="92"/>
              </w:rPr>
              <w:t>.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 xml:space="preserve">Mililani Class B </w:t>
            </w:r>
            <w:r>
              <w:rPr>
                <w:rFonts w:ascii="Arial" w:cs="Arial" w:eastAsia="Arial" w:hAnsi="Arial"/>
                <w:sz w:val="18"/>
                <w:szCs w:val="18"/>
                <w:color w:val="B4B4B4"/>
                <w:w w:val="92"/>
              </w:rPr>
              <w:t>.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97 %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 xml:space="preserve">NIMH Solar </w:t>
            </w:r>
            <w:r>
              <w:rPr>
                <w:rFonts w:ascii="Arial" w:cs="Arial" w:eastAsia="Arial" w:hAnsi="Arial"/>
                <w:sz w:val="18"/>
                <w:szCs w:val="18"/>
                <w:color w:val="B4B4B4"/>
                <w:w w:val="92"/>
              </w:rPr>
              <w:t>.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100 %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3.25 %</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June 11, 2024</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January 31, 2033</w:t>
            </w:r>
          </w:p>
        </w:tc>
        <w:tc>
          <w:tcPr>
            <w:tcW w:w="0" w:type="dxa"/>
            <w:vAlign w:val="bottom"/>
          </w:tcPr>
          <w:p>
            <w:pPr>
              <w:spacing w:after="0"/>
              <w:rPr>
                <w:sz w:val="1"/>
                <w:szCs w:val="1"/>
                <w:color w:val="auto"/>
              </w:rPr>
            </w:pPr>
          </w:p>
        </w:tc>
      </w:tr>
      <w:tr>
        <w:trPr>
          <w:trHeight w:val="279"/>
        </w:trPr>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 xml:space="preserve">Oahu Solar </w:t>
            </w:r>
            <w:r>
              <w:rPr>
                <w:rFonts w:ascii="Arial" w:cs="Arial" w:eastAsia="Arial" w:hAnsi="Arial"/>
                <w:sz w:val="18"/>
                <w:szCs w:val="18"/>
                <w:color w:val="B4B4B4"/>
                <w:w w:val="89"/>
              </w:rPr>
              <w:t>.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96 %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2.47 %</w:t>
            </w:r>
          </w:p>
        </w:tc>
        <w:tc>
          <w:tcPr>
            <w:tcW w:w="8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w w:val="96"/>
              </w:rPr>
              <w:t>November 30, 2019</w:t>
            </w: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October 31, 2040</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 xml:space="preserve">Pine Forest </w:t>
            </w:r>
            <w:r>
              <w:rPr>
                <w:rFonts w:ascii="Arial" w:cs="Arial" w:eastAsia="Arial" w:hAnsi="Arial"/>
                <w:sz w:val="18"/>
                <w:szCs w:val="18"/>
                <w:color w:val="B4B4B4"/>
                <w:w w:val="89"/>
              </w:rPr>
              <w:t>.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w w:val="96"/>
              </w:rPr>
              <w:t>November 28, 2025</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March 31, 2050</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xml:space="preserve">Rosie Class B  </w:t>
            </w:r>
            <w:r>
              <w:rPr>
                <w:rFonts w:ascii="Arial" w:cs="Arial" w:eastAsia="Arial" w:hAnsi="Arial"/>
                <w:sz w:val="18"/>
                <w:szCs w:val="18"/>
                <w:color w:val="B4B4B4"/>
                <w:w w:val="89"/>
              </w:rPr>
              <w:t>.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93 %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xml:space="preserve">Rosie South </w:t>
            </w:r>
            <w:r>
              <w:rPr>
                <w:rFonts w:ascii="Arial" w:cs="Arial" w:eastAsia="Arial" w:hAnsi="Arial"/>
                <w:sz w:val="18"/>
                <w:szCs w:val="18"/>
                <w:color w:val="B4B4B4"/>
                <w:w w:val="89"/>
              </w:rPr>
              <w:t>.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90 %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xml:space="preserve">South Trent </w:t>
            </w:r>
            <w:r>
              <w:rPr>
                <w:rFonts w:ascii="Arial" w:cs="Arial" w:eastAsia="Arial" w:hAnsi="Arial"/>
                <w:sz w:val="18"/>
                <w:szCs w:val="18"/>
                <w:color w:val="B4B4B4"/>
                <w:w w:val="91"/>
              </w:rPr>
              <w:t>.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90 %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June 30, 2028</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xml:space="preserve">TSN1 Class B </w:t>
            </w:r>
            <w:r>
              <w:rPr>
                <w:rFonts w:ascii="Arial" w:cs="Arial" w:eastAsia="Arial" w:hAnsi="Arial"/>
                <w:sz w:val="18"/>
                <w:szCs w:val="18"/>
                <w:color w:val="B4B4B4"/>
                <w:w w:val="91"/>
              </w:rPr>
              <w:t>.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1"/>
                <w:szCs w:val="21"/>
                <w:color w:val="auto"/>
              </w:rPr>
            </w:pPr>
          </w:p>
        </w:tc>
        <w:tc>
          <w:tcPr>
            <w:tcW w:w="3200" w:type="dxa"/>
            <w:vAlign w:val="bottom"/>
            <w:gridSpan w:val="3"/>
          </w:tcPr>
          <w:p>
            <w:pPr>
              <w:jc w:val="right"/>
              <w:spacing w:after="0"/>
              <w:rPr>
                <w:sz w:val="20"/>
                <w:szCs w:val="20"/>
                <w:color w:val="auto"/>
              </w:rPr>
            </w:pPr>
            <w:r>
              <w:rPr>
                <w:rFonts w:ascii="Arial" w:cs="Arial" w:eastAsia="Arial" w:hAnsi="Arial"/>
                <w:sz w:val="18"/>
                <w:szCs w:val="18"/>
                <w:color w:val="auto"/>
              </w:rPr>
              <w:t>March 29, 2024  September 30, 2043</w:t>
            </w:r>
          </w:p>
        </w:tc>
        <w:tc>
          <w:tcPr>
            <w:tcW w:w="0" w:type="dxa"/>
            <w:vAlign w:val="bottom"/>
          </w:tcPr>
          <w:p>
            <w:pPr>
              <w:spacing w:after="0"/>
              <w:rPr>
                <w:sz w:val="1"/>
                <w:szCs w:val="1"/>
                <w:color w:val="auto"/>
              </w:rPr>
            </w:pPr>
          </w:p>
        </w:tc>
      </w:tr>
      <w:tr>
        <w:trPr>
          <w:trHeight w:val="250"/>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xml:space="preserve">Viento Funding II </w:t>
            </w:r>
            <w:r>
              <w:rPr>
                <w:rFonts w:ascii="Arial" w:cs="Arial" w:eastAsia="Arial" w:hAnsi="Arial"/>
                <w:sz w:val="18"/>
                <w:szCs w:val="18"/>
                <w:color w:val="B4B4B4"/>
                <w:w w:val="94"/>
              </w:rPr>
              <w:t>.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90 %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2.53 %</w:t>
            </w:r>
          </w:p>
        </w:tc>
        <w:tc>
          <w:tcPr>
            <w:tcW w:w="8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w w:val="93"/>
              </w:rPr>
              <w:t>December 31, 2032</w:t>
            </w:r>
          </w:p>
        </w:tc>
        <w:tc>
          <w:tcPr>
            <w:tcW w:w="0" w:type="dxa"/>
            <w:vAlign w:val="bottom"/>
          </w:tcPr>
          <w:p>
            <w:pPr>
              <w:spacing w:after="0"/>
              <w:rPr>
                <w:sz w:val="1"/>
                <w:szCs w:val="1"/>
                <w:color w:val="auto"/>
              </w:rPr>
            </w:pPr>
          </w:p>
        </w:tc>
      </w:tr>
      <w:tr>
        <w:trPr>
          <w:trHeight w:val="255"/>
        </w:trPr>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 xml:space="preserve">Tuolumne  </w:t>
            </w:r>
            <w:r>
              <w:rPr>
                <w:rFonts w:ascii="Arial" w:cs="Arial" w:eastAsia="Arial" w:hAnsi="Arial"/>
                <w:sz w:val="18"/>
                <w:szCs w:val="18"/>
                <w:color w:val="B4B4B4"/>
                <w:w w:val="90"/>
              </w:rPr>
              <w:t>. . . . . . . . . . . . . . . . .</w:t>
            </w:r>
          </w:p>
        </w:tc>
        <w:tc>
          <w:tcPr>
            <w:tcW w:w="80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Various</w:t>
            </w:r>
          </w:p>
        </w:tc>
        <w:tc>
          <w:tcPr>
            <w:tcW w:w="80" w:type="dxa"/>
            <w:vAlign w:val="bottom"/>
          </w:tcPr>
          <w:p>
            <w:pPr>
              <w:spacing w:after="0"/>
              <w:rPr>
                <w:sz w:val="22"/>
                <w:szCs w:val="22"/>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SOFR</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April 29, 2025</w:t>
            </w:r>
          </w:p>
        </w:tc>
        <w:tc>
          <w:tcPr>
            <w:tcW w:w="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March 31, 2040</w:t>
            </w:r>
          </w:p>
        </w:tc>
        <w:tc>
          <w:tcPr>
            <w:tcW w:w="0" w:type="dxa"/>
            <w:vAlign w:val="bottom"/>
          </w:tcPr>
          <w:p>
            <w:pPr>
              <w:spacing w:after="0"/>
              <w:rPr>
                <w:sz w:val="1"/>
                <w:szCs w:val="1"/>
                <w:color w:val="auto"/>
              </w:rPr>
            </w:pPr>
          </w:p>
        </w:tc>
      </w:tr>
      <w:tr>
        <w:trPr>
          <w:trHeight w:val="210"/>
        </w:trPr>
        <w:tc>
          <w:tcPr>
            <w:tcW w:w="3280" w:type="dxa"/>
            <w:vAlign w:val="bottom"/>
            <w:gridSpan w:val="3"/>
          </w:tcPr>
          <w:p>
            <w:pPr>
              <w:jc w:val="right"/>
              <w:ind w:right="852"/>
              <w:spacing w:after="0"/>
              <w:rPr>
                <w:sz w:val="20"/>
                <w:szCs w:val="20"/>
                <w:color w:val="auto"/>
              </w:rPr>
            </w:pPr>
            <w:r>
              <w:rPr>
                <w:rFonts w:ascii="Arial" w:cs="Arial" w:eastAsia="Arial" w:hAnsi="Arial"/>
                <w:sz w:val="18"/>
                <w:szCs w:val="18"/>
                <w:color w:val="B4B4B4"/>
                <w:w w:val="94"/>
              </w:rPr>
              <w:t>. . . . . . . . . . . . . . . . . . . . .</w:t>
            </w:r>
            <w:r>
              <w:rPr>
                <w:rFonts w:ascii="Arial" w:cs="Arial" w:eastAsia="Arial" w:hAnsi="Arial"/>
                <w:sz w:val="18"/>
                <w:szCs w:val="18"/>
                <w:color w:val="000000"/>
                <w:w w:val="94"/>
              </w:rPr>
              <w:t>Total</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-4337050</wp:posOffset>
            </wp:positionV>
            <wp:extent cx="6269990" cy="424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0">
                      <a:extLst>
                        <a:ext uri="{28A0092B-C50C-407E-A947-70E740481C1C}"/>
                      </a:extLst>
                    </a:blip>
                    <a:srcRect/>
                    <a:stretch>
                      <a:fillRect/>
                    </a:stretch>
                  </pic:blipFill>
                  <pic:spPr bwMode="auto">
                    <a:xfrm>
                      <a:off x="0" y="0"/>
                      <a:ext cx="6269990" cy="4247515"/>
                    </a:xfrm>
                    <a:prstGeom prst="rect">
                      <a:avLst/>
                    </a:prstGeom>
                    <a:noFill/>
                  </pic:spPr>
                </pic:pic>
              </a:graphicData>
            </a:graphic>
          </wp:anchor>
        </w:drawing>
      </w:r>
    </w:p>
    <w:p>
      <w:pPr>
        <w:spacing w:after="0" w:line="4" w:lineRule="exact"/>
        <w:rPr>
          <w:sz w:val="20"/>
          <w:szCs w:val="20"/>
          <w:color w:val="auto"/>
        </w:rPr>
      </w:pPr>
    </w:p>
    <w:p>
      <w:pPr>
        <w:ind w:left="280" w:hanging="199"/>
        <w:spacing w:after="0"/>
        <w:tabs>
          <w:tab w:leader="none" w:pos="280" w:val="left"/>
        </w:tabs>
        <w:numPr>
          <w:ilvl w:val="0"/>
          <w:numId w:val="73"/>
        </w:numPr>
        <w:rPr>
          <w:rFonts w:ascii="Arial" w:cs="Arial" w:eastAsia="Arial" w:hAnsi="Arial"/>
          <w:sz w:val="19"/>
          <w:szCs w:val="19"/>
          <w:color w:val="auto"/>
          <w:vertAlign w:val="superscript"/>
        </w:rPr>
      </w:pPr>
      <w:r>
        <w:rPr>
          <w:rFonts w:ascii="Arial" w:cs="Arial" w:eastAsia="Arial" w:hAnsi="Arial"/>
          <w:sz w:val="15"/>
          <w:szCs w:val="15"/>
          <w:color w:val="auto"/>
        </w:rPr>
        <w:t>As of December 31, 2025, the notional amount includes forward swaps that are not included in the percentage of outstanding principal disclosed.</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20"/>
          <w:szCs w:val="20"/>
          <w:b w:val="1"/>
          <w:bCs w:val="1"/>
          <w:i w:val="1"/>
          <w:iCs w:val="1"/>
          <w:color w:val="auto"/>
        </w:rPr>
        <w:t>Annual Maturities</w:t>
      </w:r>
    </w:p>
    <w:p>
      <w:pPr>
        <w:spacing w:after="0" w:line="189" w:lineRule="exact"/>
        <w:rPr>
          <w:sz w:val="20"/>
          <w:szCs w:val="20"/>
          <w:color w:val="auto"/>
        </w:rPr>
      </w:pPr>
    </w:p>
    <w:p>
      <w:pPr>
        <w:ind w:firstLine="485"/>
        <w:spacing w:after="0" w:line="271" w:lineRule="auto"/>
        <w:rPr>
          <w:sz w:val="20"/>
          <w:szCs w:val="20"/>
          <w:color w:val="auto"/>
        </w:rPr>
      </w:pPr>
      <w:r>
        <w:rPr>
          <w:rFonts w:ascii="Arial" w:cs="Arial" w:eastAsia="Arial" w:hAnsi="Arial"/>
          <w:sz w:val="20"/>
          <w:szCs w:val="20"/>
          <w:color w:val="auto"/>
        </w:rPr>
        <w:t>Annual payments based on the maturities of the Company’s debt, for the years ending after December 31, 2025,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4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(In millions)</w:t>
            </w:r>
          </w:p>
        </w:tc>
      </w:tr>
      <w:tr>
        <w:trPr>
          <w:trHeight w:val="303"/>
        </w:trPr>
        <w:tc>
          <w:tcPr>
            <w:tcW w:w="8180" w:type="dxa"/>
            <w:vAlign w:val="bottom"/>
            <w:gridSpan w:val="2"/>
          </w:tcPr>
          <w:p>
            <w:pPr>
              <w:jc w:val="right"/>
              <w:ind w:right="60"/>
              <w:spacing w:after="0"/>
              <w:rPr>
                <w:sz w:val="20"/>
                <w:szCs w:val="20"/>
                <w:color w:val="auto"/>
              </w:rPr>
            </w:pPr>
            <w:r>
              <w:rPr>
                <w:rFonts w:ascii="Arial" w:cs="Arial" w:eastAsia="Arial" w:hAnsi="Arial"/>
                <w:sz w:val="18"/>
                <w:szCs w:val="18"/>
                <w:color w:val="B4B4B4"/>
                <w:w w:val="97"/>
              </w:rPr>
              <w:t>. . . . . . . . . . . . . . . . . . . . . . . . . . . . . . . . . . . . . . . . . . . . . . . . . . . . . . . . . . . . . . . . . . . . . .</w:t>
            </w:r>
            <w:r>
              <w:rPr>
                <w:rFonts w:ascii="Arial" w:cs="Arial" w:eastAsia="Arial" w:hAnsi="Arial"/>
                <w:sz w:val="18"/>
                <w:szCs w:val="18"/>
                <w:color w:val="000000"/>
                <w:w w:val="97"/>
              </w:rPr>
              <w:t>2026</w:t>
            </w:r>
            <w:r>
              <w:rPr>
                <w:rFonts w:ascii="Arial" w:cs="Arial" w:eastAsia="Arial" w:hAnsi="Arial"/>
                <w:sz w:val="22"/>
                <w:szCs w:val="22"/>
                <w:color w:val="000000"/>
                <w:w w:val="97"/>
                <w:vertAlign w:val="superscript"/>
              </w:rPr>
              <w:t>(a)</w:t>
            </w:r>
            <w:r>
              <w:rPr>
                <w:rFonts w:ascii="Arial" w:cs="Arial" w:eastAsia="Arial" w:hAnsi="Arial"/>
                <w:sz w:val="18"/>
                <w:szCs w:val="18"/>
                <w:color w:val="B4B4B4"/>
                <w:w w:val="97"/>
              </w:rPr>
              <w:t>...............</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1,139</w:t>
            </w:r>
          </w:p>
        </w:tc>
      </w:tr>
      <w:tr>
        <w:trPr>
          <w:trHeight w:val="230"/>
        </w:trPr>
        <w:tc>
          <w:tcPr>
            <w:tcW w:w="81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xml:space="preserve">2027 </w:t>
            </w:r>
            <w:r>
              <w:rPr>
                <w:rFonts w:ascii="Arial" w:cs="Arial" w:eastAsia="Arial" w:hAnsi="Arial"/>
                <w:sz w:val="18"/>
                <w:szCs w:val="18"/>
                <w:color w:val="B4B4B4"/>
                <w:w w:val="88"/>
              </w:rPr>
              <w:t>. . . . . . . . . . . . . . . . . . . . . . . . . . . . . . . . . . . . . . . . . . . . . . . . . . . . . . . . . . . . . . . . . . . . . . . . . . . . . . . . . . . . . . .</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9"/>
        </w:trPr>
        <w:tc>
          <w:tcPr>
            <w:tcW w:w="81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xml:space="preserve">2028 </w:t>
            </w:r>
            <w:r>
              <w:rPr>
                <w:rFonts w:ascii="Arial" w:cs="Arial" w:eastAsia="Arial" w:hAnsi="Arial"/>
                <w:sz w:val="18"/>
                <w:szCs w:val="18"/>
                <w:color w:val="B4B4B4"/>
                <w:w w:val="88"/>
              </w:rPr>
              <w:t>. . . . . . . . . . . . . . . . . . . . . . . . . . . . . . . . . . . . . . . . . . . . . . . . . . . . . . . . . . . . . . . . . . . . . . . . . . . . . . . . . . . . . . .</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279"/>
        </w:trPr>
        <w:tc>
          <w:tcPr>
            <w:tcW w:w="81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xml:space="preserve">2029 </w:t>
            </w:r>
            <w:r>
              <w:rPr>
                <w:rFonts w:ascii="Arial" w:cs="Arial" w:eastAsia="Arial" w:hAnsi="Arial"/>
                <w:sz w:val="18"/>
                <w:szCs w:val="18"/>
                <w:color w:val="B4B4B4"/>
                <w:w w:val="88"/>
              </w:rPr>
              <w:t>. . . . . . . . . . . . . . . . . . . . . . . . . . . . . . . . . . . . . . . . . . . . . . . . . . . . . . . . . . . . . . . . . . . . . . . . . . . . . . . . . . . . . . .</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863</w:t>
            </w:r>
          </w:p>
        </w:tc>
      </w:tr>
      <w:tr>
        <w:trPr>
          <w:trHeight w:val="279"/>
        </w:trPr>
        <w:tc>
          <w:tcPr>
            <w:tcW w:w="81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xml:space="preserve">2030 </w:t>
            </w:r>
            <w:r>
              <w:rPr>
                <w:rFonts w:ascii="Arial" w:cs="Arial" w:eastAsia="Arial" w:hAnsi="Arial"/>
                <w:sz w:val="18"/>
                <w:szCs w:val="18"/>
                <w:color w:val="B4B4B4"/>
                <w:w w:val="88"/>
              </w:rPr>
              <w:t>. . . . . . . . . . . . . . . . . . . . . . . . . . . . . . . . . . . . . . . . . . . . . . . . . . . . . . . . . . . . . . . . . . . . . . . . . . . . . . . . . . . . . . .</w:t>
            </w:r>
          </w:p>
        </w:tc>
        <w:tc>
          <w:tcPr>
            <w:tcW w:w="3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85"/>
        </w:trPr>
        <w:tc>
          <w:tcPr>
            <w:tcW w:w="8480" w:type="dxa"/>
            <w:vAlign w:val="bottom"/>
            <w:gridSpan w:val="3"/>
          </w:tcPr>
          <w:p>
            <w:pPr>
              <w:jc w:val="right"/>
              <w:ind w:right="272"/>
              <w:spacing w:after="0"/>
              <w:rPr>
                <w:sz w:val="20"/>
                <w:szCs w:val="20"/>
                <w:color w:val="auto"/>
              </w:rPr>
            </w:pPr>
            <w:r>
              <w:rPr>
                <w:rFonts w:ascii="Arial" w:cs="Arial" w:eastAsia="Arial" w:hAnsi="Arial"/>
                <w:sz w:val="18"/>
                <w:szCs w:val="18"/>
                <w:color w:val="auto"/>
                <w:w w:val="89"/>
              </w:rPr>
              <w:t xml:space="preserve">Thereafter  </w:t>
            </w:r>
            <w:r>
              <w:rPr>
                <w:rFonts w:ascii="Arial" w:cs="Arial" w:eastAsia="Arial" w:hAnsi="Arial"/>
                <w:sz w:val="18"/>
                <w:szCs w:val="18"/>
                <w:color w:val="B4B4B4"/>
                <w:w w:val="89"/>
              </w:rPr>
              <w:t>. . . . . . . . . . . . . . . . . . . . . . . . . . . . . . . . . . . . . . . . . . . . . . . . . . . . . . . . . . . . . . . . . . . . . . . . . . . . . . . . . .</w:t>
            </w:r>
          </w:p>
        </w:tc>
        <w:tc>
          <w:tcPr>
            <w:tcW w:w="1540" w:type="dxa"/>
            <w:vAlign w:val="bottom"/>
          </w:tcPr>
          <w:p>
            <w:pPr>
              <w:jc w:val="right"/>
              <w:spacing w:after="0"/>
              <w:rPr>
                <w:sz w:val="20"/>
                <w:szCs w:val="20"/>
                <w:color w:val="auto"/>
              </w:rPr>
            </w:pPr>
            <w:r>
              <w:rPr>
                <w:rFonts w:ascii="Arial" w:cs="Arial" w:eastAsia="Arial" w:hAnsi="Arial"/>
                <w:sz w:val="18"/>
                <w:szCs w:val="18"/>
                <w:color w:val="auto"/>
              </w:rPr>
              <w:t>3,291</w:t>
            </w:r>
          </w:p>
        </w:tc>
      </w:tr>
      <w:tr>
        <w:trPr>
          <w:trHeight w:val="240"/>
        </w:trPr>
        <w:tc>
          <w:tcPr>
            <w:tcW w:w="81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xml:space="preserve">Total </w:t>
            </w:r>
            <w:r>
              <w:rPr>
                <w:rFonts w:ascii="Arial" w:cs="Arial" w:eastAsia="Arial" w:hAnsi="Arial"/>
                <w:sz w:val="18"/>
                <w:szCs w:val="18"/>
                <w:color w:val="B4B4B4"/>
                <w:w w:val="88"/>
              </w:rPr>
              <w:t>. . . . . . . . . . . . . . . . . . . . . . . . . . . . . . . . . . . . . . . . . . . . . . . . . . . . . . . . . . . . . . . . . . . . . . . . . . . . . . . . . . . . . . .</w:t>
            </w:r>
          </w:p>
        </w:tc>
        <w:tc>
          <w:tcPr>
            <w:tcW w:w="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8,674</w:t>
            </w:r>
          </w:p>
        </w:tc>
      </w:tr>
      <w:tr>
        <w:trPr>
          <w:trHeight w:val="20"/>
        </w:trPr>
        <w:tc>
          <w:tcPr>
            <w:tcW w:w="19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6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-1369060</wp:posOffset>
            </wp:positionV>
            <wp:extent cx="6391275" cy="1279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1">
                      <a:extLst>
                        <a:ext uri="{28A0092B-C50C-407E-A947-70E740481C1C}"/>
                      </a:extLst>
                    </a:blip>
                    <a:srcRect/>
                    <a:stretch>
                      <a:fillRect/>
                    </a:stretch>
                  </pic:blipFill>
                  <pic:spPr bwMode="auto">
                    <a:xfrm>
                      <a:off x="0" y="0"/>
                      <a:ext cx="6391275" cy="1279525"/>
                    </a:xfrm>
                    <a:prstGeom prst="rect">
                      <a:avLst/>
                    </a:prstGeom>
                    <a:noFill/>
                  </pic:spPr>
                </pic:pic>
              </a:graphicData>
            </a:graphic>
          </wp:anchor>
        </w:drawing>
      </w:r>
    </w:p>
    <w:p>
      <w:pPr>
        <w:spacing w:after="0" w:line="46" w:lineRule="exact"/>
        <w:rPr>
          <w:sz w:val="20"/>
          <w:szCs w:val="20"/>
          <w:color w:val="auto"/>
        </w:rPr>
      </w:pPr>
    </w:p>
    <w:p>
      <w:pPr>
        <w:ind w:left="80" w:firstLine="1"/>
        <w:spacing w:after="0" w:line="209" w:lineRule="auto"/>
        <w:tabs>
          <w:tab w:leader="none" w:pos="347" w:val="left"/>
        </w:tabs>
        <w:numPr>
          <w:ilvl w:val="0"/>
          <w:numId w:val="74"/>
        </w:numPr>
        <w:rPr>
          <w:rFonts w:ascii="Arial" w:cs="Arial" w:eastAsia="Arial" w:hAnsi="Arial"/>
          <w:sz w:val="25"/>
          <w:szCs w:val="25"/>
          <w:color w:val="auto"/>
          <w:vertAlign w:val="superscript"/>
        </w:rPr>
      </w:pPr>
      <w:r>
        <w:rPr>
          <w:rFonts w:ascii="Arial" w:cs="Arial" w:eastAsia="Arial" w:hAnsi="Arial"/>
          <w:sz w:val="16"/>
          <w:szCs w:val="16"/>
          <w:color w:val="auto"/>
        </w:rPr>
        <w:t>At December 31, 2025, amount includes $431 million of construction-related financings recorded in long-term debt on the Company’s consolidated balance sheet that is being funded through long-term equity contributions or is converting to long-term debt.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Earnings Per Share</w:t>
      </w:r>
    </w:p>
    <w:p>
      <w:pPr>
        <w:spacing w:after="0" w:line="18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9"/>
          <w:szCs w:val="19"/>
          <w:color w:val="auto"/>
        </w:rPr>
        <w:t>Basic earnings per common share is computed by dividing net income (loss)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880" w:h="15480" w:orient="portrait"/>
          <w:cols w:equalWidth="0" w:num="1">
            <w:col w:w="10040"/>
          </w:cols>
          <w:pgMar w:left="920" w:top="584" w:right="920" w:bottom="0" w:gutter="0" w:footer="0" w:header="0"/>
          <w:type w:val="continuous"/>
        </w:sectPr>
      </w:pPr>
    </w:p>
    <w:bookmarkStart w:id="126" w:name="page127"/>
    <w:bookmarkEnd w:id="126"/>
    <w:p>
      <w:pPr>
        <w:ind w:left="440"/>
        <w:spacing w:after="0"/>
        <w:rPr>
          <w:sz w:val="20"/>
          <w:szCs w:val="20"/>
          <w:color w:val="auto"/>
        </w:rPr>
      </w:pPr>
      <w:r>
        <w:rPr>
          <w:rFonts w:ascii="Arial" w:cs="Arial" w:eastAsia="Arial" w:hAnsi="Arial"/>
          <w:sz w:val="17"/>
          <w:szCs w:val="17"/>
          <w:color w:val="auto"/>
        </w:rPr>
        <w:t>The reconciliation of the Company’s basic and diluted earnings per share is shown in the following table:</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(In millions, except per share data)</w:t>
      </w:r>
      <w:r>
        <w:rPr>
          <w:rFonts w:ascii="Arial" w:cs="Arial" w:eastAsia="Arial" w:hAnsi="Arial"/>
          <w:sz w:val="16"/>
          <w:szCs w:val="16"/>
          <w:b w:val="1"/>
          <w:bCs w:val="1"/>
          <w:color w:val="auto"/>
        </w:rPr>
        <w:t xml:space="preserve"> </w:t>
      </w:r>
      <w:r>
        <w:rPr>
          <w:rFonts w:ascii="Arial" w:cs="Arial" w:eastAsia="Arial" w:hAnsi="Arial"/>
          <w:sz w:val="25"/>
          <w:szCs w:val="25"/>
          <w:b w:val="1"/>
          <w:bCs w:val="1"/>
          <w:color w:val="auto"/>
          <w:vertAlign w:val="superscript"/>
        </w:rPr>
        <w:t>(a)</w:t>
      </w:r>
    </w:p>
    <w:p>
      <w:pPr>
        <w:spacing w:after="0" w:line="3" w:lineRule="exact"/>
        <w:rPr>
          <w:sz w:val="20"/>
          <w:szCs w:val="20"/>
          <w:color w:val="auto"/>
        </w:rPr>
      </w:pPr>
    </w:p>
    <w:p>
      <w:pPr>
        <w:ind w:left="220" w:hanging="175"/>
        <w:spacing w:after="0" w:line="286" w:lineRule="auto"/>
        <w:rPr>
          <w:sz w:val="20"/>
          <w:szCs w:val="20"/>
          <w:color w:val="auto"/>
        </w:rPr>
      </w:pPr>
      <w:r>
        <w:rPr>
          <w:rFonts w:ascii="Arial" w:cs="Arial" w:eastAsia="Arial" w:hAnsi="Arial"/>
          <w:sz w:val="17"/>
          <w:szCs w:val="17"/>
          <w:b w:val="1"/>
          <w:bCs w:val="1"/>
          <w:color w:val="auto"/>
        </w:rPr>
        <w:t>Basic and diluted income per share attributable to Clearway Energy, Inc. common stockholders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336994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699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265.35pt,1.9pt" o:allowincell="f" strokecolor="#000000" strokeweight="1pt"/>
            </w:pict>
          </mc:Fallback>
        </mc:AlternateConten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20" w:type="dxa"/>
            <w:vAlign w:val="bottom"/>
            <w:gridSpan w:val="3"/>
          </w:tcPr>
          <w:p>
            <w:pPr>
              <w:jc w:val="right"/>
              <w:ind w:right="622"/>
              <w:spacing w:after="0"/>
              <w:rPr>
                <w:sz w:val="20"/>
                <w:szCs w:val="20"/>
                <w:color w:val="auto"/>
              </w:rPr>
            </w:pPr>
            <w:r>
              <w:rPr>
                <w:rFonts w:ascii="Arial" w:cs="Arial" w:eastAsia="Arial" w:hAnsi="Arial"/>
                <w:sz w:val="16"/>
                <w:szCs w:val="16"/>
                <w:b w:val="1"/>
                <w:bCs w:val="1"/>
                <w:color w:val="auto"/>
              </w:rPr>
              <w:t>2025</w:t>
            </w:r>
          </w:p>
        </w:tc>
        <w:tc>
          <w:tcPr>
            <w:tcW w:w="1800" w:type="dxa"/>
            <w:vAlign w:val="bottom"/>
            <w:gridSpan w:val="4"/>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1780" w:type="dxa"/>
            <w:vAlign w:val="bottom"/>
            <w:gridSpan w:val="4"/>
          </w:tcPr>
          <w:p>
            <w:pPr>
              <w:jc w:val="right"/>
              <w:ind w:right="622"/>
              <w:spacing w:after="0"/>
              <w:rPr>
                <w:sz w:val="20"/>
                <w:szCs w:val="20"/>
                <w:color w:val="auto"/>
              </w:rPr>
            </w:pPr>
            <w:r>
              <w:rPr>
                <w:rFonts w:ascii="Arial" w:cs="Arial" w:eastAsia="Arial" w:hAnsi="Arial"/>
                <w:sz w:val="16"/>
                <w:szCs w:val="16"/>
                <w:b w:val="1"/>
                <w:bCs w:val="1"/>
                <w:color w:val="auto"/>
              </w:rPr>
              <w:t>2023</w:t>
            </w:r>
          </w:p>
        </w:tc>
      </w:tr>
      <w:tr>
        <w:trPr>
          <w:trHeight w:val="182"/>
        </w:trPr>
        <w:tc>
          <w:tcPr>
            <w:tcW w:w="8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89"/>
              </w:rPr>
              <w:t>Common</w:t>
            </w: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89"/>
              </w:rPr>
              <w:t>Common</w:t>
            </w:r>
          </w:p>
        </w:tc>
        <w:tc>
          <w:tcPr>
            <w:tcW w:w="80" w:type="dxa"/>
            <w:vAlign w:val="bottom"/>
          </w:tcPr>
          <w:p>
            <w:pPr>
              <w:spacing w:after="0"/>
              <w:rPr>
                <w:sz w:val="15"/>
                <w:szCs w:val="15"/>
                <w:color w:val="auto"/>
              </w:rPr>
            </w:pPr>
          </w:p>
        </w:tc>
        <w:tc>
          <w:tcPr>
            <w:tcW w:w="8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89"/>
              </w:rPr>
              <w:t>Common</w:t>
            </w: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89"/>
              </w:rPr>
              <w:t>Common</w:t>
            </w:r>
          </w:p>
        </w:tc>
        <w:tc>
          <w:tcPr>
            <w:tcW w:w="60" w:type="dxa"/>
            <w:vAlign w:val="bottom"/>
          </w:tcPr>
          <w:p>
            <w:pPr>
              <w:spacing w:after="0"/>
              <w:rPr>
                <w:sz w:val="15"/>
                <w:szCs w:val="15"/>
                <w:color w:val="auto"/>
              </w:rPr>
            </w:pPr>
          </w:p>
        </w:tc>
        <w:tc>
          <w:tcPr>
            <w:tcW w:w="8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86"/>
              </w:rPr>
              <w:t>Common</w:t>
            </w:r>
          </w:p>
        </w:tc>
        <w:tc>
          <w:tcPr>
            <w:tcW w:w="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89"/>
              </w:rPr>
              <w:t>Common</w:t>
            </w:r>
          </w:p>
        </w:tc>
      </w:tr>
      <w:tr>
        <w:trPr>
          <w:trHeight w:val="210"/>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Class A</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Class C</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Class A</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Class C</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Class A</w:t>
            </w:r>
          </w:p>
        </w:tc>
        <w:tc>
          <w:tcPr>
            <w:tcW w:w="6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Class 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-18415</wp:posOffset>
            </wp:positionV>
            <wp:extent cx="6410325" cy="11303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2">
                      <a:extLst>
                        <a:ext uri="{28A0092B-C50C-407E-A947-70E740481C1C}"/>
                      </a:extLst>
                    </a:blip>
                    <a:srcRect/>
                    <a:stretch>
                      <a:fillRect/>
                    </a:stretch>
                  </pic:blipFill>
                  <pic:spPr bwMode="auto">
                    <a:xfrm>
                      <a:off x="0" y="0"/>
                      <a:ext cx="6410325" cy="1130300"/>
                    </a:xfrm>
                    <a:prstGeom prst="rect">
                      <a:avLst/>
                    </a:prstGeom>
                    <a:noFill/>
                  </pic:spPr>
                </pic:pic>
              </a:graphicData>
            </a:graphic>
          </wp:anchor>
        </w:drawing>
      </w:r>
    </w:p>
    <w:p>
      <w:pPr>
        <w:spacing w:after="0" w:line="486" w:lineRule="exact"/>
        <w:rPr>
          <w:sz w:val="20"/>
          <w:szCs w:val="20"/>
          <w:color w:val="auto"/>
        </w:rPr>
      </w:pPr>
    </w:p>
    <w:p>
      <w:pPr>
        <w:sectPr>
          <w:pgSz w:w="11880" w:h="15480" w:orient="portrait"/>
          <w:cols w:equalWidth="0" w:num="2">
            <w:col w:w="4240" w:space="500"/>
            <w:col w:w="5300"/>
          </w:cols>
          <w:pgMar w:left="920" w:top="584" w:right="920" w:bottom="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5020" w:type="dxa"/>
            <w:vAlign w:val="bottom"/>
            <w:gridSpan w:val="3"/>
          </w:tcPr>
          <w:p>
            <w:pPr>
              <w:ind w:left="180"/>
              <w:spacing w:after="0"/>
              <w:rPr>
                <w:sz w:val="20"/>
                <w:szCs w:val="20"/>
                <w:color w:val="auto"/>
              </w:rPr>
            </w:pPr>
            <w:r>
              <w:rPr>
                <w:rFonts w:ascii="Arial" w:cs="Arial" w:eastAsia="Arial" w:hAnsi="Arial"/>
                <w:sz w:val="20"/>
                <w:szCs w:val="20"/>
                <w:color w:val="auto"/>
                <w:w w:val="94"/>
              </w:rPr>
              <w:t xml:space="preserve">Net income attributable to Clearway Energy, Inc. </w:t>
            </w:r>
            <w:r>
              <w:rPr>
                <w:rFonts w:ascii="Arial" w:cs="Arial" w:eastAsia="Arial" w:hAnsi="Arial"/>
                <w:sz w:val="20"/>
                <w:szCs w:val="20"/>
                <w:color w:val="B4B4B4"/>
                <w:w w:val="94"/>
              </w:rPr>
              <w:t>. . . . . .</w:t>
            </w:r>
            <w:r>
              <w:rPr>
                <w:rFonts w:ascii="Arial" w:cs="Arial" w:eastAsia="Arial" w:hAnsi="Arial"/>
                <w:sz w:val="20"/>
                <w:szCs w:val="20"/>
                <w:color w:val="auto"/>
                <w:w w:val="94"/>
              </w:rPr>
              <w:t xml:space="preserve"> $</w:t>
            </w:r>
          </w:p>
        </w:tc>
        <w:tc>
          <w:tcPr>
            <w:tcW w:w="540" w:type="dxa"/>
            <w:vAlign w:val="bottom"/>
          </w:tcPr>
          <w:p>
            <w:pPr>
              <w:jc w:val="right"/>
              <w:spacing w:after="0"/>
              <w:rPr>
                <w:sz w:val="20"/>
                <w:szCs w:val="20"/>
                <w:color w:val="auto"/>
              </w:rPr>
            </w:pPr>
            <w:r>
              <w:rPr>
                <w:rFonts w:ascii="Arial" w:cs="Arial" w:eastAsia="Arial" w:hAnsi="Arial"/>
                <w:sz w:val="20"/>
                <w:szCs w:val="20"/>
                <w:color w:val="auto"/>
              </w:rPr>
              <w:t>49</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120</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26</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62</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23</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08"/>
        </w:trPr>
        <w:tc>
          <w:tcPr>
            <w:tcW w:w="4740" w:type="dxa"/>
            <w:vAlign w:val="bottom"/>
            <w:gridSpan w:val="2"/>
          </w:tcPr>
          <w:p>
            <w:pPr>
              <w:ind w:left="180"/>
              <w:spacing w:after="0" w:line="207" w:lineRule="exact"/>
              <w:rPr>
                <w:sz w:val="20"/>
                <w:szCs w:val="20"/>
                <w:color w:val="auto"/>
              </w:rPr>
            </w:pPr>
            <w:r>
              <w:rPr>
                <w:rFonts w:ascii="Arial" w:cs="Arial" w:eastAsia="Arial" w:hAnsi="Arial"/>
                <w:sz w:val="20"/>
                <w:szCs w:val="20"/>
                <w:color w:val="auto"/>
              </w:rPr>
              <w:t>Weighted average number of common shares</w:t>
            </w:r>
          </w:p>
        </w:tc>
        <w:tc>
          <w:tcPr>
            <w:tcW w:w="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35</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84</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35</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83</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35</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58"/>
        </w:trPr>
        <w:tc>
          <w:tcPr>
            <w:tcW w:w="4740" w:type="dxa"/>
            <w:vAlign w:val="bottom"/>
            <w:gridSpan w:val="2"/>
          </w:tcPr>
          <w:p>
            <w:pPr>
              <w:jc w:val="right"/>
              <w:ind w:right="60"/>
              <w:spacing w:after="0"/>
              <w:rPr>
                <w:sz w:val="20"/>
                <w:szCs w:val="20"/>
                <w:color w:val="auto"/>
              </w:rPr>
            </w:pPr>
            <w:r>
              <w:rPr>
                <w:rFonts w:ascii="Arial" w:cs="Arial" w:eastAsia="Arial" w:hAnsi="Arial"/>
                <w:sz w:val="20"/>
                <w:szCs w:val="20"/>
                <w:color w:val="auto"/>
                <w:w w:val="97"/>
              </w:rPr>
              <w:t xml:space="preserve">outstanding — basic and diluted  </w:t>
            </w:r>
            <w:r>
              <w:rPr>
                <w:rFonts w:ascii="Arial" w:cs="Arial" w:eastAsia="Arial" w:hAnsi="Arial"/>
                <w:sz w:val="20"/>
                <w:szCs w:val="20"/>
                <w:color w:val="B4B4B4"/>
                <w:w w:val="97"/>
              </w:rPr>
              <w:t>. . . . . . . . . . . . . . . . .</w:t>
            </w:r>
          </w:p>
        </w:tc>
        <w:tc>
          <w:tcPr>
            <w:tcW w:w="2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740" w:type="dxa"/>
            <w:vAlign w:val="bottom"/>
            <w:gridSpan w:val="2"/>
          </w:tcPr>
          <w:p>
            <w:pPr>
              <w:ind w:left="40"/>
              <w:spacing w:after="0" w:line="193" w:lineRule="exact"/>
              <w:rPr>
                <w:sz w:val="20"/>
                <w:szCs w:val="20"/>
                <w:color w:val="auto"/>
              </w:rPr>
            </w:pPr>
            <w:r>
              <w:rPr>
                <w:rFonts w:ascii="Arial" w:cs="Arial" w:eastAsia="Arial" w:hAnsi="Arial"/>
                <w:sz w:val="20"/>
                <w:szCs w:val="20"/>
                <w:b w:val="1"/>
                <w:bCs w:val="1"/>
                <w:color w:val="auto"/>
                <w:w w:val="89"/>
              </w:rPr>
              <w:t>Earnings per weighted average common share — basic</w:t>
            </w:r>
          </w:p>
        </w:tc>
        <w:tc>
          <w:tcPr>
            <w:tcW w:w="280" w:type="dxa"/>
            <w:vAlign w:val="bottom"/>
            <w:vMerge w:val="restart"/>
          </w:tcPr>
          <w:p>
            <w:pPr>
              <w:jc w:val="right"/>
              <w:ind w:right="22"/>
              <w:spacing w:after="0"/>
              <w:rPr>
                <w:sz w:val="20"/>
                <w:szCs w:val="20"/>
                <w:color w:val="auto"/>
              </w:rPr>
            </w:pPr>
            <w:r>
              <w:rPr>
                <w:rFonts w:ascii="Arial" w:cs="Arial" w:eastAsia="Arial" w:hAnsi="Arial"/>
                <w:sz w:val="20"/>
                <w:szCs w:val="20"/>
                <w:color w:val="auto"/>
              </w:rPr>
              <w:t>$</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1.43</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1.43</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color w:val="auto"/>
              </w:rPr>
              <w:t>0.75</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color w:val="auto"/>
              </w:rPr>
              <w:t>0.75</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w:t>
            </w:r>
          </w:p>
        </w:tc>
        <w:tc>
          <w:tcPr>
            <w:tcW w:w="560" w:type="dxa"/>
            <w:vAlign w:val="bottom"/>
            <w:vMerge w:val="restart"/>
          </w:tcPr>
          <w:p>
            <w:pPr>
              <w:jc w:val="right"/>
              <w:spacing w:after="0"/>
              <w:rPr>
                <w:sz w:val="20"/>
                <w:szCs w:val="20"/>
                <w:color w:val="auto"/>
              </w:rPr>
            </w:pPr>
            <w:r>
              <w:rPr>
                <w:rFonts w:ascii="Arial" w:cs="Arial" w:eastAsia="Arial" w:hAnsi="Arial"/>
                <w:sz w:val="20"/>
                <w:szCs w:val="20"/>
                <w:color w:val="auto"/>
              </w:rPr>
              <w:t>0.67</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20"/>
                <w:szCs w:val="20"/>
                <w:color w:val="auto"/>
              </w:rPr>
              <w:t>$</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rPr>
              <w:t>0.67</w:t>
            </w:r>
          </w:p>
        </w:tc>
        <w:tc>
          <w:tcPr>
            <w:tcW w:w="0" w:type="dxa"/>
            <w:vAlign w:val="bottom"/>
          </w:tcPr>
          <w:p>
            <w:pPr>
              <w:spacing w:after="0"/>
              <w:rPr>
                <w:sz w:val="1"/>
                <w:szCs w:val="1"/>
                <w:color w:val="auto"/>
              </w:rPr>
            </w:pPr>
          </w:p>
        </w:tc>
      </w:tr>
      <w:tr>
        <w:trPr>
          <w:trHeight w:val="238"/>
        </w:trPr>
        <w:tc>
          <w:tcPr>
            <w:tcW w:w="47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w w:val="93"/>
              </w:rPr>
              <w:t xml:space="preserve">and diluted </w:t>
            </w:r>
            <w:r>
              <w:rPr>
                <w:rFonts w:ascii="Arial" w:cs="Arial" w:eastAsia="Arial" w:hAnsi="Arial"/>
                <w:sz w:val="20"/>
                <w:szCs w:val="20"/>
                <w:b w:val="1"/>
                <w:bCs w:val="1"/>
                <w:color w:val="B4B4B4"/>
                <w:w w:val="93"/>
              </w:rPr>
              <w:t>. . . . . . . . . . . . . . . . . . . . . . . . . . . . . . . . . . .</w:t>
            </w:r>
          </w:p>
        </w:tc>
        <w:tc>
          <w:tcPr>
            <w:tcW w:w="28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2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80" w:firstLine="1"/>
        <w:spacing w:after="0" w:line="209" w:lineRule="auto"/>
        <w:tabs>
          <w:tab w:leader="none" w:pos="306" w:val="left"/>
        </w:tabs>
        <w:numPr>
          <w:ilvl w:val="0"/>
          <w:numId w:val="75"/>
        </w:numPr>
        <w:rPr>
          <w:rFonts w:ascii="Arial" w:cs="Arial" w:eastAsia="Arial" w:hAnsi="Arial"/>
          <w:sz w:val="25"/>
          <w:szCs w:val="25"/>
          <w:color w:val="auto"/>
          <w:vertAlign w:val="superscript"/>
        </w:rPr>
      </w:pPr>
      <w:r>
        <w:rPr>
          <w:rFonts w:ascii="Arial" w:cs="Arial" w:eastAsia="Arial" w:hAnsi="Arial"/>
          <w:sz w:val="16"/>
          <w:szCs w:val="16"/>
          <w:color w:val="auto"/>
        </w:rPr>
        <w:t>Net income attributable to Clearway Energy, Inc. and basic and diluted earnings per share might not recalculate due to presenting amounts in millions rather than whole dollars.</w:t>
      </w:r>
    </w:p>
    <w:p>
      <w:pPr>
        <w:spacing w:after="0" w:line="143" w:lineRule="exact"/>
        <w:rPr>
          <w:sz w:val="20"/>
          <w:szCs w:val="20"/>
          <w:color w:val="auto"/>
        </w:rPr>
      </w:pPr>
    </w:p>
    <w:p>
      <w:pPr>
        <w:ind w:right="4980"/>
        <w:spacing w:after="0" w:line="433" w:lineRule="auto"/>
        <w:rPr>
          <w:sz w:val="20"/>
          <w:szCs w:val="20"/>
          <w:color w:val="auto"/>
        </w:rPr>
      </w:pPr>
      <w:r>
        <w:rPr>
          <w:rFonts w:ascii="Arial" w:cs="Arial" w:eastAsia="Arial" w:hAnsi="Arial"/>
          <w:sz w:val="20"/>
          <w:szCs w:val="20"/>
          <w:b w:val="1"/>
          <w:bCs w:val="1"/>
          <w:color w:val="auto"/>
        </w:rPr>
        <w:t xml:space="preserve">Note 12 — Stockholders’ Equity </w:t>
      </w:r>
      <w:r>
        <w:rPr>
          <w:rFonts w:ascii="Arial" w:cs="Arial" w:eastAsia="Arial" w:hAnsi="Arial"/>
          <w:sz w:val="20"/>
          <w:szCs w:val="20"/>
          <w:b w:val="1"/>
          <w:bCs w:val="1"/>
          <w:i w:val="1"/>
          <w:iCs w:val="1"/>
          <w:color w:val="auto"/>
        </w:rPr>
        <w:t>At-the-Market Equity Offering Program, or the ATM Program</w:t>
      </w:r>
    </w:p>
    <w:p>
      <w:pPr>
        <w:jc w:val="both"/>
        <w:ind w:firstLine="499"/>
        <w:spacing w:after="0" w:line="263" w:lineRule="auto"/>
        <w:rPr>
          <w:sz w:val="20"/>
          <w:szCs w:val="20"/>
          <w:color w:val="auto"/>
        </w:rPr>
      </w:pPr>
      <w:r>
        <w:rPr>
          <w:rFonts w:ascii="Arial" w:cs="Arial" w:eastAsia="Arial" w:hAnsi="Arial"/>
          <w:sz w:val="19"/>
          <w:szCs w:val="19"/>
          <w:color w:val="auto"/>
        </w:rPr>
        <w:t>On August 6, 2025, the Company entered into an equity distribution agreement with Morgan Stanley &amp; Co. LLC, BofA Securities, Inc., Citigroup Global Markets Inc., J.P. Morgan Securities LLC and Wells Fargo Securities LLC, as sales agents. Pursuant to the terms of the agreement, the Company may offer and sell shares of its Class C common stock, from time to time through the sales agents, up to an aggregate sales price of $100 million through an at-the-market equity offering program, or ATM Program. During the year ended December 31, 2025, the Company sold 787,980 shares of Class C common stock under the ATM Program for gross proceeds of $25 million and incurred fees of less than $1 million, which were exchanged for 787,980 Class C units of Clearway Energy LLC. The net proceeds from the sale of shares under the ATM Program were used for general corporate purposes. As of December 31, 2025, approximately $75 million of Class C common stock remained available for issuance under the ATM Program.</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 Reinvestment and Direct Stock Purchase Plan, or DRIP/DSPP</w:t>
      </w:r>
    </w:p>
    <w:p>
      <w:pPr>
        <w:spacing w:after="0" w:line="189" w:lineRule="exact"/>
        <w:rPr>
          <w:sz w:val="20"/>
          <w:szCs w:val="20"/>
          <w:color w:val="auto"/>
        </w:rPr>
      </w:pPr>
    </w:p>
    <w:p>
      <w:pPr>
        <w:jc w:val="both"/>
        <w:ind w:firstLine="441"/>
        <w:spacing w:after="0" w:line="294" w:lineRule="auto"/>
        <w:rPr>
          <w:sz w:val="20"/>
          <w:szCs w:val="20"/>
          <w:color w:val="auto"/>
        </w:rPr>
      </w:pPr>
      <w:r>
        <w:rPr>
          <w:rFonts w:ascii="Arial" w:cs="Arial" w:eastAsia="Arial" w:hAnsi="Arial"/>
          <w:sz w:val="17"/>
          <w:szCs w:val="17"/>
          <w:color w:val="auto"/>
        </w:rPr>
        <w:t>On August 6, 2025, the Company adopted a DRIP and DSPP, under which the Company registered and reserved for issuance up to an aggregate of 3,300,000 shares of Class C common stock. Under the DRIP, holders of the Company’s Class C common stock can designate all or a portion of their cash dividends, when paid, to be reinvested in additional shares of the Company’s Class C common stock. The DSPP allows (i) plan participants and registered stockholders of the Company who are not plan participants to purchase shares of Class C common stock in the minimum amount of $50 per investment up to a maximum aggregate amount of $150,000 per calendar year; (ii) new investors who do not own shares of Class C common stock to purchase shares by making an initial minimum investment of $250, up to a maximum aggregate amount of $150,000 per calendar year; and (iii) plan participants, other registered stockholders and new investors to request a waiver from the Company to make optional cash investments in excess of the maximum aggregate amount of $150,000 per calendar year. During the year ended December 31, 2025, the Company issued 793,202 shares of Class C common stock under the DSPP for gross proceeds of $25 million and incurred fees of less than $1 million, which were exchanged for 793,202 Class C units of Clearway Energy LLC. The net proceeds from the sale of shares under the DSPP were used for general corporate purposes. As of December 31, 2025, approximately 2,506,798 shares of Class C common stock remained available for issuance under the DRIP/DSPP.</w:t>
      </w:r>
    </w:p>
    <w:p>
      <w:pPr>
        <w:spacing w:after="0" w:line="121"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In January 2026, the Company issued 1,445,244 shares of Class C common stock under the DSPP for gross proceeds of $50 million and incurred fees of less than $1 million, which were exchanged for 1,445,244 Class C units of Clearway Energy LLC. As of January 31, 2026, approximately 1,061,554 shares Class C common stock remained available for issuance under the DRIP/DSPP.</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 to Class A and Class C common stockholders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list the dividends paid on the Company’s Class A and Class C common stock during the years ended</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2024 and 2023:</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9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Fourth Quarter</w:t>
            </w:r>
          </w:p>
        </w:tc>
        <w:tc>
          <w:tcPr>
            <w:tcW w:w="60" w:type="dxa"/>
            <w:vAlign w:val="bottom"/>
          </w:tcPr>
          <w:p>
            <w:pPr>
              <w:spacing w:after="0"/>
              <w:rPr>
                <w:sz w:val="15"/>
                <w:szCs w:val="15"/>
                <w:color w:val="auto"/>
              </w:rPr>
            </w:pPr>
          </w:p>
        </w:tc>
        <w:tc>
          <w:tcPr>
            <w:tcW w:w="1200" w:type="dxa"/>
            <w:vAlign w:val="bottom"/>
            <w:gridSpan w:val="2"/>
          </w:tcPr>
          <w:p>
            <w:pPr>
              <w:jc w:val="right"/>
              <w:ind w:right="9"/>
              <w:spacing w:after="0"/>
              <w:rPr>
                <w:sz w:val="20"/>
                <w:szCs w:val="20"/>
                <w:color w:val="auto"/>
              </w:rPr>
            </w:pPr>
            <w:r>
              <w:rPr>
                <w:rFonts w:ascii="Arial" w:cs="Arial" w:eastAsia="Arial" w:hAnsi="Arial"/>
                <w:sz w:val="16"/>
                <w:szCs w:val="16"/>
                <w:b w:val="1"/>
                <w:bCs w:val="1"/>
                <w:color w:val="auto"/>
              </w:rPr>
              <w:t>Third Quarter</w:t>
            </w:r>
          </w:p>
        </w:tc>
        <w:tc>
          <w:tcPr>
            <w:tcW w:w="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w w:val="91"/>
              </w:rPr>
              <w:t>Second Quarter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First Quarter</w:t>
            </w:r>
          </w:p>
        </w:tc>
      </w:tr>
      <w:tr>
        <w:trPr>
          <w:trHeight w:val="210"/>
        </w:trPr>
        <w:tc>
          <w:tcPr>
            <w:tcW w:w="4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2025</w:t>
            </w:r>
          </w:p>
        </w:tc>
      </w:tr>
      <w:tr>
        <w:trPr>
          <w:trHeight w:val="270"/>
        </w:trPr>
        <w:tc>
          <w:tcPr>
            <w:tcW w:w="4960" w:type="dxa"/>
            <w:vAlign w:val="bottom"/>
          </w:tcPr>
          <w:p>
            <w:pPr>
              <w:spacing w:after="0"/>
              <w:rPr>
                <w:sz w:val="20"/>
                <w:szCs w:val="20"/>
                <w:color w:val="auto"/>
              </w:rPr>
            </w:pPr>
            <w:r>
              <w:rPr>
                <w:rFonts w:ascii="Arial" w:cs="Arial" w:eastAsia="Arial" w:hAnsi="Arial"/>
                <w:sz w:val="20"/>
                <w:szCs w:val="20"/>
                <w:b w:val="1"/>
                <w:bCs w:val="1"/>
                <w:color w:val="auto"/>
                <w:w w:val="88"/>
              </w:rPr>
              <w:t xml:space="preserve">Dividends per Class A share </w:t>
            </w:r>
            <w:r>
              <w:rPr>
                <w:rFonts w:ascii="Arial" w:cs="Arial" w:eastAsia="Arial" w:hAnsi="Arial"/>
                <w:sz w:val="20"/>
                <w:szCs w:val="20"/>
                <w:b w:val="1"/>
                <w:bCs w:val="1"/>
                <w:color w:val="B4B4B4"/>
                <w:w w:val="88"/>
              </w:rPr>
              <w:t>. . . . . . . . . . . . . . . . . . . . . . . . . .</w:t>
            </w:r>
          </w:p>
        </w:tc>
        <w:tc>
          <w:tcPr>
            <w:tcW w:w="300" w:type="dxa"/>
            <w:vAlign w:val="bottom"/>
          </w:tcPr>
          <w:p>
            <w:pPr>
              <w:jc w:val="right"/>
              <w:ind w:right="5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0.4528</w:t>
            </w:r>
          </w:p>
        </w:tc>
        <w:tc>
          <w:tcPr>
            <w:tcW w:w="36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0.4456</w:t>
            </w:r>
          </w:p>
        </w:tc>
        <w:tc>
          <w:tcPr>
            <w:tcW w:w="3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0.4384</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0.4312</w:t>
            </w:r>
          </w:p>
        </w:tc>
      </w:tr>
      <w:tr>
        <w:trPr>
          <w:trHeight w:val="294"/>
        </w:trPr>
        <w:tc>
          <w:tcPr>
            <w:tcW w:w="4960" w:type="dxa"/>
            <w:vAlign w:val="bottom"/>
          </w:tcPr>
          <w:p>
            <w:pPr>
              <w:spacing w:after="0"/>
              <w:rPr>
                <w:sz w:val="20"/>
                <w:szCs w:val="20"/>
                <w:color w:val="auto"/>
              </w:rPr>
            </w:pPr>
            <w:r>
              <w:rPr>
                <w:rFonts w:ascii="Arial" w:cs="Arial" w:eastAsia="Arial" w:hAnsi="Arial"/>
                <w:sz w:val="20"/>
                <w:szCs w:val="20"/>
                <w:b w:val="1"/>
                <w:bCs w:val="1"/>
                <w:color w:val="auto"/>
                <w:w w:val="89"/>
              </w:rPr>
              <w:t xml:space="preserve">Dividends per Class C share  </w:t>
            </w:r>
            <w:r>
              <w:rPr>
                <w:rFonts w:ascii="Arial" w:cs="Arial" w:eastAsia="Arial" w:hAnsi="Arial"/>
                <w:sz w:val="20"/>
                <w:szCs w:val="20"/>
                <w:b w:val="1"/>
                <w:bCs w:val="1"/>
                <w:color w:val="B4B4B4"/>
                <w:w w:val="89"/>
              </w:rPr>
              <w:t>. . . . . . . . . . . . . . . . . . . . . . . . .</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0.4528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0.4456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0.4384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0.4312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-376555</wp:posOffset>
            </wp:positionV>
            <wp:extent cx="6410325" cy="3987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3">
                      <a:extLst>
                        <a:ext uri="{28A0092B-C50C-407E-A947-70E740481C1C}"/>
                      </a:extLst>
                    </a:blip>
                    <a:srcRect/>
                    <a:stretch>
                      <a:fillRect/>
                    </a:stretch>
                  </pic:blipFill>
                  <pic:spPr bwMode="auto">
                    <a:xfrm>
                      <a:off x="0" y="0"/>
                      <a:ext cx="6410325" cy="398780"/>
                    </a:xfrm>
                    <a:prstGeom prst="rect">
                      <a:avLst/>
                    </a:prstGeom>
                    <a:noFill/>
                  </pic:spPr>
                </pic:pic>
              </a:graphicData>
            </a:graphic>
          </wp:anchor>
        </w:drawing>
      </w:r>
    </w:p>
    <w:p>
      <w:pPr>
        <w:sectPr>
          <w:pgSz w:w="11880" w:h="15480" w:orient="portrait"/>
          <w:cols w:equalWidth="0" w:num="1">
            <w:col w:w="10040"/>
          </w:cols>
          <w:pgMar w:left="920" w:top="584" w:right="920" w:bottom="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880" w:h="15480" w:orient="portrait"/>
          <w:cols w:equalWidth="0" w:num="1">
            <w:col w:w="10040"/>
          </w:cols>
          <w:pgMar w:left="920" w:top="584" w:right="920" w:bottom="0" w:gutter="0" w:footer="0" w:header="0"/>
          <w:type w:val="continuous"/>
        </w:sectPr>
      </w:pPr>
    </w:p>
    <w:bookmarkStart w:id="127" w:name="page128"/>
    <w:bookmarkEnd w:id="127"/>
    <w:tbl>
      <w:tblPr>
        <w:tblLayout w:type="fixed"/>
        <w:tblInd w:w="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Fourth Quarter</w:t>
            </w:r>
          </w:p>
        </w:tc>
        <w:tc>
          <w:tcPr>
            <w:tcW w:w="6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Third Quarter</w:t>
            </w:r>
          </w:p>
        </w:tc>
        <w:tc>
          <w:tcPr>
            <w:tcW w:w="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w w:val="91"/>
              </w:rPr>
              <w:t>Second Quarter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First Quarter</w:t>
            </w:r>
          </w:p>
        </w:tc>
      </w:tr>
      <w:tr>
        <w:trPr>
          <w:trHeight w:val="210"/>
        </w:trPr>
        <w:tc>
          <w:tcPr>
            <w:tcW w:w="4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89"/>
              <w:spacing w:after="0"/>
              <w:rPr>
                <w:sz w:val="20"/>
                <w:szCs w:val="20"/>
                <w:color w:val="auto"/>
              </w:rPr>
            </w:pPr>
            <w:r>
              <w:rPr>
                <w:rFonts w:ascii="Arial" w:cs="Arial" w:eastAsia="Arial" w:hAnsi="Arial"/>
                <w:sz w:val="16"/>
                <w:szCs w:val="16"/>
                <w:b w:val="1"/>
                <w:bCs w:val="1"/>
                <w:color w:val="auto"/>
                <w:w w:val="84"/>
              </w:rPr>
              <w:t>2024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9"/>
              </w:rPr>
              <w:t>2024</w:t>
            </w:r>
          </w:p>
        </w:tc>
      </w:tr>
      <w:tr>
        <w:trPr>
          <w:trHeight w:val="270"/>
        </w:trPr>
        <w:tc>
          <w:tcPr>
            <w:tcW w:w="4960" w:type="dxa"/>
            <w:vAlign w:val="bottom"/>
          </w:tcPr>
          <w:p>
            <w:pPr>
              <w:spacing w:after="0"/>
              <w:rPr>
                <w:sz w:val="20"/>
                <w:szCs w:val="20"/>
                <w:color w:val="auto"/>
              </w:rPr>
            </w:pPr>
            <w:r>
              <w:rPr>
                <w:rFonts w:ascii="Arial" w:cs="Arial" w:eastAsia="Arial" w:hAnsi="Arial"/>
                <w:sz w:val="20"/>
                <w:szCs w:val="20"/>
                <w:b w:val="1"/>
                <w:bCs w:val="1"/>
                <w:color w:val="auto"/>
                <w:w w:val="88"/>
              </w:rPr>
              <w:t xml:space="preserve">Dividends per Class A share </w:t>
            </w:r>
            <w:r>
              <w:rPr>
                <w:rFonts w:ascii="Arial" w:cs="Arial" w:eastAsia="Arial" w:hAnsi="Arial"/>
                <w:sz w:val="20"/>
                <w:szCs w:val="20"/>
                <w:b w:val="1"/>
                <w:bCs w:val="1"/>
                <w:color w:val="B4B4B4"/>
                <w:w w:val="88"/>
              </w:rPr>
              <w:t>. . . . . . . . . . . . . . . . . . . . . . . . . .</w:t>
            </w:r>
          </w:p>
        </w:tc>
        <w:tc>
          <w:tcPr>
            <w:tcW w:w="300" w:type="dxa"/>
            <w:vAlign w:val="bottom"/>
          </w:tcPr>
          <w:p>
            <w:pPr>
              <w:jc w:val="right"/>
              <w:ind w:right="5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0.4240</w:t>
            </w:r>
          </w:p>
        </w:tc>
        <w:tc>
          <w:tcPr>
            <w:tcW w:w="36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0.4171</w:t>
            </w:r>
          </w:p>
        </w:tc>
        <w:tc>
          <w:tcPr>
            <w:tcW w:w="3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0.4102</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0.4033</w:t>
            </w:r>
          </w:p>
        </w:tc>
      </w:tr>
      <w:tr>
        <w:trPr>
          <w:trHeight w:val="294"/>
        </w:trPr>
        <w:tc>
          <w:tcPr>
            <w:tcW w:w="4960" w:type="dxa"/>
            <w:vAlign w:val="bottom"/>
          </w:tcPr>
          <w:p>
            <w:pPr>
              <w:spacing w:after="0"/>
              <w:rPr>
                <w:sz w:val="20"/>
                <w:szCs w:val="20"/>
                <w:color w:val="auto"/>
              </w:rPr>
            </w:pPr>
            <w:r>
              <w:rPr>
                <w:rFonts w:ascii="Arial" w:cs="Arial" w:eastAsia="Arial" w:hAnsi="Arial"/>
                <w:sz w:val="20"/>
                <w:szCs w:val="20"/>
                <w:b w:val="1"/>
                <w:bCs w:val="1"/>
                <w:color w:val="auto"/>
                <w:w w:val="89"/>
              </w:rPr>
              <w:t xml:space="preserve">Dividends per Class C share  </w:t>
            </w:r>
            <w:r>
              <w:rPr>
                <w:rFonts w:ascii="Arial" w:cs="Arial" w:eastAsia="Arial" w:hAnsi="Arial"/>
                <w:sz w:val="20"/>
                <w:szCs w:val="20"/>
                <w:b w:val="1"/>
                <w:bCs w:val="1"/>
                <w:color w:val="B4B4B4"/>
                <w:w w:val="89"/>
              </w:rPr>
              <w:t>. . . . . . . . . . . . . . . . . . . . . . . . .</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0.4240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0.4171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0.4102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0.4033</w:t>
            </w:r>
          </w:p>
        </w:tc>
      </w:tr>
      <w:tr>
        <w:trPr>
          <w:trHeight w:val="465"/>
        </w:trPr>
        <w:tc>
          <w:tcPr>
            <w:tcW w:w="49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Fourth Quarter</w:t>
            </w:r>
          </w:p>
        </w:tc>
        <w:tc>
          <w:tcPr>
            <w:tcW w:w="6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Third Quarter</w:t>
            </w:r>
          </w:p>
        </w:tc>
        <w:tc>
          <w:tcPr>
            <w:tcW w:w="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w w:val="91"/>
              </w:rPr>
              <w:t>Second Quarter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First Quarter</w:t>
            </w:r>
          </w:p>
        </w:tc>
      </w:tr>
      <w:tr>
        <w:trPr>
          <w:trHeight w:val="210"/>
        </w:trPr>
        <w:tc>
          <w:tcPr>
            <w:tcW w:w="4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89"/>
              <w:spacing w:after="0"/>
              <w:rPr>
                <w:sz w:val="20"/>
                <w:szCs w:val="20"/>
                <w:color w:val="auto"/>
              </w:rPr>
            </w:pPr>
            <w:r>
              <w:rPr>
                <w:rFonts w:ascii="Arial" w:cs="Arial" w:eastAsia="Arial" w:hAnsi="Arial"/>
                <w:sz w:val="16"/>
                <w:szCs w:val="16"/>
                <w:b w:val="1"/>
                <w:bCs w:val="1"/>
                <w:color w:val="auto"/>
                <w:w w:val="84"/>
              </w:rPr>
              <w:t>2023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9"/>
              </w:rPr>
              <w:t>2023</w:t>
            </w:r>
          </w:p>
        </w:tc>
      </w:tr>
      <w:tr>
        <w:trPr>
          <w:trHeight w:val="270"/>
        </w:trPr>
        <w:tc>
          <w:tcPr>
            <w:tcW w:w="4960" w:type="dxa"/>
            <w:vAlign w:val="bottom"/>
          </w:tcPr>
          <w:p>
            <w:pPr>
              <w:spacing w:after="0"/>
              <w:rPr>
                <w:sz w:val="20"/>
                <w:szCs w:val="20"/>
                <w:color w:val="auto"/>
              </w:rPr>
            </w:pPr>
            <w:r>
              <w:rPr>
                <w:rFonts w:ascii="Arial" w:cs="Arial" w:eastAsia="Arial" w:hAnsi="Arial"/>
                <w:sz w:val="20"/>
                <w:szCs w:val="20"/>
                <w:b w:val="1"/>
                <w:bCs w:val="1"/>
                <w:color w:val="auto"/>
                <w:w w:val="88"/>
              </w:rPr>
              <w:t xml:space="preserve">Dividends per Class A share </w:t>
            </w:r>
            <w:r>
              <w:rPr>
                <w:rFonts w:ascii="Arial" w:cs="Arial" w:eastAsia="Arial" w:hAnsi="Arial"/>
                <w:sz w:val="20"/>
                <w:szCs w:val="20"/>
                <w:b w:val="1"/>
                <w:bCs w:val="1"/>
                <w:color w:val="B4B4B4"/>
                <w:w w:val="88"/>
              </w:rPr>
              <w:t>. . . . . . . . . . . . . . . . . . . . . . . . . .</w:t>
            </w:r>
          </w:p>
        </w:tc>
        <w:tc>
          <w:tcPr>
            <w:tcW w:w="300" w:type="dxa"/>
            <w:vAlign w:val="bottom"/>
          </w:tcPr>
          <w:p>
            <w:pPr>
              <w:jc w:val="right"/>
              <w:ind w:right="5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0.3964</w:t>
            </w:r>
          </w:p>
        </w:tc>
        <w:tc>
          <w:tcPr>
            <w:tcW w:w="360" w:type="dxa"/>
            <w:vAlign w:val="bottom"/>
            <w:gridSpan w:val="2"/>
          </w:tcPr>
          <w:p>
            <w:pPr>
              <w:jc w:val="right"/>
              <w:ind w:right="6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0.3891</w:t>
            </w:r>
          </w:p>
        </w:tc>
        <w:tc>
          <w:tcPr>
            <w:tcW w:w="3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0.3818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0.3745</w:t>
            </w:r>
          </w:p>
        </w:tc>
      </w:tr>
      <w:tr>
        <w:trPr>
          <w:trHeight w:val="294"/>
        </w:trPr>
        <w:tc>
          <w:tcPr>
            <w:tcW w:w="4960" w:type="dxa"/>
            <w:vAlign w:val="bottom"/>
          </w:tcPr>
          <w:p>
            <w:pPr>
              <w:spacing w:after="0"/>
              <w:rPr>
                <w:sz w:val="20"/>
                <w:szCs w:val="20"/>
                <w:color w:val="auto"/>
              </w:rPr>
            </w:pPr>
            <w:r>
              <w:rPr>
                <w:rFonts w:ascii="Arial" w:cs="Arial" w:eastAsia="Arial" w:hAnsi="Arial"/>
                <w:sz w:val="20"/>
                <w:szCs w:val="20"/>
                <w:b w:val="1"/>
                <w:bCs w:val="1"/>
                <w:color w:val="auto"/>
                <w:w w:val="89"/>
              </w:rPr>
              <w:t xml:space="preserve">Dividends per Class C share  </w:t>
            </w:r>
            <w:r>
              <w:rPr>
                <w:rFonts w:ascii="Arial" w:cs="Arial" w:eastAsia="Arial" w:hAnsi="Arial"/>
                <w:sz w:val="20"/>
                <w:szCs w:val="20"/>
                <w:b w:val="1"/>
                <w:bCs w:val="1"/>
                <w:color w:val="B4B4B4"/>
                <w:w w:val="89"/>
              </w:rPr>
              <w:t>. . . . . . . . . . . . . . . . . . . . . . . . .</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0.3964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0.3891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0.3818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0.3745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-1176655</wp:posOffset>
            </wp:positionV>
            <wp:extent cx="6410325" cy="398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4">
                      <a:extLst>
                        <a:ext uri="{28A0092B-C50C-407E-A947-70E740481C1C}"/>
                      </a:extLst>
                    </a:blip>
                    <a:srcRect/>
                    <a:stretch>
                      <a:fillRect/>
                    </a:stretch>
                  </pic:blipFill>
                  <pic:spPr bwMode="auto">
                    <a:xfrm>
                      <a:off x="0" y="0"/>
                      <a:ext cx="6410325" cy="39878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-376555</wp:posOffset>
            </wp:positionV>
            <wp:extent cx="6410325" cy="3987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5">
                      <a:extLst>
                        <a:ext uri="{28A0092B-C50C-407E-A947-70E740481C1C}"/>
                      </a:extLst>
                    </a:blip>
                    <a:srcRect/>
                    <a:stretch>
                      <a:fillRect/>
                    </a:stretch>
                  </pic:blipFill>
                  <pic:spPr bwMode="auto">
                    <a:xfrm>
                      <a:off x="0" y="0"/>
                      <a:ext cx="6410325" cy="398780"/>
                    </a:xfrm>
                    <a:prstGeom prst="rect">
                      <a:avLst/>
                    </a:prstGeom>
                    <a:noFill/>
                  </pic:spPr>
                </pic:pic>
              </a:graphicData>
            </a:graphic>
          </wp:anchor>
        </w:drawing>
      </w:r>
    </w:p>
    <w:p>
      <w:pPr>
        <w:spacing w:after="0" w:line="207"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40"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On February 17, 2026, the Company declared a quarterly dividend on its Class A and Class C common stock of $0.4602 per share payable on March 16, 2026 to stockholders of record as of March 2, 2026.</w:t>
      </w:r>
    </w:p>
    <w:p>
      <w:pPr>
        <w:spacing w:after="0" w:line="127"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The Company has also authorized 10,000,000 shares of preferred stock, par value $0.01 per share. None of the shares of preferred stock have been issued.</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Distributions to CEG</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list the distributions paid to CEG during the years ended December 31, 2025, 2024 and 2023 on</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Clearway Energy LLC’s Class B and D units:</w:t>
      </w:r>
    </w:p>
    <w:p>
      <w:pPr>
        <w:spacing w:after="0" w:line="98" w:lineRule="exact"/>
        <w:rPr>
          <w:sz w:val="20"/>
          <w:szCs w:val="20"/>
          <w:color w:val="auto"/>
        </w:rPr>
      </w:pPr>
    </w:p>
    <w:tbl>
      <w:tblPr>
        <w:tblLayout w:type="fixed"/>
        <w:tblInd w:w="4820" w:type="dxa"/>
        <w:tblCellMar>
          <w:top w:w="0" w:type="dxa"/>
          <w:left w:w="0" w:type="dxa"/>
          <w:bottom w:w="0" w:type="dxa"/>
          <w:right w:w="0" w:type="dxa"/>
        </w:tblCellMar>
      </w:tblPr>
      <w:tr>
        <w:trPr>
          <w:trHeight w:val="184"/>
        </w:trPr>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Fourth Quarter</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5"/>
              </w:rPr>
              <w:t>Third Quarter</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Second Quarter</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First Quarter</w:t>
            </w:r>
          </w:p>
        </w:tc>
      </w:tr>
      <w:tr>
        <w:trPr>
          <w:trHeight w:val="210"/>
        </w:trPr>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-18415</wp:posOffset>
            </wp:positionV>
            <wp:extent cx="6410325" cy="3987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6">
                      <a:extLst>
                        <a:ext uri="{28A0092B-C50C-407E-A947-70E740481C1C}"/>
                      </a:extLst>
                    </a:blip>
                    <a:srcRect/>
                    <a:stretch>
                      <a:fillRect/>
                    </a:stretch>
                  </pic:blipFill>
                  <pic:spPr bwMode="auto">
                    <a:xfrm>
                      <a:off x="0" y="0"/>
                      <a:ext cx="6410325" cy="398780"/>
                    </a:xfrm>
                    <a:prstGeom prst="rect">
                      <a:avLst/>
                    </a:prstGeom>
                    <a:noFill/>
                  </pic:spPr>
                </pic:pic>
              </a:graphicData>
            </a:graphic>
          </wp:anchor>
        </w:drawing>
      </w:r>
    </w:p>
    <w:p>
      <w:pPr>
        <w:sectPr>
          <w:pgSz w:w="11880" w:h="15480" w:orient="portrait"/>
          <w:cols w:equalWidth="0" w:num="1">
            <w:col w:w="10040"/>
          </w:cols>
          <w:pgMar w:left="920" w:top="638" w:right="920" w:bottom="0" w:gutter="0" w:footer="0" w:header="0"/>
        </w:sectPr>
      </w:pPr>
    </w:p>
    <w:p>
      <w:pPr>
        <w:spacing w:after="0" w:line="12" w:lineRule="exact"/>
        <w:rPr>
          <w:sz w:val="20"/>
          <w:szCs w:val="20"/>
          <w:color w:val="auto"/>
        </w:rPr>
      </w:pPr>
    </w:p>
    <w:p>
      <w:pPr>
        <w:ind w:left="40"/>
        <w:spacing w:after="0" w:line="438" w:lineRule="auto"/>
        <w:rPr>
          <w:sz w:val="20"/>
          <w:szCs w:val="20"/>
          <w:color w:val="auto"/>
        </w:rPr>
      </w:pPr>
      <w:r>
        <w:rPr>
          <w:rFonts w:ascii="Arial" w:cs="Arial" w:eastAsia="Arial" w:hAnsi="Arial"/>
          <w:sz w:val="17"/>
          <w:szCs w:val="17"/>
          <w:b w:val="1"/>
          <w:bCs w:val="1"/>
          <w:color w:val="auto"/>
        </w:rPr>
        <w:t>Distributions per Class B unit Distributions per Class D unit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2560" w:type="dxa"/>
            <w:vAlign w:val="bottom"/>
          </w:tcPr>
          <w:p>
            <w:pPr>
              <w:spacing w:after="0"/>
              <w:rPr>
                <w:sz w:val="20"/>
                <w:szCs w:val="20"/>
                <w:color w:val="auto"/>
              </w:rPr>
            </w:pPr>
            <w:r>
              <w:rPr>
                <w:rFonts w:ascii="Arial" w:cs="Arial" w:eastAsia="Arial" w:hAnsi="Arial"/>
                <w:sz w:val="20"/>
                <w:szCs w:val="20"/>
                <w:b w:val="1"/>
                <w:bCs w:val="1"/>
                <w:color w:val="B4B4B4"/>
                <w:w w:val="99"/>
              </w:rPr>
              <w:t xml:space="preserve">. . . . . . . . . . . . . . . . . . . . . . </w:t>
            </w:r>
            <w:r>
              <w:rPr>
                <w:rFonts w:ascii="Arial" w:cs="Arial" w:eastAsia="Arial" w:hAnsi="Arial"/>
                <w:sz w:val="20"/>
                <w:szCs w:val="20"/>
                <w:color w:val="000000"/>
                <w:w w:val="99"/>
              </w:rPr>
              <w:t>$</w:t>
            </w: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0.4528</w:t>
            </w:r>
          </w:p>
        </w:tc>
        <w:tc>
          <w:tcPr>
            <w:tcW w:w="4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0.4456</w:t>
            </w:r>
          </w:p>
        </w:tc>
        <w:tc>
          <w:tcPr>
            <w:tcW w:w="4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0.4384</w:t>
            </w:r>
          </w:p>
        </w:tc>
        <w:tc>
          <w:tcPr>
            <w:tcW w:w="4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0.4312</w:t>
            </w:r>
          </w:p>
        </w:tc>
      </w:tr>
      <w:tr>
        <w:trPr>
          <w:trHeight w:val="294"/>
        </w:trPr>
        <w:tc>
          <w:tcPr>
            <w:tcW w:w="2560" w:type="dxa"/>
            <w:vAlign w:val="bottom"/>
          </w:tcPr>
          <w:p>
            <w:pPr>
              <w:spacing w:after="0"/>
              <w:rPr>
                <w:sz w:val="20"/>
                <w:szCs w:val="20"/>
                <w:color w:val="auto"/>
              </w:rPr>
            </w:pPr>
            <w:r>
              <w:rPr>
                <w:rFonts w:ascii="Arial" w:cs="Arial" w:eastAsia="Arial" w:hAnsi="Arial"/>
                <w:sz w:val="20"/>
                <w:szCs w:val="20"/>
                <w:b w:val="1"/>
                <w:bCs w:val="1"/>
                <w:color w:val="B4B4B4"/>
              </w:rPr>
              <w:t>. . . . . . . . . . . . . . . . . . . . . .</w:t>
            </w: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0.4528</w:t>
            </w:r>
          </w:p>
        </w:tc>
        <w:tc>
          <w:tcPr>
            <w:tcW w:w="4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0.4456</w:t>
            </w:r>
          </w:p>
        </w:tc>
        <w:tc>
          <w:tcPr>
            <w:tcW w:w="4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0.4384</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0.4312</w:t>
            </w:r>
          </w:p>
        </w:tc>
      </w:tr>
    </w:tbl>
    <w:p>
      <w:pPr>
        <w:spacing w:after="0" w:line="280" w:lineRule="exact"/>
        <w:rPr>
          <w:sz w:val="20"/>
          <w:szCs w:val="20"/>
          <w:color w:val="auto"/>
        </w:rPr>
      </w:pPr>
    </w:p>
    <w:p>
      <w:pPr>
        <w:sectPr>
          <w:pgSz w:w="11880" w:h="15480" w:orient="portrait"/>
          <w:cols w:equalWidth="0" w:num="2">
            <w:col w:w="2540" w:space="120"/>
            <w:col w:w="7380"/>
          </w:cols>
          <w:pgMar w:left="920" w:top="638" w:right="920" w:bottom="0" w:gutter="0" w:footer="0" w:header="0"/>
          <w:type w:val="continuous"/>
        </w:sectPr>
      </w:pPr>
    </w:p>
    <w:tbl>
      <w:tblPr>
        <w:tblLayout w:type="fixed"/>
        <w:tblInd w:w="4820" w:type="dxa"/>
        <w:tblCellMar>
          <w:top w:w="0" w:type="dxa"/>
          <w:left w:w="0" w:type="dxa"/>
          <w:bottom w:w="0" w:type="dxa"/>
          <w:right w:w="0" w:type="dxa"/>
        </w:tblCellMar>
      </w:tblPr>
      <w:tr>
        <w:trPr>
          <w:trHeight w:val="184"/>
        </w:trPr>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Fourth Quarter</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5"/>
              </w:rPr>
              <w:t>Third Quarter</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Second Quarter</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First Quarter</w:t>
            </w:r>
          </w:p>
        </w:tc>
      </w:tr>
      <w:tr>
        <w:trPr>
          <w:trHeight w:val="210"/>
        </w:trPr>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-18415</wp:posOffset>
            </wp:positionV>
            <wp:extent cx="6410325" cy="3987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7">
                      <a:extLst>
                        <a:ext uri="{28A0092B-C50C-407E-A947-70E740481C1C}"/>
                      </a:extLst>
                    </a:blip>
                    <a:srcRect/>
                    <a:stretch>
                      <a:fillRect/>
                    </a:stretch>
                  </pic:blipFill>
                  <pic:spPr bwMode="auto">
                    <a:xfrm>
                      <a:off x="0" y="0"/>
                      <a:ext cx="6410325" cy="398780"/>
                    </a:xfrm>
                    <a:prstGeom prst="rect">
                      <a:avLst/>
                    </a:prstGeom>
                    <a:noFill/>
                  </pic:spPr>
                </pic:pic>
              </a:graphicData>
            </a:graphic>
          </wp:anchor>
        </w:drawing>
      </w:r>
    </w:p>
    <w:p>
      <w:pPr>
        <w:sectPr>
          <w:pgSz w:w="11880" w:h="15480" w:orient="portrait"/>
          <w:cols w:equalWidth="0" w:num="1">
            <w:col w:w="10040"/>
          </w:cols>
          <w:pgMar w:left="920" w:top="638" w:right="920" w:bottom="0" w:gutter="0" w:footer="0" w:header="0"/>
          <w:type w:val="continuous"/>
        </w:sectPr>
      </w:pPr>
    </w:p>
    <w:p>
      <w:pPr>
        <w:spacing w:after="0" w:line="12" w:lineRule="exact"/>
        <w:rPr>
          <w:sz w:val="20"/>
          <w:szCs w:val="20"/>
          <w:color w:val="auto"/>
        </w:rPr>
      </w:pPr>
    </w:p>
    <w:p>
      <w:pPr>
        <w:ind w:left="40"/>
        <w:spacing w:after="0" w:line="438" w:lineRule="auto"/>
        <w:rPr>
          <w:sz w:val="20"/>
          <w:szCs w:val="20"/>
          <w:color w:val="auto"/>
        </w:rPr>
      </w:pPr>
      <w:r>
        <w:rPr>
          <w:rFonts w:ascii="Arial" w:cs="Arial" w:eastAsia="Arial" w:hAnsi="Arial"/>
          <w:sz w:val="17"/>
          <w:szCs w:val="17"/>
          <w:b w:val="1"/>
          <w:bCs w:val="1"/>
          <w:color w:val="auto"/>
        </w:rPr>
        <w:t>Distributions per Class B unit Distributions per Class D unit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2560" w:type="dxa"/>
            <w:vAlign w:val="bottom"/>
          </w:tcPr>
          <w:p>
            <w:pPr>
              <w:spacing w:after="0"/>
              <w:rPr>
                <w:sz w:val="20"/>
                <w:szCs w:val="20"/>
                <w:color w:val="auto"/>
              </w:rPr>
            </w:pPr>
            <w:r>
              <w:rPr>
                <w:rFonts w:ascii="Arial" w:cs="Arial" w:eastAsia="Arial" w:hAnsi="Arial"/>
                <w:sz w:val="20"/>
                <w:szCs w:val="20"/>
                <w:b w:val="1"/>
                <w:bCs w:val="1"/>
                <w:color w:val="B4B4B4"/>
                <w:w w:val="99"/>
              </w:rPr>
              <w:t xml:space="preserve">. . . . . . . . . . . . . . . . . . . . . . </w:t>
            </w:r>
            <w:r>
              <w:rPr>
                <w:rFonts w:ascii="Arial" w:cs="Arial" w:eastAsia="Arial" w:hAnsi="Arial"/>
                <w:sz w:val="20"/>
                <w:szCs w:val="20"/>
                <w:color w:val="000000"/>
                <w:w w:val="99"/>
              </w:rPr>
              <w:t>$</w:t>
            </w: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0.4240</w:t>
            </w:r>
          </w:p>
        </w:tc>
        <w:tc>
          <w:tcPr>
            <w:tcW w:w="4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0.4171</w:t>
            </w:r>
          </w:p>
        </w:tc>
        <w:tc>
          <w:tcPr>
            <w:tcW w:w="4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0.4102</w:t>
            </w:r>
          </w:p>
        </w:tc>
        <w:tc>
          <w:tcPr>
            <w:tcW w:w="4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0.4033</w:t>
            </w:r>
          </w:p>
        </w:tc>
      </w:tr>
      <w:tr>
        <w:trPr>
          <w:trHeight w:val="294"/>
        </w:trPr>
        <w:tc>
          <w:tcPr>
            <w:tcW w:w="2560" w:type="dxa"/>
            <w:vAlign w:val="bottom"/>
          </w:tcPr>
          <w:p>
            <w:pPr>
              <w:spacing w:after="0"/>
              <w:rPr>
                <w:sz w:val="20"/>
                <w:szCs w:val="20"/>
                <w:color w:val="auto"/>
              </w:rPr>
            </w:pPr>
            <w:r>
              <w:rPr>
                <w:rFonts w:ascii="Arial" w:cs="Arial" w:eastAsia="Arial" w:hAnsi="Arial"/>
                <w:sz w:val="20"/>
                <w:szCs w:val="20"/>
                <w:b w:val="1"/>
                <w:bCs w:val="1"/>
                <w:color w:val="B4B4B4"/>
              </w:rPr>
              <w:t>. . . . . . . . . . . . . . . . . . . . . .</w:t>
            </w: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0.4240</w:t>
            </w:r>
          </w:p>
        </w:tc>
        <w:tc>
          <w:tcPr>
            <w:tcW w:w="4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0.4171</w:t>
            </w:r>
          </w:p>
        </w:tc>
        <w:tc>
          <w:tcPr>
            <w:tcW w:w="4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0.4102</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0.4033</w:t>
            </w:r>
          </w:p>
        </w:tc>
      </w:tr>
    </w:tbl>
    <w:p>
      <w:pPr>
        <w:spacing w:after="0" w:line="280" w:lineRule="exact"/>
        <w:rPr>
          <w:sz w:val="20"/>
          <w:szCs w:val="20"/>
          <w:color w:val="auto"/>
        </w:rPr>
      </w:pPr>
    </w:p>
    <w:p>
      <w:pPr>
        <w:sectPr>
          <w:pgSz w:w="11880" w:h="15480" w:orient="portrait"/>
          <w:cols w:equalWidth="0" w:num="2">
            <w:col w:w="2540" w:space="120"/>
            <w:col w:w="7380"/>
          </w:cols>
          <w:pgMar w:left="920" w:top="638" w:right="920" w:bottom="0" w:gutter="0" w:footer="0" w:header="0"/>
          <w:type w:val="continuous"/>
        </w:sectPr>
      </w:pPr>
    </w:p>
    <w:tbl>
      <w:tblPr>
        <w:tblLayout w:type="fixed"/>
        <w:tblInd w:w="4820" w:type="dxa"/>
        <w:tblCellMar>
          <w:top w:w="0" w:type="dxa"/>
          <w:left w:w="0" w:type="dxa"/>
          <w:bottom w:w="0" w:type="dxa"/>
          <w:right w:w="0" w:type="dxa"/>
        </w:tblCellMar>
      </w:tblPr>
      <w:tr>
        <w:trPr>
          <w:trHeight w:val="184"/>
        </w:trPr>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Fourth Quarter</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5"/>
              </w:rPr>
              <w:t>Third Quarter</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Second Quarter</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First Quarter</w:t>
            </w:r>
          </w:p>
        </w:tc>
      </w:tr>
      <w:tr>
        <w:trPr>
          <w:trHeight w:val="210"/>
        </w:trPr>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-18415</wp:posOffset>
            </wp:positionV>
            <wp:extent cx="6410325" cy="3987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8">
                      <a:extLst>
                        <a:ext uri="{28A0092B-C50C-407E-A947-70E740481C1C}"/>
                      </a:extLst>
                    </a:blip>
                    <a:srcRect/>
                    <a:stretch>
                      <a:fillRect/>
                    </a:stretch>
                  </pic:blipFill>
                  <pic:spPr bwMode="auto">
                    <a:xfrm>
                      <a:off x="0" y="0"/>
                      <a:ext cx="6410325" cy="398780"/>
                    </a:xfrm>
                    <a:prstGeom prst="rect">
                      <a:avLst/>
                    </a:prstGeom>
                    <a:noFill/>
                  </pic:spPr>
                </pic:pic>
              </a:graphicData>
            </a:graphic>
          </wp:anchor>
        </w:drawing>
      </w:r>
    </w:p>
    <w:p>
      <w:pPr>
        <w:sectPr>
          <w:pgSz w:w="11880" w:h="15480" w:orient="portrait"/>
          <w:cols w:equalWidth="0" w:num="1">
            <w:col w:w="10040"/>
          </w:cols>
          <w:pgMar w:left="920" w:top="638" w:right="920" w:bottom="0" w:gutter="0" w:footer="0" w:header="0"/>
          <w:type w:val="continuous"/>
        </w:sectPr>
      </w:pPr>
    </w:p>
    <w:p>
      <w:pPr>
        <w:spacing w:after="0" w:line="12" w:lineRule="exact"/>
        <w:rPr>
          <w:sz w:val="20"/>
          <w:szCs w:val="20"/>
          <w:color w:val="auto"/>
        </w:rPr>
      </w:pPr>
    </w:p>
    <w:p>
      <w:pPr>
        <w:ind w:left="40"/>
        <w:spacing w:after="0" w:line="438" w:lineRule="auto"/>
        <w:rPr>
          <w:sz w:val="20"/>
          <w:szCs w:val="20"/>
          <w:color w:val="auto"/>
        </w:rPr>
      </w:pPr>
      <w:r>
        <w:rPr>
          <w:rFonts w:ascii="Arial" w:cs="Arial" w:eastAsia="Arial" w:hAnsi="Arial"/>
          <w:sz w:val="17"/>
          <w:szCs w:val="17"/>
          <w:b w:val="1"/>
          <w:bCs w:val="1"/>
          <w:color w:val="auto"/>
        </w:rPr>
        <w:t>Distributions per Class B unit Distributions per Class D unit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2560" w:type="dxa"/>
            <w:vAlign w:val="bottom"/>
          </w:tcPr>
          <w:p>
            <w:pPr>
              <w:spacing w:after="0"/>
              <w:rPr>
                <w:sz w:val="20"/>
                <w:szCs w:val="20"/>
                <w:color w:val="auto"/>
              </w:rPr>
            </w:pPr>
            <w:r>
              <w:rPr>
                <w:rFonts w:ascii="Arial" w:cs="Arial" w:eastAsia="Arial" w:hAnsi="Arial"/>
                <w:sz w:val="20"/>
                <w:szCs w:val="20"/>
                <w:b w:val="1"/>
                <w:bCs w:val="1"/>
                <w:color w:val="B4B4B4"/>
                <w:w w:val="99"/>
              </w:rPr>
              <w:t xml:space="preserve">. . . . . . . . . . . . . . . . . . . . . . </w:t>
            </w:r>
            <w:r>
              <w:rPr>
                <w:rFonts w:ascii="Arial" w:cs="Arial" w:eastAsia="Arial" w:hAnsi="Arial"/>
                <w:sz w:val="20"/>
                <w:szCs w:val="20"/>
                <w:color w:val="000000"/>
                <w:w w:val="99"/>
              </w:rPr>
              <w:t>$</w:t>
            </w: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0.3964</w:t>
            </w:r>
          </w:p>
        </w:tc>
        <w:tc>
          <w:tcPr>
            <w:tcW w:w="4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0.3891</w:t>
            </w:r>
          </w:p>
        </w:tc>
        <w:tc>
          <w:tcPr>
            <w:tcW w:w="4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0.3818</w:t>
            </w:r>
          </w:p>
        </w:tc>
        <w:tc>
          <w:tcPr>
            <w:tcW w:w="44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0.3745</w:t>
            </w:r>
          </w:p>
        </w:tc>
      </w:tr>
      <w:tr>
        <w:trPr>
          <w:trHeight w:val="294"/>
        </w:trPr>
        <w:tc>
          <w:tcPr>
            <w:tcW w:w="2560" w:type="dxa"/>
            <w:vAlign w:val="bottom"/>
          </w:tcPr>
          <w:p>
            <w:pPr>
              <w:spacing w:after="0"/>
              <w:rPr>
                <w:sz w:val="20"/>
                <w:szCs w:val="20"/>
                <w:color w:val="auto"/>
              </w:rPr>
            </w:pPr>
            <w:r>
              <w:rPr>
                <w:rFonts w:ascii="Arial" w:cs="Arial" w:eastAsia="Arial" w:hAnsi="Arial"/>
                <w:sz w:val="20"/>
                <w:szCs w:val="20"/>
                <w:b w:val="1"/>
                <w:bCs w:val="1"/>
                <w:color w:val="B4B4B4"/>
              </w:rPr>
              <w:t>. . . . . . . . . . . . . . . . . . . . . .</w:t>
            </w: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0.3964</w:t>
            </w:r>
          </w:p>
        </w:tc>
        <w:tc>
          <w:tcPr>
            <w:tcW w:w="4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0.3891</w:t>
            </w:r>
          </w:p>
        </w:tc>
        <w:tc>
          <w:tcPr>
            <w:tcW w:w="4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w:cs="Arial" w:eastAsia="Arial" w:hAnsi="Arial"/>
                <w:sz w:val="20"/>
                <w:szCs w:val="20"/>
                <w:color w:val="auto"/>
              </w:rPr>
              <w:t>0.3818</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0.3745</w:t>
            </w:r>
          </w:p>
        </w:tc>
      </w:tr>
    </w:tbl>
    <w:p>
      <w:pPr>
        <w:spacing w:after="0" w:line="226" w:lineRule="exact"/>
        <w:rPr>
          <w:sz w:val="20"/>
          <w:szCs w:val="20"/>
          <w:color w:val="auto"/>
        </w:rPr>
      </w:pPr>
    </w:p>
    <w:p>
      <w:pPr>
        <w:sectPr>
          <w:pgSz w:w="11880" w:h="15480" w:orient="portrait"/>
          <w:cols w:equalWidth="0" w:num="2">
            <w:col w:w="2540" w:space="120"/>
            <w:col w:w="7380"/>
          </w:cols>
          <w:pgMar w:left="920" w:top="638" w:right="920" w:bottom="0" w:gutter="0" w:footer="0" w:header="0"/>
          <w:type w:val="continuous"/>
        </w:sectPr>
      </w:pPr>
    </w:p>
    <w:p>
      <w:pPr>
        <w:jc w:val="both"/>
        <w:ind w:firstLine="441"/>
        <w:spacing w:after="0" w:line="258" w:lineRule="auto"/>
        <w:rPr>
          <w:sz w:val="20"/>
          <w:szCs w:val="20"/>
          <w:color w:val="auto"/>
        </w:rPr>
      </w:pPr>
      <w:r>
        <w:rPr>
          <w:rFonts w:ascii="Arial" w:cs="Arial" w:eastAsia="Arial" w:hAnsi="Arial"/>
          <w:sz w:val="20"/>
          <w:szCs w:val="20"/>
          <w:color w:val="auto"/>
        </w:rPr>
        <w:t>The portion of the distributions paid by Clearway Energy LLC to CEG is recorded as a reduction to the Company’s noncontrolling interest balance. The portion of the distributions paid by Clearway Energy LLC to the Company was utilized to fund the dividends to the Class A and Class C common stockholders described above.</w:t>
      </w:r>
    </w:p>
    <w:p>
      <w:pPr>
        <w:spacing w:after="0" w:line="140"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 xml:space="preserve">In addition to the quarterly distributions paid to CEG, on June 10, 2025, Clearway Energy LLC distributed an additional $7 million to CEG, representing CEG’s pro-rata share of distributions related to the Company’s $9 million contribution through Pine Forest TE Class A, an indirect subsidiary of the Company, to acquire the Class A membership interests in Pine Forest TE HoldCo LLC, as further described in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 xml:space="preserve">. On December 17, 2025, Clearway Energy LLC distributed an additional $12 million to CEG, representing CEG’s pro-rata share of distributions related to $16 million of the Company’s $38 million additional contribution through Pine Forest TE Class A to complete its acquisition of the Class A membership interests in Pine Forest TE HoldCo LLC, as further described in Note 3, </w:t>
      </w:r>
      <w:r>
        <w:rPr>
          <w:rFonts w:ascii="Arial" w:cs="Arial" w:eastAsia="Arial" w:hAnsi="Arial"/>
          <w:sz w:val="17"/>
          <w:szCs w:val="17"/>
          <w:b w:val="1"/>
          <w:bCs w:val="1"/>
          <w:i w:val="1"/>
          <w:iCs w:val="1"/>
          <w:color w:val="auto"/>
        </w:rPr>
        <w:t>Acquisitions and Dispositions</w:t>
      </w:r>
      <w:r>
        <w:rPr>
          <w:rFonts w:ascii="Arial" w:cs="Arial" w:eastAsia="Arial" w:hAnsi="Arial"/>
          <w:sz w:val="17"/>
          <w:szCs w:val="17"/>
          <w:color w:val="auto"/>
        </w:rPr>
        <w:t>.</w:t>
      </w:r>
    </w:p>
    <w:p>
      <w:pPr>
        <w:spacing w:after="0" w:line="11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On February 17, 2026, Clearway Energy LLC declared a quarterly distribution on its Class B and Class D units of $0.4602 per unit payable on March 16, 2026 to unit holders of record as of March 2, 2026.</w:t>
      </w:r>
    </w:p>
    <w:p>
      <w:pPr>
        <w:sectPr>
          <w:pgSz w:w="11880" w:h="15480" w:orient="portrait"/>
          <w:cols w:equalWidth="0" w:num="1">
            <w:col w:w="10040"/>
          </w:cols>
          <w:pgMar w:left="920" w:top="638"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880" w:h="15480" w:orient="portrait"/>
          <w:cols w:equalWidth="0" w:num="1">
            <w:col w:w="10040"/>
          </w:cols>
          <w:pgMar w:left="920" w:top="638" w:right="920" w:bottom="0" w:gutter="0" w:footer="0" w:header="0"/>
          <w:type w:val="continuous"/>
        </w:sectPr>
      </w:pPr>
    </w:p>
    <w:bookmarkStart w:id="128" w:name="page129"/>
    <w:bookmarkEnd w:id="128"/>
    <w:p>
      <w:pPr>
        <w:spacing w:after="0"/>
        <w:rPr>
          <w:sz w:val="20"/>
          <w:szCs w:val="20"/>
          <w:color w:val="auto"/>
        </w:rPr>
      </w:pPr>
      <w:r>
        <w:rPr>
          <w:rFonts w:ascii="Arial" w:cs="Arial" w:eastAsia="Arial" w:hAnsi="Arial"/>
          <w:sz w:val="20"/>
          <w:szCs w:val="20"/>
          <w:b w:val="1"/>
          <w:bCs w:val="1"/>
          <w:color w:val="auto"/>
        </w:rPr>
        <w:t>Note 13 — Segment Reporting</w:t>
      </w:r>
    </w:p>
    <w:p>
      <w:pPr>
        <w:spacing w:after="0" w:line="189"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The Company’s segment structure reflects how management currently operates and allocates resources. The Company’s businesses are segregated based on Flexible Generation and Renewables &amp; 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p>
      <w:pPr>
        <w:spacing w:after="0" w:line="107" w:lineRule="exact"/>
        <w:rPr>
          <w:sz w:val="20"/>
          <w:szCs w:val="20"/>
          <w:color w:val="auto"/>
        </w:rPr>
      </w:pPr>
    </w:p>
    <w:p>
      <w:pPr>
        <w:ind w:right="160" w:firstLine="441"/>
        <w:spacing w:after="0" w:line="258" w:lineRule="auto"/>
        <w:rPr>
          <w:sz w:val="20"/>
          <w:szCs w:val="20"/>
          <w:color w:val="auto"/>
        </w:rPr>
      </w:pPr>
      <w:r>
        <w:rPr>
          <w:rFonts w:ascii="Arial" w:cs="Arial" w:eastAsia="Arial" w:hAnsi="Arial"/>
          <w:sz w:val="20"/>
          <w:szCs w:val="20"/>
          <w:color w:val="auto"/>
        </w:rPr>
        <w:t>Approximately 58% of the Company’s operating revenues and 45% of the Company’s assets relate to operations located in California. Also, the Company generated more than 10% of its revenues from the following customers for the years ended December 31, 2025, 2024 and 2023:</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5"/>
          </w:tcPr>
          <w:p>
            <w:pPr>
              <w:jc w:val="right"/>
              <w:ind w:right="797"/>
              <w:spacing w:after="0"/>
              <w:rPr>
                <w:sz w:val="20"/>
                <w:szCs w:val="20"/>
                <w:color w:val="auto"/>
              </w:rPr>
            </w:pPr>
            <w:r>
              <w:rPr>
                <w:rFonts w:ascii="Arial" w:cs="Arial" w:eastAsia="Arial" w:hAnsi="Arial"/>
                <w:sz w:val="16"/>
                <w:szCs w:val="16"/>
                <w:b w:val="1"/>
                <w:bCs w:val="1"/>
                <w:color w:val="auto"/>
                <w:w w:val="84"/>
              </w:rPr>
              <w:t>2024</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jc w:val="right"/>
              <w:ind w:right="2"/>
              <w:spacing w:after="0"/>
              <w:rPr>
                <w:sz w:val="20"/>
                <w:szCs w:val="20"/>
                <w:color w:val="auto"/>
              </w:rPr>
            </w:pPr>
            <w:r>
              <w:rPr>
                <w:rFonts w:ascii="Arial" w:cs="Arial" w:eastAsia="Arial" w:hAnsi="Arial"/>
                <w:sz w:val="16"/>
                <w:szCs w:val="16"/>
                <w:b w:val="1"/>
                <w:bCs w:val="1"/>
                <w:color w:val="auto"/>
              </w:rPr>
              <w:t>2023</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1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Customer</w:t>
            </w:r>
          </w:p>
        </w:tc>
        <w:tc>
          <w:tcPr>
            <w:tcW w:w="800" w:type="dxa"/>
            <w:vAlign w:val="bottom"/>
          </w:tcPr>
          <w:p>
            <w:pPr>
              <w:jc w:val="right"/>
              <w:ind w:right="55"/>
              <w:spacing w:after="0" w:line="182" w:lineRule="exact"/>
              <w:rPr>
                <w:sz w:val="20"/>
                <w:szCs w:val="20"/>
                <w:color w:val="auto"/>
              </w:rPr>
            </w:pPr>
            <w:r>
              <w:rPr>
                <w:rFonts w:ascii="Arial" w:cs="Arial" w:eastAsia="Arial" w:hAnsi="Arial"/>
                <w:sz w:val="16"/>
                <w:szCs w:val="16"/>
                <w:b w:val="1"/>
                <w:bCs w:val="1"/>
                <w:color w:val="auto"/>
              </w:rPr>
              <w:t>Flexible</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88"/>
              </w:rPr>
              <w:t>Renewables &amp;</w:t>
            </w:r>
          </w:p>
        </w:tc>
        <w:tc>
          <w:tcPr>
            <w:tcW w:w="80" w:type="dxa"/>
            <w:vAlign w:val="bottom"/>
          </w:tcPr>
          <w:p>
            <w:pPr>
              <w:spacing w:after="0"/>
              <w:rPr>
                <w:sz w:val="15"/>
                <w:szCs w:val="15"/>
                <w:color w:val="auto"/>
              </w:rPr>
            </w:pPr>
          </w:p>
        </w:tc>
        <w:tc>
          <w:tcPr>
            <w:tcW w:w="980" w:type="dxa"/>
            <w:vAlign w:val="bottom"/>
            <w:gridSpan w:val="2"/>
          </w:tcPr>
          <w:p>
            <w:pPr>
              <w:jc w:val="center"/>
              <w:ind w:left="75"/>
              <w:spacing w:after="0" w:line="182" w:lineRule="exact"/>
              <w:rPr>
                <w:sz w:val="20"/>
                <w:szCs w:val="20"/>
                <w:color w:val="auto"/>
              </w:rPr>
            </w:pPr>
            <w:r>
              <w:rPr>
                <w:rFonts w:ascii="Arial" w:cs="Arial" w:eastAsia="Arial" w:hAnsi="Arial"/>
                <w:sz w:val="16"/>
                <w:szCs w:val="16"/>
                <w:b w:val="1"/>
                <w:bCs w:val="1"/>
                <w:color w:val="auto"/>
                <w:w w:val="90"/>
              </w:rPr>
              <w:t>Flexible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3"/>
          </w:tcPr>
          <w:p>
            <w:pPr>
              <w:jc w:val="center"/>
              <w:spacing w:after="0" w:line="182" w:lineRule="exact"/>
              <w:rPr>
                <w:sz w:val="20"/>
                <w:szCs w:val="20"/>
                <w:color w:val="auto"/>
              </w:rPr>
            </w:pPr>
            <w:r>
              <w:rPr>
                <w:rFonts w:ascii="Arial" w:cs="Arial" w:eastAsia="Arial" w:hAnsi="Arial"/>
                <w:sz w:val="16"/>
                <w:szCs w:val="16"/>
                <w:b w:val="1"/>
                <w:bCs w:val="1"/>
                <w:color w:val="auto"/>
                <w:w w:val="88"/>
              </w:rPr>
              <w:t>Renewables &amp;</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87"/>
              </w:rPr>
              <w:t>Flexible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0"/>
              </w:rPr>
              <w:t>Renewables &amp;</w:t>
            </w:r>
          </w:p>
        </w:tc>
        <w:tc>
          <w:tcPr>
            <w:tcW w:w="0" w:type="dxa"/>
            <w:vAlign w:val="bottom"/>
          </w:tcPr>
          <w:p>
            <w:pPr>
              <w:spacing w:after="0"/>
              <w:rPr>
                <w:sz w:val="1"/>
                <w:szCs w:val="1"/>
                <w:color w:val="auto"/>
              </w:rPr>
            </w:pPr>
          </w:p>
        </w:tc>
      </w:tr>
      <w:tr>
        <w:trPr>
          <w:trHeight w:val="210"/>
        </w:trPr>
        <w:tc>
          <w:tcPr>
            <w:tcW w:w="310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89"/>
              </w:rPr>
              <w:t>Generation</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center"/>
              <w:ind w:left="78"/>
              <w:spacing w:after="0"/>
              <w:rPr>
                <w:sz w:val="20"/>
                <w:szCs w:val="20"/>
                <w:color w:val="auto"/>
              </w:rPr>
            </w:pPr>
            <w:r>
              <w:rPr>
                <w:rFonts w:ascii="Arial" w:cs="Arial" w:eastAsia="Arial" w:hAnsi="Arial"/>
                <w:sz w:val="16"/>
                <w:szCs w:val="16"/>
                <w:b w:val="1"/>
                <w:bCs w:val="1"/>
                <w:color w:val="auto"/>
                <w:w w:val="87"/>
              </w:rPr>
              <w:t>Storage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left="95"/>
              <w:spacing w:after="0"/>
              <w:rPr>
                <w:sz w:val="20"/>
                <w:szCs w:val="20"/>
                <w:color w:val="auto"/>
              </w:rPr>
            </w:pPr>
            <w:r>
              <w:rPr>
                <w:rFonts w:ascii="Arial" w:cs="Arial" w:eastAsia="Arial" w:hAnsi="Arial"/>
                <w:sz w:val="16"/>
                <w:szCs w:val="16"/>
                <w:b w:val="1"/>
                <w:bCs w:val="1"/>
                <w:color w:val="auto"/>
                <w:w w:val="89"/>
              </w:rPr>
              <w:t>Generation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3"/>
              </w:rPr>
              <w:t>Storage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Generation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13"/>
              <w:spacing w:after="0"/>
              <w:rPr>
                <w:sz w:val="20"/>
                <w:szCs w:val="20"/>
                <w:color w:val="auto"/>
              </w:rPr>
            </w:pPr>
            <w:r>
              <w:rPr>
                <w:rFonts w:ascii="Arial" w:cs="Arial" w:eastAsia="Arial" w:hAnsi="Arial"/>
                <w:sz w:val="16"/>
                <w:szCs w:val="16"/>
                <w:b w:val="1"/>
                <w:bCs w:val="1"/>
                <w:color w:val="auto"/>
                <w:w w:val="83"/>
              </w:rPr>
              <w:t>Storage</w:t>
            </w:r>
          </w:p>
        </w:tc>
        <w:tc>
          <w:tcPr>
            <w:tcW w:w="0" w:type="dxa"/>
            <w:vAlign w:val="bottom"/>
          </w:tcPr>
          <w:p>
            <w:pPr>
              <w:spacing w:after="0"/>
              <w:rPr>
                <w:sz w:val="1"/>
                <w:szCs w:val="1"/>
                <w:color w:val="auto"/>
              </w:rPr>
            </w:pPr>
          </w:p>
        </w:tc>
      </w:tr>
      <w:tr>
        <w:trPr>
          <w:trHeight w:val="229"/>
        </w:trPr>
        <w:tc>
          <w:tcPr>
            <w:tcW w:w="2900" w:type="dxa"/>
            <w:vAlign w:val="bottom"/>
          </w:tcPr>
          <w:p>
            <w:pPr>
              <w:ind w:left="100"/>
              <w:spacing w:after="0"/>
              <w:rPr>
                <w:sz w:val="20"/>
                <w:szCs w:val="20"/>
                <w:color w:val="auto"/>
              </w:rPr>
            </w:pPr>
            <w:r>
              <w:rPr>
                <w:rFonts w:ascii="Arial" w:cs="Arial" w:eastAsia="Arial" w:hAnsi="Arial"/>
                <w:sz w:val="18"/>
                <w:szCs w:val="18"/>
                <w:color w:val="B4B4B4"/>
                <w:w w:val="91"/>
              </w:rPr>
              <w:t>. . . . . . . . . . . . . . . . . . . . . . . . . . .</w:t>
            </w:r>
            <w:r>
              <w:rPr>
                <w:rFonts w:ascii="Arial" w:cs="Arial" w:eastAsia="Arial" w:hAnsi="Arial"/>
                <w:sz w:val="18"/>
                <w:szCs w:val="18"/>
                <w:color w:val="000000"/>
                <w:w w:val="91"/>
              </w:rPr>
              <w:t>SCE</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15"/>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tcBorders>
          </w:tcPr>
          <w:p>
            <w:pPr>
              <w:jc w:val="center"/>
              <w:ind w:left="118"/>
              <w:spacing w:after="0"/>
              <w:rPr>
                <w:sz w:val="20"/>
                <w:szCs w:val="20"/>
                <w:color w:val="auto"/>
              </w:rPr>
            </w:pPr>
            <w:r>
              <w:rPr>
                <w:rFonts w:ascii="Arial" w:cs="Arial" w:eastAsia="Arial" w:hAnsi="Arial"/>
                <w:sz w:val="18"/>
                <w:szCs w:val="18"/>
                <w:color w:val="auto"/>
                <w:w w:val="88"/>
              </w:rPr>
              <w:t>15%</w:t>
            </w:r>
          </w:p>
        </w:tc>
        <w:tc>
          <w:tcPr>
            <w:tcW w:w="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jc w:val="center"/>
              <w:ind w:left="135"/>
              <w:spacing w:after="0"/>
              <w:rPr>
                <w:sz w:val="20"/>
                <w:szCs w:val="20"/>
                <w:color w:val="auto"/>
              </w:rPr>
            </w:pPr>
            <w:r>
              <w:rPr>
                <w:rFonts w:ascii="Arial" w:cs="Arial" w:eastAsia="Arial" w:hAnsi="Arial"/>
                <w:sz w:val="18"/>
                <w:szCs w:val="18"/>
                <w:color w:val="auto"/>
                <w:w w:val="92"/>
              </w:rPr>
              <w:t>7%</w:t>
            </w: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top w:val="single" w:sz="8" w:color="auto"/>
            </w:tcBorders>
          </w:tcPr>
          <w:p>
            <w:pPr>
              <w:jc w:val="center"/>
              <w:ind w:left="77"/>
              <w:spacing w:after="0"/>
              <w:rPr>
                <w:sz w:val="20"/>
                <w:szCs w:val="20"/>
                <w:color w:val="auto"/>
              </w:rPr>
            </w:pPr>
            <w:r>
              <w:rPr>
                <w:rFonts w:ascii="Arial" w:cs="Arial" w:eastAsia="Arial" w:hAnsi="Arial"/>
                <w:sz w:val="18"/>
                <w:szCs w:val="18"/>
                <w:color w:val="auto"/>
                <w:w w:val="88"/>
              </w:rPr>
              <w:t>17%</w:t>
            </w: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color w:val="auto"/>
              </w:rPr>
              <w:t>11%</w:t>
            </w:r>
          </w:p>
        </w:tc>
        <w:tc>
          <w:tcPr>
            <w:tcW w:w="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center"/>
              <w:ind w:right="93"/>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45"/>
        </w:trPr>
        <w:tc>
          <w:tcPr>
            <w:tcW w:w="3100" w:type="dxa"/>
            <w:vAlign w:val="bottom"/>
            <w:gridSpan w:val="2"/>
          </w:tcPr>
          <w:p>
            <w:pPr>
              <w:ind w:left="100"/>
              <w:spacing w:after="0"/>
              <w:rPr>
                <w:sz w:val="20"/>
                <w:szCs w:val="20"/>
                <w:color w:val="auto"/>
              </w:rPr>
            </w:pPr>
            <w:r>
              <w:rPr>
                <w:rFonts w:ascii="Arial" w:cs="Arial" w:eastAsia="Arial" w:hAnsi="Arial"/>
                <w:sz w:val="18"/>
                <w:szCs w:val="18"/>
                <w:color w:val="auto"/>
                <w:w w:val="99"/>
              </w:rPr>
              <w:t xml:space="preserve">PG&amp;E </w:t>
            </w:r>
            <w:r>
              <w:rPr>
                <w:rFonts w:ascii="Arial" w:cs="Arial" w:eastAsia="Arial" w:hAnsi="Arial"/>
                <w:sz w:val="18"/>
                <w:szCs w:val="18"/>
                <w:color w:val="B4B4B4"/>
                <w:w w:val="99"/>
              </w:rPr>
              <w:t>. . . . . . . . . . . . . . . . . . . . . . . . .</w:t>
            </w:r>
          </w:p>
        </w:tc>
        <w:tc>
          <w:tcPr>
            <w:tcW w:w="800" w:type="dxa"/>
            <w:vAlign w:val="bottom"/>
          </w:tcPr>
          <w:p>
            <w:pPr>
              <w:jc w:val="right"/>
              <w:ind w:right="215"/>
              <w:spacing w:after="0"/>
              <w:rPr>
                <w:sz w:val="20"/>
                <w:szCs w:val="20"/>
                <w:color w:val="auto"/>
              </w:rPr>
            </w:pPr>
            <w:r>
              <w:rPr>
                <w:rFonts w:ascii="Arial" w:cs="Arial" w:eastAsia="Arial" w:hAnsi="Arial"/>
                <w:sz w:val="18"/>
                <w:szCs w:val="18"/>
                <w:color w:val="auto"/>
              </w:rPr>
              <w:t>2%</w:t>
            </w:r>
          </w:p>
        </w:tc>
        <w:tc>
          <w:tcPr>
            <w:tcW w:w="118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14%</w:t>
            </w:r>
          </w:p>
        </w:tc>
        <w:tc>
          <w:tcPr>
            <w:tcW w:w="160" w:type="dxa"/>
            <w:vAlign w:val="bottom"/>
          </w:tcPr>
          <w:p>
            <w:pPr>
              <w:spacing w:after="0"/>
              <w:rPr>
                <w:sz w:val="21"/>
                <w:szCs w:val="21"/>
                <w:color w:val="auto"/>
              </w:rPr>
            </w:pPr>
          </w:p>
        </w:tc>
        <w:tc>
          <w:tcPr>
            <w:tcW w:w="1020" w:type="dxa"/>
            <w:vAlign w:val="bottom"/>
            <w:gridSpan w:val="2"/>
          </w:tcPr>
          <w:p>
            <w:pPr>
              <w:jc w:val="center"/>
              <w:ind w:left="212"/>
              <w:spacing w:after="0"/>
              <w:rPr>
                <w:sz w:val="20"/>
                <w:szCs w:val="20"/>
                <w:color w:val="auto"/>
              </w:rPr>
            </w:pPr>
            <w:r>
              <w:rPr>
                <w:rFonts w:ascii="Arial" w:cs="Arial" w:eastAsia="Arial" w:hAnsi="Arial"/>
                <w:sz w:val="18"/>
                <w:szCs w:val="18"/>
                <w:color w:val="auto"/>
                <w:w w:val="92"/>
              </w:rPr>
              <w:t>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14%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ind w:right="273"/>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ind w:right="93"/>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530"/>
        </w:trPr>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7"/>
              </w:rPr>
              <w:t>Year ended December 31, 2025</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1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40"/>
              <w:spacing w:after="0" w:line="167" w:lineRule="exact"/>
              <w:rPr>
                <w:sz w:val="20"/>
                <w:szCs w:val="20"/>
                <w:color w:val="auto"/>
              </w:rPr>
            </w:pPr>
            <w:r>
              <w:rPr>
                <w:rFonts w:ascii="Arial" w:cs="Arial" w:eastAsia="Arial" w:hAnsi="Arial"/>
                <w:sz w:val="16"/>
                <w:szCs w:val="16"/>
                <w:b w:val="1"/>
                <w:bCs w:val="1"/>
                <w:color w:val="auto"/>
                <w:w w:val="90"/>
              </w:rPr>
              <w:t>Flexible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spacing w:after="0" w:line="167" w:lineRule="exact"/>
              <w:rPr>
                <w:sz w:val="20"/>
                <w:szCs w:val="20"/>
                <w:color w:val="auto"/>
              </w:rPr>
            </w:pPr>
            <w:r>
              <w:rPr>
                <w:rFonts w:ascii="Arial" w:cs="Arial" w:eastAsia="Arial" w:hAnsi="Arial"/>
                <w:sz w:val="16"/>
                <w:szCs w:val="16"/>
                <w:b w:val="1"/>
                <w:bCs w:val="1"/>
                <w:color w:val="auto"/>
              </w:rPr>
              <w:t>Renewables &amp;</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w w:val="86"/>
              </w:rPr>
              <w:t xml:space="preserve">Corporate </w:t>
            </w:r>
            <w:r>
              <w:rPr>
                <w:rFonts w:ascii="Arial" w:cs="Arial" w:eastAsia="Arial" w:hAnsi="Arial"/>
                <w:sz w:val="22"/>
                <w:szCs w:val="22"/>
                <w:b w:val="1"/>
                <w:bCs w:val="1"/>
                <w:color w:val="auto"/>
                <w:w w:val="86"/>
                <w:vertAlign w:val="superscript"/>
              </w:rPr>
              <w:t>(a)</w:t>
            </w:r>
          </w:p>
        </w:tc>
        <w:tc>
          <w:tcPr>
            <w:tcW w:w="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6"/>
                <w:szCs w:val="16"/>
                <w:b w:val="1"/>
                <w:bCs w:val="1"/>
                <w:color w:val="auto"/>
                <w:w w:val="87"/>
              </w:rPr>
              <w:t>Generation</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6"/>
                <w:szCs w:val="16"/>
                <w:b w:val="1"/>
                <w:bCs w:val="1"/>
                <w:color w:val="auto"/>
              </w:rPr>
              <w:t>Storage</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gridSpan w:val="3"/>
          </w:tcPr>
          <w:p>
            <w:pPr>
              <w:jc w:val="right"/>
              <w:spacing w:after="0"/>
              <w:rPr>
                <w:sz w:val="20"/>
                <w:szCs w:val="20"/>
                <w:color w:val="auto"/>
              </w:rPr>
            </w:pPr>
            <w:r>
              <w:rPr>
                <w:rFonts w:ascii="Arial" w:cs="Arial" w:eastAsia="Arial" w:hAnsi="Arial"/>
                <w:sz w:val="18"/>
                <w:szCs w:val="18"/>
                <w:color w:val="B4B4B4"/>
                <w:w w:val="92"/>
              </w:rPr>
              <w:t>. . . . . . . . . . . . . . . . . . . . . . . . . . .</w:t>
            </w:r>
            <w:r>
              <w:rPr>
                <w:rFonts w:ascii="Arial" w:cs="Arial" w:eastAsia="Arial" w:hAnsi="Arial"/>
                <w:sz w:val="18"/>
                <w:szCs w:val="18"/>
                <w:color w:val="000000"/>
                <w:w w:val="92"/>
              </w:rPr>
              <w:t>Operatingrevenues</w:t>
            </w:r>
          </w:p>
        </w:tc>
        <w:tc>
          <w:tcPr>
            <w:tcW w:w="160" w:type="dxa"/>
            <w:vAlign w:val="bottom"/>
          </w:tcPr>
          <w:p>
            <w:pPr>
              <w:ind w:left="20"/>
              <w:spacing w:after="0"/>
              <w:rPr>
                <w:sz w:val="20"/>
                <w:szCs w:val="20"/>
                <w:color w:val="auto"/>
              </w:rPr>
            </w:pPr>
            <w:r>
              <w:rPr>
                <w:rFonts w:ascii="Arial" w:cs="Arial" w:eastAsia="Arial" w:hAnsi="Arial"/>
                <w:sz w:val="18"/>
                <w:szCs w:val="18"/>
                <w:color w:val="B4B4B4"/>
                <w:w w:val="79"/>
              </w:rPr>
              <w:t>. .</w:t>
            </w:r>
          </w:p>
        </w:tc>
        <w:tc>
          <w:tcPr>
            <w:tcW w:w="1020" w:type="dxa"/>
            <w:vAlign w:val="bottom"/>
            <w:gridSpan w:val="2"/>
          </w:tcPr>
          <w:p>
            <w:pPr>
              <w:jc w:val="right"/>
              <w:spacing w:after="0"/>
              <w:rPr>
                <w:sz w:val="20"/>
                <w:szCs w:val="20"/>
                <w:color w:val="auto"/>
              </w:rPr>
            </w:pPr>
            <w:r>
              <w:rPr>
                <w:rFonts w:ascii="Arial" w:cs="Arial" w:eastAsia="Arial" w:hAnsi="Arial"/>
                <w:sz w:val="18"/>
                <w:szCs w:val="18"/>
                <w:color w:val="B4B4B4"/>
                <w:w w:val="89"/>
              </w:rPr>
              <w:t>. . . . . . . . . . .</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4"/>
        </w:trPr>
        <w:tc>
          <w:tcPr>
            <w:tcW w:w="5080" w:type="dxa"/>
            <w:vAlign w:val="bottom"/>
            <w:gridSpan w:val="6"/>
          </w:tcPr>
          <w:p>
            <w:pPr>
              <w:ind w:left="140"/>
              <w:spacing w:after="0"/>
              <w:rPr>
                <w:sz w:val="20"/>
                <w:szCs w:val="20"/>
                <w:color w:val="auto"/>
              </w:rPr>
            </w:pPr>
            <w:r>
              <w:rPr>
                <w:rFonts w:ascii="Arial" w:cs="Arial" w:eastAsia="Arial" w:hAnsi="Arial"/>
                <w:sz w:val="18"/>
                <w:szCs w:val="18"/>
                <w:color w:val="auto"/>
                <w:w w:val="99"/>
              </w:rPr>
              <w:t>Cost of operations, exclusive of depreciation, amortization and</w:t>
            </w:r>
          </w:p>
        </w:tc>
        <w:tc>
          <w:tcPr>
            <w:tcW w:w="16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9"/>
        </w:trPr>
        <w:tc>
          <w:tcPr>
            <w:tcW w:w="3900" w:type="dxa"/>
            <w:vAlign w:val="bottom"/>
            <w:gridSpan w:val="3"/>
          </w:tcPr>
          <w:p>
            <w:pPr>
              <w:jc w:val="right"/>
              <w:spacing w:after="0"/>
              <w:rPr>
                <w:sz w:val="20"/>
                <w:szCs w:val="20"/>
                <w:color w:val="auto"/>
              </w:rPr>
            </w:pPr>
            <w:r>
              <w:rPr>
                <w:rFonts w:ascii="Arial" w:cs="Arial" w:eastAsia="Arial" w:hAnsi="Arial"/>
                <w:sz w:val="18"/>
                <w:szCs w:val="18"/>
                <w:color w:val="auto"/>
                <w:w w:val="96"/>
              </w:rPr>
              <w:t xml:space="preserve">accretion shown separately below </w:t>
            </w:r>
            <w:r>
              <w:rPr>
                <w:rFonts w:ascii="Arial" w:cs="Arial" w:eastAsia="Arial" w:hAnsi="Arial"/>
                <w:sz w:val="18"/>
                <w:szCs w:val="18"/>
                <w:color w:val="B4B4B4"/>
                <w:w w:val="96"/>
              </w:rPr>
              <w:t>. . . . . . . . . . . . .</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100" w:type="dxa"/>
            <w:vAlign w:val="bottom"/>
            <w:gridSpan w:val="2"/>
          </w:tcPr>
          <w:p>
            <w:pPr>
              <w:ind w:left="140"/>
              <w:spacing w:after="0"/>
              <w:rPr>
                <w:sz w:val="20"/>
                <w:szCs w:val="20"/>
                <w:color w:val="auto"/>
              </w:rPr>
            </w:pPr>
            <w:r>
              <w:rPr>
                <w:rFonts w:ascii="Arial" w:cs="Arial" w:eastAsia="Arial" w:hAnsi="Arial"/>
                <w:sz w:val="18"/>
                <w:szCs w:val="18"/>
                <w:color w:val="auto"/>
                <w:w w:val="91"/>
              </w:rPr>
              <w:t>Depreciation, amortization and accretion</w:t>
            </w:r>
          </w:p>
        </w:tc>
        <w:tc>
          <w:tcPr>
            <w:tcW w:w="800" w:type="dxa"/>
            <w:vAlign w:val="bottom"/>
          </w:tcPr>
          <w:p>
            <w:pPr>
              <w:jc w:val="right"/>
              <w:spacing w:after="0"/>
              <w:rPr>
                <w:sz w:val="20"/>
                <w:szCs w:val="20"/>
                <w:color w:val="auto"/>
              </w:rPr>
            </w:pPr>
            <w:r>
              <w:rPr>
                <w:rFonts w:ascii="Arial" w:cs="Arial" w:eastAsia="Arial" w:hAnsi="Arial"/>
                <w:sz w:val="18"/>
                <w:szCs w:val="18"/>
                <w:color w:val="B4B4B4"/>
                <w:w w:val="89"/>
              </w:rPr>
              <w:t>. . . . . . . . .</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50"/>
        </w:trPr>
        <w:tc>
          <w:tcPr>
            <w:tcW w:w="3900" w:type="dxa"/>
            <w:vAlign w:val="bottom"/>
            <w:gridSpan w:val="3"/>
          </w:tcPr>
          <w:p>
            <w:pPr>
              <w:jc w:val="right"/>
              <w:spacing w:after="0"/>
              <w:rPr>
                <w:sz w:val="20"/>
                <w:szCs w:val="20"/>
                <w:color w:val="auto"/>
              </w:rPr>
            </w:pPr>
            <w:r>
              <w:rPr>
                <w:rFonts w:ascii="Arial" w:cs="Arial" w:eastAsia="Arial" w:hAnsi="Arial"/>
                <w:sz w:val="18"/>
                <w:szCs w:val="18"/>
                <w:color w:val="auto"/>
                <w:w w:val="92"/>
              </w:rPr>
              <w:t xml:space="preserve">General and administrative </w:t>
            </w:r>
            <w:r>
              <w:rPr>
                <w:rFonts w:ascii="Arial" w:cs="Arial" w:eastAsia="Arial" w:hAnsi="Arial"/>
                <w:sz w:val="18"/>
                <w:szCs w:val="18"/>
                <w:color w:val="B4B4B4"/>
                <w:w w:val="92"/>
              </w:rPr>
              <w:t>. . . . . . . . . . . . . . . . . . . .</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2"/>
        </w:trPr>
        <w:tc>
          <w:tcPr>
            <w:tcW w:w="3900" w:type="dxa"/>
            <w:vAlign w:val="bottom"/>
            <w:gridSpan w:val="3"/>
          </w:tcPr>
          <w:p>
            <w:pPr>
              <w:jc w:val="right"/>
              <w:spacing w:after="0"/>
              <w:rPr>
                <w:sz w:val="20"/>
                <w:szCs w:val="20"/>
                <w:color w:val="auto"/>
              </w:rPr>
            </w:pPr>
            <w:r>
              <w:rPr>
                <w:rFonts w:ascii="Arial" w:cs="Arial" w:eastAsia="Arial" w:hAnsi="Arial"/>
                <w:sz w:val="18"/>
                <w:szCs w:val="18"/>
                <w:color w:val="auto"/>
                <w:w w:val="90"/>
              </w:rPr>
              <w:t xml:space="preserve">Transaction and integration costs </w:t>
            </w:r>
            <w:r>
              <w:rPr>
                <w:rFonts w:ascii="Arial" w:cs="Arial" w:eastAsia="Arial" w:hAnsi="Arial"/>
                <w:sz w:val="18"/>
                <w:szCs w:val="18"/>
                <w:color w:val="B4B4B4"/>
                <w:w w:val="90"/>
              </w:rPr>
              <w:t>. . . . . . . . . . . . . . . .</w:t>
            </w:r>
          </w:p>
        </w:tc>
        <w:tc>
          <w:tcPr>
            <w:tcW w:w="1180" w:type="dxa"/>
            <w:vAlign w:val="bottom"/>
            <w:gridSpan w:val="3"/>
          </w:tcPr>
          <w:p>
            <w:pPr>
              <w:jc w:val="right"/>
              <w:spacing w:after="0"/>
              <w:rPr>
                <w:sz w:val="20"/>
                <w:szCs w:val="20"/>
                <w:color w:val="auto"/>
              </w:rPr>
            </w:pPr>
            <w:r>
              <w:rPr>
                <w:rFonts w:ascii="Arial" w:cs="Arial" w:eastAsia="Arial" w:hAnsi="Arial"/>
                <w:sz w:val="18"/>
                <w:szCs w:val="18"/>
                <w:color w:val="B4B4B4"/>
                <w:w w:val="89"/>
              </w:rPr>
              <w:t>. . . . . . . . . . . . .</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8"/>
        </w:trPr>
        <w:tc>
          <w:tcPr>
            <w:tcW w:w="3900" w:type="dxa"/>
            <w:vAlign w:val="bottom"/>
            <w:gridSpan w:val="3"/>
          </w:tcPr>
          <w:p>
            <w:pPr>
              <w:jc w:val="right"/>
              <w:spacing w:after="0"/>
              <w:rPr>
                <w:sz w:val="20"/>
                <w:szCs w:val="20"/>
                <w:color w:val="auto"/>
              </w:rPr>
            </w:pPr>
            <w:r>
              <w:rPr>
                <w:rFonts w:ascii="Arial" w:cs="Arial" w:eastAsia="Arial" w:hAnsi="Arial"/>
                <w:sz w:val="18"/>
                <w:szCs w:val="18"/>
                <w:color w:val="B4B4B4"/>
                <w:w w:val="92"/>
              </w:rPr>
              <w:t>. . . . . . . . . . . . . . . . . . . . . . . .</w:t>
            </w:r>
            <w:r>
              <w:rPr>
                <w:rFonts w:ascii="Arial" w:cs="Arial" w:eastAsia="Arial" w:hAnsi="Arial"/>
                <w:sz w:val="18"/>
                <w:szCs w:val="18"/>
                <w:color w:val="000000"/>
                <w:w w:val="92"/>
              </w:rPr>
              <w:t>Operatingincome(loss)</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0"/>
        </w:trPr>
        <w:tc>
          <w:tcPr>
            <w:tcW w:w="3900" w:type="dxa"/>
            <w:vAlign w:val="bottom"/>
            <w:gridSpan w:val="3"/>
          </w:tcPr>
          <w:p>
            <w:pPr>
              <w:jc w:val="right"/>
              <w:spacing w:after="0"/>
              <w:rPr>
                <w:sz w:val="20"/>
                <w:szCs w:val="20"/>
                <w:color w:val="auto"/>
              </w:rPr>
            </w:pPr>
            <w:r>
              <w:rPr>
                <w:rFonts w:ascii="Arial" w:cs="Arial" w:eastAsia="Arial" w:hAnsi="Arial"/>
                <w:sz w:val="18"/>
                <w:szCs w:val="18"/>
                <w:color w:val="auto"/>
                <w:w w:val="94"/>
              </w:rPr>
              <w:t xml:space="preserve">Equity in earnings of unconsolidated affiliates </w:t>
            </w:r>
            <w:r>
              <w:rPr>
                <w:rFonts w:ascii="Arial" w:cs="Arial" w:eastAsia="Arial" w:hAnsi="Arial"/>
                <w:sz w:val="18"/>
                <w:szCs w:val="18"/>
                <w:color w:val="B4B4B4"/>
                <w:w w:val="94"/>
              </w:rPr>
              <w:t>. . . . .</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3900" w:type="dxa"/>
            <w:vAlign w:val="bottom"/>
            <w:gridSpan w:val="3"/>
          </w:tcPr>
          <w:p>
            <w:pPr>
              <w:jc w:val="right"/>
              <w:spacing w:after="0"/>
              <w:rPr>
                <w:sz w:val="20"/>
                <w:szCs w:val="20"/>
                <w:color w:val="auto"/>
              </w:rPr>
            </w:pPr>
            <w:r>
              <w:rPr>
                <w:rFonts w:ascii="Arial" w:cs="Arial" w:eastAsia="Arial" w:hAnsi="Arial"/>
                <w:sz w:val="18"/>
                <w:szCs w:val="18"/>
                <w:color w:val="auto"/>
                <w:w w:val="91"/>
              </w:rPr>
              <w:t xml:space="preserve">Other income, net </w:t>
            </w:r>
            <w:r>
              <w:rPr>
                <w:rFonts w:ascii="Arial" w:cs="Arial" w:eastAsia="Arial" w:hAnsi="Arial"/>
                <w:sz w:val="18"/>
                <w:szCs w:val="18"/>
                <w:color w:val="B4B4B4"/>
                <w:w w:val="91"/>
              </w:rPr>
              <w:t>. . . . . . . . . . . . . . . . . . . . . . . . . . . .</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3900" w:type="dxa"/>
            <w:vAlign w:val="bottom"/>
            <w:gridSpan w:val="3"/>
          </w:tcPr>
          <w:p>
            <w:pPr>
              <w:jc w:val="right"/>
              <w:spacing w:after="0"/>
              <w:rPr>
                <w:sz w:val="20"/>
                <w:szCs w:val="20"/>
                <w:color w:val="auto"/>
              </w:rPr>
            </w:pPr>
            <w:r>
              <w:rPr>
                <w:rFonts w:ascii="Arial" w:cs="Arial" w:eastAsia="Arial" w:hAnsi="Arial"/>
                <w:sz w:val="18"/>
                <w:szCs w:val="18"/>
                <w:color w:val="auto"/>
                <w:w w:val="92"/>
              </w:rPr>
              <w:t xml:space="preserve">Loss on debt extinguishment </w:t>
            </w:r>
            <w:r>
              <w:rPr>
                <w:rFonts w:ascii="Arial" w:cs="Arial" w:eastAsia="Arial" w:hAnsi="Arial"/>
                <w:sz w:val="18"/>
                <w:szCs w:val="18"/>
                <w:color w:val="B4B4B4"/>
                <w:w w:val="92"/>
              </w:rPr>
              <w:t>. . . . . . . . . . . . . . . . . . .</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2"/>
        </w:trPr>
        <w:tc>
          <w:tcPr>
            <w:tcW w:w="3900" w:type="dxa"/>
            <w:vAlign w:val="bottom"/>
            <w:gridSpan w:val="3"/>
          </w:tcPr>
          <w:p>
            <w:pPr>
              <w:jc w:val="right"/>
              <w:spacing w:after="0"/>
              <w:rPr>
                <w:sz w:val="20"/>
                <w:szCs w:val="20"/>
                <w:color w:val="auto"/>
              </w:rPr>
            </w:pPr>
            <w:r>
              <w:rPr>
                <w:rFonts w:ascii="Arial" w:cs="Arial" w:eastAsia="Arial" w:hAnsi="Arial"/>
                <w:sz w:val="18"/>
                <w:szCs w:val="18"/>
                <w:color w:val="auto"/>
                <w:w w:val="91"/>
              </w:rPr>
              <w:t xml:space="preserve">Interest expense </w:t>
            </w:r>
            <w:r>
              <w:rPr>
                <w:rFonts w:ascii="Arial" w:cs="Arial" w:eastAsia="Arial" w:hAnsi="Arial"/>
                <w:sz w:val="18"/>
                <w:szCs w:val="18"/>
                <w:color w:val="B4B4B4"/>
                <w:w w:val="91"/>
              </w:rPr>
              <w:t>. . . . . . . . . . . . . . . . . . . . . . . . . . . . .</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3900" w:type="dxa"/>
            <w:vAlign w:val="bottom"/>
            <w:gridSpan w:val="3"/>
          </w:tcPr>
          <w:p>
            <w:pPr>
              <w:jc w:val="right"/>
              <w:spacing w:after="0"/>
              <w:rPr>
                <w:sz w:val="20"/>
                <w:szCs w:val="20"/>
                <w:color w:val="auto"/>
              </w:rPr>
            </w:pPr>
            <w:r>
              <w:rPr>
                <w:rFonts w:ascii="Arial" w:cs="Arial" w:eastAsia="Arial" w:hAnsi="Arial"/>
                <w:sz w:val="18"/>
                <w:szCs w:val="18"/>
                <w:color w:val="B4B4B4"/>
                <w:w w:val="94"/>
              </w:rPr>
              <w:t>. . . . . . . . . . . . . . . .</w:t>
            </w:r>
            <w:r>
              <w:rPr>
                <w:rFonts w:ascii="Arial" w:cs="Arial" w:eastAsia="Arial" w:hAnsi="Arial"/>
                <w:sz w:val="18"/>
                <w:szCs w:val="18"/>
                <w:color w:val="000000"/>
                <w:w w:val="94"/>
              </w:rPr>
              <w:t>Income(loss)beforeincometaxes</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51"/>
        </w:trPr>
        <w:tc>
          <w:tcPr>
            <w:tcW w:w="3900" w:type="dxa"/>
            <w:vAlign w:val="bottom"/>
            <w:gridSpan w:val="3"/>
          </w:tcPr>
          <w:p>
            <w:pPr>
              <w:jc w:val="right"/>
              <w:spacing w:after="0"/>
              <w:rPr>
                <w:sz w:val="20"/>
                <w:szCs w:val="20"/>
                <w:color w:val="auto"/>
              </w:rPr>
            </w:pPr>
            <w:r>
              <w:rPr>
                <w:rFonts w:ascii="Arial" w:cs="Arial" w:eastAsia="Arial" w:hAnsi="Arial"/>
                <w:sz w:val="18"/>
                <w:szCs w:val="18"/>
                <w:color w:val="auto"/>
                <w:w w:val="91"/>
              </w:rPr>
              <w:t xml:space="preserve">Income tax (benefit) expense </w:t>
            </w:r>
            <w:r>
              <w:rPr>
                <w:rFonts w:ascii="Arial" w:cs="Arial" w:eastAsia="Arial" w:hAnsi="Arial"/>
                <w:sz w:val="18"/>
                <w:szCs w:val="18"/>
                <w:color w:val="B4B4B4"/>
                <w:w w:val="91"/>
              </w:rPr>
              <w:t>. . . . . . . . . . . . . . . . . . .</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9"/>
        </w:trPr>
        <w:tc>
          <w:tcPr>
            <w:tcW w:w="31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B4B4B4"/>
              </w:rPr>
              <w:t>. .</w:t>
            </w:r>
            <w:r>
              <w:rPr>
                <w:rFonts w:ascii="Arial" w:cs="Arial" w:eastAsia="Arial" w:hAnsi="Arial"/>
                <w:sz w:val="18"/>
                <w:szCs w:val="18"/>
                <w:b w:val="1"/>
                <w:bCs w:val="1"/>
                <w:color w:val="000000"/>
              </w:rPr>
              <w:t>NetIncome(Loss)</w:t>
            </w:r>
            <w:r>
              <w:rPr>
                <w:rFonts w:ascii="Arial" w:cs="Arial" w:eastAsia="Arial" w:hAnsi="Arial"/>
                <w:sz w:val="18"/>
                <w:szCs w:val="18"/>
                <w:b w:val="1"/>
                <w:bCs w:val="1"/>
                <w:color w:val="B4B4B4"/>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B4B4B4"/>
                <w:w w:val="89"/>
              </w:rPr>
              <w:t>. . . . . . . . .</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B4B4B4"/>
                <w:w w:val="91"/>
              </w:rPr>
              <w:t>. . . . . . . . . . . . .</w:t>
            </w: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0"/>
        </w:trPr>
        <w:tc>
          <w:tcPr>
            <w:tcW w:w="5080" w:type="dxa"/>
            <w:vAlign w:val="bottom"/>
            <w:gridSpan w:val="6"/>
          </w:tcPr>
          <w:p>
            <w:pPr>
              <w:ind w:left="140"/>
              <w:spacing w:after="0" w:line="201" w:lineRule="exact"/>
              <w:rPr>
                <w:sz w:val="20"/>
                <w:szCs w:val="20"/>
                <w:color w:val="auto"/>
              </w:rPr>
            </w:pPr>
            <w:r>
              <w:rPr>
                <w:rFonts w:ascii="Arial" w:cs="Arial" w:eastAsia="Arial" w:hAnsi="Arial"/>
                <w:sz w:val="18"/>
                <w:szCs w:val="18"/>
                <w:color w:val="auto"/>
                <w:w w:val="93"/>
              </w:rPr>
              <w:t>Less: Net (loss) income attributable to noncontrolling interests and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6"/>
        </w:trPr>
        <w:tc>
          <w:tcPr>
            <w:tcW w:w="310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18"/>
                <w:szCs w:val="18"/>
                <w:color w:val="B4B4B4"/>
              </w:rPr>
              <w:t>. .</w:t>
            </w:r>
          </w:p>
        </w:tc>
        <w:tc>
          <w:tcPr>
            <w:tcW w:w="800" w:type="dxa"/>
            <w:vAlign w:val="bottom"/>
          </w:tcPr>
          <w:p>
            <w:pPr>
              <w:jc w:val="right"/>
              <w:spacing w:after="0"/>
              <w:rPr>
                <w:sz w:val="20"/>
                <w:szCs w:val="20"/>
                <w:color w:val="auto"/>
              </w:rPr>
            </w:pPr>
            <w:r>
              <w:rPr>
                <w:rFonts w:ascii="Arial" w:cs="Arial" w:eastAsia="Arial" w:hAnsi="Arial"/>
                <w:sz w:val="18"/>
                <w:szCs w:val="18"/>
                <w:color w:val="B4B4B4"/>
                <w:w w:val="89"/>
              </w:rPr>
              <w:t>. . . . . . . . .</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080" w:type="dxa"/>
            <w:vAlign w:val="bottom"/>
            <w:gridSpan w:val="6"/>
          </w:tcPr>
          <w:p>
            <w:pPr>
              <w:jc w:val="right"/>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b w:val="1"/>
                <w:bCs w:val="1"/>
                <w:color w:val="B4B4B4"/>
                <w:w w:val="96"/>
              </w:rPr>
              <w:t>. . . . . . . .</w:t>
            </w:r>
            <w:r>
              <w:rPr>
                <w:rFonts w:ascii="Arial" w:cs="Arial" w:eastAsia="Arial" w:hAnsi="Arial"/>
                <w:sz w:val="18"/>
                <w:szCs w:val="18"/>
                <w:b w:val="1"/>
                <w:bCs w:val="1"/>
                <w:color w:val="auto"/>
                <w:w w:val="96"/>
              </w:rPr>
              <w:t>NetIncome(Loss)AttributabletoClearwayEnergy,Inc</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20"/>
                <w:szCs w:val="20"/>
                <w:color w:val="auto"/>
              </w:rPr>
            </w:pPr>
          </w:p>
        </w:tc>
        <w:tc>
          <w:tcPr>
            <w:tcW w:w="280" w:type="dxa"/>
            <w:vAlign w:val="bottom"/>
            <w:gridSpan w:val="3"/>
          </w:tcPr>
          <w:p>
            <w:pPr>
              <w:jc w:val="right"/>
              <w:ind w:right="4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w:t>
            </w: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00" w:type="dxa"/>
            <w:vAlign w:val="bottom"/>
            <w:gridSpan w:val="3"/>
          </w:tcPr>
          <w:p>
            <w:pPr>
              <w:jc w:val="right"/>
              <w:spacing w:after="0"/>
              <w:rPr>
                <w:sz w:val="20"/>
                <w:szCs w:val="20"/>
                <w:color w:val="auto"/>
              </w:rPr>
            </w:pPr>
            <w:r>
              <w:rPr>
                <w:rFonts w:ascii="Arial" w:cs="Arial" w:eastAsia="Arial" w:hAnsi="Arial"/>
                <w:sz w:val="18"/>
                <w:szCs w:val="18"/>
                <w:color w:val="auto"/>
                <w:w w:val="89"/>
              </w:rPr>
              <w:t xml:space="preserve">Equity investments in affiliates </w:t>
            </w:r>
            <w:r>
              <w:rPr>
                <w:rFonts w:ascii="Arial" w:cs="Arial" w:eastAsia="Arial" w:hAnsi="Arial"/>
                <w:sz w:val="18"/>
                <w:szCs w:val="18"/>
                <w:color w:val="B4B4B4"/>
                <w:w w:val="89"/>
              </w:rPr>
              <w:t>. . . . . . . . . . . . . . . . . . .</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1"/>
                <w:szCs w:val="21"/>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4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97"/>
        </w:trPr>
        <w:tc>
          <w:tcPr>
            <w:tcW w:w="3900" w:type="dxa"/>
            <w:vAlign w:val="bottom"/>
            <w:gridSpan w:val="3"/>
          </w:tcPr>
          <w:p>
            <w:pPr>
              <w:jc w:val="right"/>
              <w:spacing w:after="0"/>
              <w:rPr>
                <w:sz w:val="20"/>
                <w:szCs w:val="20"/>
                <w:color w:val="auto"/>
              </w:rPr>
            </w:pPr>
            <w:r>
              <w:rPr>
                <w:rFonts w:ascii="Arial" w:cs="Arial" w:eastAsia="Arial" w:hAnsi="Arial"/>
                <w:sz w:val="18"/>
                <w:szCs w:val="18"/>
                <w:color w:val="auto"/>
                <w:w w:val="87"/>
              </w:rPr>
              <w:t xml:space="preserve">Capital expenditures </w:t>
            </w:r>
            <w:r>
              <w:rPr>
                <w:rFonts w:ascii="Arial" w:cs="Arial" w:eastAsia="Arial" w:hAnsi="Arial"/>
                <w:sz w:val="22"/>
                <w:szCs w:val="22"/>
                <w:color w:val="auto"/>
                <w:w w:val="87"/>
                <w:vertAlign w:val="superscript"/>
              </w:rPr>
              <w:t>(b)</w:t>
            </w:r>
            <w:r>
              <w:rPr>
                <w:rFonts w:ascii="Arial" w:cs="Arial" w:eastAsia="Arial" w:hAnsi="Arial"/>
                <w:sz w:val="18"/>
                <w:szCs w:val="18"/>
                <w:color w:val="auto"/>
                <w:w w:val="87"/>
              </w:rPr>
              <w:t xml:space="preserve">  </w:t>
            </w:r>
            <w:r>
              <w:rPr>
                <w:rFonts w:ascii="Arial" w:cs="Arial" w:eastAsia="Arial" w:hAnsi="Arial"/>
                <w:sz w:val="18"/>
                <w:szCs w:val="18"/>
                <w:color w:val="B4B4B4"/>
                <w:w w:val="87"/>
              </w:rPr>
              <w:t>. . . . . . . . . . . . . . . . . . . . . . . . .</w:t>
            </w:r>
          </w:p>
        </w:tc>
        <w:tc>
          <w:tcPr>
            <w:tcW w:w="1180" w:type="dxa"/>
            <w:vAlign w:val="bottom"/>
            <w:gridSpan w:val="3"/>
          </w:tcPr>
          <w:p>
            <w:pPr>
              <w:ind w:left="20"/>
              <w:spacing w:after="0"/>
              <w:rPr>
                <w:sz w:val="20"/>
                <w:szCs w:val="20"/>
                <w:color w:val="auto"/>
              </w:rPr>
            </w:pPr>
            <w:r>
              <w:rPr>
                <w:rFonts w:ascii="Arial" w:cs="Arial" w:eastAsia="Arial" w:hAnsi="Arial"/>
                <w:sz w:val="18"/>
                <w:szCs w:val="18"/>
                <w:color w:val="B4B4B4"/>
                <w:w w:val="91"/>
              </w:rPr>
              <w:t>. . . . . . . . . . . . .</w:t>
            </w:r>
          </w:p>
        </w:tc>
        <w:tc>
          <w:tcPr>
            <w:tcW w:w="1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2"/>
        </w:trPr>
        <w:tc>
          <w:tcPr>
            <w:tcW w:w="390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 xml:space="preserve">Total Assets </w:t>
            </w:r>
            <w:r>
              <w:rPr>
                <w:rFonts w:ascii="Arial" w:cs="Arial" w:eastAsia="Arial" w:hAnsi="Arial"/>
                <w:sz w:val="18"/>
                <w:szCs w:val="18"/>
                <w:b w:val="1"/>
                <w:bCs w:val="1"/>
                <w:color w:val="B4B4B4"/>
                <w:w w:val="88"/>
              </w:rPr>
              <w:t>. . . . . . . . . . . . . . . . . . . . . . . . . . . . . . . . .</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B4B4B4"/>
                <w:w w:val="91"/>
              </w:rPr>
              <w:t>. . . . . . . . . . . . .</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1,803</w:t>
            </w:r>
          </w:p>
        </w:tc>
        <w:tc>
          <w:tcPr>
            <w:tcW w:w="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14,557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20"/>
                <w:szCs w:val="20"/>
                <w:color w:val="auto"/>
              </w:rPr>
            </w:pPr>
          </w:p>
        </w:tc>
        <w:tc>
          <w:tcPr>
            <w:tcW w:w="280" w:type="dxa"/>
            <w:vAlign w:val="bottom"/>
            <w:gridSpan w:val="3"/>
          </w:tcPr>
          <w:p>
            <w:pPr>
              <w:jc w:val="right"/>
              <w:ind w:right="4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-4236720</wp:posOffset>
            </wp:positionV>
            <wp:extent cx="6354445" cy="342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9">
                      <a:extLst>
                        <a:ext uri="{28A0092B-C50C-407E-A947-70E740481C1C}"/>
                      </a:extLst>
                    </a:blip>
                    <a:srcRect/>
                    <a:stretch>
                      <a:fillRect/>
                    </a:stretch>
                  </pic:blipFill>
                  <pic:spPr bwMode="auto">
                    <a:xfrm>
                      <a:off x="0" y="0"/>
                      <a:ext cx="6354445" cy="3429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3252470</wp:posOffset>
                </wp:positionH>
                <wp:positionV relativeFrom="paragraph">
                  <wp:posOffset>-3574415</wp:posOffset>
                </wp:positionV>
                <wp:extent cx="79375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3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1pt,-281.4499pt" to="318.6pt,-281.4499pt" o:allowincell="f" strokecolor="#000000" strokeweight="0pt"/>
            </w:pict>
          </mc:Fallback>
        </mc:AlternateContent>
        <w:drawing>
          <wp:anchor simplePos="0" relativeHeight="251657728" behindDoc="1" locked="0" layoutInCell="0" allowOverlap="1">
            <wp:simplePos x="0" y="0"/>
            <wp:positionH relativeFrom="column">
              <wp:posOffset>-16510</wp:posOffset>
            </wp:positionH>
            <wp:positionV relativeFrom="paragraph">
              <wp:posOffset>-3334385</wp:posOffset>
            </wp:positionV>
            <wp:extent cx="6410325" cy="34512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0">
                      <a:extLst>
                        <a:ext uri="{28A0092B-C50C-407E-A947-70E740481C1C}"/>
                      </a:extLst>
                    </a:blip>
                    <a:srcRect/>
                    <a:stretch>
                      <a:fillRect/>
                    </a:stretch>
                  </pic:blipFill>
                  <pic:spPr bwMode="auto">
                    <a:xfrm>
                      <a:off x="0" y="0"/>
                      <a:ext cx="6410325" cy="3451225"/>
                    </a:xfrm>
                    <a:prstGeom prst="rect">
                      <a:avLst/>
                    </a:prstGeom>
                    <a:noFill/>
                  </pic:spPr>
                </pic:pic>
              </a:graphicData>
            </a:graphic>
          </wp:anchor>
        </w:drawing>
      </w:r>
    </w:p>
    <w:p>
      <w:pPr>
        <w:spacing w:after="0" w:line="145" w:lineRule="exact"/>
        <w:rPr>
          <w:sz w:val="20"/>
          <w:szCs w:val="20"/>
          <w:color w:val="auto"/>
        </w:rPr>
      </w:pPr>
    </w:p>
    <w:p>
      <w:pPr>
        <w:ind w:left="300" w:hanging="219"/>
        <w:spacing w:after="0"/>
        <w:tabs>
          <w:tab w:leader="none" w:pos="300" w:val="left"/>
        </w:tabs>
        <w:numPr>
          <w:ilvl w:val="0"/>
          <w:numId w:val="76"/>
        </w:numPr>
        <w:rPr>
          <w:rFonts w:ascii="Arial" w:cs="Arial" w:eastAsia="Arial" w:hAnsi="Arial"/>
          <w:sz w:val="25"/>
          <w:szCs w:val="25"/>
          <w:color w:val="auto"/>
          <w:vertAlign w:val="superscript"/>
        </w:rPr>
      </w:pPr>
      <w:r>
        <w:rPr>
          <w:rFonts w:ascii="Arial" w:cs="Arial" w:eastAsia="Arial" w:hAnsi="Arial"/>
          <w:sz w:val="16"/>
          <w:szCs w:val="16"/>
          <w:color w:val="auto"/>
        </w:rPr>
        <w:t>Includes eliminations.</w:t>
      </w:r>
    </w:p>
    <w:p>
      <w:pPr>
        <w:spacing w:after="0" w:line="88" w:lineRule="exact"/>
        <w:rPr>
          <w:rFonts w:ascii="Arial" w:cs="Arial" w:eastAsia="Arial" w:hAnsi="Arial"/>
          <w:sz w:val="25"/>
          <w:szCs w:val="25"/>
          <w:color w:val="auto"/>
          <w:vertAlign w:val="superscript"/>
        </w:rPr>
      </w:pPr>
    </w:p>
    <w:p>
      <w:pPr>
        <w:ind w:left="300" w:hanging="219"/>
        <w:spacing w:after="0" w:line="184" w:lineRule="auto"/>
        <w:tabs>
          <w:tab w:leader="none" w:pos="300" w:val="left"/>
        </w:tabs>
        <w:numPr>
          <w:ilvl w:val="0"/>
          <w:numId w:val="76"/>
        </w:numPr>
        <w:rPr>
          <w:rFonts w:ascii="Arial" w:cs="Arial" w:eastAsia="Arial" w:hAnsi="Arial"/>
          <w:sz w:val="21"/>
          <w:szCs w:val="21"/>
          <w:color w:val="auto"/>
          <w:vertAlign w:val="superscript"/>
        </w:rPr>
      </w:pPr>
      <w:r>
        <w:rPr>
          <w:rFonts w:ascii="Arial" w:cs="Arial" w:eastAsia="Arial" w:hAnsi="Arial"/>
          <w:sz w:val="13"/>
          <w:szCs w:val="13"/>
          <w:color w:val="auto"/>
        </w:rPr>
        <w:t>Includes accruals.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ectPr>
          <w:pgSz w:w="11880" w:h="15480" w:orient="portrait"/>
          <w:cols w:equalWidth="0" w:num="1">
            <w:col w:w="10040"/>
          </w:cols>
          <w:pgMar w:left="920" w:top="577" w:right="920" w:bottom="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13"/>
        </w:trPr>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6"/>
                <w:szCs w:val="16"/>
                <w:b w:val="1"/>
                <w:bCs w:val="1"/>
                <w:color w:val="auto"/>
                <w:w w:val="88"/>
              </w:rPr>
              <w:t>Year ended December 31, 2024</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1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5"/>
                <w:szCs w:val="15"/>
                <w:color w:val="auto"/>
              </w:rPr>
            </w:pPr>
          </w:p>
        </w:tc>
        <w:tc>
          <w:tcPr>
            <w:tcW w:w="1000" w:type="dxa"/>
            <w:vAlign w:val="bottom"/>
          </w:tcPr>
          <w:p>
            <w:pPr>
              <w:jc w:val="center"/>
              <w:ind w:right="53"/>
              <w:spacing w:after="0" w:line="182" w:lineRule="exact"/>
              <w:rPr>
                <w:sz w:val="20"/>
                <w:szCs w:val="20"/>
                <w:color w:val="auto"/>
              </w:rPr>
            </w:pPr>
            <w:r>
              <w:rPr>
                <w:rFonts w:ascii="Arial" w:cs="Arial" w:eastAsia="Arial" w:hAnsi="Arial"/>
                <w:sz w:val="16"/>
                <w:szCs w:val="16"/>
                <w:b w:val="1"/>
                <w:bCs w:val="1"/>
                <w:color w:val="auto"/>
                <w:w w:val="90"/>
              </w:rPr>
              <w:t>Flexible</w:t>
            </w:r>
          </w:p>
        </w:tc>
        <w:tc>
          <w:tcPr>
            <w:tcW w:w="80" w:type="dxa"/>
            <w:vAlign w:val="bottom"/>
          </w:tcPr>
          <w:p>
            <w:pPr>
              <w:spacing w:after="0"/>
              <w:rPr>
                <w:sz w:val="15"/>
                <w:szCs w:val="15"/>
                <w:color w:val="auto"/>
              </w:rPr>
            </w:pPr>
          </w:p>
        </w:tc>
        <w:tc>
          <w:tcPr>
            <w:tcW w:w="116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88"/>
              </w:rPr>
              <w:t>Renewables &amp;</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w w:val="86"/>
              </w:rPr>
              <w:t xml:space="preserve">Corporate </w:t>
            </w:r>
            <w:r>
              <w:rPr>
                <w:rFonts w:ascii="Arial" w:cs="Arial" w:eastAsia="Arial" w:hAnsi="Arial"/>
                <w:sz w:val="22"/>
                <w:szCs w:val="22"/>
                <w:b w:val="1"/>
                <w:bCs w:val="1"/>
                <w:color w:val="auto"/>
                <w:w w:val="86"/>
                <w:vertAlign w:val="superscript"/>
              </w:rPr>
              <w:t>(a)</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120" w:type="dxa"/>
            <w:vAlign w:val="bottom"/>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7"/>
              </w:rPr>
              <w:t>Generation</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7"/>
              </w:rPr>
              <w:t>Storage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gridSpan w:val="5"/>
          </w:tcPr>
          <w:p>
            <w:pPr>
              <w:jc w:val="right"/>
              <w:ind w:right="60"/>
              <w:spacing w:after="0"/>
              <w:rPr>
                <w:sz w:val="20"/>
                <w:szCs w:val="20"/>
                <w:color w:val="auto"/>
              </w:rPr>
            </w:pPr>
            <w:r>
              <w:rPr>
                <w:rFonts w:ascii="Arial" w:cs="Arial" w:eastAsia="Arial" w:hAnsi="Arial"/>
                <w:sz w:val="18"/>
                <w:szCs w:val="18"/>
                <w:color w:val="B4B4B4"/>
                <w:w w:val="90"/>
              </w:rPr>
              <w:t>. . . . . . . . . . . . . . . . . . . . . . . . . . . . . . . . . . . . . . . . .</w:t>
            </w:r>
            <w:r>
              <w:rPr>
                <w:rFonts w:ascii="Arial" w:cs="Arial" w:eastAsia="Arial" w:hAnsi="Arial"/>
                <w:sz w:val="18"/>
                <w:szCs w:val="18"/>
                <w:color w:val="000000"/>
                <w:w w:val="90"/>
              </w:rPr>
              <w:t>Operatingrevenues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040" w:type="dxa"/>
            <w:vAlign w:val="bottom"/>
            <w:gridSpan w:val="4"/>
          </w:tcPr>
          <w:p>
            <w:pPr>
              <w:ind w:left="100"/>
              <w:spacing w:after="0"/>
              <w:rPr>
                <w:sz w:val="20"/>
                <w:szCs w:val="20"/>
                <w:color w:val="auto"/>
              </w:rPr>
            </w:pPr>
            <w:r>
              <w:rPr>
                <w:rFonts w:ascii="Arial" w:cs="Arial" w:eastAsia="Arial" w:hAnsi="Arial"/>
                <w:sz w:val="18"/>
                <w:szCs w:val="18"/>
                <w:color w:val="auto"/>
                <w:w w:val="99"/>
              </w:rPr>
              <w:t>Cost of operations, exclusive of depreciation, amortization and</w:t>
            </w:r>
          </w:p>
        </w:tc>
        <w:tc>
          <w:tcPr>
            <w:tcW w:w="1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 xml:space="preserve">accretion shown separately below </w:t>
            </w:r>
            <w:r>
              <w:rPr>
                <w:rFonts w:ascii="Arial" w:cs="Arial" w:eastAsia="Arial" w:hAnsi="Arial"/>
                <w:sz w:val="18"/>
                <w:szCs w:val="18"/>
                <w:color w:val="B4B4B4"/>
                <w:w w:val="90"/>
              </w:rPr>
              <w:t>. . . . . . . . . . . . . . . . . . . . . . . . . .</w:t>
            </w: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5040" w:type="dxa"/>
            <w:vAlign w:val="bottom"/>
            <w:gridSpan w:val="4"/>
          </w:tcPr>
          <w:p>
            <w:pPr>
              <w:jc w:val="right"/>
              <w:ind w:right="60"/>
              <w:spacing w:after="0"/>
              <w:rPr>
                <w:sz w:val="20"/>
                <w:szCs w:val="20"/>
                <w:color w:val="auto"/>
              </w:rPr>
            </w:pPr>
            <w:r>
              <w:rPr>
                <w:rFonts w:ascii="Arial" w:cs="Arial" w:eastAsia="Arial" w:hAnsi="Arial"/>
                <w:sz w:val="18"/>
                <w:szCs w:val="18"/>
                <w:color w:val="auto"/>
                <w:w w:val="91"/>
              </w:rPr>
              <w:t xml:space="preserve">Depreciation, amortization and accretion </w:t>
            </w:r>
            <w:r>
              <w:rPr>
                <w:rFonts w:ascii="Arial" w:cs="Arial" w:eastAsia="Arial" w:hAnsi="Arial"/>
                <w:sz w:val="18"/>
                <w:szCs w:val="18"/>
                <w:color w:val="B4B4B4"/>
                <w:w w:val="91"/>
              </w:rPr>
              <w:t>. . . . . . . . . . . . . . . . . . . . .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040" w:type="dxa"/>
            <w:vAlign w:val="bottom"/>
            <w:gridSpan w:val="4"/>
          </w:tcPr>
          <w:p>
            <w:pPr>
              <w:jc w:val="right"/>
              <w:ind w:right="60"/>
              <w:spacing w:after="0"/>
              <w:rPr>
                <w:sz w:val="20"/>
                <w:szCs w:val="20"/>
                <w:color w:val="auto"/>
              </w:rPr>
            </w:pPr>
            <w:r>
              <w:rPr>
                <w:rFonts w:ascii="Arial" w:cs="Arial" w:eastAsia="Arial" w:hAnsi="Arial"/>
                <w:sz w:val="18"/>
                <w:szCs w:val="18"/>
                <w:color w:val="auto"/>
                <w:w w:val="90"/>
              </w:rPr>
              <w:t xml:space="preserve">General and administrative </w:t>
            </w:r>
            <w:r>
              <w:rPr>
                <w:rFonts w:ascii="Arial" w:cs="Arial" w:eastAsia="Arial" w:hAnsi="Arial"/>
                <w:sz w:val="18"/>
                <w:szCs w:val="18"/>
                <w:color w:val="B4B4B4"/>
                <w:w w:val="90"/>
              </w:rPr>
              <w:t>. . . . . . . . . . . . . . . . . . . . . . . . . . . . . . . .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504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 xml:space="preserve">Transaction and integration costs </w:t>
            </w:r>
            <w:r>
              <w:rPr>
                <w:rFonts w:ascii="Arial" w:cs="Arial" w:eastAsia="Arial" w:hAnsi="Arial"/>
                <w:sz w:val="18"/>
                <w:szCs w:val="18"/>
                <w:color w:val="B4B4B4"/>
                <w:w w:val="89"/>
              </w:rPr>
              <w:t>. . . . . . . . . . . . . . . . . . . . . . . . . . . . .</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300" w:type="dxa"/>
            <w:vAlign w:val="bottom"/>
            <w:gridSpan w:val="6"/>
          </w:tcPr>
          <w:p>
            <w:pPr>
              <w:jc w:val="right"/>
              <w:ind w:right="152"/>
              <w:spacing w:after="0"/>
              <w:rPr>
                <w:sz w:val="20"/>
                <w:szCs w:val="20"/>
                <w:color w:val="auto"/>
              </w:rPr>
            </w:pPr>
            <w:r>
              <w:rPr>
                <w:rFonts w:ascii="Arial" w:cs="Arial" w:eastAsia="Arial" w:hAnsi="Arial"/>
                <w:sz w:val="18"/>
                <w:szCs w:val="18"/>
                <w:color w:val="B4B4B4"/>
                <w:w w:val="92"/>
              </w:rPr>
              <w:t>. . . . . . . . . . . . . . . . . . . . . . . . . . . . . . . . . . . . .</w:t>
            </w:r>
            <w:r>
              <w:rPr>
                <w:rFonts w:ascii="Arial" w:cs="Arial" w:eastAsia="Arial" w:hAnsi="Arial"/>
                <w:sz w:val="18"/>
                <w:szCs w:val="18"/>
                <w:color w:val="000000"/>
                <w:w w:val="92"/>
              </w:rPr>
              <w:t>Operatingincome(loss)</w:t>
            </w: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5040" w:type="dxa"/>
            <w:vAlign w:val="bottom"/>
            <w:gridSpan w:val="4"/>
          </w:tcPr>
          <w:p>
            <w:pPr>
              <w:jc w:val="right"/>
              <w:ind w:right="60"/>
              <w:spacing w:after="0"/>
              <w:rPr>
                <w:sz w:val="20"/>
                <w:szCs w:val="20"/>
                <w:color w:val="auto"/>
              </w:rPr>
            </w:pPr>
            <w:r>
              <w:rPr>
                <w:rFonts w:ascii="Arial" w:cs="Arial" w:eastAsia="Arial" w:hAnsi="Arial"/>
                <w:sz w:val="18"/>
                <w:szCs w:val="18"/>
                <w:color w:val="auto"/>
                <w:w w:val="91"/>
              </w:rPr>
              <w:t xml:space="preserve">Equity in earnings of unconsolidated affiliates </w:t>
            </w:r>
            <w:r>
              <w:rPr>
                <w:rFonts w:ascii="Arial" w:cs="Arial" w:eastAsia="Arial" w:hAnsi="Arial"/>
                <w:sz w:val="18"/>
                <w:szCs w:val="18"/>
                <w:color w:val="B4B4B4"/>
                <w:w w:val="91"/>
              </w:rPr>
              <w:t>. . . . . . . . . . . . . . . . .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220" w:type="dxa"/>
            <w:vAlign w:val="bottom"/>
            <w:gridSpan w:val="5"/>
          </w:tcPr>
          <w:p>
            <w:pPr>
              <w:jc w:val="right"/>
              <w:ind w:right="152"/>
              <w:spacing w:after="0"/>
              <w:rPr>
                <w:sz w:val="20"/>
                <w:szCs w:val="20"/>
                <w:color w:val="auto"/>
              </w:rPr>
            </w:pPr>
            <w:r>
              <w:rPr>
                <w:rFonts w:ascii="Arial" w:cs="Arial" w:eastAsia="Arial" w:hAnsi="Arial"/>
                <w:sz w:val="18"/>
                <w:szCs w:val="18"/>
                <w:color w:val="auto"/>
                <w:w w:val="89"/>
              </w:rPr>
              <w:t xml:space="preserve">Other income, net </w:t>
            </w:r>
            <w:r>
              <w:rPr>
                <w:rFonts w:ascii="Arial" w:cs="Arial" w:eastAsia="Arial" w:hAnsi="Arial"/>
                <w:sz w:val="18"/>
                <w:szCs w:val="18"/>
                <w:color w:val="B4B4B4"/>
                <w:w w:val="89"/>
              </w:rPr>
              <w:t>. . . . . . . . . . . . . . . . . . . . . . . . . . . . . . . . . . . . . . . . .</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040" w:type="dxa"/>
            <w:vAlign w:val="bottom"/>
            <w:gridSpan w:val="4"/>
          </w:tcPr>
          <w:p>
            <w:pPr>
              <w:jc w:val="right"/>
              <w:ind w:right="60"/>
              <w:spacing w:after="0"/>
              <w:rPr>
                <w:sz w:val="20"/>
                <w:szCs w:val="20"/>
                <w:color w:val="auto"/>
              </w:rPr>
            </w:pPr>
            <w:r>
              <w:rPr>
                <w:rFonts w:ascii="Arial" w:cs="Arial" w:eastAsia="Arial" w:hAnsi="Arial"/>
                <w:sz w:val="18"/>
                <w:szCs w:val="18"/>
                <w:color w:val="auto"/>
                <w:w w:val="90"/>
              </w:rPr>
              <w:t xml:space="preserve">Loss on debt extinguishment </w:t>
            </w:r>
            <w:r>
              <w:rPr>
                <w:rFonts w:ascii="Arial" w:cs="Arial" w:eastAsia="Arial" w:hAnsi="Arial"/>
                <w:sz w:val="18"/>
                <w:szCs w:val="18"/>
                <w:color w:val="B4B4B4"/>
                <w:w w:val="90"/>
              </w:rPr>
              <w:t>. . . . . . . . . . . . . . . . . . . . . . . . . . . . . . .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5220" w:type="dxa"/>
            <w:vAlign w:val="bottom"/>
            <w:gridSpan w:val="5"/>
          </w:tcPr>
          <w:p>
            <w:pPr>
              <w:jc w:val="right"/>
              <w:ind w:right="152"/>
              <w:spacing w:after="0"/>
              <w:rPr>
                <w:sz w:val="20"/>
                <w:szCs w:val="20"/>
                <w:color w:val="auto"/>
              </w:rPr>
            </w:pPr>
            <w:r>
              <w:rPr>
                <w:rFonts w:ascii="Arial" w:cs="Arial" w:eastAsia="Arial" w:hAnsi="Arial"/>
                <w:sz w:val="18"/>
                <w:szCs w:val="18"/>
                <w:color w:val="auto"/>
                <w:w w:val="89"/>
              </w:rPr>
              <w:t xml:space="preserve">Interest expense </w:t>
            </w:r>
            <w:r>
              <w:rPr>
                <w:rFonts w:ascii="Arial" w:cs="Arial" w:eastAsia="Arial" w:hAnsi="Arial"/>
                <w:sz w:val="18"/>
                <w:szCs w:val="18"/>
                <w:color w:val="B4B4B4"/>
                <w:w w:val="89"/>
              </w:rPr>
              <w:t>. . . . . . . . . . . . . . . . . . . . . . . . . . . . . . . . . . . . . . . . . .</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5120" w:type="dxa"/>
            <w:vAlign w:val="bottom"/>
            <w:gridSpan w:val="5"/>
          </w:tcPr>
          <w:p>
            <w:pPr>
              <w:jc w:val="right"/>
              <w:ind w:right="60"/>
              <w:spacing w:after="0"/>
              <w:rPr>
                <w:sz w:val="20"/>
                <w:szCs w:val="20"/>
                <w:color w:val="auto"/>
              </w:rPr>
            </w:pPr>
            <w:r>
              <w:rPr>
                <w:rFonts w:ascii="Arial" w:cs="Arial" w:eastAsia="Arial" w:hAnsi="Arial"/>
                <w:sz w:val="18"/>
                <w:szCs w:val="18"/>
                <w:color w:val="B4B4B4"/>
                <w:w w:val="93"/>
              </w:rPr>
              <w:t>. . . . . . . . . . . . . . . . . . . . . . . . . . . . .</w:t>
            </w:r>
            <w:r>
              <w:rPr>
                <w:rFonts w:ascii="Arial" w:cs="Arial" w:eastAsia="Arial" w:hAnsi="Arial"/>
                <w:sz w:val="18"/>
                <w:szCs w:val="18"/>
                <w:color w:val="000000"/>
                <w:w w:val="93"/>
              </w:rPr>
              <w:t>Income(loss)beforeincometaxes</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504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 xml:space="preserve">Income tax expense </w:t>
            </w:r>
            <w:r>
              <w:rPr>
                <w:rFonts w:ascii="Arial" w:cs="Arial" w:eastAsia="Arial" w:hAnsi="Arial"/>
                <w:sz w:val="18"/>
                <w:szCs w:val="18"/>
                <w:color w:val="B4B4B4"/>
                <w:w w:val="89"/>
              </w:rPr>
              <w:t>. . . . . . . . . . . . . . . . . . . . . . . . . . . . . . . . . . . . . . .</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300" w:type="dxa"/>
            <w:vAlign w:val="bottom"/>
            <w:gridSpan w:val="6"/>
          </w:tcPr>
          <w:p>
            <w:pPr>
              <w:jc w:val="right"/>
              <w:ind w:right="152"/>
              <w:spacing w:after="0"/>
              <w:rPr>
                <w:sz w:val="20"/>
                <w:szCs w:val="20"/>
                <w:color w:val="auto"/>
              </w:rPr>
            </w:pPr>
            <w:r>
              <w:rPr>
                <w:rFonts w:ascii="Arial" w:cs="Arial" w:eastAsia="Arial" w:hAnsi="Arial"/>
                <w:sz w:val="18"/>
                <w:szCs w:val="18"/>
                <w:b w:val="1"/>
                <w:bCs w:val="1"/>
                <w:color w:val="B4B4B4"/>
                <w:w w:val="91"/>
              </w:rPr>
              <w:t>. . . . . . . . . . . . . . . . . . . . . . . . . . . . . . . . . . . . . . . . .</w:t>
            </w:r>
            <w:r>
              <w:rPr>
                <w:rFonts w:ascii="Arial" w:cs="Arial" w:eastAsia="Arial" w:hAnsi="Arial"/>
                <w:sz w:val="18"/>
                <w:szCs w:val="18"/>
                <w:b w:val="1"/>
                <w:bCs w:val="1"/>
                <w:color w:val="000000"/>
                <w:w w:val="91"/>
              </w:rPr>
              <w:t>NetIncome(Loss)</w:t>
            </w: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5040" w:type="dxa"/>
            <w:vAlign w:val="bottom"/>
            <w:gridSpan w:val="4"/>
          </w:tcPr>
          <w:p>
            <w:pPr>
              <w:ind w:left="100"/>
              <w:spacing w:after="0" w:line="156" w:lineRule="exact"/>
              <w:rPr>
                <w:sz w:val="20"/>
                <w:szCs w:val="20"/>
                <w:color w:val="auto"/>
              </w:rPr>
            </w:pPr>
            <w:r>
              <w:rPr>
                <w:rFonts w:ascii="Arial" w:cs="Arial" w:eastAsia="Arial" w:hAnsi="Arial"/>
                <w:sz w:val="18"/>
                <w:szCs w:val="18"/>
                <w:color w:val="auto"/>
                <w:w w:val="93"/>
              </w:rPr>
              <w:t>Less: Net (loss) income attributable to noncontrolling interests and</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8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 xml:space="preserve">redeemable noncontrolling interests </w:t>
            </w:r>
            <w:r>
              <w:rPr>
                <w:rFonts w:ascii="Arial" w:cs="Arial" w:eastAsia="Arial" w:hAnsi="Arial"/>
                <w:sz w:val="18"/>
                <w:szCs w:val="18"/>
                <w:color w:val="B4B4B4"/>
                <w:w w:val="91"/>
              </w:rPr>
              <w:t>. . . . . . . . . . . . . . . . . . . . . . . .</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2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w w:val="96"/>
              </w:rPr>
              <w:t xml:space="preserve">. </w:t>
            </w:r>
            <w:r>
              <w:rPr>
                <w:rFonts w:ascii="Arial" w:cs="Arial" w:eastAsia="Arial" w:hAnsi="Arial"/>
                <w:sz w:val="18"/>
                <w:szCs w:val="18"/>
                <w:b w:val="1"/>
                <w:bCs w:val="1"/>
                <w:color w:val="B4B4B4"/>
                <w:w w:val="96"/>
              </w:rPr>
              <w:t>. . . . . . . .</w:t>
            </w:r>
            <w:r>
              <w:rPr>
                <w:rFonts w:ascii="Arial" w:cs="Arial" w:eastAsia="Arial" w:hAnsi="Arial"/>
                <w:sz w:val="18"/>
                <w:szCs w:val="18"/>
                <w:b w:val="1"/>
                <w:bCs w:val="1"/>
                <w:color w:val="auto"/>
                <w:w w:val="96"/>
              </w:rPr>
              <w:t>NetIncome(Loss)AttributabletoClearwayEnergy,Inc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1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Balance Sheet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20" w:type="dxa"/>
            <w:vAlign w:val="bottom"/>
            <w:gridSpan w:val="5"/>
          </w:tcPr>
          <w:p>
            <w:pPr>
              <w:jc w:val="right"/>
              <w:ind w:right="40"/>
              <w:spacing w:after="0"/>
              <w:rPr>
                <w:sz w:val="20"/>
                <w:szCs w:val="20"/>
                <w:color w:val="auto"/>
              </w:rPr>
            </w:pPr>
            <w:r>
              <w:rPr>
                <w:rFonts w:ascii="Arial" w:cs="Arial" w:eastAsia="Arial" w:hAnsi="Arial"/>
                <w:sz w:val="18"/>
                <w:szCs w:val="18"/>
                <w:color w:val="auto"/>
                <w:w w:val="90"/>
              </w:rPr>
              <w:t xml:space="preserve">Equity investments in affiliates </w:t>
            </w:r>
            <w:r>
              <w:rPr>
                <w:rFonts w:ascii="Arial" w:cs="Arial" w:eastAsia="Arial" w:hAnsi="Arial"/>
                <w:sz w:val="18"/>
                <w:szCs w:val="18"/>
                <w:color w:val="B4B4B4"/>
                <w:w w:val="90"/>
              </w:rPr>
              <w:t>. . . . . . . . . . . . . . . . . . . . . . . . . . . . . . .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68"/>
        </w:trPr>
        <w:tc>
          <w:tcPr>
            <w:tcW w:w="5300" w:type="dxa"/>
            <w:vAlign w:val="bottom"/>
            <w:gridSpan w:val="6"/>
          </w:tcPr>
          <w:p>
            <w:pPr>
              <w:jc w:val="right"/>
              <w:ind w:right="152"/>
              <w:spacing w:after="0"/>
              <w:rPr>
                <w:sz w:val="20"/>
                <w:szCs w:val="20"/>
                <w:color w:val="auto"/>
              </w:rPr>
            </w:pPr>
            <w:r>
              <w:rPr>
                <w:rFonts w:ascii="Arial" w:cs="Arial" w:eastAsia="Arial" w:hAnsi="Arial"/>
                <w:sz w:val="18"/>
                <w:szCs w:val="18"/>
                <w:color w:val="auto"/>
                <w:w w:val="88"/>
              </w:rPr>
              <w:t xml:space="preserve">Capital expenditures </w:t>
            </w:r>
            <w:r>
              <w:rPr>
                <w:rFonts w:ascii="Arial" w:cs="Arial" w:eastAsia="Arial" w:hAnsi="Arial"/>
                <w:sz w:val="22"/>
                <w:szCs w:val="22"/>
                <w:color w:val="auto"/>
                <w:w w:val="88"/>
                <w:vertAlign w:val="superscript"/>
              </w:rPr>
              <w:t>(b)</w:t>
            </w:r>
            <w:r>
              <w:rPr>
                <w:rFonts w:ascii="Arial" w:cs="Arial" w:eastAsia="Arial" w:hAnsi="Arial"/>
                <w:sz w:val="18"/>
                <w:szCs w:val="18"/>
                <w:color w:val="auto"/>
                <w:w w:val="88"/>
              </w:rPr>
              <w:t xml:space="preserve">  </w:t>
            </w:r>
            <w:r>
              <w:rPr>
                <w:rFonts w:ascii="Arial" w:cs="Arial" w:eastAsia="Arial" w:hAnsi="Arial"/>
                <w:sz w:val="18"/>
                <w:szCs w:val="18"/>
                <w:color w:val="B4B4B4"/>
                <w:w w:val="88"/>
              </w:rPr>
              <w:t>. . . . . . . . . . . . . . . . . . . . . . . . . . . . . . . . . . . . . .</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2"/>
        </w:trPr>
        <w:tc>
          <w:tcPr>
            <w:tcW w:w="512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w w:val="88"/>
              </w:rPr>
              <w:t xml:space="preserve">Total Assets </w:t>
            </w:r>
            <w:r>
              <w:rPr>
                <w:rFonts w:ascii="Arial" w:cs="Arial" w:eastAsia="Arial" w:hAnsi="Arial"/>
                <w:sz w:val="18"/>
                <w:szCs w:val="18"/>
                <w:b w:val="1"/>
                <w:bCs w:val="1"/>
                <w:color w:val="B4B4B4"/>
                <w:w w:val="88"/>
              </w:rPr>
              <w:t>. . . . . . . . . . . . . . . . . . . . . . . . . . . . . . . . . . . . . . . . . . . . .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14,329</w:t>
            </w:r>
          </w:p>
        </w:tc>
        <w:tc>
          <w:tcPr>
            <w:tcW w:w="0" w:type="dxa"/>
            <w:vAlign w:val="bottom"/>
          </w:tcPr>
          <w:p>
            <w:pPr>
              <w:spacing w:after="0"/>
              <w:rPr>
                <w:sz w:val="1"/>
                <w:szCs w:val="1"/>
                <w:color w:val="auto"/>
              </w:rPr>
            </w:pPr>
          </w:p>
        </w:tc>
      </w:tr>
      <w:tr>
        <w:trPr>
          <w:trHeight w:val="162"/>
        </w:trPr>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3"/>
                <w:szCs w:val="13"/>
                <w:color w:val="auto"/>
                <w:w w:val="87"/>
              </w:rPr>
              <w:t>(a)</w:t>
            </w:r>
          </w:p>
        </w:tc>
        <w:tc>
          <w:tcPr>
            <w:tcW w:w="4880" w:type="dxa"/>
            <w:vAlign w:val="bottom"/>
            <w:gridSpan w:val="3"/>
          </w:tcPr>
          <w:p>
            <w:pPr>
              <w:jc w:val="right"/>
              <w:ind w:right="3440"/>
              <w:spacing w:after="0"/>
              <w:rPr>
                <w:sz w:val="20"/>
                <w:szCs w:val="20"/>
                <w:color w:val="auto"/>
              </w:rPr>
            </w:pPr>
            <w:r>
              <w:rPr>
                <w:rFonts w:ascii="Arial" w:cs="Arial" w:eastAsia="Arial" w:hAnsi="Arial"/>
                <w:sz w:val="16"/>
                <w:szCs w:val="16"/>
                <w:color w:val="auto"/>
                <w:w w:val="92"/>
              </w:rPr>
              <w:t>Includes eliminations.</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3"/>
                <w:szCs w:val="13"/>
                <w:color w:val="auto"/>
                <w:w w:val="87"/>
              </w:rPr>
              <w:t>(b)</w:t>
            </w:r>
          </w:p>
        </w:tc>
        <w:tc>
          <w:tcPr>
            <w:tcW w:w="4880" w:type="dxa"/>
            <w:vAlign w:val="bottom"/>
            <w:gridSpan w:val="3"/>
          </w:tcPr>
          <w:p>
            <w:pPr>
              <w:jc w:val="right"/>
              <w:ind w:right="3680"/>
              <w:spacing w:after="0"/>
              <w:rPr>
                <w:sz w:val="20"/>
                <w:szCs w:val="20"/>
                <w:color w:val="auto"/>
              </w:rPr>
            </w:pPr>
            <w:r>
              <w:rPr>
                <w:rFonts w:ascii="Arial" w:cs="Arial" w:eastAsia="Arial" w:hAnsi="Arial"/>
                <w:sz w:val="16"/>
                <w:szCs w:val="16"/>
                <w:color w:val="auto"/>
                <w:w w:val="92"/>
              </w:rPr>
              <w:t>Includes accruals.</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0"/>
        </w:trPr>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6"/>
                <w:szCs w:val="16"/>
                <w:b w:val="1"/>
                <w:bCs w:val="1"/>
                <w:color w:val="auto"/>
                <w:w w:val="88"/>
              </w:rPr>
              <w:t>Year ended December 31, 2023</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5040" w:type="dxa"/>
            <w:vAlign w:val="bottom"/>
            <w:gridSpan w:val="4"/>
            <w:vMerge w:val="restart"/>
          </w:tcPr>
          <w:p>
            <w:pPr>
              <w:jc w:val="right"/>
              <w:ind w:right="4160"/>
              <w:spacing w:after="0"/>
              <w:rPr>
                <w:sz w:val="20"/>
                <w:szCs w:val="20"/>
                <w:color w:val="auto"/>
              </w:rPr>
            </w:pPr>
            <w:r>
              <w:rPr>
                <w:rFonts w:ascii="Arial" w:cs="Arial" w:eastAsia="Arial" w:hAnsi="Arial"/>
                <w:sz w:val="16"/>
                <w:szCs w:val="16"/>
                <w:b w:val="1"/>
                <w:bCs w:val="1"/>
                <w:color w:val="auto"/>
                <w:w w:val="95"/>
              </w:rPr>
              <w:t>(In millions)</w:t>
            </w:r>
          </w:p>
        </w:tc>
        <w:tc>
          <w:tcPr>
            <w:tcW w:w="180" w:type="dxa"/>
            <w:vAlign w:val="bottom"/>
          </w:tcPr>
          <w:p>
            <w:pPr>
              <w:spacing w:after="0"/>
              <w:rPr>
                <w:sz w:val="15"/>
                <w:szCs w:val="15"/>
                <w:color w:val="auto"/>
              </w:rPr>
            </w:pPr>
          </w:p>
        </w:tc>
        <w:tc>
          <w:tcPr>
            <w:tcW w:w="1000" w:type="dxa"/>
            <w:vAlign w:val="bottom"/>
          </w:tcPr>
          <w:p>
            <w:pPr>
              <w:jc w:val="center"/>
              <w:ind w:right="53"/>
              <w:spacing w:after="0" w:line="182" w:lineRule="exact"/>
              <w:rPr>
                <w:sz w:val="20"/>
                <w:szCs w:val="20"/>
                <w:color w:val="auto"/>
              </w:rPr>
            </w:pPr>
            <w:r>
              <w:rPr>
                <w:rFonts w:ascii="Arial" w:cs="Arial" w:eastAsia="Arial" w:hAnsi="Arial"/>
                <w:sz w:val="16"/>
                <w:szCs w:val="16"/>
                <w:b w:val="1"/>
                <w:bCs w:val="1"/>
                <w:color w:val="auto"/>
                <w:w w:val="90"/>
              </w:rPr>
              <w:t>Flexible</w:t>
            </w:r>
          </w:p>
        </w:tc>
        <w:tc>
          <w:tcPr>
            <w:tcW w:w="80" w:type="dxa"/>
            <w:vAlign w:val="bottom"/>
          </w:tcPr>
          <w:p>
            <w:pPr>
              <w:spacing w:after="0"/>
              <w:rPr>
                <w:sz w:val="15"/>
                <w:szCs w:val="15"/>
                <w:color w:val="auto"/>
              </w:rPr>
            </w:pPr>
          </w:p>
        </w:tc>
        <w:tc>
          <w:tcPr>
            <w:tcW w:w="116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88"/>
              </w:rPr>
              <w:t>Renewables &amp;</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ind w:right="72"/>
              <w:spacing w:after="0"/>
              <w:rPr>
                <w:sz w:val="20"/>
                <w:szCs w:val="20"/>
                <w:color w:val="auto"/>
              </w:rPr>
            </w:pPr>
            <w:r>
              <w:rPr>
                <w:rFonts w:ascii="Arial" w:cs="Arial" w:eastAsia="Arial" w:hAnsi="Arial"/>
                <w:sz w:val="16"/>
                <w:szCs w:val="16"/>
                <w:b w:val="1"/>
                <w:bCs w:val="1"/>
                <w:color w:val="auto"/>
                <w:w w:val="86"/>
              </w:rPr>
              <w:t xml:space="preserve">Corporate </w:t>
            </w:r>
            <w:r>
              <w:rPr>
                <w:rFonts w:ascii="Arial" w:cs="Arial" w:eastAsia="Arial" w:hAnsi="Arial"/>
                <w:sz w:val="22"/>
                <w:szCs w:val="22"/>
                <w:b w:val="1"/>
                <w:bCs w:val="1"/>
                <w:color w:val="auto"/>
                <w:w w:val="86"/>
                <w:vertAlign w:val="superscript"/>
              </w:rPr>
              <w:t>(a)</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5040" w:type="dxa"/>
            <w:vAlign w:val="bottom"/>
            <w:gridSpan w:val="4"/>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7"/>
              </w:rPr>
              <w:t>Generation</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7"/>
              </w:rPr>
              <w:t>Storage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040" w:type="dxa"/>
            <w:vAlign w:val="bottom"/>
            <w:gridSpan w:val="4"/>
          </w:tcPr>
          <w:p>
            <w:pPr>
              <w:jc w:val="right"/>
              <w:ind w:right="60"/>
              <w:spacing w:after="0"/>
              <w:rPr>
                <w:sz w:val="20"/>
                <w:szCs w:val="20"/>
                <w:color w:val="auto"/>
              </w:rPr>
            </w:pPr>
            <w:r>
              <w:rPr>
                <w:rFonts w:ascii="Arial" w:cs="Arial" w:eastAsia="Arial" w:hAnsi="Arial"/>
                <w:sz w:val="18"/>
                <w:szCs w:val="18"/>
                <w:color w:val="B4B4B4"/>
                <w:w w:val="90"/>
              </w:rPr>
              <w:t>. . . . . . . . . . . . . . . . . . . . . . . . . . . . . . . . . . . . . . . .</w:t>
            </w:r>
            <w:r>
              <w:rPr>
                <w:rFonts w:ascii="Arial" w:cs="Arial" w:eastAsia="Arial" w:hAnsi="Arial"/>
                <w:sz w:val="18"/>
                <w:szCs w:val="18"/>
                <w:color w:val="000000"/>
                <w:w w:val="90"/>
              </w:rPr>
              <w:t>Operatingrevenues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80" w:type="dxa"/>
            <w:vAlign w:val="bottom"/>
            <w:gridSpan w:val="3"/>
          </w:tcPr>
          <w:p>
            <w:pPr>
              <w:ind w:left="20"/>
              <w:spacing w:after="0"/>
              <w:rPr>
                <w:sz w:val="20"/>
                <w:szCs w:val="20"/>
                <w:color w:val="auto"/>
              </w:rPr>
            </w:pPr>
            <w:r>
              <w:rPr>
                <w:rFonts w:ascii="Arial" w:cs="Arial" w:eastAsia="Arial" w:hAnsi="Arial"/>
                <w:sz w:val="18"/>
                <w:szCs w:val="18"/>
                <w:color w:val="auto"/>
                <w:w w:val="97"/>
              </w:rPr>
              <w:t>Cost of operations, exclusive of depreciation, amortization and</w:t>
            </w:r>
          </w:p>
        </w:tc>
        <w:tc>
          <w:tcPr>
            <w:tcW w:w="1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8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 xml:space="preserve">accretion shown separately below </w:t>
            </w:r>
            <w:r>
              <w:rPr>
                <w:rFonts w:ascii="Arial" w:cs="Arial" w:eastAsia="Arial" w:hAnsi="Arial"/>
                <w:sz w:val="18"/>
                <w:szCs w:val="18"/>
                <w:color w:val="B4B4B4"/>
                <w:w w:val="92"/>
              </w:rPr>
              <w:t>. . . . . . . . . . . . . . . . . . . . . . . . .</w:t>
            </w: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 xml:space="preserve">Depreciation, amortization and accretion </w:t>
            </w:r>
            <w:r>
              <w:rPr>
                <w:rFonts w:ascii="Arial" w:cs="Arial" w:eastAsia="Arial" w:hAnsi="Arial"/>
                <w:sz w:val="18"/>
                <w:szCs w:val="18"/>
                <w:color w:val="B4B4B4"/>
                <w:w w:val="90"/>
              </w:rPr>
              <w:t>. . . . . . . . . . . . . . . . . . . .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60" w:type="dxa"/>
            <w:vAlign w:val="bottom"/>
            <w:gridSpan w:val="4"/>
          </w:tcPr>
          <w:p>
            <w:pPr>
              <w:jc w:val="right"/>
              <w:ind w:right="152"/>
              <w:spacing w:after="0"/>
              <w:rPr>
                <w:sz w:val="20"/>
                <w:szCs w:val="20"/>
                <w:color w:val="auto"/>
              </w:rPr>
            </w:pPr>
            <w:r>
              <w:rPr>
                <w:rFonts w:ascii="Arial" w:cs="Arial" w:eastAsia="Arial" w:hAnsi="Arial"/>
                <w:sz w:val="18"/>
                <w:szCs w:val="18"/>
                <w:color w:val="auto"/>
                <w:w w:val="88"/>
              </w:rPr>
              <w:t xml:space="preserve">Impairment losses  </w:t>
            </w:r>
            <w:r>
              <w:rPr>
                <w:rFonts w:ascii="Arial" w:cs="Arial" w:eastAsia="Arial" w:hAnsi="Arial"/>
                <w:sz w:val="18"/>
                <w:szCs w:val="18"/>
                <w:color w:val="B4B4B4"/>
                <w:w w:val="88"/>
              </w:rPr>
              <w:t>. . . . . . . . . . . . . . . . . . . . . . . . . . . . . . . . . . . . . .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 xml:space="preserve">General and administrative </w:t>
            </w:r>
            <w:r>
              <w:rPr>
                <w:rFonts w:ascii="Arial" w:cs="Arial" w:eastAsia="Arial" w:hAnsi="Arial"/>
                <w:sz w:val="18"/>
                <w:szCs w:val="18"/>
                <w:color w:val="B4B4B4"/>
                <w:w w:val="89"/>
              </w:rPr>
              <w:t>. . . . . . . . . . . . . . . . . . . . . . . . . . . . . . .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8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 xml:space="preserve">Transaction and integration costs </w:t>
            </w:r>
            <w:r>
              <w:rPr>
                <w:rFonts w:ascii="Arial" w:cs="Arial" w:eastAsia="Arial" w:hAnsi="Arial"/>
                <w:sz w:val="18"/>
                <w:szCs w:val="18"/>
                <w:color w:val="B4B4B4"/>
                <w:w w:val="88"/>
              </w:rPr>
              <w:t>. . . . . . . . . . . . . . . . . . . . . . . . . . . .</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220" w:type="dxa"/>
            <w:vAlign w:val="bottom"/>
            <w:gridSpan w:val="5"/>
          </w:tcPr>
          <w:p>
            <w:pPr>
              <w:jc w:val="right"/>
              <w:ind w:right="152"/>
              <w:spacing w:after="0"/>
              <w:rPr>
                <w:sz w:val="20"/>
                <w:szCs w:val="20"/>
                <w:color w:val="auto"/>
              </w:rPr>
            </w:pPr>
            <w:r>
              <w:rPr>
                <w:rFonts w:ascii="Arial" w:cs="Arial" w:eastAsia="Arial" w:hAnsi="Arial"/>
                <w:sz w:val="18"/>
                <w:szCs w:val="18"/>
                <w:color w:val="B4B4B4"/>
                <w:w w:val="92"/>
              </w:rPr>
              <w:t>. . . . . . . . . . . . . . . . . . . . . . . . . . . . . . . . . . . .</w:t>
            </w:r>
            <w:r>
              <w:rPr>
                <w:rFonts w:ascii="Arial" w:cs="Arial" w:eastAsia="Arial" w:hAnsi="Arial"/>
                <w:sz w:val="18"/>
                <w:szCs w:val="18"/>
                <w:color w:val="000000"/>
                <w:w w:val="92"/>
              </w:rPr>
              <w:t>Operatingincome(loss)</w:t>
            </w: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 xml:space="preserve">Equity in earnings of unconsolidated affiliates </w:t>
            </w:r>
            <w:r>
              <w:rPr>
                <w:rFonts w:ascii="Arial" w:cs="Arial" w:eastAsia="Arial" w:hAnsi="Arial"/>
                <w:sz w:val="18"/>
                <w:szCs w:val="18"/>
                <w:color w:val="B4B4B4"/>
                <w:w w:val="90"/>
              </w:rPr>
              <w:t>. . . . . . . . . . . . . . . .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60" w:type="dxa"/>
            <w:vAlign w:val="bottom"/>
            <w:gridSpan w:val="4"/>
          </w:tcPr>
          <w:p>
            <w:pPr>
              <w:jc w:val="right"/>
              <w:ind w:right="132"/>
              <w:spacing w:after="0"/>
              <w:rPr>
                <w:sz w:val="20"/>
                <w:szCs w:val="20"/>
                <w:color w:val="auto"/>
              </w:rPr>
            </w:pPr>
            <w:r>
              <w:rPr>
                <w:rFonts w:ascii="Arial" w:cs="Arial" w:eastAsia="Arial" w:hAnsi="Arial"/>
                <w:sz w:val="18"/>
                <w:szCs w:val="18"/>
                <w:color w:val="auto"/>
                <w:w w:val="88"/>
              </w:rPr>
              <w:t xml:space="preserve">Other income, net </w:t>
            </w:r>
            <w:r>
              <w:rPr>
                <w:rFonts w:ascii="Arial" w:cs="Arial" w:eastAsia="Arial" w:hAnsi="Arial"/>
                <w:sz w:val="18"/>
                <w:szCs w:val="18"/>
                <w:color w:val="B4B4B4"/>
                <w:w w:val="88"/>
              </w:rPr>
              <w:t>. . . . . . . . . . . . . . . . . . . . . . . . . . . . . . . . . . . . . . . .</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 xml:space="preserve">Loss on debt extinguishment </w:t>
            </w:r>
            <w:r>
              <w:rPr>
                <w:rFonts w:ascii="Arial" w:cs="Arial" w:eastAsia="Arial" w:hAnsi="Arial"/>
                <w:sz w:val="18"/>
                <w:szCs w:val="18"/>
                <w:color w:val="B4B4B4"/>
                <w:w w:val="88"/>
              </w:rPr>
              <w:t>. . . . . . . . . . . . . . . . . . . . . . . . . . . . . .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60" w:type="dxa"/>
            <w:vAlign w:val="bottom"/>
            <w:gridSpan w:val="4"/>
          </w:tcPr>
          <w:p>
            <w:pPr>
              <w:jc w:val="right"/>
              <w:ind w:right="132"/>
              <w:spacing w:after="0"/>
              <w:rPr>
                <w:sz w:val="20"/>
                <w:szCs w:val="20"/>
                <w:color w:val="auto"/>
              </w:rPr>
            </w:pPr>
            <w:r>
              <w:rPr>
                <w:rFonts w:ascii="Arial" w:cs="Arial" w:eastAsia="Arial" w:hAnsi="Arial"/>
                <w:sz w:val="18"/>
                <w:szCs w:val="18"/>
                <w:color w:val="auto"/>
                <w:w w:val="88"/>
              </w:rPr>
              <w:t xml:space="preserve">Interest expense </w:t>
            </w:r>
            <w:r>
              <w:rPr>
                <w:rFonts w:ascii="Arial" w:cs="Arial" w:eastAsia="Arial" w:hAnsi="Arial"/>
                <w:sz w:val="18"/>
                <w:szCs w:val="18"/>
                <w:color w:val="B4B4B4"/>
                <w:w w:val="88"/>
              </w:rPr>
              <w:t>. . . . . . . . . . . . . . . . . . . . . . . . . . . . . . . . . . . . . . . . .</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040" w:type="dxa"/>
            <w:vAlign w:val="bottom"/>
            <w:gridSpan w:val="4"/>
          </w:tcPr>
          <w:p>
            <w:pPr>
              <w:jc w:val="right"/>
              <w:ind w:right="60"/>
              <w:spacing w:after="0"/>
              <w:rPr>
                <w:sz w:val="20"/>
                <w:szCs w:val="20"/>
                <w:color w:val="auto"/>
              </w:rPr>
            </w:pPr>
            <w:r>
              <w:rPr>
                <w:rFonts w:ascii="Arial" w:cs="Arial" w:eastAsia="Arial" w:hAnsi="Arial"/>
                <w:sz w:val="18"/>
                <w:szCs w:val="18"/>
                <w:color w:val="B4B4B4"/>
                <w:w w:val="93"/>
              </w:rPr>
              <w:t>. . . . . . . . . . . . . . . . . . . . . . . . . . . .</w:t>
            </w:r>
            <w:r>
              <w:rPr>
                <w:rFonts w:ascii="Arial" w:cs="Arial" w:eastAsia="Arial" w:hAnsi="Arial"/>
                <w:sz w:val="18"/>
                <w:szCs w:val="18"/>
                <w:color w:val="000000"/>
                <w:w w:val="93"/>
              </w:rPr>
              <w:t>Income(loss)beforeincometaxes</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 xml:space="preserve">Income tax benefit </w:t>
            </w:r>
            <w:r>
              <w:rPr>
                <w:rFonts w:ascii="Arial" w:cs="Arial" w:eastAsia="Arial" w:hAnsi="Arial"/>
                <w:sz w:val="18"/>
                <w:szCs w:val="18"/>
                <w:color w:val="B4B4B4"/>
                <w:w w:val="89"/>
              </w:rPr>
              <w:t>. . . . . . . . . . . . . . . . . . . . . . . . . . . . . . . . . . . . . . .</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220" w:type="dxa"/>
            <w:vAlign w:val="bottom"/>
            <w:gridSpan w:val="5"/>
          </w:tcPr>
          <w:p>
            <w:pPr>
              <w:jc w:val="right"/>
              <w:ind w:right="152"/>
              <w:spacing w:after="0"/>
              <w:rPr>
                <w:sz w:val="20"/>
                <w:szCs w:val="20"/>
                <w:color w:val="auto"/>
              </w:rPr>
            </w:pPr>
            <w:r>
              <w:rPr>
                <w:rFonts w:ascii="Arial" w:cs="Arial" w:eastAsia="Arial" w:hAnsi="Arial"/>
                <w:sz w:val="18"/>
                <w:szCs w:val="18"/>
                <w:b w:val="1"/>
                <w:bCs w:val="1"/>
                <w:color w:val="B4B4B4"/>
                <w:w w:val="91"/>
              </w:rPr>
              <w:t>. . . . . . . . . . . . . . . . . . . . . . . . . . . . . . . . . . . . . . . .</w:t>
            </w:r>
            <w:r>
              <w:rPr>
                <w:rFonts w:ascii="Arial" w:cs="Arial" w:eastAsia="Arial" w:hAnsi="Arial"/>
                <w:sz w:val="18"/>
                <w:szCs w:val="18"/>
                <w:b w:val="1"/>
                <w:bCs w:val="1"/>
                <w:color w:val="000000"/>
                <w:w w:val="91"/>
              </w:rPr>
              <w:t>NetIncome(Loss)</w:t>
            </w: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1"/>
              </w:rPr>
              <w:t>Less: Net (loss) income attributable to noncontrolling interests and</w:t>
            </w: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8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 xml:space="preserve">redeemable noncontrolling interests </w:t>
            </w:r>
            <w:r>
              <w:rPr>
                <w:rFonts w:ascii="Arial" w:cs="Arial" w:eastAsia="Arial" w:hAnsi="Arial"/>
                <w:sz w:val="18"/>
                <w:szCs w:val="18"/>
                <w:color w:val="B4B4B4"/>
                <w:w w:val="93"/>
              </w:rPr>
              <w:t>. . . . . . . . . . . . . . . . . . . . . . .</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50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7"/>
              </w:rPr>
              <w:t xml:space="preserve">. </w:t>
            </w:r>
            <w:r>
              <w:rPr>
                <w:rFonts w:ascii="Arial" w:cs="Arial" w:eastAsia="Arial" w:hAnsi="Arial"/>
                <w:sz w:val="18"/>
                <w:szCs w:val="18"/>
                <w:b w:val="1"/>
                <w:bCs w:val="1"/>
                <w:color w:val="B4B4B4"/>
                <w:w w:val="97"/>
              </w:rPr>
              <w:t>. . . . . . .</w:t>
            </w:r>
            <w:r>
              <w:rPr>
                <w:rFonts w:ascii="Arial" w:cs="Arial" w:eastAsia="Arial" w:hAnsi="Arial"/>
                <w:sz w:val="18"/>
                <w:szCs w:val="18"/>
                <w:b w:val="1"/>
                <w:bCs w:val="1"/>
                <w:color w:val="auto"/>
                <w:w w:val="97"/>
              </w:rPr>
              <w:t>NetIncome(Loss)AttributabletoClearwayEnergy,Inc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3252470</wp:posOffset>
                </wp:positionH>
                <wp:positionV relativeFrom="paragraph">
                  <wp:posOffset>-7479665</wp:posOffset>
                </wp:positionV>
                <wp:extent cx="158686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68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1pt,-588.9499pt" to="381.05pt,-588.9499pt" o:allowincell="f" strokecolor="#000000" strokeweight="0pt"/>
            </w:pict>
          </mc:Fallback>
        </mc:AlternateContent>
        <w:drawing>
          <wp:anchor simplePos="0" relativeHeight="251657728" behindDoc="1" locked="0" layoutInCell="0" allowOverlap="1">
            <wp:simplePos x="0" y="0"/>
            <wp:positionH relativeFrom="column">
              <wp:posOffset>-16510</wp:posOffset>
            </wp:positionH>
            <wp:positionV relativeFrom="paragraph">
              <wp:posOffset>-7230745</wp:posOffset>
            </wp:positionV>
            <wp:extent cx="6410325" cy="32924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1">
                      <a:extLst>
                        <a:ext uri="{28A0092B-C50C-407E-A947-70E740481C1C}"/>
                      </a:extLst>
                    </a:blip>
                    <a:srcRect/>
                    <a:stretch>
                      <a:fillRect/>
                    </a:stretch>
                  </pic:blipFill>
                  <pic:spPr bwMode="auto">
                    <a:xfrm>
                      <a:off x="0" y="0"/>
                      <a:ext cx="6410325" cy="32924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3252470</wp:posOffset>
                </wp:positionH>
                <wp:positionV relativeFrom="paragraph">
                  <wp:posOffset>-3195320</wp:posOffset>
                </wp:positionV>
                <wp:extent cx="79375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3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1pt,-251.5999pt" to="318.6pt,-251.5999pt" o:allowincell="f" strokecolor="#000000" strokeweight="0pt"/>
            </w:pict>
          </mc:Fallback>
        </mc:AlternateContent>
        <w:drawing>
          <wp:anchor simplePos="0" relativeHeight="251657728" behindDoc="1" locked="0" layoutInCell="0" allowOverlap="1">
            <wp:simplePos x="0" y="0"/>
            <wp:positionH relativeFrom="column">
              <wp:posOffset>38735</wp:posOffset>
            </wp:positionH>
            <wp:positionV relativeFrom="paragraph">
              <wp:posOffset>-2946400</wp:posOffset>
            </wp:positionV>
            <wp:extent cx="6354445" cy="28663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2">
                      <a:extLst>
                        <a:ext uri="{28A0092B-C50C-407E-A947-70E740481C1C}"/>
                      </a:extLst>
                    </a:blip>
                    <a:srcRect/>
                    <a:stretch>
                      <a:fillRect/>
                    </a:stretch>
                  </pic:blipFill>
                  <pic:spPr bwMode="auto">
                    <a:xfrm>
                      <a:off x="0" y="0"/>
                      <a:ext cx="6354445" cy="2866390"/>
                    </a:xfrm>
                    <a:prstGeom prst="rect">
                      <a:avLst/>
                    </a:prstGeom>
                    <a:noFill/>
                  </pic:spPr>
                </pic:pic>
              </a:graphicData>
            </a:graphic>
          </wp:anchor>
        </w:drawing>
      </w:r>
    </w:p>
    <w:p>
      <w:pPr>
        <w:ind w:left="300" w:hanging="219"/>
        <w:spacing w:after="0" w:line="225" w:lineRule="auto"/>
        <w:tabs>
          <w:tab w:leader="none" w:pos="300" w:val="left"/>
        </w:tabs>
        <w:numPr>
          <w:ilvl w:val="0"/>
          <w:numId w:val="77"/>
        </w:numPr>
        <w:rPr>
          <w:rFonts w:ascii="Arial" w:cs="Arial" w:eastAsia="Arial" w:hAnsi="Arial"/>
          <w:sz w:val="25"/>
          <w:szCs w:val="25"/>
          <w:color w:val="auto"/>
          <w:vertAlign w:val="superscript"/>
        </w:rPr>
      </w:pPr>
      <w:r>
        <w:rPr>
          <w:rFonts w:ascii="Arial" w:cs="Arial" w:eastAsia="Arial" w:hAnsi="Arial"/>
          <w:sz w:val="16"/>
          <w:szCs w:val="16"/>
          <w:color w:val="auto"/>
        </w:rPr>
        <w:t>Includes eliminations.</w:t>
      </w:r>
    </w:p>
    <w:p>
      <w:pPr>
        <w:sectPr>
          <w:pgSz w:w="11880" w:h="15480" w:orient="portrait"/>
          <w:cols w:equalWidth="0" w:num="1">
            <w:col w:w="10040"/>
          </w:cols>
          <w:pgMar w:left="920" w:top="67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880" w:h="15480" w:orient="portrait"/>
          <w:cols w:equalWidth="0" w:num="1">
            <w:col w:w="10040"/>
          </w:cols>
          <w:pgMar w:left="920" w:top="672" w:right="920"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b w:val="1"/>
          <w:bCs w:val="1"/>
          <w:color w:val="auto"/>
        </w:rPr>
        <w:t>Note 14 — Income Taxes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Effective Tax Rate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income tax provision consisted of the following amounts: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7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89"/>
              </w:rPr>
              <w:t>Year Ended December 31,</w:t>
            </w:r>
          </w:p>
        </w:tc>
        <w:tc>
          <w:tcPr>
            <w:tcW w:w="1040" w:type="dxa"/>
            <w:vAlign w:val="bottom"/>
            <w:tcBorders>
              <w:bottom w:val="single" w:sz="8" w:color="auto"/>
            </w:tcBorders>
          </w:tcPr>
          <w:p>
            <w:pPr>
              <w:spacing w:after="0"/>
              <w:rPr>
                <w:sz w:val="18"/>
                <w:szCs w:val="18"/>
                <w:color w:val="auto"/>
              </w:rPr>
            </w:pPr>
          </w:p>
        </w:tc>
      </w:tr>
      <w:tr>
        <w:trPr>
          <w:trHeight w:val="230"/>
        </w:trPr>
        <w:tc>
          <w:tcPr>
            <w:tcW w:w="5720" w:type="dxa"/>
            <w:vAlign w:val="bottom"/>
          </w:tcPr>
          <w:p>
            <w:pPr>
              <w:spacing w:after="0"/>
              <w:rPr>
                <w:sz w:val="19"/>
                <w:szCs w:val="19"/>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r>
      <w:tr>
        <w:trPr>
          <w:trHeight w:val="223"/>
        </w:trPr>
        <w:tc>
          <w:tcPr>
            <w:tcW w:w="5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(In millions)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2"/>
        </w:trPr>
        <w:tc>
          <w:tcPr>
            <w:tcW w:w="5720" w:type="dxa"/>
            <w:vAlign w:val="bottom"/>
          </w:tcPr>
          <w:p>
            <w:pPr>
              <w:spacing w:after="0"/>
              <w:rPr>
                <w:sz w:val="20"/>
                <w:szCs w:val="20"/>
                <w:color w:val="auto"/>
              </w:rPr>
            </w:pPr>
            <w:r>
              <w:rPr>
                <w:rFonts w:ascii="Arial" w:cs="Arial" w:eastAsia="Arial" w:hAnsi="Arial"/>
                <w:sz w:val="18"/>
                <w:szCs w:val="18"/>
                <w:color w:val="auto"/>
              </w:rPr>
              <w:t>Current</w:t>
            </w: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5720" w:type="dxa"/>
            <w:vAlign w:val="bottom"/>
          </w:tcPr>
          <w:p>
            <w:pPr>
              <w:jc w:val="right"/>
              <w:spacing w:after="0"/>
              <w:rPr>
                <w:sz w:val="20"/>
                <w:szCs w:val="20"/>
                <w:color w:val="auto"/>
              </w:rPr>
            </w:pPr>
            <w:r>
              <w:rPr>
                <w:rFonts w:ascii="Arial" w:cs="Arial" w:eastAsia="Arial" w:hAnsi="Arial"/>
                <w:sz w:val="18"/>
                <w:szCs w:val="18"/>
                <w:color w:val="auto"/>
                <w:w w:val="90"/>
              </w:rPr>
              <w:t xml:space="preserve">U.S. Federal </w:t>
            </w:r>
            <w:r>
              <w:rPr>
                <w:rFonts w:ascii="Arial" w:cs="Arial" w:eastAsia="Arial" w:hAnsi="Arial"/>
                <w:sz w:val="18"/>
                <w:szCs w:val="18"/>
                <w:color w:val="B4B4B4"/>
                <w:w w:val="90"/>
              </w:rPr>
              <w:t>. . . . . . . . . . . . . . . . . . . . . . . . . . . . . . . . . . . . . . . . . . . . . . . . . . . .</w:t>
            </w:r>
          </w:p>
        </w:tc>
        <w:tc>
          <w:tcPr>
            <w:tcW w:w="98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1"/>
        </w:trPr>
        <w:tc>
          <w:tcPr>
            <w:tcW w:w="5720" w:type="dxa"/>
            <w:vAlign w:val="bottom"/>
          </w:tcPr>
          <w:p>
            <w:pPr>
              <w:jc w:val="right"/>
              <w:spacing w:after="0"/>
              <w:rPr>
                <w:sz w:val="20"/>
                <w:szCs w:val="20"/>
                <w:color w:val="auto"/>
              </w:rPr>
            </w:pPr>
            <w:r>
              <w:rPr>
                <w:rFonts w:ascii="Arial" w:cs="Arial" w:eastAsia="Arial" w:hAnsi="Arial"/>
                <w:sz w:val="18"/>
                <w:szCs w:val="18"/>
                <w:color w:val="auto"/>
                <w:w w:val="90"/>
              </w:rPr>
              <w:t xml:space="preserve">State </w:t>
            </w:r>
            <w:r>
              <w:rPr>
                <w:rFonts w:ascii="Arial" w:cs="Arial" w:eastAsia="Arial" w:hAnsi="Arial"/>
                <w:sz w:val="18"/>
                <w:szCs w:val="18"/>
                <w:color w:val="B4B4B4"/>
                <w:w w:val="90"/>
              </w:rPr>
              <w:t>. . . . . . . . . . . . . . . . . . . . . . . . . . . . . . . . . . . . . . . . . . . . . . . . . . . . . . . . . .</w:t>
            </w: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Total — current</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5"/>
        </w:trPr>
        <w:tc>
          <w:tcPr>
            <w:tcW w:w="5720" w:type="dxa"/>
            <w:vAlign w:val="bottom"/>
          </w:tcPr>
          <w:p>
            <w:pPr>
              <w:spacing w:after="0"/>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5720" w:type="dxa"/>
            <w:vAlign w:val="bottom"/>
          </w:tcPr>
          <w:p>
            <w:pPr>
              <w:jc w:val="right"/>
              <w:spacing w:after="0"/>
              <w:rPr>
                <w:sz w:val="20"/>
                <w:szCs w:val="20"/>
                <w:color w:val="auto"/>
              </w:rPr>
            </w:pPr>
            <w:r>
              <w:rPr>
                <w:rFonts w:ascii="Arial" w:cs="Arial" w:eastAsia="Arial" w:hAnsi="Arial"/>
                <w:sz w:val="18"/>
                <w:szCs w:val="18"/>
                <w:color w:val="auto"/>
                <w:w w:val="90"/>
              </w:rPr>
              <w:t xml:space="preserve">U.S. Federal </w:t>
            </w:r>
            <w:r>
              <w:rPr>
                <w:rFonts w:ascii="Arial" w:cs="Arial" w:eastAsia="Arial" w:hAnsi="Arial"/>
                <w:sz w:val="18"/>
                <w:szCs w:val="18"/>
                <w:color w:val="B4B4B4"/>
                <w:w w:val="90"/>
              </w:rPr>
              <w:t>. . . . . . . . . . . . . . . . . . . . . . . . . . . . . . . . . . . . . . . . . . . . . . . . . . . .</w:t>
            </w:r>
          </w:p>
        </w:tc>
        <w:tc>
          <w:tcPr>
            <w:tcW w:w="980" w:type="dxa"/>
            <w:vAlign w:val="bottom"/>
          </w:tcPr>
          <w:p>
            <w:pPr>
              <w:jc w:val="right"/>
              <w:ind w:right="754"/>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5"/>
        </w:trPr>
        <w:tc>
          <w:tcPr>
            <w:tcW w:w="5720" w:type="dxa"/>
            <w:vAlign w:val="bottom"/>
          </w:tcPr>
          <w:p>
            <w:pPr>
              <w:jc w:val="right"/>
              <w:spacing w:after="0"/>
              <w:rPr>
                <w:sz w:val="20"/>
                <w:szCs w:val="20"/>
                <w:color w:val="auto"/>
              </w:rPr>
            </w:pPr>
            <w:r>
              <w:rPr>
                <w:rFonts w:ascii="Arial" w:cs="Arial" w:eastAsia="Arial" w:hAnsi="Arial"/>
                <w:sz w:val="18"/>
                <w:szCs w:val="18"/>
                <w:color w:val="auto"/>
                <w:w w:val="90"/>
              </w:rPr>
              <w:t xml:space="preserve">State </w:t>
            </w:r>
            <w:r>
              <w:rPr>
                <w:rFonts w:ascii="Arial" w:cs="Arial" w:eastAsia="Arial" w:hAnsi="Arial"/>
                <w:sz w:val="18"/>
                <w:szCs w:val="18"/>
                <w:color w:val="B4B4B4"/>
                <w:w w:val="90"/>
              </w:rPr>
              <w:t>. . . . . . . . . . . . . . . . . . . . . . . . . . . . . . . . . . . . . . . . . . . . . . . . . . . . . . . . . .</w:t>
            </w:r>
          </w:p>
        </w:tc>
        <w:tc>
          <w:tcPr>
            <w:tcW w:w="9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Total — deferred</w:t>
            </w: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5720" w:type="dxa"/>
            <w:vAlign w:val="bottom"/>
          </w:tcPr>
          <w:p>
            <w:pPr>
              <w:jc w:val="right"/>
              <w:spacing w:after="0"/>
              <w:rPr>
                <w:sz w:val="20"/>
                <w:szCs w:val="20"/>
                <w:color w:val="auto"/>
              </w:rPr>
            </w:pPr>
            <w:r>
              <w:rPr>
                <w:rFonts w:ascii="Arial" w:cs="Arial" w:eastAsia="Arial" w:hAnsi="Arial"/>
                <w:sz w:val="18"/>
                <w:szCs w:val="18"/>
                <w:color w:val="B4B4B4"/>
                <w:w w:val="95"/>
              </w:rPr>
              <w:t>. . . . . . . . . . . . . . . . . . . . . . . . . . . . . . . . . .</w:t>
            </w:r>
            <w:r>
              <w:rPr>
                <w:rFonts w:ascii="Arial" w:cs="Arial" w:eastAsia="Arial" w:hAnsi="Arial"/>
                <w:sz w:val="18"/>
                <w:szCs w:val="18"/>
                <w:color w:val="000000"/>
                <w:w w:val="95"/>
              </w:rPr>
              <w:t>Totalincometaxexpense(benefit)</w:t>
            </w:r>
          </w:p>
        </w:tc>
        <w:tc>
          <w:tcPr>
            <w:tcW w:w="98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-1449705</wp:posOffset>
            </wp:positionV>
            <wp:extent cx="6382385" cy="1456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3">
                      <a:extLst>
                        <a:ext uri="{28A0092B-C50C-407E-A947-70E740481C1C}"/>
                      </a:extLst>
                    </a:blip>
                    <a:srcRect/>
                    <a:stretch>
                      <a:fillRect/>
                    </a:stretch>
                  </pic:blipFill>
                  <pic:spPr bwMode="auto">
                    <a:xfrm>
                      <a:off x="0" y="0"/>
                      <a:ext cx="6382385" cy="1456690"/>
                    </a:xfrm>
                    <a:prstGeom prst="rect">
                      <a:avLst/>
                    </a:prstGeom>
                    <a:noFill/>
                  </pic:spPr>
                </pic:pic>
              </a:graphicData>
            </a:graphic>
          </wp:anchor>
        </w:drawing>
      </w:r>
    </w:p>
    <w:p>
      <w:pPr>
        <w:spacing w:after="0" w:line="162" w:lineRule="exact"/>
        <w:rPr>
          <w:sz w:val="20"/>
          <w:szCs w:val="20"/>
          <w:color w:val="auto"/>
        </w:rPr>
      </w:pPr>
    </w:p>
    <w:p>
      <w:pPr>
        <w:jc w:val="both"/>
        <w:ind w:firstLine="441"/>
        <w:spacing w:after="0" w:line="326" w:lineRule="auto"/>
        <w:rPr>
          <w:sz w:val="20"/>
          <w:szCs w:val="20"/>
          <w:color w:val="auto"/>
        </w:rPr>
      </w:pPr>
      <w:r>
        <w:rPr>
          <w:rFonts w:ascii="Arial" w:cs="Arial" w:eastAsia="Arial" w:hAnsi="Arial"/>
          <w:sz w:val="17"/>
          <w:szCs w:val="17"/>
          <w:color w:val="auto"/>
        </w:rPr>
        <w:t xml:space="preserve">As of December 31, 2024, the Company elected to prospectively adopt the guidance in ASU No. 2023-09, </w:t>
      </w: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(Topic 740): Improvements to Income Taxes Disclosures</w:t>
      </w:r>
      <w:r>
        <w:rPr>
          <w:rFonts w:ascii="Arial" w:cs="Arial" w:eastAsia="Arial" w:hAnsi="Arial"/>
          <w:sz w:val="17"/>
          <w:szCs w:val="17"/>
          <w:color w:val="auto"/>
        </w:rPr>
        <w:t>, or ASU 2023-09. The following table is a reconciliation of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federal statutory rate of 21% to the Company’s effective rate in accordance with the guidance in ASU 2023-09:</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6"/>
                <w:szCs w:val="16"/>
                <w:b w:val="1"/>
                <w:bCs w:val="1"/>
                <w:color w:val="auto"/>
                <w:w w:val="89"/>
              </w:rPr>
              <w:t>Year Ended December 31,</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6"/>
                <w:szCs w:val="16"/>
                <w:b w:val="1"/>
                <w:bCs w:val="1"/>
                <w:color w:val="auto"/>
                <w:w w:val="88"/>
              </w:rPr>
              <w:t>Year Ended December 31,</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6"/>
                <w:szCs w:val="16"/>
                <w:b w:val="1"/>
                <w:bCs w:val="1"/>
                <w:color w:val="auto"/>
                <w:w w:val="89"/>
              </w:rPr>
              <w:t>2025</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6"/>
                <w:szCs w:val="16"/>
                <w:b w:val="1"/>
                <w:bCs w:val="1"/>
                <w:color w:val="auto"/>
                <w:w w:val="84"/>
              </w:rPr>
              <w:t>2024</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jc w:val="center"/>
              <w:ind w:right="112"/>
              <w:spacing w:after="0"/>
              <w:rPr>
                <w:sz w:val="20"/>
                <w:szCs w:val="20"/>
                <w:color w:val="auto"/>
              </w:rPr>
            </w:pPr>
            <w:r>
              <w:rPr>
                <w:rFonts w:ascii="Arial" w:cs="Arial" w:eastAsia="Arial" w:hAnsi="Arial"/>
                <w:sz w:val="16"/>
                <w:szCs w:val="16"/>
                <w:b w:val="1"/>
                <w:bCs w:val="1"/>
                <w:color w:val="auto"/>
                <w:w w:val="87"/>
              </w:rPr>
              <w:t>(In millions, except percentages)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4"/>
          </w:tcPr>
          <w:p>
            <w:pPr>
              <w:jc w:val="center"/>
              <w:ind w:right="112"/>
              <w:spacing w:after="0"/>
              <w:rPr>
                <w:sz w:val="20"/>
                <w:szCs w:val="20"/>
                <w:color w:val="auto"/>
              </w:rPr>
            </w:pPr>
            <w:r>
              <w:rPr>
                <w:rFonts w:ascii="Arial" w:cs="Arial" w:eastAsia="Arial" w:hAnsi="Arial"/>
                <w:sz w:val="16"/>
                <w:szCs w:val="16"/>
                <w:b w:val="1"/>
                <w:bCs w:val="1"/>
                <w:color w:val="auto"/>
                <w:w w:val="86"/>
              </w:rPr>
              <w:t>(In millions, except percentages)</w:t>
            </w:r>
          </w:p>
        </w:tc>
        <w:tc>
          <w:tcPr>
            <w:tcW w:w="0" w:type="dxa"/>
            <w:vAlign w:val="bottom"/>
          </w:tcPr>
          <w:p>
            <w:pPr>
              <w:spacing w:after="0"/>
              <w:rPr>
                <w:sz w:val="1"/>
                <w:szCs w:val="1"/>
                <w:color w:val="auto"/>
              </w:rPr>
            </w:pPr>
          </w:p>
        </w:tc>
      </w:tr>
      <w:tr>
        <w:trPr>
          <w:trHeight w:val="257"/>
        </w:trPr>
        <w:tc>
          <w:tcPr>
            <w:tcW w:w="4360" w:type="dxa"/>
            <w:vAlign w:val="bottom"/>
          </w:tcPr>
          <w:p>
            <w:pPr>
              <w:jc w:val="right"/>
              <w:spacing w:after="0"/>
              <w:rPr>
                <w:sz w:val="20"/>
                <w:szCs w:val="20"/>
                <w:color w:val="auto"/>
              </w:rPr>
            </w:pPr>
            <w:r>
              <w:rPr>
                <w:rFonts w:ascii="Arial" w:cs="Arial" w:eastAsia="Arial" w:hAnsi="Arial"/>
                <w:sz w:val="18"/>
                <w:szCs w:val="18"/>
                <w:color w:val="auto"/>
                <w:w w:val="88"/>
              </w:rPr>
              <w:t xml:space="preserve">Loss Before Income Taxes </w:t>
            </w:r>
            <w:r>
              <w:rPr>
                <w:rFonts w:ascii="Arial" w:cs="Arial" w:eastAsia="Arial" w:hAnsi="Arial"/>
                <w:sz w:val="18"/>
                <w:szCs w:val="18"/>
                <w:color w:val="B4B4B4"/>
                <w:w w:val="88"/>
              </w:rPr>
              <w:t>. . . . . . . . . . . . . . . . . . . . . . . . . . .</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2"/>
        </w:trPr>
        <w:tc>
          <w:tcPr>
            <w:tcW w:w="4360" w:type="dxa"/>
            <w:vAlign w:val="bottom"/>
          </w:tcPr>
          <w:p>
            <w:pPr>
              <w:jc w:val="right"/>
              <w:spacing w:after="0"/>
              <w:rPr>
                <w:sz w:val="20"/>
                <w:szCs w:val="20"/>
                <w:color w:val="auto"/>
              </w:rPr>
            </w:pPr>
            <w:r>
              <w:rPr>
                <w:rFonts w:ascii="Arial" w:cs="Arial" w:eastAsia="Arial" w:hAnsi="Arial"/>
                <w:sz w:val="18"/>
                <w:szCs w:val="18"/>
                <w:color w:val="auto"/>
                <w:w w:val="88"/>
              </w:rPr>
              <w:t xml:space="preserve">Tax at 21% </w:t>
            </w:r>
            <w:r>
              <w:rPr>
                <w:rFonts w:ascii="Arial" w:cs="Arial" w:eastAsia="Arial" w:hAnsi="Arial"/>
                <w:sz w:val="18"/>
                <w:szCs w:val="18"/>
                <w:color w:val="B4B4B4"/>
                <w:w w:val="88"/>
              </w:rPr>
              <w:t>. . . . . . . . . . . . . . . . . . . . . . . . . . . . . . . . . . . . . . .</w:t>
            </w: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21.1 %</w:t>
            </w: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71"/>
        </w:trPr>
        <w:tc>
          <w:tcPr>
            <w:tcW w:w="4360" w:type="dxa"/>
            <w:vAlign w:val="bottom"/>
          </w:tcPr>
          <w:p>
            <w:pPr>
              <w:jc w:val="right"/>
              <w:spacing w:after="0"/>
              <w:rPr>
                <w:sz w:val="20"/>
                <w:szCs w:val="20"/>
                <w:color w:val="auto"/>
              </w:rPr>
            </w:pPr>
            <w:r>
              <w:rPr>
                <w:rFonts w:ascii="Arial" w:cs="Arial" w:eastAsia="Arial" w:hAnsi="Arial"/>
                <w:sz w:val="18"/>
                <w:szCs w:val="18"/>
                <w:color w:val="auto"/>
                <w:w w:val="90"/>
              </w:rPr>
              <w:t xml:space="preserve">State taxes, net of federal benefit </w:t>
            </w:r>
            <w:r>
              <w:rPr>
                <w:rFonts w:ascii="Arial" w:cs="Arial" w:eastAsia="Arial" w:hAnsi="Arial"/>
                <w:sz w:val="22"/>
                <w:szCs w:val="22"/>
                <w:color w:val="auto"/>
                <w:w w:val="90"/>
                <w:vertAlign w:val="superscript"/>
              </w:rPr>
              <w:t>(a)</w:t>
            </w:r>
            <w:r>
              <w:rPr>
                <w:rFonts w:ascii="Arial" w:cs="Arial" w:eastAsia="Arial" w:hAnsi="Arial"/>
                <w:sz w:val="18"/>
                <w:szCs w:val="18"/>
                <w:color w:val="auto"/>
                <w:w w:val="90"/>
              </w:rPr>
              <w:t xml:space="preserve"> </w:t>
            </w:r>
            <w:r>
              <w:rPr>
                <w:rFonts w:ascii="Arial" w:cs="Arial" w:eastAsia="Arial" w:hAnsi="Arial"/>
                <w:sz w:val="18"/>
                <w:szCs w:val="18"/>
                <w:color w:val="B4B4B4"/>
                <w:w w:val="90"/>
              </w:rPr>
              <w:t>. . . . . . . . . . . . . . . . . . .</w:t>
            </w:r>
          </w:p>
        </w:tc>
        <w:tc>
          <w:tcPr>
            <w:tcW w:w="240" w:type="dxa"/>
            <w:vAlign w:val="bottom"/>
          </w:tcPr>
          <w:p>
            <w:pPr>
              <w:spacing w:after="0"/>
              <w:rPr>
                <w:sz w:val="23"/>
                <w:szCs w:val="23"/>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4360" w:type="dxa"/>
            <w:vAlign w:val="bottom"/>
          </w:tcPr>
          <w:p>
            <w:pPr>
              <w:jc w:val="right"/>
              <w:spacing w:after="0"/>
              <w:rPr>
                <w:sz w:val="20"/>
                <w:szCs w:val="20"/>
                <w:color w:val="auto"/>
              </w:rPr>
            </w:pPr>
            <w:r>
              <w:rPr>
                <w:rFonts w:ascii="Arial" w:cs="Arial" w:eastAsia="Arial" w:hAnsi="Arial"/>
                <w:sz w:val="18"/>
                <w:szCs w:val="18"/>
                <w:color w:val="auto"/>
                <w:w w:val="91"/>
              </w:rPr>
              <w:t xml:space="preserve">Tax credits </w:t>
            </w:r>
            <w:r>
              <w:rPr>
                <w:rFonts w:ascii="Arial" w:cs="Arial" w:eastAsia="Arial" w:hAnsi="Arial"/>
                <w:sz w:val="18"/>
                <w:szCs w:val="18"/>
                <w:color w:val="B4B4B4"/>
                <w:w w:val="91"/>
              </w:rPr>
              <w:t>. . . . . . . . . . . . . . . . . . . . . . . . . . . . . . . . . . . . . .</w:t>
            </w:r>
          </w:p>
        </w:tc>
        <w:tc>
          <w:tcPr>
            <w:tcW w:w="24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0.6 %</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50"/>
        </w:trPr>
        <w:tc>
          <w:tcPr>
            <w:tcW w:w="4360" w:type="dxa"/>
            <w:vAlign w:val="bottom"/>
          </w:tcPr>
          <w:p>
            <w:pPr>
              <w:jc w:val="right"/>
              <w:ind w:right="1792"/>
              <w:spacing w:after="0"/>
              <w:rPr>
                <w:sz w:val="20"/>
                <w:szCs w:val="20"/>
                <w:color w:val="auto"/>
              </w:rPr>
            </w:pPr>
            <w:r>
              <w:rPr>
                <w:rFonts w:ascii="Arial" w:cs="Arial" w:eastAsia="Arial" w:hAnsi="Arial"/>
                <w:sz w:val="18"/>
                <w:szCs w:val="18"/>
                <w:color w:val="auto"/>
                <w:w w:val="94"/>
              </w:rPr>
              <w:t>Nontaxable/nondeductible items: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Pr>
          <w:p>
            <w:pPr>
              <w:jc w:val="right"/>
              <w:spacing w:after="0"/>
              <w:rPr>
                <w:sz w:val="20"/>
                <w:szCs w:val="20"/>
                <w:color w:val="auto"/>
              </w:rPr>
            </w:pPr>
            <w:r>
              <w:rPr>
                <w:rFonts w:ascii="Arial" w:cs="Arial" w:eastAsia="Arial" w:hAnsi="Arial"/>
                <w:sz w:val="18"/>
                <w:szCs w:val="18"/>
                <w:color w:val="auto"/>
                <w:w w:val="96"/>
              </w:rPr>
              <w:t xml:space="preserve">HLBV impact </w:t>
            </w:r>
            <w:r>
              <w:rPr>
                <w:rFonts w:ascii="Arial" w:cs="Arial" w:eastAsia="Arial" w:hAnsi="Arial"/>
                <w:sz w:val="18"/>
                <w:szCs w:val="18"/>
                <w:color w:val="B4B4B4"/>
                <w:w w:val="96"/>
              </w:rPr>
              <w:t>. . . . . . . . . . . . . . . . . . . . . . . . . . . . . . . . . .</w:t>
            </w:r>
          </w:p>
        </w:tc>
        <w:tc>
          <w:tcPr>
            <w:tcW w:w="24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50"/>
        </w:trPr>
        <w:tc>
          <w:tcPr>
            <w:tcW w:w="4360" w:type="dxa"/>
            <w:vAlign w:val="bottom"/>
          </w:tcPr>
          <w:p>
            <w:pPr>
              <w:jc w:val="right"/>
              <w:spacing w:after="0"/>
              <w:rPr>
                <w:sz w:val="20"/>
                <w:szCs w:val="20"/>
                <w:color w:val="auto"/>
              </w:rPr>
            </w:pPr>
            <w:r>
              <w:rPr>
                <w:rFonts w:ascii="Arial" w:cs="Arial" w:eastAsia="Arial" w:hAnsi="Arial"/>
                <w:sz w:val="18"/>
                <w:szCs w:val="18"/>
                <w:color w:val="auto"/>
                <w:w w:val="93"/>
              </w:rPr>
              <w:t xml:space="preserve">Tax credit sales, net </w:t>
            </w:r>
            <w:r>
              <w:rPr>
                <w:rFonts w:ascii="Arial" w:cs="Arial" w:eastAsia="Arial" w:hAnsi="Arial"/>
                <w:sz w:val="18"/>
                <w:szCs w:val="18"/>
                <w:color w:val="B4B4B4"/>
                <w:w w:val="93"/>
              </w:rPr>
              <w:t>. . . . . . . . . . . . . . . . . . . . . . . . . . . . . .</w:t>
            </w:r>
          </w:p>
        </w:tc>
        <w:tc>
          <w:tcPr>
            <w:tcW w:w="2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1.7 %</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360" w:type="dxa"/>
            <w:vAlign w:val="bottom"/>
          </w:tcPr>
          <w:p>
            <w:pPr>
              <w:jc w:val="right"/>
              <w:spacing w:after="0"/>
              <w:rPr>
                <w:sz w:val="20"/>
                <w:szCs w:val="20"/>
                <w:color w:val="auto"/>
              </w:rPr>
            </w:pPr>
            <w:r>
              <w:rPr>
                <w:rFonts w:ascii="Arial" w:cs="Arial" w:eastAsia="Arial" w:hAnsi="Arial"/>
                <w:sz w:val="18"/>
                <w:szCs w:val="18"/>
                <w:color w:val="auto"/>
                <w:w w:val="93"/>
              </w:rPr>
              <w:t xml:space="preserve">Employee share-based payments </w:t>
            </w:r>
            <w:r>
              <w:rPr>
                <w:rFonts w:ascii="Arial" w:cs="Arial" w:eastAsia="Arial" w:hAnsi="Arial"/>
                <w:sz w:val="18"/>
                <w:szCs w:val="18"/>
                <w:color w:val="B4B4B4"/>
                <w:w w:val="93"/>
              </w:rPr>
              <w:t>. . . . . . . . . . . . . . . . . . .</w:t>
            </w:r>
          </w:p>
        </w:tc>
        <w:tc>
          <w:tcPr>
            <w:tcW w:w="240" w:type="dxa"/>
            <w:vAlign w:val="bottom"/>
          </w:tcPr>
          <w:p>
            <w:pPr>
              <w:spacing w:after="0"/>
              <w:rPr>
                <w:sz w:val="21"/>
                <w:szCs w:val="21"/>
                <w:color w:val="auto"/>
              </w:rPr>
            </w:pPr>
          </w:p>
        </w:tc>
        <w:tc>
          <w:tcPr>
            <w:tcW w:w="16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5"/>
        </w:trPr>
        <w:tc>
          <w:tcPr>
            <w:tcW w:w="4360" w:type="dxa"/>
            <w:vAlign w:val="bottom"/>
          </w:tcPr>
          <w:p>
            <w:pPr>
              <w:jc w:val="right"/>
              <w:spacing w:after="0"/>
              <w:rPr>
                <w:sz w:val="20"/>
                <w:szCs w:val="20"/>
                <w:color w:val="auto"/>
              </w:rPr>
            </w:pPr>
            <w:r>
              <w:rPr>
                <w:rFonts w:ascii="Arial" w:cs="Arial" w:eastAsia="Arial" w:hAnsi="Arial"/>
                <w:sz w:val="18"/>
                <w:szCs w:val="18"/>
                <w:color w:val="auto"/>
                <w:w w:val="91"/>
              </w:rPr>
              <w:t xml:space="preserve">Other </w:t>
            </w:r>
            <w:r>
              <w:rPr>
                <w:rFonts w:ascii="Arial" w:cs="Arial" w:eastAsia="Arial" w:hAnsi="Arial"/>
                <w:sz w:val="18"/>
                <w:szCs w:val="18"/>
                <w:color w:val="B4B4B4"/>
                <w:w w:val="91"/>
              </w:rPr>
              <w:t>. . . . . . . . . . . . . . . . . . . . . . . . . . . . . . . . . . . . . . . . . .</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4360" w:type="dxa"/>
            <w:vAlign w:val="bottom"/>
          </w:tcPr>
          <w:p>
            <w:pPr>
              <w:jc w:val="right"/>
              <w:spacing w:after="0"/>
              <w:rPr>
                <w:sz w:val="20"/>
                <w:szCs w:val="20"/>
                <w:color w:val="auto"/>
              </w:rPr>
            </w:pPr>
            <w:r>
              <w:rPr>
                <w:rFonts w:ascii="Arial" w:cs="Arial" w:eastAsia="Arial" w:hAnsi="Arial"/>
                <w:sz w:val="18"/>
                <w:szCs w:val="18"/>
                <w:color w:val="B4B4B4"/>
                <w:w w:val="95"/>
              </w:rPr>
              <w:t>. . . . . . . . . . . . . . . . . . . . . . . . . . . . . .</w:t>
            </w:r>
            <w:r>
              <w:rPr>
                <w:rFonts w:ascii="Arial" w:cs="Arial" w:eastAsia="Arial" w:hAnsi="Arial"/>
                <w:sz w:val="18"/>
                <w:szCs w:val="18"/>
                <w:color w:val="000000"/>
                <w:w w:val="95"/>
              </w:rPr>
              <w:t>Incometaxexpense</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4360" w:type="dxa"/>
            <w:vAlign w:val="bottom"/>
            <w:vMerge w:val="restart"/>
          </w:tcPr>
          <w:p>
            <w:pPr>
              <w:jc w:val="right"/>
              <w:ind w:right="2492"/>
              <w:spacing w:after="0"/>
              <w:rPr>
                <w:sz w:val="20"/>
                <w:szCs w:val="20"/>
                <w:color w:val="auto"/>
              </w:rPr>
            </w:pPr>
            <w:r>
              <w:rPr>
                <w:rFonts w:ascii="Arial" w:cs="Arial" w:eastAsia="Arial" w:hAnsi="Arial"/>
                <w:sz w:val="18"/>
                <w:szCs w:val="18"/>
                <w:color w:val="auto"/>
                <w:w w:val="89"/>
              </w:rPr>
              <w:t>Effective income tax rate</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360" w:type="dxa"/>
            <w:vAlign w:val="bottom"/>
            <w:vMerge w:val="continue"/>
          </w:tcPr>
          <w:p>
            <w:pPr>
              <w:jc w:val="right"/>
              <w:spacing w:after="0" w:line="151" w:lineRule="exact"/>
              <w:rPr>
                <w:sz w:val="20"/>
                <w:szCs w:val="20"/>
                <w:color w:val="auto"/>
              </w:rPr>
            </w:pPr>
            <w:r>
              <w:rPr>
                <w:rFonts w:ascii="Arial" w:cs="Arial" w:eastAsia="Arial" w:hAnsi="Arial"/>
                <w:sz w:val="17"/>
                <w:szCs w:val="17"/>
                <w:color w:val="B4B4B4"/>
              </w:rPr>
              <w:t>. . . . . . . . . . . . . . . . . . . . . . . . . . . .</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-1837690</wp:posOffset>
            </wp:positionV>
            <wp:extent cx="6410325" cy="1938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4">
                      <a:extLst>
                        <a:ext uri="{28A0092B-C50C-407E-A947-70E740481C1C}"/>
                      </a:extLst>
                    </a:blip>
                    <a:srcRect/>
                    <a:stretch>
                      <a:fillRect/>
                    </a:stretch>
                  </pic:blipFill>
                  <pic:spPr bwMode="auto">
                    <a:xfrm>
                      <a:off x="0" y="0"/>
                      <a:ext cx="6410325" cy="1938655"/>
                    </a:xfrm>
                    <a:prstGeom prst="rect">
                      <a:avLst/>
                    </a:prstGeom>
                    <a:noFill/>
                  </pic:spPr>
                </pic:pic>
              </a:graphicData>
            </a:graphic>
          </wp:anchor>
        </w:drawing>
      </w:r>
    </w:p>
    <w:p>
      <w:pPr>
        <w:spacing w:after="0" w:line="151" w:lineRule="exact"/>
        <w:rPr>
          <w:sz w:val="20"/>
          <w:szCs w:val="20"/>
          <w:color w:val="auto"/>
        </w:rPr>
      </w:pPr>
    </w:p>
    <w:p>
      <w:pPr>
        <w:ind w:left="280" w:hanging="199"/>
        <w:spacing w:after="0"/>
        <w:tabs>
          <w:tab w:leader="none" w:pos="280" w:val="left"/>
        </w:tabs>
        <w:numPr>
          <w:ilvl w:val="0"/>
          <w:numId w:val="78"/>
        </w:numPr>
        <w:rPr>
          <w:rFonts w:ascii="Arial" w:cs="Arial" w:eastAsia="Arial" w:hAnsi="Arial"/>
          <w:sz w:val="20"/>
          <w:szCs w:val="20"/>
          <w:color w:val="auto"/>
          <w:vertAlign w:val="superscript"/>
        </w:rPr>
      </w:pPr>
      <w:r>
        <w:rPr>
          <w:rFonts w:ascii="Arial" w:cs="Arial" w:eastAsia="Arial" w:hAnsi="Arial"/>
          <w:sz w:val="16"/>
          <w:szCs w:val="16"/>
          <w:color w:val="auto"/>
        </w:rPr>
        <w:t>State taxes in California made up the majority of the tax effect in this category.</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1880" w:h="15480" w:orient="portrait"/>
          <w:cols w:equalWidth="0" w:num="1">
            <w:col w:w="10040"/>
          </w:cols>
          <w:pgMar w:left="920" w:top="577" w:right="920" w:bottom="0" w:gutter="0" w:footer="0" w:header="0"/>
          <w:type w:val="continuous"/>
        </w:sectPr>
      </w:pPr>
    </w:p>
    <w:bookmarkStart w:id="131" w:name="page132"/>
    <w:bookmarkEnd w:id="131"/>
    <w:p>
      <w:pPr>
        <w:ind w:firstLine="441"/>
        <w:spacing w:after="0" w:line="271" w:lineRule="auto"/>
        <w:rPr>
          <w:sz w:val="20"/>
          <w:szCs w:val="20"/>
          <w:color w:val="auto"/>
        </w:rPr>
      </w:pPr>
      <w:r>
        <w:rPr>
          <w:rFonts w:ascii="Arial" w:cs="Arial" w:eastAsia="Arial" w:hAnsi="Arial"/>
          <w:sz w:val="20"/>
          <w:szCs w:val="20"/>
          <w:color w:val="auto"/>
        </w:rPr>
        <w:t>The following table is a reconciliation of the U.S. federal statutory rate of 21% to the Company’s effective rate in accordance with the guidance prior to the adoption of ASU 2023-09:</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w w:val="87"/>
              </w:rPr>
              <w:t>Year Ended December 31, 2023</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(In millions, except percentages)</w:t>
            </w:r>
          </w:p>
        </w:tc>
        <w:tc>
          <w:tcPr>
            <w:tcW w:w="0" w:type="dxa"/>
            <w:vAlign w:val="bottom"/>
          </w:tcPr>
          <w:p>
            <w:pPr>
              <w:spacing w:after="0"/>
              <w:rPr>
                <w:sz w:val="1"/>
                <w:szCs w:val="1"/>
                <w:color w:val="auto"/>
              </w:rPr>
            </w:pPr>
          </w:p>
        </w:tc>
      </w:tr>
      <w:tr>
        <w:trPr>
          <w:trHeight w:val="257"/>
        </w:trPr>
        <w:tc>
          <w:tcPr>
            <w:tcW w:w="7660" w:type="dxa"/>
            <w:vAlign w:val="bottom"/>
          </w:tcPr>
          <w:p>
            <w:pPr>
              <w:jc w:val="right"/>
              <w:ind w:right="52"/>
              <w:spacing w:after="0"/>
              <w:rPr>
                <w:sz w:val="20"/>
                <w:szCs w:val="20"/>
                <w:color w:val="auto"/>
              </w:rPr>
            </w:pPr>
            <w:r>
              <w:rPr>
                <w:rFonts w:ascii="Arial" w:cs="Arial" w:eastAsia="Arial" w:hAnsi="Arial"/>
                <w:sz w:val="18"/>
                <w:szCs w:val="18"/>
                <w:color w:val="auto"/>
                <w:w w:val="88"/>
              </w:rPr>
              <w:t xml:space="preserve">Loss Before Income Taxes </w:t>
            </w:r>
            <w:r>
              <w:rPr>
                <w:rFonts w:ascii="Arial" w:cs="Arial" w:eastAsia="Arial" w:hAnsi="Arial"/>
                <w:sz w:val="18"/>
                <w:szCs w:val="18"/>
                <w:color w:val="B4B4B4"/>
                <w:w w:val="88"/>
              </w:rPr>
              <w:t>. . . . . . . . . . . . . . . . . . . . . . . . . . . . . . . . . . . . . . . . . . . . . . . . . . . . . . . . . . . . . .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42"/>
        </w:trPr>
        <w:tc>
          <w:tcPr>
            <w:tcW w:w="7660" w:type="dxa"/>
            <w:vAlign w:val="bottom"/>
          </w:tcPr>
          <w:p>
            <w:pPr>
              <w:jc w:val="right"/>
              <w:ind w:right="52"/>
              <w:spacing w:after="0"/>
              <w:rPr>
                <w:sz w:val="20"/>
                <w:szCs w:val="20"/>
                <w:color w:val="auto"/>
              </w:rPr>
            </w:pPr>
            <w:r>
              <w:rPr>
                <w:rFonts w:ascii="Arial" w:cs="Arial" w:eastAsia="Arial" w:hAnsi="Arial"/>
                <w:sz w:val="18"/>
                <w:szCs w:val="18"/>
                <w:color w:val="auto"/>
                <w:w w:val="88"/>
              </w:rPr>
              <w:t xml:space="preserve">Tax at 21% </w:t>
            </w:r>
            <w:r>
              <w:rPr>
                <w:rFonts w:ascii="Arial" w:cs="Arial" w:eastAsia="Arial" w:hAnsi="Arial"/>
                <w:sz w:val="18"/>
                <w:szCs w:val="18"/>
                <w:color w:val="B4B4B4"/>
                <w:w w:val="88"/>
              </w:rPr>
              <w:t>. . . . . . . . . . . . . . . . . . . . . . . . . . . . . . . . . . . . . . . . . . . . . . . . . . . . . . . . . . . . . . . . . . . . . . . . . . . .</w:t>
            </w:r>
          </w:p>
        </w:tc>
        <w:tc>
          <w:tcPr>
            <w:tcW w:w="140" w:type="dxa"/>
            <w:vAlign w:val="bottom"/>
          </w:tcPr>
          <w:p>
            <w:pPr>
              <w:spacing w:after="0"/>
              <w:rPr>
                <w:sz w:val="24"/>
                <w:szCs w:val="24"/>
                <w:color w:val="auto"/>
              </w:rPr>
            </w:pPr>
          </w:p>
        </w:tc>
        <w:tc>
          <w:tcPr>
            <w:tcW w:w="220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7660" w:type="dxa"/>
            <w:vAlign w:val="bottom"/>
          </w:tcPr>
          <w:p>
            <w:pPr>
              <w:jc w:val="right"/>
              <w:ind w:right="52"/>
              <w:spacing w:after="0"/>
              <w:rPr>
                <w:sz w:val="20"/>
                <w:szCs w:val="20"/>
                <w:color w:val="auto"/>
              </w:rPr>
            </w:pPr>
            <w:r>
              <w:rPr>
                <w:rFonts w:ascii="Arial" w:cs="Arial" w:eastAsia="Arial" w:hAnsi="Arial"/>
                <w:sz w:val="18"/>
                <w:szCs w:val="18"/>
                <w:color w:val="auto"/>
                <w:w w:val="89"/>
              </w:rPr>
              <w:t xml:space="preserve">State taxes, net of federal benefit </w:t>
            </w:r>
            <w:r>
              <w:rPr>
                <w:rFonts w:ascii="Arial" w:cs="Arial" w:eastAsia="Arial" w:hAnsi="Arial"/>
                <w:sz w:val="18"/>
                <w:szCs w:val="18"/>
                <w:color w:val="B4B4B4"/>
                <w:w w:val="89"/>
              </w:rPr>
              <w:t>. . . . . . . . . . . . . . . . . . . . . . . . . . . . . . . . . . . . . . . . . . . . . . . . . . . . . . . . .</w:t>
            </w:r>
          </w:p>
        </w:tc>
        <w:tc>
          <w:tcPr>
            <w:tcW w:w="140" w:type="dxa"/>
            <w:vAlign w:val="bottom"/>
          </w:tcPr>
          <w:p>
            <w:pPr>
              <w:spacing w:after="0"/>
              <w:rPr>
                <w:sz w:val="21"/>
                <w:szCs w:val="21"/>
                <w:color w:val="auto"/>
              </w:rPr>
            </w:pPr>
          </w:p>
        </w:tc>
        <w:tc>
          <w:tcPr>
            <w:tcW w:w="220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7660" w:type="dxa"/>
            <w:vAlign w:val="bottom"/>
          </w:tcPr>
          <w:p>
            <w:pPr>
              <w:jc w:val="right"/>
              <w:ind w:right="52"/>
              <w:spacing w:after="0"/>
              <w:rPr>
                <w:sz w:val="20"/>
                <w:szCs w:val="20"/>
                <w:color w:val="auto"/>
              </w:rPr>
            </w:pPr>
            <w:r>
              <w:rPr>
                <w:rFonts w:ascii="Arial" w:cs="Arial" w:eastAsia="Arial" w:hAnsi="Arial"/>
                <w:sz w:val="18"/>
                <w:szCs w:val="18"/>
                <w:color w:val="auto"/>
                <w:w w:val="90"/>
              </w:rPr>
              <w:t xml:space="preserve">Impact of non-taxable partnership earnings </w:t>
            </w:r>
            <w:r>
              <w:rPr>
                <w:rFonts w:ascii="Arial" w:cs="Arial" w:eastAsia="Arial" w:hAnsi="Arial"/>
                <w:sz w:val="18"/>
                <w:szCs w:val="18"/>
                <w:color w:val="B4B4B4"/>
                <w:w w:val="90"/>
              </w:rPr>
              <w:t>. . . . . . . . . . . . . . . . . . . . . . . . . . . . . . . . . . . . . . . . . . . . . . . . .</w:t>
            </w:r>
          </w:p>
        </w:tc>
        <w:tc>
          <w:tcPr>
            <w:tcW w:w="140" w:type="dxa"/>
            <w:vAlign w:val="bottom"/>
          </w:tcPr>
          <w:p>
            <w:pPr>
              <w:spacing w:after="0"/>
              <w:rPr>
                <w:sz w:val="21"/>
                <w:szCs w:val="21"/>
                <w:color w:val="auto"/>
              </w:rPr>
            </w:pPr>
          </w:p>
        </w:tc>
        <w:tc>
          <w:tcPr>
            <w:tcW w:w="2200" w:type="dxa"/>
            <w:vAlign w:val="bottom"/>
          </w:tcPr>
          <w:p>
            <w:pPr>
              <w:jc w:val="right"/>
              <w:ind w:right="13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7660" w:type="dxa"/>
            <w:vAlign w:val="bottom"/>
          </w:tcPr>
          <w:p>
            <w:pPr>
              <w:jc w:val="right"/>
              <w:ind w:right="52"/>
              <w:spacing w:after="0"/>
              <w:rPr>
                <w:sz w:val="20"/>
                <w:szCs w:val="20"/>
                <w:color w:val="auto"/>
              </w:rPr>
            </w:pPr>
            <w:r>
              <w:rPr>
                <w:rFonts w:ascii="Arial" w:cs="Arial" w:eastAsia="Arial" w:hAnsi="Arial"/>
                <w:sz w:val="18"/>
                <w:szCs w:val="18"/>
                <w:color w:val="auto"/>
                <w:w w:val="90"/>
              </w:rPr>
              <w:t xml:space="preserve">Valuation allowance </w:t>
            </w:r>
            <w:r>
              <w:rPr>
                <w:rFonts w:ascii="Arial" w:cs="Arial" w:eastAsia="Arial" w:hAnsi="Arial"/>
                <w:sz w:val="18"/>
                <w:szCs w:val="18"/>
                <w:color w:val="B4B4B4"/>
                <w:w w:val="90"/>
              </w:rPr>
              <w:t>. . . . . . . . . . . . . . . . . . . . . . . . . . . . . . . . . . . . . . . . . . . . . . . . . . . . . . . . . . . . . . . . . . .</w:t>
            </w:r>
          </w:p>
        </w:tc>
        <w:tc>
          <w:tcPr>
            <w:tcW w:w="140" w:type="dxa"/>
            <w:vAlign w:val="bottom"/>
          </w:tcPr>
          <w:p>
            <w:pPr>
              <w:spacing w:after="0"/>
              <w:rPr>
                <w:sz w:val="21"/>
                <w:szCs w:val="21"/>
                <w:color w:val="auto"/>
              </w:rPr>
            </w:pPr>
          </w:p>
        </w:tc>
        <w:tc>
          <w:tcPr>
            <w:tcW w:w="2200" w:type="dxa"/>
            <w:vAlign w:val="bottom"/>
          </w:tcPr>
          <w:p>
            <w:pPr>
              <w:jc w:val="right"/>
              <w:ind w:right="1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7660" w:type="dxa"/>
            <w:vAlign w:val="bottom"/>
          </w:tcPr>
          <w:p>
            <w:pPr>
              <w:jc w:val="right"/>
              <w:ind w:right="52"/>
              <w:spacing w:after="0"/>
              <w:rPr>
                <w:sz w:val="20"/>
                <w:szCs w:val="20"/>
                <w:color w:val="auto"/>
              </w:rPr>
            </w:pPr>
            <w:r>
              <w:rPr>
                <w:rFonts w:ascii="Arial" w:cs="Arial" w:eastAsia="Arial" w:hAnsi="Arial"/>
                <w:sz w:val="18"/>
                <w:szCs w:val="18"/>
                <w:color w:val="auto"/>
                <w:w w:val="89"/>
              </w:rPr>
              <w:t xml:space="preserve">Investment tax credits </w:t>
            </w:r>
            <w:r>
              <w:rPr>
                <w:rFonts w:ascii="Arial" w:cs="Arial" w:eastAsia="Arial" w:hAnsi="Arial"/>
                <w:sz w:val="18"/>
                <w:szCs w:val="18"/>
                <w:color w:val="B4B4B4"/>
                <w:w w:val="89"/>
              </w:rPr>
              <w:t>. . . . . . . . . . . . . . . . . . . . . . . . . . . . . . . . . . . . . . . . . . . . . . . . . . . . . . . . . . . . . . . . . .</w:t>
            </w:r>
          </w:p>
        </w:tc>
        <w:tc>
          <w:tcPr>
            <w:tcW w:w="140" w:type="dxa"/>
            <w:vAlign w:val="bottom"/>
          </w:tcPr>
          <w:p>
            <w:pPr>
              <w:spacing w:after="0"/>
              <w:rPr>
                <w:sz w:val="21"/>
                <w:szCs w:val="21"/>
                <w:color w:val="auto"/>
              </w:rPr>
            </w:pPr>
          </w:p>
        </w:tc>
        <w:tc>
          <w:tcPr>
            <w:tcW w:w="220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1"/>
        </w:trPr>
        <w:tc>
          <w:tcPr>
            <w:tcW w:w="7660" w:type="dxa"/>
            <w:vAlign w:val="bottom"/>
          </w:tcPr>
          <w:p>
            <w:pPr>
              <w:jc w:val="right"/>
              <w:ind w:right="52"/>
              <w:spacing w:after="0"/>
              <w:rPr>
                <w:sz w:val="20"/>
                <w:szCs w:val="20"/>
                <w:color w:val="auto"/>
              </w:rPr>
            </w:pPr>
            <w:r>
              <w:rPr>
                <w:rFonts w:ascii="Arial" w:cs="Arial" w:eastAsia="Arial" w:hAnsi="Arial"/>
                <w:sz w:val="18"/>
                <w:szCs w:val="18"/>
                <w:color w:val="auto"/>
                <w:w w:val="89"/>
              </w:rPr>
              <w:t xml:space="preserve">Production tax credits </w:t>
            </w:r>
            <w:r>
              <w:rPr>
                <w:rFonts w:ascii="Arial" w:cs="Arial" w:eastAsia="Arial" w:hAnsi="Arial"/>
                <w:sz w:val="22"/>
                <w:szCs w:val="22"/>
                <w:color w:val="auto"/>
                <w:w w:val="89"/>
                <w:vertAlign w:val="superscript"/>
              </w:rPr>
              <w:t>(a)</w:t>
            </w:r>
            <w:r>
              <w:rPr>
                <w:rFonts w:ascii="Arial" w:cs="Arial" w:eastAsia="Arial" w:hAnsi="Arial"/>
                <w:sz w:val="18"/>
                <w:szCs w:val="18"/>
                <w:color w:val="auto"/>
                <w:w w:val="89"/>
              </w:rPr>
              <w:t xml:space="preserve"> </w:t>
            </w:r>
            <w:r>
              <w:rPr>
                <w:rFonts w:ascii="Arial" w:cs="Arial" w:eastAsia="Arial" w:hAnsi="Arial"/>
                <w:sz w:val="18"/>
                <w:szCs w:val="18"/>
                <w:color w:val="B4B4B4"/>
                <w:w w:val="89"/>
              </w:rPr>
              <w:t>. . . . . . . . . . . . . . . . . . . . . . . . . . . . . . . . . . . . . . . . . . . . . . . . . . . . . . . . . . . . . . . .</w:t>
            </w:r>
          </w:p>
        </w:tc>
        <w:tc>
          <w:tcPr>
            <w:tcW w:w="140" w:type="dxa"/>
            <w:vAlign w:val="bottom"/>
          </w:tcPr>
          <w:p>
            <w:pPr>
              <w:spacing w:after="0"/>
              <w:rPr>
                <w:sz w:val="23"/>
                <w:szCs w:val="23"/>
                <w:color w:val="auto"/>
              </w:rPr>
            </w:pPr>
          </w:p>
        </w:tc>
        <w:tc>
          <w:tcPr>
            <w:tcW w:w="220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7660" w:type="dxa"/>
            <w:vAlign w:val="bottom"/>
          </w:tcPr>
          <w:p>
            <w:pPr>
              <w:jc w:val="right"/>
              <w:ind w:right="32"/>
              <w:spacing w:after="0"/>
              <w:rPr>
                <w:sz w:val="20"/>
                <w:szCs w:val="20"/>
                <w:color w:val="auto"/>
              </w:rPr>
            </w:pPr>
            <w:r>
              <w:rPr>
                <w:rFonts w:ascii="Arial" w:cs="Arial" w:eastAsia="Arial" w:hAnsi="Arial"/>
                <w:sz w:val="18"/>
                <w:szCs w:val="18"/>
                <w:color w:val="auto"/>
                <w:w w:val="89"/>
              </w:rPr>
              <w:t xml:space="preserve">Rate change </w:t>
            </w:r>
            <w:r>
              <w:rPr>
                <w:rFonts w:ascii="Arial" w:cs="Arial" w:eastAsia="Arial" w:hAnsi="Arial"/>
                <w:sz w:val="18"/>
                <w:szCs w:val="18"/>
                <w:color w:val="B4B4B4"/>
                <w:w w:val="89"/>
              </w:rPr>
              <w:t>. . . . . . . . . . . . . . . . . . . . . . . . . . . . . . . . . . . . . . . . . . . . . . . . . . . . . . . . . . . . . . . . . . . . . . . . . .</w:t>
            </w:r>
          </w:p>
        </w:tc>
        <w:tc>
          <w:tcPr>
            <w:tcW w:w="140" w:type="dxa"/>
            <w:vAlign w:val="bottom"/>
          </w:tcPr>
          <w:p>
            <w:pPr>
              <w:spacing w:after="0"/>
              <w:rPr>
                <w:sz w:val="19"/>
                <w:szCs w:val="19"/>
                <w:color w:val="auto"/>
              </w:rPr>
            </w:pPr>
          </w:p>
        </w:tc>
        <w:tc>
          <w:tcPr>
            <w:tcW w:w="220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7660" w:type="dxa"/>
            <w:vAlign w:val="bottom"/>
          </w:tcPr>
          <w:p>
            <w:pPr>
              <w:jc w:val="right"/>
              <w:ind w:right="52"/>
              <w:spacing w:after="0"/>
              <w:rPr>
                <w:sz w:val="20"/>
                <w:szCs w:val="20"/>
                <w:color w:val="auto"/>
              </w:rPr>
            </w:pPr>
            <w:r>
              <w:rPr>
                <w:rFonts w:ascii="Arial" w:cs="Arial" w:eastAsia="Arial" w:hAnsi="Arial"/>
                <w:sz w:val="18"/>
                <w:szCs w:val="18"/>
                <w:color w:val="auto"/>
                <w:w w:val="88"/>
              </w:rPr>
              <w:t xml:space="preserve">State taxes assessed at subsidiaries </w:t>
            </w:r>
            <w:r>
              <w:rPr>
                <w:rFonts w:ascii="Arial" w:cs="Arial" w:eastAsia="Arial" w:hAnsi="Arial"/>
                <w:sz w:val="18"/>
                <w:szCs w:val="18"/>
                <w:color w:val="B4B4B4"/>
                <w:w w:val="88"/>
              </w:rPr>
              <w:t>. . . . . . . . . . . . . . . . . . . . . . . . . . . . . . . . . . . . . . . . . . . . . . . . . . . . . . . .</w:t>
            </w:r>
          </w:p>
        </w:tc>
        <w:tc>
          <w:tcPr>
            <w:tcW w:w="140" w:type="dxa"/>
            <w:vAlign w:val="bottom"/>
          </w:tcPr>
          <w:p>
            <w:pPr>
              <w:spacing w:after="0"/>
              <w:rPr>
                <w:sz w:val="21"/>
                <w:szCs w:val="21"/>
                <w:color w:val="auto"/>
              </w:rPr>
            </w:pPr>
          </w:p>
        </w:tc>
        <w:tc>
          <w:tcPr>
            <w:tcW w:w="220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5"/>
        </w:trPr>
        <w:tc>
          <w:tcPr>
            <w:tcW w:w="7660" w:type="dxa"/>
            <w:vAlign w:val="bottom"/>
          </w:tcPr>
          <w:p>
            <w:pPr>
              <w:jc w:val="right"/>
              <w:ind w:right="52"/>
              <w:spacing w:after="0"/>
              <w:rPr>
                <w:sz w:val="20"/>
                <w:szCs w:val="20"/>
                <w:color w:val="auto"/>
              </w:rPr>
            </w:pPr>
            <w:r>
              <w:rPr>
                <w:rFonts w:ascii="Arial" w:cs="Arial" w:eastAsia="Arial" w:hAnsi="Arial"/>
                <w:sz w:val="18"/>
                <w:szCs w:val="18"/>
                <w:color w:val="auto"/>
                <w:w w:val="90"/>
              </w:rPr>
              <w:t xml:space="preserve">Other  </w:t>
            </w:r>
            <w:r>
              <w:rPr>
                <w:rFonts w:ascii="Arial" w:cs="Arial" w:eastAsia="Arial" w:hAnsi="Arial"/>
                <w:sz w:val="18"/>
                <w:szCs w:val="18"/>
                <w:color w:val="B4B4B4"/>
                <w:w w:val="90"/>
              </w:rPr>
              <w:t>. . . . . . . . . . . . . . . . . . . . . . . . . . . . . . . . . . . . . . . . . . . . . . . . . . . . . . . . . . . . . . . . . . . . . . . . . . . . . .</w:t>
            </w:r>
          </w:p>
        </w:tc>
        <w:tc>
          <w:tcPr>
            <w:tcW w:w="1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60" w:type="dxa"/>
            <w:vAlign w:val="bottom"/>
          </w:tcPr>
          <w:p>
            <w:pPr>
              <w:jc w:val="right"/>
              <w:ind w:right="52"/>
              <w:spacing w:after="0"/>
              <w:rPr>
                <w:sz w:val="20"/>
                <w:szCs w:val="20"/>
                <w:color w:val="auto"/>
              </w:rPr>
            </w:pPr>
            <w:r>
              <w:rPr>
                <w:rFonts w:ascii="Arial" w:cs="Arial" w:eastAsia="Arial" w:hAnsi="Arial"/>
                <w:sz w:val="18"/>
                <w:szCs w:val="18"/>
                <w:color w:val="B4B4B4"/>
                <w:w w:val="93"/>
              </w:rPr>
              <w:t>. . . . . . . . . . . . . . . . . . . . . . . . . . . . . . . . . . . . . . . . . . . . . . . . . . . . . . . . . . . . . . . . . . .</w:t>
            </w:r>
            <w:r>
              <w:rPr>
                <w:rFonts w:ascii="Arial" w:cs="Arial" w:eastAsia="Arial" w:hAnsi="Arial"/>
                <w:sz w:val="18"/>
                <w:szCs w:val="18"/>
                <w:color w:val="000000"/>
                <w:w w:val="93"/>
              </w:rPr>
              <w:t>Incometaxbenefit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60" w:type="dxa"/>
            <w:vAlign w:val="bottom"/>
            <w:vMerge w:val="restart"/>
          </w:tcPr>
          <w:p>
            <w:pPr>
              <w:jc w:val="right"/>
              <w:ind w:right="5792"/>
              <w:spacing w:after="0"/>
              <w:rPr>
                <w:sz w:val="20"/>
                <w:szCs w:val="20"/>
                <w:color w:val="auto"/>
              </w:rPr>
            </w:pPr>
            <w:r>
              <w:rPr>
                <w:rFonts w:ascii="Arial" w:cs="Arial" w:eastAsia="Arial" w:hAnsi="Arial"/>
                <w:sz w:val="18"/>
                <w:szCs w:val="18"/>
                <w:color w:val="auto"/>
                <w:w w:val="89"/>
              </w:rPr>
              <w:t>Effective income tax rate</w:t>
            </w: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660" w:type="dxa"/>
            <w:vAlign w:val="bottom"/>
            <w:vMerge w:val="continue"/>
          </w:tcPr>
          <w:p>
            <w:pPr>
              <w:jc w:val="right"/>
              <w:ind w:right="52"/>
              <w:spacing w:after="0" w:line="152" w:lineRule="exact"/>
              <w:rPr>
                <w:sz w:val="20"/>
                <w:szCs w:val="20"/>
                <w:color w:val="auto"/>
              </w:rPr>
            </w:pPr>
            <w:r>
              <w:rPr>
                <w:rFonts w:ascii="Arial" w:cs="Arial" w:eastAsia="Arial" w:hAnsi="Arial"/>
                <w:sz w:val="17"/>
                <w:szCs w:val="17"/>
                <w:color w:val="B4B4B4"/>
              </w:rPr>
              <w:t>. . . . . . . . . . . . . . . . . . . . . . . . . . . . . . . . . . . . . . . . . . . . . . . . . . . . . . . . . . . . . . . . .</w:t>
            </w:r>
          </w:p>
        </w:tc>
        <w:tc>
          <w:tcPr>
            <w:tcW w:w="1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-1996440</wp:posOffset>
            </wp:positionV>
            <wp:extent cx="6410325" cy="20974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5">
                      <a:extLst>
                        <a:ext uri="{28A0092B-C50C-407E-A947-70E740481C1C}"/>
                      </a:extLst>
                    </a:blip>
                    <a:srcRect/>
                    <a:stretch>
                      <a:fillRect/>
                    </a:stretch>
                  </pic:blipFill>
                  <pic:spPr bwMode="auto">
                    <a:xfrm>
                      <a:off x="0" y="0"/>
                      <a:ext cx="6410325" cy="2097405"/>
                    </a:xfrm>
                    <a:prstGeom prst="rect">
                      <a:avLst/>
                    </a:prstGeom>
                    <a:noFill/>
                  </pic:spPr>
                </pic:pic>
              </a:graphicData>
            </a:graphic>
          </wp:anchor>
        </w:drawing>
      </w:r>
    </w:p>
    <w:p>
      <w:pPr>
        <w:spacing w:after="0" w:line="177" w:lineRule="exact"/>
        <w:rPr>
          <w:sz w:val="20"/>
          <w:szCs w:val="20"/>
          <w:color w:val="auto"/>
        </w:rPr>
      </w:pPr>
    </w:p>
    <w:p>
      <w:pPr>
        <w:ind w:left="80" w:right="120" w:firstLine="1"/>
        <w:spacing w:after="0" w:line="241" w:lineRule="auto"/>
        <w:tabs>
          <w:tab w:leader="none" w:pos="271" w:val="left"/>
        </w:tabs>
        <w:numPr>
          <w:ilvl w:val="0"/>
          <w:numId w:val="79"/>
        </w:numPr>
        <w:rPr>
          <w:rFonts w:ascii="Arial" w:cs="Arial" w:eastAsia="Arial" w:hAnsi="Arial"/>
          <w:sz w:val="19"/>
          <w:szCs w:val="19"/>
          <w:color w:val="auto"/>
          <w:vertAlign w:val="superscript"/>
        </w:rPr>
      </w:pPr>
      <w:r>
        <w:rPr>
          <w:rFonts w:ascii="Arial" w:cs="Arial" w:eastAsia="Arial" w:hAnsi="Arial"/>
          <w:sz w:val="15"/>
          <w:szCs w:val="15"/>
          <w:color w:val="auto"/>
        </w:rPr>
        <w:t>On December 6, 2023, the Company executed an agreement with a third party to sell the PTCs generated by the Alta X and Alta XI wind facilities, which resulted in a $14 million income tax benefit (reduction to income tax expense) during the year ended December 31, 2023.</w:t>
      </w:r>
    </w:p>
    <w:p>
      <w:pPr>
        <w:spacing w:after="0" w:line="148" w:lineRule="exact"/>
        <w:rPr>
          <w:sz w:val="20"/>
          <w:szCs w:val="20"/>
          <w:color w:val="auto"/>
        </w:rPr>
      </w:pPr>
    </w:p>
    <w:p>
      <w:pPr>
        <w:jc w:val="both"/>
        <w:ind w:firstLine="441"/>
        <w:spacing w:after="0" w:line="325" w:lineRule="auto"/>
        <w:rPr>
          <w:sz w:val="20"/>
          <w:szCs w:val="20"/>
          <w:color w:val="auto"/>
        </w:rPr>
      </w:pPr>
      <w:r>
        <w:rPr>
          <w:rFonts w:ascii="Arial" w:cs="Arial" w:eastAsia="Arial" w:hAnsi="Arial"/>
          <w:sz w:val="17"/>
          <w:szCs w:val="17"/>
          <w:color w:val="auto"/>
        </w:rPr>
        <w:t>For the years ended December 31, 2025 and 2024,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w:t>
      </w:r>
    </w:p>
    <w:p>
      <w:pPr>
        <w:spacing w:after="0" w:line="88"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For the year ended December 31, 2023, the overall effective tax rate was different than the statutory rate of 21% primarily due to the allocation of taxable earnings and losses based on the partners’ interest in Clearway Energy LLC, which includes the effects of applying the HLBV method of accounting for book purposes for certain partnerships, partially offset by the impact of PTCs generated.</w:t>
      </w:r>
    </w:p>
    <w:p>
      <w:pPr>
        <w:spacing w:after="0" w:line="144"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For tax purposes, Clearway Energy LLC is treated as a partnership; therefore, the Company and CEG each record their respective share of taxable income or loss.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temporary differences, which gave rise to the Company’s deferred tax balances consisted of the following:</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238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6"/>
                <w:szCs w:val="16"/>
                <w:b w:val="1"/>
                <w:bCs w:val="1"/>
                <w:color w:val="auto"/>
              </w:rPr>
              <w:t>As of December 31,</w:t>
            </w:r>
          </w:p>
        </w:tc>
        <w:tc>
          <w:tcPr>
            <w:tcW w:w="420" w:type="dxa"/>
            <w:vAlign w:val="bottom"/>
            <w:tcBorders>
              <w:bottom w:val="single" w:sz="8" w:color="auto"/>
            </w:tcBorders>
          </w:tcPr>
          <w:p>
            <w:pPr>
              <w:spacing w:after="0"/>
              <w:rPr>
                <w:sz w:val="18"/>
                <w:szCs w:val="18"/>
                <w:color w:val="auto"/>
              </w:rPr>
            </w:pPr>
          </w:p>
        </w:tc>
      </w:tr>
      <w:tr>
        <w:trPr>
          <w:trHeight w:val="230"/>
        </w:trPr>
        <w:tc>
          <w:tcPr>
            <w:tcW w:w="7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r>
      <w:tr>
        <w:trPr>
          <w:trHeight w:val="223"/>
        </w:trPr>
        <w:tc>
          <w:tcPr>
            <w:tcW w:w="7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gridSpan w:val="3"/>
          </w:tcPr>
          <w:p>
            <w:pPr>
              <w:jc w:val="right"/>
              <w:ind w:right="477"/>
              <w:spacing w:after="0"/>
              <w:rPr>
                <w:sz w:val="20"/>
                <w:szCs w:val="20"/>
                <w:color w:val="auto"/>
              </w:rPr>
            </w:pPr>
            <w:r>
              <w:rPr>
                <w:rFonts w:ascii="Arial" w:cs="Arial" w:eastAsia="Arial" w:hAnsi="Arial"/>
                <w:sz w:val="16"/>
                <w:szCs w:val="16"/>
                <w:b w:val="1"/>
                <w:bCs w:val="1"/>
                <w:color w:val="auto"/>
                <w:w w:val="97"/>
              </w:rPr>
              <w:t>(In millions)</w:t>
            </w:r>
          </w:p>
        </w:tc>
        <w:tc>
          <w:tcPr>
            <w:tcW w:w="420" w:type="dxa"/>
            <w:vAlign w:val="bottom"/>
          </w:tcPr>
          <w:p>
            <w:pPr>
              <w:spacing w:after="0"/>
              <w:rPr>
                <w:sz w:val="19"/>
                <w:szCs w:val="19"/>
                <w:color w:val="auto"/>
              </w:rPr>
            </w:pPr>
          </w:p>
        </w:tc>
      </w:tr>
      <w:tr>
        <w:trPr>
          <w:trHeight w:val="252"/>
        </w:trPr>
        <w:tc>
          <w:tcPr>
            <w:tcW w:w="72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5"/>
        </w:trPr>
        <w:tc>
          <w:tcPr>
            <w:tcW w:w="7200" w:type="dxa"/>
            <w:vAlign w:val="bottom"/>
          </w:tcPr>
          <w:p>
            <w:pPr>
              <w:jc w:val="right"/>
              <w:spacing w:after="0"/>
              <w:rPr>
                <w:sz w:val="20"/>
                <w:szCs w:val="20"/>
                <w:color w:val="auto"/>
              </w:rPr>
            </w:pPr>
            <w:r>
              <w:rPr>
                <w:rFonts w:ascii="Arial" w:cs="Arial" w:eastAsia="Arial" w:hAnsi="Arial"/>
                <w:sz w:val="18"/>
                <w:szCs w:val="18"/>
                <w:color w:val="auto"/>
                <w:w w:val="90"/>
              </w:rPr>
              <w:t xml:space="preserve">Investment in projects </w:t>
            </w:r>
            <w:r>
              <w:rPr>
                <w:rFonts w:ascii="Arial" w:cs="Arial" w:eastAsia="Arial" w:hAnsi="Arial"/>
                <w:sz w:val="18"/>
                <w:szCs w:val="18"/>
                <w:color w:val="B4B4B4"/>
                <w:w w:val="90"/>
              </w:rPr>
              <w:t>. . . . . . . . . . . . . . . . . . . . . . . . . . . . . . . . . . . . . . . . . . . . . . . . . . . . . . . . . . . . .</w:t>
            </w:r>
          </w:p>
        </w:tc>
        <w:tc>
          <w:tcPr>
            <w:tcW w:w="9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245</w:t>
            </w:r>
          </w:p>
        </w:tc>
        <w:tc>
          <w:tcPr>
            <w:tcW w:w="102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7200" w:type="dxa"/>
            <w:vAlign w:val="bottom"/>
          </w:tcPr>
          <w:p>
            <w:pPr>
              <w:jc w:val="right"/>
              <w:spacing w:after="0"/>
              <w:rPr>
                <w:sz w:val="20"/>
                <w:szCs w:val="20"/>
                <w:color w:val="auto"/>
              </w:rPr>
            </w:pPr>
            <w:r>
              <w:rPr>
                <w:rFonts w:ascii="Arial" w:cs="Arial" w:eastAsia="Arial" w:hAnsi="Arial"/>
                <w:sz w:val="18"/>
                <w:szCs w:val="18"/>
                <w:b w:val="1"/>
                <w:bCs w:val="1"/>
                <w:color w:val="B4B4B4"/>
                <w:w w:val="94"/>
              </w:rPr>
              <w:t>. . . . . . . . . . . . . . . . . . . . . . . . . . . . . . . . . . . . . . . . . . . . . . . . . . . . . .</w:t>
            </w:r>
            <w:r>
              <w:rPr>
                <w:rFonts w:ascii="Arial" w:cs="Arial" w:eastAsia="Arial" w:hAnsi="Arial"/>
                <w:sz w:val="18"/>
                <w:szCs w:val="18"/>
                <w:b w:val="1"/>
                <w:bCs w:val="1"/>
                <w:color w:val="000000"/>
                <w:w w:val="94"/>
              </w:rPr>
              <w:t>Totaldeferredtaxliabilities</w:t>
            </w:r>
          </w:p>
        </w:tc>
        <w:tc>
          <w:tcPr>
            <w:tcW w:w="9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24"/>
        </w:trPr>
        <w:tc>
          <w:tcPr>
            <w:tcW w:w="7200" w:type="dxa"/>
            <w:vAlign w:val="bottom"/>
          </w:tcPr>
          <w:p>
            <w:pPr>
              <w:spacing w:after="0"/>
              <w:rPr>
                <w:sz w:val="20"/>
                <w:szCs w:val="20"/>
                <w:color w:val="auto"/>
              </w:rPr>
            </w:pPr>
            <w:r>
              <w:rPr>
                <w:rFonts w:ascii="Arial" w:cs="Arial" w:eastAsia="Arial" w:hAnsi="Arial"/>
                <w:sz w:val="18"/>
                <w:szCs w:val="18"/>
                <w:color w:val="auto"/>
              </w:rPr>
              <w:t>Deferred tax assets: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50"/>
        </w:trPr>
        <w:tc>
          <w:tcPr>
            <w:tcW w:w="7200" w:type="dxa"/>
            <w:vAlign w:val="bottom"/>
          </w:tcPr>
          <w:p>
            <w:pPr>
              <w:jc w:val="right"/>
              <w:spacing w:after="0"/>
              <w:rPr>
                <w:sz w:val="20"/>
                <w:szCs w:val="20"/>
                <w:color w:val="auto"/>
              </w:rPr>
            </w:pPr>
            <w:r>
              <w:rPr>
                <w:rFonts w:ascii="Arial" w:cs="Arial" w:eastAsia="Arial" w:hAnsi="Arial"/>
                <w:sz w:val="18"/>
                <w:szCs w:val="18"/>
                <w:color w:val="auto"/>
                <w:w w:val="90"/>
              </w:rPr>
              <w:t xml:space="preserve">Interest expense disallowance carryforward - Investment in Projects </w:t>
            </w:r>
            <w:r>
              <w:rPr>
                <w:rFonts w:ascii="Arial" w:cs="Arial" w:eastAsia="Arial" w:hAnsi="Arial"/>
                <w:sz w:val="18"/>
                <w:szCs w:val="18"/>
                <w:color w:val="B4B4B4"/>
                <w:w w:val="90"/>
              </w:rPr>
              <w:t>. . . . . . . . . . . . . . . . . . . . . . . . .</w:t>
            </w:r>
          </w:p>
        </w:tc>
        <w:tc>
          <w:tcPr>
            <w:tcW w:w="9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02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7200" w:type="dxa"/>
            <w:vAlign w:val="bottom"/>
          </w:tcPr>
          <w:p>
            <w:pPr>
              <w:jc w:val="right"/>
              <w:spacing w:after="0"/>
              <w:rPr>
                <w:sz w:val="20"/>
                <w:szCs w:val="20"/>
                <w:color w:val="auto"/>
              </w:rPr>
            </w:pPr>
            <w:r>
              <w:rPr>
                <w:rFonts w:ascii="Arial" w:cs="Arial" w:eastAsia="Arial" w:hAnsi="Arial"/>
                <w:sz w:val="18"/>
                <w:szCs w:val="18"/>
                <w:color w:val="auto"/>
                <w:w w:val="90"/>
              </w:rPr>
              <w:t xml:space="preserve">Production tax credits  </w:t>
            </w:r>
            <w:r>
              <w:rPr>
                <w:rFonts w:ascii="Arial" w:cs="Arial" w:eastAsia="Arial" w:hAnsi="Arial"/>
                <w:sz w:val="18"/>
                <w:szCs w:val="18"/>
                <w:color w:val="B4B4B4"/>
                <w:w w:val="90"/>
              </w:rPr>
              <w:t>. . . . . . . . . . . . . . . . . . . . . . . . . . . . . . . . . . . . . . . . . . . . . . . . . . . . . . . . . . . . .</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7200" w:type="dxa"/>
            <w:vAlign w:val="bottom"/>
          </w:tcPr>
          <w:p>
            <w:pPr>
              <w:jc w:val="right"/>
              <w:spacing w:after="0"/>
              <w:rPr>
                <w:sz w:val="20"/>
                <w:szCs w:val="20"/>
                <w:color w:val="auto"/>
              </w:rPr>
            </w:pPr>
            <w:r>
              <w:rPr>
                <w:rFonts w:ascii="Arial" w:cs="Arial" w:eastAsia="Arial" w:hAnsi="Arial"/>
                <w:sz w:val="18"/>
                <w:szCs w:val="18"/>
                <w:color w:val="auto"/>
                <w:w w:val="90"/>
              </w:rPr>
              <w:t xml:space="preserve">Investment tax credits </w:t>
            </w:r>
            <w:r>
              <w:rPr>
                <w:rFonts w:ascii="Arial" w:cs="Arial" w:eastAsia="Arial" w:hAnsi="Arial"/>
                <w:sz w:val="18"/>
                <w:szCs w:val="18"/>
                <w:color w:val="B4B4B4"/>
                <w:w w:val="90"/>
              </w:rPr>
              <w:t>. . . . . . . . . . . . . . . . . . . . . . . . . . . . . . . . . . . . . . . . . . . . . . . . . . . . . . . . . . . . .</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7200" w:type="dxa"/>
            <w:vAlign w:val="bottom"/>
          </w:tcPr>
          <w:p>
            <w:pPr>
              <w:jc w:val="right"/>
              <w:spacing w:after="0"/>
              <w:rPr>
                <w:sz w:val="20"/>
                <w:szCs w:val="20"/>
                <w:color w:val="auto"/>
              </w:rPr>
            </w:pPr>
            <w:r>
              <w:rPr>
                <w:rFonts w:ascii="Arial" w:cs="Arial" w:eastAsia="Arial" w:hAnsi="Arial"/>
                <w:sz w:val="18"/>
                <w:szCs w:val="18"/>
                <w:color w:val="auto"/>
                <w:w w:val="90"/>
              </w:rPr>
              <w:t xml:space="preserve">Investment tax credits subject to transferability  </w:t>
            </w:r>
            <w:r>
              <w:rPr>
                <w:rFonts w:ascii="Arial" w:cs="Arial" w:eastAsia="Arial" w:hAnsi="Arial"/>
                <w:sz w:val="18"/>
                <w:szCs w:val="18"/>
                <w:color w:val="B4B4B4"/>
                <w:w w:val="90"/>
              </w:rPr>
              <w:t>. . . . . . . . . . . . . . . . . . . . . . . . . . . . . . . . . . . . . . . . .</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200" w:type="dxa"/>
            <w:vAlign w:val="bottom"/>
          </w:tcPr>
          <w:p>
            <w:pPr>
              <w:jc w:val="right"/>
              <w:spacing w:after="0"/>
              <w:rPr>
                <w:sz w:val="20"/>
                <w:szCs w:val="20"/>
                <w:color w:val="auto"/>
              </w:rPr>
            </w:pPr>
            <w:r>
              <w:rPr>
                <w:rFonts w:ascii="Arial" w:cs="Arial" w:eastAsia="Arial" w:hAnsi="Arial"/>
                <w:sz w:val="18"/>
                <w:szCs w:val="18"/>
                <w:color w:val="auto"/>
                <w:w w:val="89"/>
              </w:rPr>
              <w:t xml:space="preserve">U.S. Federal net operating loss carryforwards </w:t>
            </w:r>
            <w:r>
              <w:rPr>
                <w:rFonts w:ascii="Arial" w:cs="Arial" w:eastAsia="Arial" w:hAnsi="Arial"/>
                <w:sz w:val="18"/>
                <w:szCs w:val="18"/>
                <w:color w:val="B4B4B4"/>
                <w:w w:val="89"/>
              </w:rPr>
              <w:t>. . . . . . . . . . . . . . . . . . . . . . . . . . . . . . . . . . . . . . . . . . .</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55"/>
        </w:trPr>
        <w:tc>
          <w:tcPr>
            <w:tcW w:w="7200" w:type="dxa"/>
            <w:vAlign w:val="bottom"/>
          </w:tcPr>
          <w:p>
            <w:pPr>
              <w:jc w:val="right"/>
              <w:spacing w:after="0"/>
              <w:rPr>
                <w:sz w:val="20"/>
                <w:szCs w:val="20"/>
                <w:color w:val="auto"/>
              </w:rPr>
            </w:pPr>
            <w:r>
              <w:rPr>
                <w:rFonts w:ascii="Arial" w:cs="Arial" w:eastAsia="Arial" w:hAnsi="Arial"/>
                <w:sz w:val="18"/>
                <w:szCs w:val="18"/>
                <w:color w:val="auto"/>
                <w:w w:val="89"/>
              </w:rPr>
              <w:t xml:space="preserve">State net operating loss carryforwards </w:t>
            </w:r>
            <w:r>
              <w:rPr>
                <w:rFonts w:ascii="Arial" w:cs="Arial" w:eastAsia="Arial" w:hAnsi="Arial"/>
                <w:sz w:val="18"/>
                <w:szCs w:val="18"/>
                <w:color w:val="B4B4B4"/>
                <w:w w:val="89"/>
              </w:rPr>
              <w:t>. . . . . . . . . . . . . . . . . . . . . . . . . . . . . . . . . . . . . . . . . . . . . . . . .</w:t>
            </w: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200" w:type="dxa"/>
            <w:vAlign w:val="bottom"/>
          </w:tcPr>
          <w:p>
            <w:pPr>
              <w:jc w:val="right"/>
              <w:spacing w:after="0"/>
              <w:rPr>
                <w:sz w:val="20"/>
                <w:szCs w:val="20"/>
                <w:color w:val="auto"/>
              </w:rPr>
            </w:pPr>
            <w:r>
              <w:rPr>
                <w:rFonts w:ascii="Arial" w:cs="Arial" w:eastAsia="Arial" w:hAnsi="Arial"/>
                <w:sz w:val="18"/>
                <w:szCs w:val="18"/>
                <w:b w:val="1"/>
                <w:bCs w:val="1"/>
                <w:color w:val="B4B4B4"/>
                <w:w w:val="93"/>
              </w:rPr>
              <w:t>. . . . . . . . . . . . . . . . . . . . . . . . . . . . . . . . . . . . . . . . . . . . . . . . . . . . . . . . .</w:t>
            </w:r>
            <w:r>
              <w:rPr>
                <w:rFonts w:ascii="Arial" w:cs="Arial" w:eastAsia="Arial" w:hAnsi="Arial"/>
                <w:sz w:val="18"/>
                <w:szCs w:val="18"/>
                <w:b w:val="1"/>
                <w:bCs w:val="1"/>
                <w:color w:val="000000"/>
                <w:w w:val="93"/>
              </w:rPr>
              <w:t>Totaldeferredtaxassets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51"/>
        </w:trPr>
        <w:tc>
          <w:tcPr>
            <w:tcW w:w="7200" w:type="dxa"/>
            <w:vAlign w:val="bottom"/>
          </w:tcPr>
          <w:p>
            <w:pPr>
              <w:jc w:val="right"/>
              <w:spacing w:after="0"/>
              <w:rPr>
                <w:sz w:val="20"/>
                <w:szCs w:val="20"/>
                <w:color w:val="auto"/>
              </w:rPr>
            </w:pPr>
            <w:r>
              <w:rPr>
                <w:rFonts w:ascii="Arial" w:cs="Arial" w:eastAsia="Arial" w:hAnsi="Arial"/>
                <w:sz w:val="18"/>
                <w:szCs w:val="18"/>
                <w:color w:val="auto"/>
                <w:w w:val="90"/>
              </w:rPr>
              <w:t xml:space="preserve">Valuation allowance </w:t>
            </w:r>
            <w:r>
              <w:rPr>
                <w:rFonts w:ascii="Arial" w:cs="Arial" w:eastAsia="Arial" w:hAnsi="Arial"/>
                <w:sz w:val="18"/>
                <w:szCs w:val="18"/>
                <w:color w:val="B4B4B4"/>
                <w:w w:val="90"/>
              </w:rPr>
              <w:t>. . . . . . . . . . . . . . . . . . . . . . . . . . . . . . . . . . . . . . . . . . . . . . . . . . . . . . . . . . . . . . .</w:t>
            </w: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200" w:type="dxa"/>
            <w:vAlign w:val="bottom"/>
          </w:tcPr>
          <w:p>
            <w:pPr>
              <w:jc w:val="right"/>
              <w:spacing w:after="0"/>
              <w:rPr>
                <w:sz w:val="20"/>
                <w:szCs w:val="20"/>
                <w:color w:val="auto"/>
              </w:rPr>
            </w:pPr>
            <w:r>
              <w:rPr>
                <w:rFonts w:ascii="Arial" w:cs="Arial" w:eastAsia="Arial" w:hAnsi="Arial"/>
                <w:sz w:val="18"/>
                <w:szCs w:val="18"/>
                <w:b w:val="1"/>
                <w:bCs w:val="1"/>
                <w:color w:val="B4B4B4"/>
                <w:w w:val="95"/>
              </w:rPr>
              <w:t>. . . . . . . . . . . . . . . . . . . . . . . . . . . . . . . . . .</w:t>
            </w:r>
            <w:r>
              <w:rPr>
                <w:rFonts w:ascii="Arial" w:cs="Arial" w:eastAsia="Arial" w:hAnsi="Arial"/>
                <w:sz w:val="18"/>
                <w:szCs w:val="18"/>
                <w:b w:val="1"/>
                <w:bCs w:val="1"/>
                <w:color w:val="000000"/>
                <w:w w:val="95"/>
              </w:rPr>
              <w:t>Totaldeferredtaxassets,netofvaluationallowance</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10"/>
        </w:trPr>
        <w:tc>
          <w:tcPr>
            <w:tcW w:w="7200" w:type="dxa"/>
            <w:vAlign w:val="bottom"/>
          </w:tcPr>
          <w:p>
            <w:pPr>
              <w:jc w:val="right"/>
              <w:spacing w:after="0"/>
              <w:rPr>
                <w:sz w:val="20"/>
                <w:szCs w:val="20"/>
                <w:color w:val="auto"/>
              </w:rPr>
            </w:pPr>
            <w:r>
              <w:rPr>
                <w:rFonts w:ascii="Arial" w:cs="Arial" w:eastAsia="Arial" w:hAnsi="Arial"/>
                <w:sz w:val="18"/>
                <w:szCs w:val="18"/>
                <w:b w:val="1"/>
                <w:bCs w:val="1"/>
                <w:color w:val="B4B4B4"/>
                <w:w w:val="92"/>
              </w:rPr>
              <w:t>. . . . . . . . . . . . . . . . . . . . . . . . . . . . . . . . . . . . . . . . . . .</w:t>
            </w:r>
            <w:r>
              <w:rPr>
                <w:rFonts w:ascii="Arial" w:cs="Arial" w:eastAsia="Arial" w:hAnsi="Arial"/>
                <w:sz w:val="18"/>
                <w:szCs w:val="18"/>
                <w:b w:val="1"/>
                <w:bCs w:val="1"/>
                <w:color w:val="000000"/>
                <w:w w:val="92"/>
              </w:rPr>
              <w:t>Netdeferrednon-currenttaxasset(liability)</w:t>
            </w:r>
          </w:p>
        </w:tc>
        <w:tc>
          <w:tcPr>
            <w:tcW w:w="92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71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7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-2252345</wp:posOffset>
            </wp:positionV>
            <wp:extent cx="6410325" cy="22593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6">
                      <a:extLst>
                        <a:ext uri="{28A0092B-C50C-407E-A947-70E740481C1C}"/>
                      </a:extLst>
                    </a:blip>
                    <a:srcRect/>
                    <a:stretch>
                      <a:fillRect/>
                    </a:stretch>
                  </pic:blipFill>
                  <pic:spPr bwMode="auto">
                    <a:xfrm>
                      <a:off x="0" y="0"/>
                      <a:ext cx="6410325" cy="225933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Receivable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As of December 31, 2025, the Company had a $5 million tax receivable.</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880" w:h="15480" w:orient="portrait"/>
          <w:cols w:equalWidth="0" w:num="1">
            <w:col w:w="10040"/>
          </w:cols>
          <w:pgMar w:left="920" w:top="584" w:right="920" w:bottom="0" w:gutter="0" w:footer="0" w:header="0"/>
          <w:type w:val="continuous"/>
        </w:sectPr>
      </w:pPr>
    </w:p>
    <w:bookmarkStart w:id="132" w:name="page133"/>
    <w:bookmarkEnd w:id="132"/>
    <w:p>
      <w:pPr>
        <w:spacing w:after="0"/>
        <w:rPr>
          <w:sz w:val="20"/>
          <w:szCs w:val="20"/>
          <w:color w:val="auto"/>
        </w:rPr>
      </w:pPr>
      <w:r>
        <w:rPr>
          <w:rFonts w:ascii="Arial" w:cs="Arial" w:eastAsia="Arial" w:hAnsi="Arial"/>
          <w:sz w:val="20"/>
          <w:szCs w:val="20"/>
          <w:b w:val="1"/>
          <w:bCs w:val="1"/>
          <w:i w:val="1"/>
          <w:iCs w:val="1"/>
          <w:color w:val="auto"/>
        </w:rPr>
        <w:t>Deferred Tax Balances and Valuation Allowance</w:t>
      </w:r>
    </w:p>
    <w:p>
      <w:pPr>
        <w:spacing w:after="0" w:line="187" w:lineRule="exact"/>
        <w:rPr>
          <w:sz w:val="20"/>
          <w:szCs w:val="20"/>
          <w:color w:val="auto"/>
        </w:rPr>
      </w:pPr>
    </w:p>
    <w:p>
      <w:pPr>
        <w:jc w:val="both"/>
        <w:ind w:firstLine="441"/>
        <w:spacing w:after="0" w:line="265" w:lineRule="auto"/>
        <w:rPr>
          <w:sz w:val="20"/>
          <w:szCs w:val="20"/>
          <w:color w:val="auto"/>
        </w:rPr>
      </w:pPr>
      <w:r>
        <w:rPr>
          <w:rFonts w:ascii="Arial" w:cs="Arial" w:eastAsia="Arial" w:hAnsi="Arial"/>
          <w:sz w:val="19"/>
          <w:szCs w:val="19"/>
          <w:b w:val="1"/>
          <w:bCs w:val="1"/>
          <w:i w:val="1"/>
          <w:iCs w:val="1"/>
          <w:color w:val="auto"/>
        </w:rPr>
        <w:t xml:space="preserve">Net deferred tax balances </w:t>
      </w:r>
      <w:r>
        <w:rPr>
          <w:rFonts w:ascii="Arial" w:cs="Arial" w:eastAsia="Arial" w:hAnsi="Arial"/>
          <w:sz w:val="19"/>
          <w:szCs w:val="19"/>
          <w:color w:val="auto"/>
        </w:rPr>
        <w:t>— As of December 31, 2025 and 2024, the Company recorded a net deferred tax asset of $127</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million and a net deferred tax liability of $89 million, respectively. The Company believes it is more likely than not that the results of future operations will generate sufficient taxable income, which includes the future reversal of existing taxable temporary differences to realize deferred tax assets. The Company considered the profit before tax generated in recent years as well as projections of future earnings and estimates of taxable income in arriving at this conclusion. The Company believes that $4 million of existing state NOLs, based on forecasted future earnings and estimated taxable income, will expire unutilized, resulting in the recording of a valuation allowance.</w:t>
      </w:r>
    </w:p>
    <w:p>
      <w:pPr>
        <w:spacing w:after="0" w:line="134"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9"/>
          <w:szCs w:val="19"/>
          <w:b w:val="1"/>
          <w:bCs w:val="1"/>
          <w:i w:val="1"/>
          <w:iCs w:val="1"/>
          <w:color w:val="auto"/>
        </w:rPr>
        <w:t xml:space="preserve">NOL and Tax Credit carryforwards </w:t>
      </w:r>
      <w:r>
        <w:rPr>
          <w:rFonts w:ascii="Arial" w:cs="Arial" w:eastAsia="Arial" w:hAnsi="Arial"/>
          <w:sz w:val="19"/>
          <w:szCs w:val="19"/>
          <w:color w:val="auto"/>
        </w:rPr>
        <w:t>— As of December 31, 2025, the Company had tax-effected domestic NOL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carryforwards for federal income tax purposes of $44 million. Additionally, the Company has a cumulative tax-effected state NOL carryforward of $7 million, which will expire between 2026 and 2042 if unutilized. In addition, the Company has PTC and ITC carryforward balances totaling $18 million, which will expire between 2036 and 2045 if unutilized.</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Credits</w:t>
      </w:r>
    </w:p>
    <w:p>
      <w:pPr>
        <w:spacing w:after="0" w:line="189"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0"/>
          <w:szCs w:val="20"/>
          <w:color w:val="auto"/>
        </w:rPr>
        <w:t xml:space="preserve">As of December 31, 2025, the Company’s accumulated deferred ITCs are $289 million, including $283 million, which is net of a $21 million valuation allowance, subject to credit transferability and included in other non-current liabilities on the Company’s consolidated balance sheet. During the year ended December 31, 2025, the Company received $3 million from the transfer of PTCs and ITCs. In January 2026, the Company received $282 million in cash proceeds from the sale of ITCs earned by the Pine Forest facility to third parties pursuant to tax credit transfer agreements, as further described in Note 10, </w:t>
      </w:r>
      <w:r>
        <w:rPr>
          <w:rFonts w:ascii="Arial" w:cs="Arial" w:eastAsia="Arial" w:hAnsi="Arial"/>
          <w:sz w:val="20"/>
          <w:szCs w:val="20"/>
          <w:b w:val="1"/>
          <w:bCs w:val="1"/>
          <w:i w:val="1"/>
          <w:iCs w:val="1"/>
          <w:color w:val="auto"/>
        </w:rPr>
        <w:t>Long-term</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Debt</w:t>
      </w:r>
      <w:r>
        <w:rPr>
          <w:rFonts w:ascii="Arial" w:cs="Arial" w:eastAsia="Arial" w:hAnsi="Arial"/>
          <w:sz w:val="20"/>
          <w:szCs w:val="20"/>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Payments, Net of Refunds</w:t>
      </w:r>
    </w:p>
    <w:p>
      <w:pPr>
        <w:spacing w:after="0" w:line="189"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During each of the years ended December 31, 2025 and 2024, the Company paid $1 million in federal income taxes. Additionally, the amount paid in state income taxes, net of refunds received, was immaterial for each of the years ended December 31, 2025 and 2024.</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Unrecognized Tax Benefits</w:t>
      </w:r>
    </w:p>
    <w:p>
      <w:pPr>
        <w:spacing w:after="0" w:line="18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The Company has unrecognized tax benefits with an after-tax value of $19 million and zero as of December 31, 2025 and 2024, respectively. The increase is due to seeking state income tax refunds with respect to prior year tax returns. If recognized, the position would impact the effective tax rate. No material interest or penalties have been recorded as of December 31, 2025 and 2024.</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8140" w:type="dxa"/>
            <w:vAlign w:val="bottom"/>
          </w:tcPr>
          <w:p>
            <w:pPr>
              <w:ind w:left="400"/>
              <w:spacing w:after="0"/>
              <w:rPr>
                <w:sz w:val="20"/>
                <w:szCs w:val="20"/>
                <w:color w:val="auto"/>
              </w:rPr>
            </w:pPr>
            <w:r>
              <w:rPr>
                <w:rFonts w:ascii="Arial" w:cs="Arial" w:eastAsia="Arial" w:hAnsi="Arial"/>
                <w:sz w:val="20"/>
                <w:szCs w:val="20"/>
                <w:color w:val="auto"/>
              </w:rPr>
              <w:t>The following table summarizes the Company’s unrecognized tax benefits activity:</w:t>
            </w:r>
          </w:p>
        </w:tc>
        <w:tc>
          <w:tcPr>
            <w:tcW w:w="8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66"/>
        </w:trPr>
        <w:tc>
          <w:tcPr>
            <w:tcW w:w="8140" w:type="dxa"/>
            <w:vAlign w:val="bottom"/>
          </w:tcPr>
          <w:p>
            <w:pPr>
              <w:spacing w:after="0"/>
              <w:rPr>
                <w:sz w:val="20"/>
                <w:szCs w:val="20"/>
                <w:color w:val="auto"/>
              </w:rPr>
            </w:pPr>
            <w:r>
              <w:rPr>
                <w:rFonts w:ascii="Arial" w:cs="Arial" w:eastAsia="Arial" w:hAnsi="Arial"/>
                <w:sz w:val="20"/>
                <w:szCs w:val="20"/>
                <w:b w:val="1"/>
                <w:bCs w:val="1"/>
                <w:color w:val="auto"/>
              </w:rPr>
              <w:t>(In millions)</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4"/>
        </w:trPr>
        <w:tc>
          <w:tcPr>
            <w:tcW w:w="8140" w:type="dxa"/>
            <w:vAlign w:val="bottom"/>
          </w:tcPr>
          <w:p>
            <w:pPr>
              <w:spacing w:after="0"/>
              <w:rPr>
                <w:sz w:val="20"/>
                <w:szCs w:val="20"/>
                <w:color w:val="auto"/>
              </w:rPr>
            </w:pPr>
            <w:r>
              <w:rPr>
                <w:rFonts w:ascii="Arial" w:cs="Arial" w:eastAsia="Arial" w:hAnsi="Arial"/>
                <w:sz w:val="20"/>
                <w:szCs w:val="20"/>
                <w:b w:val="1"/>
                <w:bCs w:val="1"/>
                <w:color w:val="auto"/>
                <w:w w:val="88"/>
                <w:shd w:val="clear" w:color="auto" w:fill="E6E6E6"/>
              </w:rPr>
              <w:t xml:space="preserve">Balance as of December 31, 2024 </w:t>
            </w:r>
            <w:r>
              <w:rPr>
                <w:rFonts w:ascii="Arial" w:cs="Arial" w:eastAsia="Arial" w:hAnsi="Arial"/>
                <w:sz w:val="20"/>
                <w:szCs w:val="20"/>
                <w:b w:val="1"/>
                <w:bCs w:val="1"/>
                <w:color w:val="B4B4B4"/>
                <w:w w:val="88"/>
                <w:shd w:val="clear" w:color="auto" w:fill="E6E6E6"/>
              </w:rPr>
              <w:t>. . . . . . . . . . . . . . . . . . . . . . . . . . . . . . . . . . . . . . . . . . . . . . . . . . . . . .</w:t>
            </w:r>
          </w:p>
        </w:tc>
        <w:tc>
          <w:tcPr>
            <w:tcW w:w="860" w:type="dxa"/>
            <w:vAlign w:val="bottom"/>
          </w:tcPr>
          <w:p>
            <w:pPr>
              <w:jc w:val="right"/>
              <w:ind w:right="602"/>
              <w:spacing w:after="0"/>
              <w:rPr>
                <w:sz w:val="20"/>
                <w:szCs w:val="20"/>
                <w:color w:val="auto"/>
              </w:rPr>
            </w:pPr>
            <w:r>
              <w:rPr>
                <w:rFonts w:ascii="Arial" w:cs="Arial" w:eastAsia="Arial" w:hAnsi="Arial"/>
                <w:sz w:val="20"/>
                <w:szCs w:val="20"/>
                <w:color w:val="auto"/>
              </w:rPr>
              <w:t>$</w:t>
            </w:r>
          </w:p>
        </w:tc>
        <w:tc>
          <w:tcPr>
            <w:tcW w:w="980" w:type="dxa"/>
            <w:vAlign w:val="bottom"/>
          </w:tcPr>
          <w:p>
            <w:pPr>
              <w:ind w:left="700"/>
              <w:spacing w:after="0"/>
              <w:rPr>
                <w:sz w:val="20"/>
                <w:szCs w:val="20"/>
                <w:color w:val="auto"/>
              </w:rPr>
            </w:pPr>
            <w:r>
              <w:rPr>
                <w:rFonts w:ascii="Arial" w:cs="Arial" w:eastAsia="Arial" w:hAnsi="Arial"/>
                <w:sz w:val="20"/>
                <w:szCs w:val="20"/>
                <w:color w:val="auto"/>
              </w:rPr>
              <w:t>—</w:t>
            </w:r>
          </w:p>
        </w:tc>
      </w:tr>
      <w:tr>
        <w:trPr>
          <w:trHeight w:val="298"/>
        </w:trPr>
        <w:tc>
          <w:tcPr>
            <w:tcW w:w="8140" w:type="dxa"/>
            <w:vAlign w:val="bottom"/>
          </w:tcPr>
          <w:p>
            <w:pPr>
              <w:spacing w:after="0"/>
              <w:rPr>
                <w:sz w:val="20"/>
                <w:szCs w:val="20"/>
                <w:color w:val="auto"/>
              </w:rPr>
            </w:pPr>
            <w:r>
              <w:rPr>
                <w:rFonts w:ascii="Arial" w:cs="Arial" w:eastAsia="Arial" w:hAnsi="Arial"/>
                <w:sz w:val="20"/>
                <w:szCs w:val="20"/>
                <w:color w:val="auto"/>
                <w:highlight w:val="white"/>
                <w:w w:val="88"/>
              </w:rPr>
              <w:t xml:space="preserve">Increase due to prior year positions </w:t>
            </w:r>
            <w:r>
              <w:rPr>
                <w:rFonts w:ascii="Arial" w:cs="Arial" w:eastAsia="Arial" w:hAnsi="Arial"/>
                <w:sz w:val="20"/>
                <w:szCs w:val="20"/>
                <w:color w:val="B4B4B4"/>
                <w:highlight w:val="white"/>
                <w:w w:val="88"/>
              </w:rPr>
              <w:t>. . . . . . . . . . . . . . . . . . . . . . . . . . . . . . . . . . . . . . . . . . . . . . . . . . . . . .</w:t>
            </w:r>
          </w:p>
        </w:tc>
        <w:tc>
          <w:tcPr>
            <w:tcW w:w="8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20"/>
                <w:szCs w:val="20"/>
                <w:color w:val="auto"/>
              </w:rPr>
              <w:t>19</w:t>
            </w:r>
          </w:p>
        </w:tc>
      </w:tr>
      <w:tr>
        <w:trPr>
          <w:trHeight w:val="254"/>
        </w:trPr>
        <w:tc>
          <w:tcPr>
            <w:tcW w:w="8140" w:type="dxa"/>
            <w:vAlign w:val="bottom"/>
          </w:tcPr>
          <w:p>
            <w:pPr>
              <w:spacing w:after="0"/>
              <w:rPr>
                <w:sz w:val="20"/>
                <w:szCs w:val="20"/>
                <w:color w:val="auto"/>
              </w:rPr>
            </w:pPr>
            <w:r>
              <w:rPr>
                <w:rFonts w:ascii="Arial" w:cs="Arial" w:eastAsia="Arial" w:hAnsi="Arial"/>
                <w:sz w:val="20"/>
                <w:szCs w:val="20"/>
                <w:b w:val="1"/>
                <w:bCs w:val="1"/>
                <w:color w:val="auto"/>
                <w:w w:val="88"/>
                <w:shd w:val="clear" w:color="auto" w:fill="E6E6E6"/>
              </w:rPr>
              <w:t xml:space="preserve">Balance as of December 31, 2025 </w:t>
            </w:r>
            <w:r>
              <w:rPr>
                <w:rFonts w:ascii="Arial" w:cs="Arial" w:eastAsia="Arial" w:hAnsi="Arial"/>
                <w:sz w:val="20"/>
                <w:szCs w:val="20"/>
                <w:b w:val="1"/>
                <w:bCs w:val="1"/>
                <w:color w:val="B4B4B4"/>
                <w:w w:val="88"/>
                <w:shd w:val="clear" w:color="auto" w:fill="E6E6E6"/>
              </w:rPr>
              <w:t>. . . . . . . . . . . . . . . . . . . . . . . . . . . . . . . . . . . . . . . . . . . . . . . . . . . . . .</w:t>
            </w:r>
          </w:p>
        </w:tc>
        <w:tc>
          <w:tcPr>
            <w:tcW w:w="860" w:type="dxa"/>
            <w:vAlign w:val="bottom"/>
            <w:tcBorders>
              <w:bottom w:val="single" w:sz="8" w:color="auto"/>
            </w:tcBorders>
          </w:tcPr>
          <w:p>
            <w:pPr>
              <w:jc w:val="right"/>
              <w:ind w:right="60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20"/>
                <w:szCs w:val="20"/>
                <w:color w:val="auto"/>
              </w:rPr>
              <w:t>19</w:t>
            </w:r>
          </w:p>
        </w:tc>
      </w:tr>
      <w:tr>
        <w:trPr>
          <w:trHeight w:val="20"/>
        </w:trPr>
        <w:tc>
          <w:tcPr>
            <w:tcW w:w="8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5181600</wp:posOffset>
            </wp:positionH>
            <wp:positionV relativeFrom="paragraph">
              <wp:posOffset>-591185</wp:posOffset>
            </wp:positionV>
            <wp:extent cx="1192530" cy="5981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7">
                      <a:extLst>
                        <a:ext uri="{28A0092B-C50C-407E-A947-70E740481C1C}"/>
                      </a:extLst>
                    </a:blip>
                    <a:srcRect/>
                    <a:stretch>
                      <a:fillRect/>
                    </a:stretch>
                  </pic:blipFill>
                  <pic:spPr bwMode="auto">
                    <a:xfrm>
                      <a:off x="0" y="0"/>
                      <a:ext cx="1192530" cy="59817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Related Party Transactions</w:t>
      </w:r>
    </w:p>
    <w:p>
      <w:pPr>
        <w:spacing w:after="0" w:line="189"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Master Development Services Agreement with Clearway Renew</w:t>
      </w:r>
    </w:p>
    <w:p>
      <w:pPr>
        <w:spacing w:after="0" w:line="18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On December 22, 2025, the Company entered into a master development services agreement with Clearway Renew under which Clearway Renew will provide pre-construction development, construction management and asset management services in connection with future approved repowerings of the Company’s facilities. The Company did not incur any expenses under this agreement for the year ended December 31, 2025.</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ectPr>
          <w:pgSz w:w="11880" w:h="15480" w:orient="portrait"/>
          <w:cols w:equalWidth="0" w:num="1">
            <w:col w:w="10040"/>
          </w:cols>
          <w:pgMar w:left="920" w:top="577" w:right="920" w:bottom="0" w:gutter="0" w:footer="0" w:header="0"/>
          <w:type w:val="continuous"/>
        </w:sectPr>
      </w:pPr>
    </w:p>
    <w:bookmarkStart w:id="133" w:name="page134"/>
    <w:bookmarkEnd w:id="133"/>
    <w:p>
      <w:pPr>
        <w:spacing w:after="0"/>
        <w:rPr>
          <w:sz w:val="20"/>
          <w:szCs w:val="20"/>
          <w:color w:val="auto"/>
        </w:rPr>
      </w:pPr>
      <w:r>
        <w:rPr>
          <w:rFonts w:ascii="Arial" w:cs="Arial" w:eastAsia="Arial" w:hAnsi="Arial"/>
          <w:sz w:val="20"/>
          <w:szCs w:val="20"/>
          <w:b w:val="1"/>
          <w:bCs w:val="1"/>
          <w:i w:val="1"/>
          <w:iCs w:val="1"/>
          <w:color w:val="auto"/>
        </w:rPr>
        <w:t>Goat Mountain Development Services Agreement with Clearway Renew</w:t>
      </w:r>
    </w:p>
    <w:p>
      <w:pPr>
        <w:spacing w:after="0" w:line="189" w:lineRule="exact"/>
        <w:rPr>
          <w:sz w:val="20"/>
          <w:szCs w:val="20"/>
          <w:color w:val="auto"/>
        </w:rPr>
      </w:pPr>
    </w:p>
    <w:p>
      <w:pPr>
        <w:jc w:val="both"/>
        <w:ind w:firstLine="441"/>
        <w:spacing w:after="0" w:line="300" w:lineRule="auto"/>
        <w:rPr>
          <w:sz w:val="20"/>
          <w:szCs w:val="20"/>
          <w:color w:val="auto"/>
        </w:rPr>
      </w:pPr>
      <w:r>
        <w:rPr>
          <w:rFonts w:ascii="Arial" w:cs="Arial" w:eastAsia="Arial" w:hAnsi="Arial"/>
          <w:sz w:val="17"/>
          <w:szCs w:val="17"/>
          <w:color w:val="auto"/>
        </w:rPr>
        <w:t>On July 23, 2025, the Company entered into a development services agreement with Clearway Renew under which Clearway Renew will provide pre-construction development, construction management and asset management services in connection with the repowering of the Goat Mountain wind facility, which is located in Sterling City, Texas. Contingent upon achieving repowering commercial operations in 2027, the 306 MW facility will sell power to an investment-grade counterparty under a new 15-year PPA. In connection with the agreement, on December 12, 2025, the Company paid Clearway Renew $27 million, of which $25 million is related to the future delivery of equipment and is included in other non-current assets on the Company’s consolidated balance sheet, and $2 million is related to capital expenditures.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O&amp;M Services Agreements by and between the Company and Clearway Renewable Operation &amp; Maintenance LLC</w:t>
      </w:r>
    </w:p>
    <w:p>
      <w:pPr>
        <w:spacing w:after="0" w:line="223"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9"/>
          <w:szCs w:val="19"/>
          <w:color w:val="auto"/>
        </w:rPr>
        <w:t>Various wholly-owned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$82 million for each of the years ended December 31, 2025 and 2024, and $73 million for the year ended December 31, 2023, included in cost of operations in the consolidated statements of operations. There was a balance of $8 million and $12 million due to RENOM as of December 31, 2025 and 2024,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Administrative Services Agreements by and between the Company and CEG</w:t>
      </w:r>
    </w:p>
    <w:p>
      <w:pPr>
        <w:spacing w:after="0" w:line="189"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7"/>
          <w:szCs w:val="17"/>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$26 million, $22 million and $20 million for the years ended December 31, 2025, 2024 and 2023, respectively, included in cost of operations in the consolidated statements of operations. There was a balance of $3 million due to CEG as of December 31, 2025 and 2024.</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CEG Master Services Agreement</w:t>
      </w:r>
    </w:p>
    <w:p>
      <w:pPr>
        <w:spacing w:after="0" w:line="189" w:lineRule="exact"/>
        <w:rPr>
          <w:sz w:val="20"/>
          <w:szCs w:val="20"/>
          <w:color w:val="auto"/>
        </w:rPr>
      </w:pPr>
    </w:p>
    <w:p>
      <w:pPr>
        <w:jc w:val="both"/>
        <w:ind w:firstLine="441"/>
        <w:spacing w:after="0" w:line="299" w:lineRule="auto"/>
        <w:rPr>
          <w:sz w:val="20"/>
          <w:szCs w:val="20"/>
          <w:color w:val="auto"/>
        </w:rPr>
      </w:pPr>
      <w:r>
        <w:rPr>
          <w:rFonts w:ascii="Arial" w:cs="Arial" w:eastAsia="Arial" w:hAnsi="Arial"/>
          <w:sz w:val="17"/>
          <w:szCs w:val="17"/>
          <w:color w:val="auto"/>
        </w:rPr>
        <w:t>The Company, along with certain of its subsidiaries, is a party to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and, effective on January 1, 2025, accounting, internal audit, tax, legal and treasury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 Effective January 1, 2025, the Company directly bears all labor costs for certain employees of CEG who perform work on behalf of the Company.</w:t>
      </w:r>
    </w:p>
    <w:p>
      <w:pPr>
        <w:spacing w:after="0" w:line="110"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20"/>
          <w:szCs w:val="20"/>
          <w:color w:val="auto"/>
        </w:rPr>
        <w:t>The Company incurred net expenses under the CEG Master Services Agreement of $24 million, $6 million and $5 million for the years ended December 31, 2025, 2024 and 2023, respectively, included in general and administrative in the consolidated statements of operations. There was a balance of zero and $5 million due to CEG as of December 31, 2025 and 2024,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 Contingencies</w:t>
      </w:r>
    </w:p>
    <w:p>
      <w:pPr>
        <w:spacing w:after="0" w:line="189"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7"/>
          <w:szCs w:val="17"/>
          <w:color w:val="auto"/>
        </w:rPr>
        <w:t>The Company records reserves for estimated losses from contingencies when information available indicates that a loss is probable and the amount of the loss, or range of loss, can be reasonably estimated. As applicable, the Company will establish an adequate reserve for ongoing legal matters.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ongoing legal proceedings or reasonably estimate the scope or amount of any associated costs and potential liabilities. As additional information becomes available, management adjusts its assessment and estimate of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8"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20"/>
          <w:szCs w:val="20"/>
          <w:color w:val="auto"/>
        </w:rPr>
        <w:t>The Company and its subsidiaries are party to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ectPr>
          <w:pgSz w:w="11880" w:h="15480" w:orient="portrait"/>
          <w:cols w:equalWidth="0" w:num="1">
            <w:col w:w="10040"/>
          </w:cols>
          <w:pgMar w:left="920" w:top="577" w:right="920" w:bottom="0" w:gutter="0" w:footer="0" w:header="0"/>
          <w:type w:val="continuous"/>
        </w:sectPr>
      </w:pPr>
    </w:p>
    <w:bookmarkStart w:id="134" w:name="page135"/>
    <w:bookmarkEnd w:id="134"/>
    <w:p>
      <w:pPr>
        <w:spacing w:after="0"/>
        <w:rPr>
          <w:sz w:val="20"/>
          <w:szCs w:val="20"/>
          <w:color w:val="auto"/>
        </w:rPr>
      </w:pPr>
      <w:r>
        <w:rPr>
          <w:rFonts w:ascii="Arial" w:cs="Arial" w:eastAsia="Arial" w:hAnsi="Arial"/>
          <w:sz w:val="20"/>
          <w:szCs w:val="20"/>
          <w:b w:val="1"/>
          <w:bCs w:val="1"/>
          <w:color w:val="auto"/>
        </w:rPr>
        <w:t>Note 17 — Leases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Accounting for Leases</w:t>
      </w:r>
    </w:p>
    <w:p>
      <w:pPr>
        <w:spacing w:after="0" w:line="18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The Company evaluates each arrangement at inception to determine if it contains a lease. Substantially all of the Company’s leases are operating leases.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Lessee</w:t>
      </w:r>
    </w:p>
    <w:p>
      <w:pPr>
        <w:spacing w:after="0" w:line="189"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when the expense is probable.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107" w:lineRule="exact"/>
        <w:rPr>
          <w:sz w:val="20"/>
          <w:szCs w:val="20"/>
          <w:color w:val="auto"/>
        </w:rPr>
      </w:pPr>
    </w:p>
    <w:p>
      <w:pPr>
        <w:jc w:val="both"/>
        <w:ind w:firstLine="441"/>
        <w:spacing w:after="0" w:line="325" w:lineRule="auto"/>
        <w:rPr>
          <w:sz w:val="20"/>
          <w:szCs w:val="20"/>
          <w:color w:val="auto"/>
        </w:rPr>
      </w:pPr>
      <w:r>
        <w:rPr>
          <w:rFonts w:ascii="Arial" w:cs="Arial" w:eastAsia="Arial" w:hAnsi="Arial"/>
          <w:sz w:val="17"/>
          <w:szCs w:val="17"/>
          <w:color w:val="auto"/>
        </w:rPr>
        <w:t>The Company’s leases consist of land leases for numerous operating asset locations, real estate leases and equipment leases. The terms and conditions for these leases vary by the type of underlying asset. Certain of these leases have both lease and non-lease components and the Company has elected to apply the practical expedient to not separate these components.</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Lease expense was comprised of the following:</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12"/>
          </w:tcPr>
          <w:p>
            <w:pPr>
              <w:jc w:val="right"/>
              <w:ind w:right="244"/>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gridSpan w:val="2"/>
          </w:tcPr>
          <w:p>
            <w:pPr>
              <w:spacing w:after="0"/>
              <w:rPr>
                <w:sz w:val="22"/>
                <w:szCs w:val="22"/>
                <w:color w:val="auto"/>
              </w:rPr>
            </w:pPr>
          </w:p>
        </w:tc>
        <w:tc>
          <w:tcPr>
            <w:tcW w:w="80" w:type="dxa"/>
            <w:vAlign w:val="bottom"/>
            <w:gridSpan w:val="2"/>
          </w:tcPr>
          <w:p>
            <w:pPr>
              <w:spacing w:after="0"/>
              <w:rPr>
                <w:sz w:val="22"/>
                <w:szCs w:val="22"/>
                <w:color w:val="auto"/>
              </w:rPr>
            </w:pPr>
          </w:p>
        </w:tc>
        <w:tc>
          <w:tcPr>
            <w:tcW w:w="1380" w:type="dxa"/>
            <w:vAlign w:val="bottom"/>
            <w:tcBorders>
              <w:bottom w:val="single" w:sz="8" w:color="auto"/>
            </w:tcBorders>
          </w:tcPr>
          <w:p>
            <w:pPr>
              <w:jc w:val="center"/>
              <w:ind w:left="272"/>
              <w:spacing w:after="0"/>
              <w:rPr>
                <w:sz w:val="20"/>
                <w:szCs w:val="20"/>
                <w:color w:val="auto"/>
              </w:rPr>
            </w:pPr>
            <w:r>
              <w:rPr>
                <w:rFonts w:ascii="Arial" w:cs="Arial" w:eastAsia="Arial" w:hAnsi="Arial"/>
                <w:sz w:val="18"/>
                <w:szCs w:val="18"/>
                <w:b w:val="1"/>
                <w:bCs w:val="1"/>
                <w:color w:val="auto"/>
                <w:w w:val="84"/>
              </w:rPr>
              <w:t>2024</w:t>
            </w: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64"/>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20" w:type="dxa"/>
            <w:vAlign w:val="bottom"/>
            <w:gridSpan w:val="2"/>
          </w:tcPr>
          <w:p>
            <w:pPr>
              <w:ind w:left="220"/>
              <w:spacing w:after="0"/>
              <w:rPr>
                <w:sz w:val="20"/>
                <w:szCs w:val="20"/>
                <w:color w:val="auto"/>
              </w:rPr>
            </w:pPr>
            <w:r>
              <w:rPr>
                <w:rFonts w:ascii="Arial" w:cs="Arial" w:eastAsia="Arial" w:hAnsi="Arial"/>
                <w:sz w:val="20"/>
                <w:szCs w:val="20"/>
                <w:color w:val="auto"/>
              </w:rPr>
              <w:t>Operating lease cost - Fixed</w:t>
            </w:r>
          </w:p>
        </w:tc>
        <w:tc>
          <w:tcPr>
            <w:tcW w:w="40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1280" w:type="dxa"/>
            <w:vAlign w:val="bottom"/>
            <w:gridSpan w:val="2"/>
          </w:tcPr>
          <w:p>
            <w:pPr>
              <w:ind w:left="1060"/>
              <w:spacing w:after="0"/>
              <w:rPr>
                <w:sz w:val="20"/>
                <w:szCs w:val="20"/>
                <w:color w:val="auto"/>
              </w:rPr>
            </w:pPr>
            <w:r>
              <w:rPr>
                <w:rFonts w:ascii="Arial" w:cs="Arial" w:eastAsia="Arial" w:hAnsi="Arial"/>
                <w:sz w:val="20"/>
                <w:szCs w:val="20"/>
                <w:color w:val="auto"/>
                <w:w w:val="89"/>
              </w:rPr>
              <w:t>51</w:t>
            </w:r>
          </w:p>
        </w:tc>
        <w:tc>
          <w:tcPr>
            <w:tcW w:w="1520" w:type="dxa"/>
            <w:vAlign w:val="bottom"/>
            <w:gridSpan w:val="5"/>
          </w:tcPr>
          <w:p>
            <w:pPr>
              <w:jc w:val="right"/>
              <w:ind w:right="1152"/>
              <w:spacing w:after="0"/>
              <w:rPr>
                <w:sz w:val="20"/>
                <w:szCs w:val="20"/>
                <w:color w:val="auto"/>
              </w:rPr>
            </w:pPr>
            <w:r>
              <w:rPr>
                <w:rFonts w:ascii="Arial" w:cs="Arial" w:eastAsia="Arial" w:hAnsi="Arial"/>
                <w:sz w:val="20"/>
                <w:szCs w:val="20"/>
                <w:color w:val="auto"/>
              </w:rPr>
              <w:t>$</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31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ind w:left="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40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4620" w:type="dxa"/>
            <w:vAlign w:val="bottom"/>
            <w:gridSpan w:val="2"/>
          </w:tcPr>
          <w:p>
            <w:pPr>
              <w:ind w:left="220"/>
              <w:spacing w:after="0"/>
              <w:rPr>
                <w:sz w:val="20"/>
                <w:szCs w:val="20"/>
                <w:color w:val="auto"/>
              </w:rPr>
            </w:pPr>
            <w:r>
              <w:rPr>
                <w:rFonts w:ascii="Arial" w:cs="Arial" w:eastAsia="Arial" w:hAnsi="Arial"/>
                <w:sz w:val="20"/>
                <w:szCs w:val="20"/>
                <w:color w:val="auto"/>
              </w:rPr>
              <w:t>Operating lease cost - Variable</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060"/>
              <w:spacing w:after="0"/>
              <w:rPr>
                <w:sz w:val="20"/>
                <w:szCs w:val="20"/>
                <w:color w:val="auto"/>
              </w:rPr>
            </w:pPr>
            <w:r>
              <w:rPr>
                <w:rFonts w:ascii="Arial" w:cs="Arial" w:eastAsia="Arial" w:hAnsi="Arial"/>
                <w:sz w:val="20"/>
                <w:szCs w:val="20"/>
                <w:color w:val="auto"/>
                <w:w w:val="89"/>
              </w:rPr>
              <w:t>15</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12</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620" w:type="dxa"/>
            <w:vAlign w:val="bottom"/>
            <w:gridSpan w:val="2"/>
          </w:tcPr>
          <w:p>
            <w:pPr>
              <w:ind w:left="940"/>
              <w:spacing w:after="0"/>
              <w:rPr>
                <w:sz w:val="20"/>
                <w:szCs w:val="20"/>
                <w:color w:val="auto"/>
              </w:rPr>
            </w:pPr>
            <w:r>
              <w:rPr>
                <w:rFonts w:ascii="Arial" w:cs="Arial" w:eastAsia="Arial" w:hAnsi="Arial"/>
                <w:sz w:val="20"/>
                <w:szCs w:val="20"/>
                <w:b w:val="1"/>
                <w:bCs w:val="1"/>
                <w:color w:val="auto"/>
              </w:rPr>
              <w:t>Total lease cost</w:t>
            </w:r>
          </w:p>
        </w:tc>
        <w:tc>
          <w:tcPr>
            <w:tcW w:w="40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1280" w:type="dxa"/>
            <w:vAlign w:val="bottom"/>
            <w:gridSpan w:val="2"/>
          </w:tcPr>
          <w:p>
            <w:pPr>
              <w:ind w:left="1060"/>
              <w:spacing w:after="0"/>
              <w:rPr>
                <w:sz w:val="20"/>
                <w:szCs w:val="20"/>
                <w:color w:val="auto"/>
              </w:rPr>
            </w:pPr>
            <w:r>
              <w:rPr>
                <w:rFonts w:ascii="Arial" w:cs="Arial" w:eastAsia="Arial" w:hAnsi="Arial"/>
                <w:sz w:val="20"/>
                <w:szCs w:val="20"/>
                <w:color w:val="auto"/>
                <w:w w:val="89"/>
              </w:rPr>
              <w:t>66</w:t>
            </w:r>
          </w:p>
        </w:tc>
        <w:tc>
          <w:tcPr>
            <w:tcW w:w="1520" w:type="dxa"/>
            <w:vAlign w:val="bottom"/>
            <w:gridSpan w:val="5"/>
          </w:tcPr>
          <w:p>
            <w:pPr>
              <w:jc w:val="right"/>
              <w:ind w:right="1152"/>
              <w:spacing w:after="0"/>
              <w:rPr>
                <w:sz w:val="20"/>
                <w:szCs w:val="20"/>
                <w:color w:val="auto"/>
              </w:rPr>
            </w:pPr>
            <w:r>
              <w:rPr>
                <w:rFonts w:ascii="Arial" w:cs="Arial" w:eastAsia="Arial" w:hAnsi="Arial"/>
                <w:sz w:val="20"/>
                <w:szCs w:val="20"/>
                <w:color w:val="auto"/>
              </w:rPr>
              <w:t>$</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43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ind w:left="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51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400"/>
              <w:spacing w:after="0"/>
              <w:rPr>
                <w:sz w:val="20"/>
                <w:szCs w:val="20"/>
                <w:color w:val="auto"/>
              </w:rPr>
            </w:pPr>
            <w:r>
              <w:rPr>
                <w:rFonts w:ascii="Arial" w:cs="Arial" w:eastAsia="Arial" w:hAnsi="Arial"/>
                <w:sz w:val="20"/>
                <w:szCs w:val="20"/>
                <w:color w:val="auto"/>
              </w:rPr>
              <w:t>Operating lease information was as follows: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6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4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2"/>
          </w:tcPr>
          <w:p>
            <w:pPr>
              <w:jc w:val="center"/>
              <w:ind w:right="264"/>
              <w:spacing w:after="0"/>
              <w:rPr>
                <w:sz w:val="20"/>
                <w:szCs w:val="20"/>
                <w:color w:val="auto"/>
              </w:rPr>
            </w:pPr>
            <w:r>
              <w:rPr>
                <w:rFonts w:ascii="Arial" w:cs="Arial" w:eastAsia="Arial" w:hAnsi="Arial"/>
                <w:sz w:val="18"/>
                <w:szCs w:val="18"/>
                <w:b w:val="1"/>
                <w:bCs w:val="1"/>
                <w:color w:val="auto"/>
                <w:w w:val="88"/>
              </w:rPr>
              <w:t>Year Ended December 31,</w:t>
            </w:r>
          </w:p>
        </w:tc>
        <w:tc>
          <w:tcPr>
            <w:tcW w:w="1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600" w:type="dxa"/>
            <w:vAlign w:val="bottom"/>
          </w:tcPr>
          <w:p>
            <w:pPr>
              <w:spacing w:after="0"/>
              <w:rPr>
                <w:sz w:val="20"/>
                <w:szCs w:val="20"/>
                <w:color w:val="auto"/>
              </w:rPr>
            </w:pPr>
            <w:r>
              <w:rPr>
                <w:rFonts w:ascii="Arial" w:cs="Arial" w:eastAsia="Arial" w:hAnsi="Arial"/>
                <w:sz w:val="16"/>
                <w:szCs w:val="16"/>
                <w:b w:val="1"/>
                <w:bCs w:val="1"/>
                <w:color w:val="auto"/>
              </w:rPr>
              <w:t>(In millions)</w:t>
            </w:r>
          </w:p>
        </w:tc>
        <w:tc>
          <w:tcPr>
            <w:tcW w:w="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4"/>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gridSpan w:val="2"/>
          </w:tcPr>
          <w:p>
            <w:pPr>
              <w:spacing w:after="0"/>
              <w:rPr>
                <w:sz w:val="23"/>
                <w:szCs w:val="23"/>
                <w:color w:val="auto"/>
              </w:rPr>
            </w:pPr>
          </w:p>
        </w:tc>
        <w:tc>
          <w:tcPr>
            <w:tcW w:w="1420" w:type="dxa"/>
            <w:vAlign w:val="bottom"/>
            <w:tcBorders>
              <w:bottom w:val="single" w:sz="8" w:color="auto"/>
            </w:tcBorders>
            <w:gridSpan w:val="2"/>
          </w:tcPr>
          <w:p>
            <w:pPr>
              <w:jc w:val="center"/>
              <w:ind w:left="252"/>
              <w:spacing w:after="0"/>
              <w:rPr>
                <w:sz w:val="20"/>
                <w:szCs w:val="20"/>
                <w:color w:val="auto"/>
              </w:rPr>
            </w:pPr>
            <w:r>
              <w:rPr>
                <w:rFonts w:ascii="Arial" w:cs="Arial" w:eastAsia="Arial" w:hAnsi="Arial"/>
                <w:sz w:val="18"/>
                <w:szCs w:val="18"/>
                <w:b w:val="1"/>
                <w:bCs w:val="1"/>
                <w:color w:val="auto"/>
                <w:w w:val="89"/>
              </w:rPr>
              <w:t>2024</w:t>
            </w: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04"/>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20" w:type="dxa"/>
            <w:vAlign w:val="bottom"/>
            <w:gridSpan w:val="2"/>
          </w:tcPr>
          <w:p>
            <w:pPr>
              <w:ind w:left="220"/>
              <w:spacing w:after="0"/>
              <w:rPr>
                <w:sz w:val="20"/>
                <w:szCs w:val="20"/>
                <w:color w:val="auto"/>
              </w:rPr>
            </w:pPr>
            <w:r>
              <w:rPr>
                <w:rFonts w:ascii="Arial" w:cs="Arial" w:eastAsia="Arial" w:hAnsi="Arial"/>
                <w:sz w:val="20"/>
                <w:szCs w:val="20"/>
                <w:color w:val="auto"/>
              </w:rPr>
              <w:t>Cash paid for operating leases</w:t>
            </w:r>
          </w:p>
        </w:tc>
        <w:tc>
          <w:tcPr>
            <w:tcW w:w="400" w:type="dxa"/>
            <w:vAlign w:val="bottom"/>
          </w:tcPr>
          <w:p>
            <w:pPr>
              <w:jc w:val="right"/>
              <w:ind w:right="182"/>
              <w:spacing w:after="0"/>
              <w:rPr>
                <w:sz w:val="20"/>
                <w:szCs w:val="20"/>
                <w:color w:val="auto"/>
              </w:rPr>
            </w:pPr>
            <w:r>
              <w:rPr>
                <w:rFonts w:ascii="Arial" w:cs="Arial" w:eastAsia="Arial" w:hAnsi="Arial"/>
                <w:sz w:val="20"/>
                <w:szCs w:val="20"/>
                <w:color w:val="auto"/>
                <w:w w:val="89"/>
              </w:rPr>
              <w:t>$</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50</w:t>
            </w:r>
          </w:p>
        </w:tc>
        <w:tc>
          <w:tcPr>
            <w:tcW w:w="1520" w:type="dxa"/>
            <w:vAlign w:val="bottom"/>
            <w:gridSpan w:val="5"/>
          </w:tcPr>
          <w:p>
            <w:pPr>
              <w:jc w:val="right"/>
              <w:ind w:right="1172"/>
              <w:spacing w:after="0"/>
              <w:rPr>
                <w:sz w:val="20"/>
                <w:szCs w:val="20"/>
                <w:color w:val="auto"/>
              </w:rPr>
            </w:pPr>
            <w:r>
              <w:rPr>
                <w:rFonts w:ascii="Arial" w:cs="Arial" w:eastAsia="Arial" w:hAnsi="Arial"/>
                <w:sz w:val="20"/>
                <w:szCs w:val="20"/>
                <w:color w:val="auto"/>
              </w:rPr>
              <w:t>$</w:t>
            </w:r>
          </w:p>
        </w:tc>
        <w:tc>
          <w:tcPr>
            <w:tcW w:w="340" w:type="dxa"/>
            <w:vAlign w:val="bottom"/>
            <w:gridSpan w:val="3"/>
          </w:tcPr>
          <w:p>
            <w:pPr>
              <w:jc w:val="right"/>
              <w:spacing w:after="0"/>
              <w:rPr>
                <w:sz w:val="20"/>
                <w:szCs w:val="20"/>
                <w:color w:val="auto"/>
              </w:rPr>
            </w:pPr>
            <w:r>
              <w:rPr>
                <w:rFonts w:ascii="Arial" w:cs="Arial" w:eastAsia="Arial" w:hAnsi="Arial"/>
                <w:sz w:val="20"/>
                <w:szCs w:val="20"/>
                <w:color w:val="auto"/>
              </w:rPr>
              <w:t>34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jc w:val="right"/>
              <w:ind w:right="204"/>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30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7"/>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(In millions, except term and rate)</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8"/>
                <w:szCs w:val="18"/>
                <w:b w:val="1"/>
                <w:bCs w:val="1"/>
                <w:color w:val="auto"/>
                <w:w w:val="86"/>
              </w:rPr>
              <w:t>December 31, 2025</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74"/>
        </w:trPr>
        <w:tc>
          <w:tcPr>
            <w:tcW w:w="4620" w:type="dxa"/>
            <w:vAlign w:val="bottom"/>
            <w:gridSpan w:val="2"/>
          </w:tcPr>
          <w:p>
            <w:pPr>
              <w:ind w:left="220"/>
              <w:spacing w:after="0" w:line="274" w:lineRule="exact"/>
              <w:rPr>
                <w:sz w:val="20"/>
                <w:szCs w:val="20"/>
                <w:color w:val="auto"/>
              </w:rPr>
            </w:pPr>
            <w:r>
              <w:rPr>
                <w:rFonts w:ascii="Arial" w:cs="Arial" w:eastAsia="Arial" w:hAnsi="Arial"/>
                <w:sz w:val="20"/>
                <w:szCs w:val="20"/>
                <w:color w:val="auto"/>
              </w:rPr>
              <w:t xml:space="preserve">Right-of-use assets - operating leases, net </w:t>
            </w:r>
            <w:r>
              <w:rPr>
                <w:rFonts w:ascii="Arial" w:cs="Arial" w:eastAsia="Arial" w:hAnsi="Arial"/>
                <w:sz w:val="25"/>
                <w:szCs w:val="25"/>
                <w:color w:val="auto"/>
                <w:vertAlign w:val="superscript"/>
              </w:rPr>
              <w:t>(a)</w:t>
            </w: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color w:val="auto"/>
              </w:rPr>
              <w:t>714</w:t>
            </w:r>
          </w:p>
        </w:tc>
        <w:tc>
          <w:tcPr>
            <w:tcW w:w="1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20"/>
                <w:szCs w:val="20"/>
                <w:color w:val="auto"/>
              </w:rPr>
              <w:t>547</w:t>
            </w: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01"/>
        </w:trPr>
        <w:tc>
          <w:tcPr>
            <w:tcW w:w="4620" w:type="dxa"/>
            <w:vAlign w:val="bottom"/>
            <w:gridSpan w:val="2"/>
          </w:tcPr>
          <w:p>
            <w:pPr>
              <w:ind w:left="220"/>
              <w:spacing w:after="0"/>
              <w:rPr>
                <w:sz w:val="20"/>
                <w:szCs w:val="20"/>
                <w:color w:val="auto"/>
              </w:rPr>
            </w:pPr>
            <w:r>
              <w:rPr>
                <w:rFonts w:ascii="Arial" w:cs="Arial" w:eastAsia="Arial" w:hAnsi="Arial"/>
                <w:sz w:val="20"/>
                <w:szCs w:val="20"/>
                <w:color w:val="auto"/>
              </w:rPr>
              <w:t xml:space="preserve">Short-term lease liability - operating leases </w:t>
            </w:r>
            <w:r>
              <w:rPr>
                <w:rFonts w:ascii="Arial" w:cs="Arial" w:eastAsia="Arial" w:hAnsi="Arial"/>
                <w:sz w:val="25"/>
                <w:szCs w:val="25"/>
                <w:color w:val="auto"/>
                <w:vertAlign w:val="superscript"/>
              </w:rPr>
              <w:t>(b)</w:t>
            </w:r>
          </w:p>
        </w:tc>
        <w:tc>
          <w:tcPr>
            <w:tcW w:w="400" w:type="dxa"/>
            <w:vAlign w:val="bottom"/>
          </w:tcPr>
          <w:p>
            <w:pPr>
              <w:spacing w:after="0"/>
              <w:rPr>
                <w:sz w:val="24"/>
                <w:szCs w:val="24"/>
                <w:color w:val="auto"/>
              </w:rPr>
            </w:pPr>
          </w:p>
        </w:tc>
        <w:tc>
          <w:tcPr>
            <w:tcW w:w="1280" w:type="dxa"/>
            <w:vAlign w:val="bottom"/>
            <w:gridSpan w:val="2"/>
          </w:tcPr>
          <w:p>
            <w:pPr>
              <w:ind w:left="1080"/>
              <w:spacing w:after="0"/>
              <w:rPr>
                <w:sz w:val="20"/>
                <w:szCs w:val="20"/>
                <w:color w:val="auto"/>
              </w:rPr>
            </w:pPr>
            <w:r>
              <w:rPr>
                <w:rFonts w:ascii="Arial" w:cs="Arial" w:eastAsia="Arial" w:hAnsi="Arial"/>
                <w:sz w:val="20"/>
                <w:szCs w:val="20"/>
                <w:color w:val="auto"/>
              </w:rPr>
              <w:t>$</w:t>
            </w:r>
          </w:p>
        </w:tc>
        <w:tc>
          <w:tcPr>
            <w:tcW w:w="1520" w:type="dxa"/>
            <w:vAlign w:val="bottom"/>
            <w:gridSpan w:val="5"/>
          </w:tcPr>
          <w:p>
            <w:pPr>
              <w:jc w:val="right"/>
              <w:spacing w:after="0"/>
              <w:rPr>
                <w:sz w:val="20"/>
                <w:szCs w:val="20"/>
                <w:color w:val="auto"/>
              </w:rPr>
            </w:pPr>
            <w:r>
              <w:rPr>
                <w:rFonts w:ascii="Arial" w:cs="Arial" w:eastAsia="Arial" w:hAnsi="Arial"/>
                <w:sz w:val="20"/>
                <w:szCs w:val="20"/>
                <w:color w:val="auto"/>
              </w:rPr>
              <w:t>20</w:t>
            </w:r>
          </w:p>
        </w:tc>
        <w:tc>
          <w:tcPr>
            <w:tcW w:w="400" w:type="dxa"/>
            <w:vAlign w:val="bottom"/>
            <w:gridSpan w:val="5"/>
          </w:tcPr>
          <w:p>
            <w:pPr>
              <w:jc w:val="right"/>
              <w:ind w:right="2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104"/>
              <w:spacing w:after="0"/>
              <w:rPr>
                <w:sz w:val="20"/>
                <w:szCs w:val="20"/>
                <w:color w:val="auto"/>
              </w:rPr>
            </w:pPr>
            <w:r>
              <w:rPr>
                <w:rFonts w:ascii="Arial" w:cs="Arial" w:eastAsia="Arial" w:hAnsi="Arial"/>
                <w:sz w:val="20"/>
                <w:szCs w:val="20"/>
                <w:color w:val="auto"/>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620" w:type="dxa"/>
            <w:vAlign w:val="bottom"/>
            <w:gridSpan w:val="2"/>
          </w:tcPr>
          <w:p>
            <w:pPr>
              <w:ind w:left="220"/>
              <w:spacing w:after="0" w:line="258" w:lineRule="exact"/>
              <w:rPr>
                <w:sz w:val="20"/>
                <w:szCs w:val="20"/>
                <w:color w:val="auto"/>
              </w:rPr>
            </w:pPr>
            <w:r>
              <w:rPr>
                <w:rFonts w:ascii="Arial" w:cs="Arial" w:eastAsia="Arial" w:hAnsi="Arial"/>
                <w:sz w:val="20"/>
                <w:szCs w:val="20"/>
                <w:color w:val="auto"/>
              </w:rPr>
              <w:t xml:space="preserve">Long-term lease liability - operating leases </w:t>
            </w:r>
            <w:r>
              <w:rPr>
                <w:rFonts w:ascii="Arial" w:cs="Arial" w:eastAsia="Arial" w:hAnsi="Arial"/>
                <w:sz w:val="25"/>
                <w:szCs w:val="25"/>
                <w:color w:val="auto"/>
                <w:vertAlign w:val="superscript"/>
              </w:rPr>
              <w:t>(a)</w:t>
            </w: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color w:val="auto"/>
              </w:rPr>
              <w:t>796</w:t>
            </w:r>
          </w:p>
        </w:tc>
        <w:tc>
          <w:tcPr>
            <w:tcW w:w="1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4"/>
              <w:spacing w:after="0"/>
              <w:rPr>
                <w:sz w:val="20"/>
                <w:szCs w:val="20"/>
                <w:color w:val="auto"/>
              </w:rPr>
            </w:pPr>
            <w:r>
              <w:rPr>
                <w:rFonts w:ascii="Arial" w:cs="Arial" w:eastAsia="Arial" w:hAnsi="Arial"/>
                <w:sz w:val="20"/>
                <w:szCs w:val="20"/>
                <w:color w:val="auto"/>
              </w:rPr>
              <w:t>569</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620" w:type="dxa"/>
            <w:vAlign w:val="bottom"/>
            <w:gridSpan w:val="2"/>
          </w:tcPr>
          <w:p>
            <w:pPr>
              <w:ind w:left="940"/>
              <w:spacing w:after="0"/>
              <w:rPr>
                <w:sz w:val="20"/>
                <w:szCs w:val="20"/>
                <w:color w:val="auto"/>
              </w:rPr>
            </w:pPr>
            <w:r>
              <w:rPr>
                <w:rFonts w:ascii="Arial" w:cs="Arial" w:eastAsia="Arial" w:hAnsi="Arial"/>
                <w:sz w:val="20"/>
                <w:szCs w:val="20"/>
                <w:b w:val="1"/>
                <w:bCs w:val="1"/>
                <w:color w:val="auto"/>
              </w:rPr>
              <w:t>Total lease liabilities</w:t>
            </w:r>
          </w:p>
        </w:tc>
        <w:tc>
          <w:tcPr>
            <w:tcW w:w="400" w:type="dxa"/>
            <w:vAlign w:val="bottom"/>
          </w:tcPr>
          <w:p>
            <w:pPr>
              <w:spacing w:after="0"/>
              <w:rPr>
                <w:sz w:val="22"/>
                <w:szCs w:val="22"/>
                <w:color w:val="auto"/>
              </w:rPr>
            </w:pPr>
          </w:p>
        </w:tc>
        <w:tc>
          <w:tcPr>
            <w:tcW w:w="1280" w:type="dxa"/>
            <w:vAlign w:val="bottom"/>
            <w:gridSpan w:val="2"/>
          </w:tcPr>
          <w:p>
            <w:pPr>
              <w:ind w:left="1080"/>
              <w:spacing w:after="0"/>
              <w:rPr>
                <w:sz w:val="20"/>
                <w:szCs w:val="20"/>
                <w:color w:val="auto"/>
              </w:rPr>
            </w:pPr>
            <w:r>
              <w:rPr>
                <w:rFonts w:ascii="Arial" w:cs="Arial" w:eastAsia="Arial" w:hAnsi="Arial"/>
                <w:sz w:val="20"/>
                <w:szCs w:val="20"/>
                <w:color w:val="auto"/>
              </w:rPr>
              <w:t>$</w:t>
            </w:r>
          </w:p>
        </w:tc>
        <w:tc>
          <w:tcPr>
            <w:tcW w:w="1520" w:type="dxa"/>
            <w:vAlign w:val="bottom"/>
            <w:gridSpan w:val="5"/>
          </w:tcPr>
          <w:p>
            <w:pPr>
              <w:jc w:val="right"/>
              <w:spacing w:after="0"/>
              <w:rPr>
                <w:sz w:val="20"/>
                <w:szCs w:val="20"/>
                <w:color w:val="auto"/>
              </w:rPr>
            </w:pPr>
            <w:r>
              <w:rPr>
                <w:rFonts w:ascii="Arial" w:cs="Arial" w:eastAsia="Arial" w:hAnsi="Arial"/>
                <w:sz w:val="20"/>
                <w:szCs w:val="20"/>
                <w:color w:val="auto"/>
              </w:rPr>
              <w:t>816</w:t>
            </w:r>
          </w:p>
        </w:tc>
        <w:tc>
          <w:tcPr>
            <w:tcW w:w="400" w:type="dxa"/>
            <w:vAlign w:val="bottom"/>
            <w:gridSpan w:val="5"/>
          </w:tcPr>
          <w:p>
            <w:pPr>
              <w:jc w:val="right"/>
              <w:ind w:right="2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04"/>
              <w:spacing w:after="0"/>
              <w:rPr>
                <w:sz w:val="20"/>
                <w:szCs w:val="20"/>
                <w:color w:val="auto"/>
              </w:rPr>
            </w:pPr>
            <w:r>
              <w:rPr>
                <w:rFonts w:ascii="Arial" w:cs="Arial" w:eastAsia="Arial" w:hAnsi="Arial"/>
                <w:sz w:val="20"/>
                <w:szCs w:val="20"/>
                <w:color w:val="auto"/>
              </w:rPr>
              <w:t>579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4620" w:type="dxa"/>
            <w:vAlign w:val="bottom"/>
            <w:gridSpan w:val="2"/>
          </w:tcPr>
          <w:p>
            <w:pPr>
              <w:ind w:left="220"/>
              <w:spacing w:after="0"/>
              <w:rPr>
                <w:sz w:val="20"/>
                <w:szCs w:val="20"/>
                <w:color w:val="auto"/>
              </w:rPr>
            </w:pPr>
            <w:r>
              <w:rPr>
                <w:rFonts w:ascii="Arial" w:cs="Arial" w:eastAsia="Arial" w:hAnsi="Arial"/>
                <w:sz w:val="20"/>
                <w:szCs w:val="20"/>
                <w:color w:val="auto"/>
                <w:w w:val="98"/>
              </w:rPr>
              <w:t>Weighted average remaining lease term (in years)</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6"/>
          </w:tcPr>
          <w:p>
            <w:pPr>
              <w:jc w:val="right"/>
              <w:spacing w:after="0"/>
              <w:rPr>
                <w:sz w:val="20"/>
                <w:szCs w:val="20"/>
                <w:color w:val="auto"/>
              </w:rPr>
            </w:pPr>
            <w:r>
              <w:rPr>
                <w:rFonts w:ascii="Arial" w:cs="Arial" w:eastAsia="Arial" w:hAnsi="Arial"/>
                <w:sz w:val="20"/>
                <w:szCs w:val="20"/>
                <w:color w:val="auto"/>
              </w:rPr>
              <w:t>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620" w:type="dxa"/>
            <w:vAlign w:val="bottom"/>
            <w:gridSpan w:val="2"/>
          </w:tcPr>
          <w:p>
            <w:pPr>
              <w:ind w:left="220"/>
              <w:spacing w:after="0"/>
              <w:rPr>
                <w:sz w:val="20"/>
                <w:szCs w:val="20"/>
                <w:color w:val="auto"/>
              </w:rPr>
            </w:pPr>
            <w:r>
              <w:rPr>
                <w:rFonts w:ascii="Arial" w:cs="Arial" w:eastAsia="Arial" w:hAnsi="Arial"/>
                <w:sz w:val="20"/>
                <w:szCs w:val="20"/>
                <w:color w:val="auto"/>
              </w:rPr>
              <w:t>Weighted average discount rate</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6"/>
          </w:tcPr>
          <w:p>
            <w:pPr>
              <w:jc w:val="right"/>
              <w:spacing w:after="0"/>
              <w:rPr>
                <w:sz w:val="20"/>
                <w:szCs w:val="20"/>
                <w:color w:val="auto"/>
              </w:rPr>
            </w:pPr>
            <w:r>
              <w:rPr>
                <w:rFonts w:ascii="Arial" w:cs="Arial" w:eastAsia="Arial" w:hAnsi="Arial"/>
                <w:sz w:val="20"/>
                <w:szCs w:val="20"/>
                <w:color w:val="auto"/>
              </w:rPr>
              <w:t>5.7 %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4.5 %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-3273425</wp:posOffset>
            </wp:positionV>
            <wp:extent cx="6410325" cy="5981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8">
                      <a:extLst>
                        <a:ext uri="{28A0092B-C50C-407E-A947-70E740481C1C}"/>
                      </a:extLst>
                    </a:blip>
                    <a:srcRect/>
                    <a:stretch>
                      <a:fillRect/>
                    </a:stretch>
                  </pic:blipFill>
                  <pic:spPr bwMode="auto">
                    <a:xfrm>
                      <a:off x="0" y="0"/>
                      <a:ext cx="6410325" cy="59817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-1979295</wp:posOffset>
            </wp:positionV>
            <wp:extent cx="6382385" cy="2120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9">
                      <a:extLst>
                        <a:ext uri="{28A0092B-C50C-407E-A947-70E740481C1C}"/>
                      </a:extLst>
                    </a:blip>
                    <a:srcRect/>
                    <a:stretch>
                      <a:fillRect/>
                    </a:stretch>
                  </pic:blipFill>
                  <pic:spPr bwMode="auto">
                    <a:xfrm>
                      <a:off x="0" y="0"/>
                      <a:ext cx="6382385" cy="2120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-1440815</wp:posOffset>
            </wp:positionV>
            <wp:extent cx="6410325" cy="1565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0">
                      <a:extLst>
                        <a:ext uri="{28A0092B-C50C-407E-A947-70E740481C1C}"/>
                      </a:extLst>
                    </a:blip>
                    <a:srcRect/>
                    <a:stretch>
                      <a:fillRect/>
                    </a:stretch>
                  </pic:blipFill>
                  <pic:spPr bwMode="auto">
                    <a:xfrm>
                      <a:off x="0" y="0"/>
                      <a:ext cx="6410325" cy="1565275"/>
                    </a:xfrm>
                    <a:prstGeom prst="rect">
                      <a:avLst/>
                    </a:prstGeom>
                    <a:noFill/>
                  </pic:spPr>
                </pic:pic>
              </a:graphicData>
            </a:graphic>
          </wp:anchor>
        </w:drawing>
      </w:r>
    </w:p>
    <w:p>
      <w:pPr>
        <w:spacing w:after="0" w:line="212" w:lineRule="exact"/>
        <w:rPr>
          <w:sz w:val="20"/>
          <w:szCs w:val="20"/>
          <w:color w:val="auto"/>
        </w:rPr>
      </w:pPr>
    </w:p>
    <w:p>
      <w:pPr>
        <w:ind w:left="80" w:firstLine="1"/>
        <w:spacing w:after="0" w:line="228" w:lineRule="auto"/>
        <w:tabs>
          <w:tab w:leader="none" w:pos="281" w:val="left"/>
        </w:tabs>
        <w:numPr>
          <w:ilvl w:val="0"/>
          <w:numId w:val="80"/>
        </w:numPr>
        <w:rPr>
          <w:rFonts w:ascii="Arial" w:cs="Arial" w:eastAsia="Arial" w:hAnsi="Arial"/>
          <w:sz w:val="20"/>
          <w:szCs w:val="20"/>
          <w:color w:val="auto"/>
          <w:vertAlign w:val="superscript"/>
        </w:rPr>
      </w:pPr>
      <w:r>
        <w:rPr>
          <w:rFonts w:ascii="Arial" w:cs="Arial" w:eastAsia="Arial" w:hAnsi="Arial"/>
          <w:sz w:val="16"/>
          <w:szCs w:val="16"/>
          <w:color w:val="auto"/>
        </w:rPr>
        <w:t xml:space="preserve">Increases in right-of-use assets and long-term lease liabilities are primarily due to third-party acquisitions, as further described in Note 3, </w:t>
      </w:r>
      <w:r>
        <w:rPr>
          <w:rFonts w:ascii="Arial" w:cs="Arial" w:eastAsia="Arial" w:hAnsi="Arial"/>
          <w:sz w:val="16"/>
          <w:szCs w:val="16"/>
          <w:b w:val="1"/>
          <w:bCs w:val="1"/>
          <w:i w:val="1"/>
          <w:iCs w:val="1"/>
          <w:color w:val="auto"/>
        </w:rPr>
        <w:t>Acquisitions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Dispositions</w:t>
      </w:r>
      <w:r>
        <w:rPr>
          <w:rFonts w:ascii="Arial" w:cs="Arial" w:eastAsia="Arial" w:hAnsi="Arial"/>
          <w:sz w:val="16"/>
          <w:szCs w:val="16"/>
          <w:color w:val="auto"/>
        </w:rPr>
        <w:t>.</w:t>
      </w:r>
    </w:p>
    <w:p>
      <w:pPr>
        <w:spacing w:after="0" w:line="43" w:lineRule="exact"/>
        <w:rPr>
          <w:rFonts w:ascii="Arial" w:cs="Arial" w:eastAsia="Arial" w:hAnsi="Arial"/>
          <w:sz w:val="20"/>
          <w:szCs w:val="20"/>
          <w:color w:val="auto"/>
          <w:vertAlign w:val="superscript"/>
        </w:rPr>
      </w:pPr>
    </w:p>
    <w:p>
      <w:pPr>
        <w:ind w:left="80" w:firstLine="1"/>
        <w:spacing w:after="0" w:line="227" w:lineRule="auto"/>
        <w:tabs>
          <w:tab w:leader="none" w:pos="292" w:val="left"/>
        </w:tabs>
        <w:numPr>
          <w:ilvl w:val="0"/>
          <w:numId w:val="80"/>
        </w:numPr>
        <w:rPr>
          <w:rFonts w:ascii="Arial" w:cs="Arial" w:eastAsia="Arial" w:hAnsi="Arial"/>
          <w:sz w:val="20"/>
          <w:szCs w:val="20"/>
          <w:color w:val="auto"/>
          <w:vertAlign w:val="superscript"/>
        </w:rPr>
      </w:pPr>
      <w:r>
        <w:rPr>
          <w:rFonts w:ascii="Arial" w:cs="Arial" w:eastAsia="Arial" w:hAnsi="Arial"/>
          <w:sz w:val="16"/>
          <w:szCs w:val="16"/>
          <w:color w:val="auto"/>
        </w:rPr>
        <w:t>Short-term lease liability balances are included within the accrued expenses and other current liabilities line item of the consolidated balance sheets as of December 31, 2025 and 2024.</w:t>
      </w:r>
    </w:p>
    <w:p>
      <w:pPr>
        <w:sectPr>
          <w:pgSz w:w="11880" w:h="15480" w:orient="portrait"/>
          <w:cols w:equalWidth="0" w:num="1">
            <w:col w:w="10040"/>
          </w:cols>
          <w:pgMar w:left="920" w:top="5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ectPr>
          <w:pgSz w:w="11880" w:h="15480" w:orient="portrait"/>
          <w:cols w:equalWidth="0" w:num="1">
            <w:col w:w="10040"/>
          </w:cols>
          <w:pgMar w:left="920" w:top="580" w:right="920" w:bottom="0" w:gutter="0" w:footer="0" w:header="0"/>
          <w:type w:val="continuous"/>
        </w:sectPr>
      </w:pPr>
    </w:p>
    <w:bookmarkStart w:id="135" w:name="page136"/>
    <w:bookmarkEnd w:id="135"/>
    <w:p>
      <w:pPr>
        <w:ind w:left="440"/>
        <w:spacing w:after="0"/>
        <w:rPr>
          <w:sz w:val="20"/>
          <w:szCs w:val="20"/>
          <w:color w:val="auto"/>
        </w:rPr>
      </w:pPr>
      <w:r>
        <w:rPr>
          <w:rFonts w:ascii="Arial" w:cs="Arial" w:eastAsia="Arial" w:hAnsi="Arial"/>
          <w:sz w:val="20"/>
          <w:szCs w:val="20"/>
          <w:color w:val="auto"/>
        </w:rPr>
        <w:t>Minimum future rental payments of operating lease liabilities as of December 31, 2025 are as follows:</w:t>
      </w:r>
    </w:p>
    <w:p>
      <w:pPr>
        <w:spacing w:after="0" w:line="158" w:lineRule="exact"/>
        <w:rPr>
          <w:sz w:val="20"/>
          <w:szCs w:val="20"/>
          <w:color w:val="auto"/>
        </w:rPr>
      </w:pPr>
    </w:p>
    <w:tbl>
      <w:tblPr>
        <w:tblLayout w:type="fixed"/>
        <w:tblInd w:w="260" w:type="dxa"/>
        <w:tblCellMar>
          <w:top w:w="0" w:type="dxa"/>
          <w:left w:w="0" w:type="dxa"/>
          <w:bottom w:w="0" w:type="dxa"/>
          <w:right w:w="0" w:type="dxa"/>
        </w:tblCellMar>
      </w:tblPr>
      <w:tr>
        <w:trPr>
          <w:trHeight w:val="237"/>
        </w:trPr>
        <w:tc>
          <w:tcPr>
            <w:tcW w:w="78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403"/>
              <w:spacing w:after="0"/>
              <w:rPr>
                <w:sz w:val="20"/>
                <w:szCs w:val="20"/>
                <w:color w:val="auto"/>
              </w:rPr>
            </w:pPr>
            <w:r>
              <w:rPr>
                <w:rFonts w:ascii="Arial" w:cs="Arial" w:eastAsia="Arial" w:hAnsi="Arial"/>
                <w:sz w:val="18"/>
                <w:szCs w:val="18"/>
                <w:b w:val="1"/>
                <w:bCs w:val="1"/>
                <w:color w:val="auto"/>
              </w:rPr>
              <w:t>(In millions)</w:t>
            </w:r>
          </w:p>
        </w:tc>
      </w:tr>
      <w:tr>
        <w:trPr>
          <w:trHeight w:val="270"/>
        </w:trPr>
        <w:tc>
          <w:tcPr>
            <w:tcW w:w="7840" w:type="dxa"/>
            <w:vAlign w:val="bottom"/>
          </w:tcPr>
          <w:p>
            <w:pPr>
              <w:spacing w:after="0"/>
              <w:rPr>
                <w:sz w:val="20"/>
                <w:szCs w:val="20"/>
                <w:color w:val="auto"/>
              </w:rPr>
            </w:pPr>
            <w:r>
              <w:rPr>
                <w:rFonts w:ascii="Arial" w:cs="Arial" w:eastAsia="Arial" w:hAnsi="Arial"/>
                <w:sz w:val="20"/>
                <w:szCs w:val="20"/>
                <w:color w:val="auto"/>
              </w:rPr>
              <w:t>2026</w:t>
            </w: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94"/>
        </w:trPr>
        <w:tc>
          <w:tcPr>
            <w:tcW w:w="7840" w:type="dxa"/>
            <w:vAlign w:val="bottom"/>
          </w:tcPr>
          <w:p>
            <w:pPr>
              <w:spacing w:after="0"/>
              <w:rPr>
                <w:sz w:val="20"/>
                <w:szCs w:val="20"/>
                <w:color w:val="auto"/>
              </w:rPr>
            </w:pPr>
            <w:r>
              <w:rPr>
                <w:rFonts w:ascii="Arial" w:cs="Arial" w:eastAsia="Arial" w:hAnsi="Arial"/>
                <w:sz w:val="20"/>
                <w:szCs w:val="20"/>
                <w:color w:val="auto"/>
              </w:rPr>
              <w:t>2027</w:t>
            </w: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94"/>
        </w:trPr>
        <w:tc>
          <w:tcPr>
            <w:tcW w:w="7840" w:type="dxa"/>
            <w:vAlign w:val="bottom"/>
          </w:tcPr>
          <w:p>
            <w:pPr>
              <w:spacing w:after="0"/>
              <w:rPr>
                <w:sz w:val="20"/>
                <w:szCs w:val="20"/>
                <w:color w:val="auto"/>
              </w:rPr>
            </w:pPr>
            <w:r>
              <w:rPr>
                <w:rFonts w:ascii="Arial" w:cs="Arial" w:eastAsia="Arial" w:hAnsi="Arial"/>
                <w:sz w:val="20"/>
                <w:szCs w:val="20"/>
                <w:color w:val="auto"/>
              </w:rPr>
              <w:t>2028</w:t>
            </w: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94"/>
        </w:trPr>
        <w:tc>
          <w:tcPr>
            <w:tcW w:w="7840" w:type="dxa"/>
            <w:vAlign w:val="bottom"/>
          </w:tcPr>
          <w:p>
            <w:pPr>
              <w:spacing w:after="0"/>
              <w:rPr>
                <w:sz w:val="20"/>
                <w:szCs w:val="20"/>
                <w:color w:val="auto"/>
              </w:rPr>
            </w:pPr>
            <w:r>
              <w:rPr>
                <w:rFonts w:ascii="Arial" w:cs="Arial" w:eastAsia="Arial" w:hAnsi="Arial"/>
                <w:sz w:val="20"/>
                <w:szCs w:val="20"/>
                <w:color w:val="auto"/>
              </w:rPr>
              <w:t>2029</w:t>
            </w: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94"/>
        </w:trPr>
        <w:tc>
          <w:tcPr>
            <w:tcW w:w="7840" w:type="dxa"/>
            <w:vAlign w:val="bottom"/>
          </w:tcPr>
          <w:p>
            <w:pPr>
              <w:spacing w:after="0"/>
              <w:rPr>
                <w:sz w:val="20"/>
                <w:szCs w:val="20"/>
                <w:color w:val="auto"/>
              </w:rPr>
            </w:pPr>
            <w:r>
              <w:rPr>
                <w:rFonts w:ascii="Arial" w:cs="Arial" w:eastAsia="Arial" w:hAnsi="Arial"/>
                <w:sz w:val="20"/>
                <w:szCs w:val="20"/>
                <w:color w:val="auto"/>
              </w:rPr>
              <w:t>2030</w:t>
            </w: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98"/>
        </w:trPr>
        <w:tc>
          <w:tcPr>
            <w:tcW w:w="7840" w:type="dxa"/>
            <w:vAlign w:val="bottom"/>
          </w:tcPr>
          <w:p>
            <w:pPr>
              <w:spacing w:after="0"/>
              <w:rPr>
                <w:sz w:val="20"/>
                <w:szCs w:val="20"/>
                <w:color w:val="auto"/>
              </w:rPr>
            </w:pPr>
            <w:r>
              <w:rPr>
                <w:rFonts w:ascii="Arial" w:cs="Arial" w:eastAsia="Arial" w:hAnsi="Arial"/>
                <w:sz w:val="20"/>
                <w:szCs w:val="20"/>
                <w:color w:val="auto"/>
              </w:rPr>
              <w:t>Thereafter</w:t>
            </w: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1,214</w:t>
            </w:r>
          </w:p>
        </w:tc>
      </w:tr>
      <w:tr>
        <w:trPr>
          <w:trHeight w:val="270"/>
        </w:trPr>
        <w:tc>
          <w:tcPr>
            <w:tcW w:w="7840" w:type="dxa"/>
            <w:vAlign w:val="bottom"/>
          </w:tcPr>
          <w:p>
            <w:pPr>
              <w:spacing w:after="0"/>
              <w:rPr>
                <w:sz w:val="20"/>
                <w:szCs w:val="20"/>
                <w:color w:val="auto"/>
              </w:rPr>
            </w:pPr>
            <w:r>
              <w:rPr>
                <w:rFonts w:ascii="Arial" w:cs="Arial" w:eastAsia="Arial" w:hAnsi="Arial"/>
                <w:sz w:val="20"/>
                <w:szCs w:val="20"/>
                <w:color w:val="auto"/>
              </w:rPr>
              <w:t>Total lease payments</w:t>
            </w: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1,529</w:t>
            </w:r>
          </w:p>
        </w:tc>
      </w:tr>
      <w:tr>
        <w:trPr>
          <w:trHeight w:val="298"/>
        </w:trPr>
        <w:tc>
          <w:tcPr>
            <w:tcW w:w="7840" w:type="dxa"/>
            <w:vAlign w:val="bottom"/>
          </w:tcPr>
          <w:p>
            <w:pPr>
              <w:ind w:left="480"/>
              <w:spacing w:after="0"/>
              <w:rPr>
                <w:sz w:val="20"/>
                <w:szCs w:val="20"/>
                <w:color w:val="auto"/>
              </w:rPr>
            </w:pPr>
            <w:r>
              <w:rPr>
                <w:rFonts w:ascii="Arial" w:cs="Arial" w:eastAsia="Arial" w:hAnsi="Arial"/>
                <w:sz w:val="20"/>
                <w:szCs w:val="20"/>
                <w:color w:val="auto"/>
              </w:rPr>
              <w:t>Less imputed interest</w:t>
            </w: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(713)</w:t>
            </w:r>
          </w:p>
        </w:tc>
      </w:tr>
      <w:tr>
        <w:trPr>
          <w:trHeight w:val="254"/>
        </w:trPr>
        <w:tc>
          <w:tcPr>
            <w:tcW w:w="7840" w:type="dxa"/>
            <w:vAlign w:val="bottom"/>
          </w:tcPr>
          <w:p>
            <w:pPr>
              <w:spacing w:after="0"/>
              <w:rPr>
                <w:sz w:val="20"/>
                <w:szCs w:val="20"/>
                <w:color w:val="auto"/>
              </w:rPr>
            </w:pPr>
            <w:r>
              <w:rPr>
                <w:rFonts w:ascii="Arial" w:cs="Arial" w:eastAsia="Arial" w:hAnsi="Arial"/>
                <w:sz w:val="20"/>
                <w:szCs w:val="20"/>
                <w:b w:val="1"/>
                <w:bCs w:val="1"/>
                <w:color w:val="auto"/>
              </w:rPr>
              <w:t>Total lease liability - operating leases</w:t>
            </w:r>
          </w:p>
        </w:tc>
        <w:tc>
          <w:tcPr>
            <w:tcW w:w="3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816</w:t>
            </w:r>
          </w:p>
        </w:tc>
      </w:tr>
      <w:tr>
        <w:trPr>
          <w:trHeight w:val="20"/>
        </w:trPr>
        <w:tc>
          <w:tcPr>
            <w:tcW w:w="7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-1711325</wp:posOffset>
            </wp:positionV>
            <wp:extent cx="6410325" cy="17183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1">
                      <a:extLst>
                        <a:ext uri="{28A0092B-C50C-407E-A947-70E740481C1C}"/>
                      </a:extLst>
                    </a:blip>
                    <a:srcRect/>
                    <a:stretch>
                      <a:fillRect/>
                    </a:stretch>
                  </pic:blipFill>
                  <pic:spPr bwMode="auto">
                    <a:xfrm>
                      <a:off x="0" y="0"/>
                      <a:ext cx="6410325" cy="1718310"/>
                    </a:xfrm>
                    <a:prstGeom prst="rect">
                      <a:avLst/>
                    </a:prstGeom>
                    <a:noFill/>
                  </pic:spPr>
                </pic:pic>
              </a:graphicData>
            </a:graphic>
          </wp:anchor>
        </w:drawing>
      </w:r>
    </w:p>
    <w:p>
      <w:pPr>
        <w:spacing w:after="0" w:line="164" w:lineRule="exact"/>
        <w:rPr>
          <w:sz w:val="20"/>
          <w:szCs w:val="20"/>
          <w:color w:val="auto"/>
        </w:rPr>
      </w:pPr>
    </w:p>
    <w:p>
      <w:pPr>
        <w:ind w:right="100" w:firstLine="441"/>
        <w:spacing w:after="0" w:line="271" w:lineRule="auto"/>
        <w:rPr>
          <w:sz w:val="20"/>
          <w:szCs w:val="20"/>
          <w:color w:val="auto"/>
        </w:rPr>
      </w:pPr>
      <w:r>
        <w:rPr>
          <w:rFonts w:ascii="Arial" w:cs="Arial" w:eastAsia="Arial" w:hAnsi="Arial"/>
          <w:sz w:val="20"/>
          <w:szCs w:val="20"/>
          <w:color w:val="auto"/>
        </w:rPr>
        <w:t>The Company is party to various land lease agreements with wholly-owned subsidiaries of CEG that are accounted for as operating leases. The following table summarizes the land lease agreements: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3028950</wp:posOffset>
                </wp:positionH>
                <wp:positionV relativeFrom="paragraph">
                  <wp:posOffset>44450</wp:posOffset>
                </wp:positionV>
                <wp:extent cx="104521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52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5pt,3.5pt" to="320.8pt,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4121150</wp:posOffset>
                </wp:positionH>
                <wp:positionV relativeFrom="paragraph">
                  <wp:posOffset>44450</wp:posOffset>
                </wp:positionV>
                <wp:extent cx="104521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52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5pt,3.5pt" to="406.8pt,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5212715</wp:posOffset>
                </wp:positionH>
                <wp:positionV relativeFrom="paragraph">
                  <wp:posOffset>44450</wp:posOffset>
                </wp:positionV>
                <wp:extent cx="116713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71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45pt,3.5pt" to="502.35pt,3.5pt" o:allowincell="f" strokecolor="#000000" strokeweight="1pt"/>
            </w:pict>
          </mc:Fallback>
        </mc:AlternateConten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64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w w:val="88"/>
              </w:rPr>
              <w:t>Right-of-use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123"/>
              <w:spacing w:after="0"/>
              <w:rPr>
                <w:sz w:val="20"/>
                <w:szCs w:val="20"/>
                <w:color w:val="auto"/>
              </w:rPr>
            </w:pPr>
            <w:r>
              <w:rPr>
                <w:rFonts w:ascii="Arial" w:cs="Arial" w:eastAsia="Arial" w:hAnsi="Arial"/>
                <w:sz w:val="18"/>
                <w:szCs w:val="18"/>
                <w:b w:val="1"/>
                <w:bCs w:val="1"/>
                <w:color w:val="auto"/>
                <w:w w:val="87"/>
              </w:rPr>
              <w:t>Long-term lease</w:t>
            </w:r>
          </w:p>
        </w:tc>
        <w:tc>
          <w:tcPr>
            <w:tcW w:w="60" w:type="dxa"/>
            <w:vAlign w:val="bottom"/>
          </w:tcPr>
          <w:p>
            <w:pPr>
              <w:spacing w:after="0"/>
              <w:rPr>
                <w:sz w:val="17"/>
                <w:szCs w:val="17"/>
                <w:color w:val="auto"/>
              </w:rPr>
            </w:pPr>
          </w:p>
        </w:tc>
        <w:tc>
          <w:tcPr>
            <w:tcW w:w="1840" w:type="dxa"/>
            <w:vAlign w:val="bottom"/>
            <w:vMerge w:val="restart"/>
          </w:tcPr>
          <w:p>
            <w:pPr>
              <w:jc w:val="right"/>
              <w:ind w:right="183"/>
              <w:spacing w:after="0"/>
              <w:rPr>
                <w:sz w:val="20"/>
                <w:szCs w:val="20"/>
                <w:color w:val="auto"/>
              </w:rPr>
            </w:pPr>
            <w:r>
              <w:rPr>
                <w:rFonts w:ascii="Arial" w:cs="Arial" w:eastAsia="Arial" w:hAnsi="Arial"/>
                <w:sz w:val="18"/>
                <w:szCs w:val="18"/>
                <w:b w:val="1"/>
                <w:bCs w:val="1"/>
                <w:color w:val="auto"/>
              </w:rPr>
              <w:t>Lease expiration</w:t>
            </w:r>
          </w:p>
        </w:tc>
        <w:tc>
          <w:tcPr>
            <w:tcW w:w="0" w:type="dxa"/>
            <w:vAlign w:val="bottom"/>
          </w:tcPr>
          <w:p>
            <w:pPr>
              <w:spacing w:after="0"/>
              <w:rPr>
                <w:sz w:val="1"/>
                <w:szCs w:val="1"/>
                <w:color w:val="auto"/>
              </w:rPr>
            </w:pPr>
          </w:p>
        </w:tc>
      </w:tr>
      <w:tr>
        <w:trPr>
          <w:trHeight w:val="234"/>
        </w:trPr>
        <w:tc>
          <w:tcPr>
            <w:tcW w:w="4740" w:type="dxa"/>
            <w:vAlign w:val="bottom"/>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03"/>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83"/>
              <w:spacing w:after="0"/>
              <w:rPr>
                <w:sz w:val="20"/>
                <w:szCs w:val="20"/>
                <w:color w:val="auto"/>
              </w:rPr>
            </w:pPr>
            <w:r>
              <w:rPr>
                <w:rFonts w:ascii="Arial" w:cs="Arial" w:eastAsia="Arial" w:hAnsi="Arial"/>
                <w:sz w:val="18"/>
                <w:szCs w:val="18"/>
                <w:b w:val="1"/>
                <w:bCs w:val="1"/>
                <w:color w:val="auto"/>
              </w:rPr>
              <w:t>liabilities</w:t>
            </w:r>
          </w:p>
        </w:tc>
        <w:tc>
          <w:tcPr>
            <w:tcW w:w="60" w:type="dxa"/>
            <w:vAlign w:val="bottom"/>
          </w:tcPr>
          <w:p>
            <w:pPr>
              <w:spacing w:after="0"/>
              <w:rPr>
                <w:sz w:val="20"/>
                <w:szCs w:val="20"/>
                <w:color w:val="auto"/>
              </w:rPr>
            </w:pPr>
          </w:p>
        </w:tc>
        <w:tc>
          <w:tcPr>
            <w:tcW w:w="1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0"/>
                <w:szCs w:val="20"/>
                <w:color w:val="auto"/>
              </w:rPr>
            </w:pPr>
            <w:r>
              <w:rPr>
                <w:rFonts w:ascii="Arial" w:cs="Arial" w:eastAsia="Arial" w:hAnsi="Arial"/>
                <w:sz w:val="20"/>
                <w:szCs w:val="20"/>
                <w:b w:val="1"/>
                <w:bCs w:val="1"/>
                <w:color w:val="auto"/>
              </w:rPr>
              <w:t>As of December 31, 2025</w:t>
            </w: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740" w:type="dxa"/>
            <w:vAlign w:val="bottom"/>
          </w:tcPr>
          <w:p>
            <w:pPr>
              <w:ind w:left="220"/>
              <w:spacing w:after="0"/>
              <w:rPr>
                <w:sz w:val="20"/>
                <w:szCs w:val="20"/>
                <w:color w:val="auto"/>
              </w:rPr>
            </w:pPr>
            <w:r>
              <w:rPr>
                <w:rFonts w:ascii="Arial" w:cs="Arial" w:eastAsia="Arial" w:hAnsi="Arial"/>
                <w:sz w:val="20"/>
                <w:szCs w:val="20"/>
                <w:color w:val="auto"/>
              </w:rPr>
              <w:t>Daggett 2</w:t>
            </w:r>
          </w:p>
        </w:tc>
        <w:tc>
          <w:tcPr>
            <w:tcW w:w="420" w:type="dxa"/>
            <w:vAlign w:val="bottom"/>
          </w:tcPr>
          <w:p>
            <w:pPr>
              <w:jc w:val="right"/>
              <w:ind w:right="185"/>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22</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June 30, 2058</w:t>
            </w:r>
          </w:p>
        </w:tc>
        <w:tc>
          <w:tcPr>
            <w:tcW w:w="0" w:type="dxa"/>
            <w:vAlign w:val="bottom"/>
          </w:tcPr>
          <w:p>
            <w:pPr>
              <w:spacing w:after="0"/>
              <w:rPr>
                <w:sz w:val="1"/>
                <w:szCs w:val="1"/>
                <w:color w:val="auto"/>
              </w:rPr>
            </w:pPr>
          </w:p>
        </w:tc>
      </w:tr>
      <w:tr>
        <w:trPr>
          <w:trHeight w:val="294"/>
        </w:trPr>
        <w:tc>
          <w:tcPr>
            <w:tcW w:w="4740" w:type="dxa"/>
            <w:vAlign w:val="bottom"/>
          </w:tcPr>
          <w:p>
            <w:pPr>
              <w:ind w:left="220"/>
              <w:spacing w:after="0"/>
              <w:rPr>
                <w:sz w:val="20"/>
                <w:szCs w:val="20"/>
                <w:color w:val="auto"/>
              </w:rPr>
            </w:pPr>
            <w:r>
              <w:rPr>
                <w:rFonts w:ascii="Arial" w:cs="Arial" w:eastAsia="Arial" w:hAnsi="Arial"/>
                <w:sz w:val="20"/>
                <w:szCs w:val="20"/>
                <w:color w:val="auto"/>
              </w:rPr>
              <w:t>Daggett 3</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December 18, 2062</w:t>
            </w:r>
          </w:p>
        </w:tc>
        <w:tc>
          <w:tcPr>
            <w:tcW w:w="0" w:type="dxa"/>
            <w:vAlign w:val="bottom"/>
          </w:tcPr>
          <w:p>
            <w:pPr>
              <w:spacing w:after="0"/>
              <w:rPr>
                <w:sz w:val="1"/>
                <w:szCs w:val="1"/>
                <w:color w:val="auto"/>
              </w:rPr>
            </w:pPr>
          </w:p>
        </w:tc>
      </w:tr>
      <w:tr>
        <w:trPr>
          <w:trHeight w:val="294"/>
        </w:trPr>
        <w:tc>
          <w:tcPr>
            <w:tcW w:w="4740" w:type="dxa"/>
            <w:vAlign w:val="bottom"/>
          </w:tcPr>
          <w:p>
            <w:pPr>
              <w:ind w:left="220"/>
              <w:spacing w:after="0"/>
              <w:rPr>
                <w:sz w:val="20"/>
                <w:szCs w:val="20"/>
                <w:color w:val="auto"/>
              </w:rPr>
            </w:pPr>
            <w:r>
              <w:rPr>
                <w:rFonts w:ascii="Arial" w:cs="Arial" w:eastAsia="Arial" w:hAnsi="Arial"/>
                <w:sz w:val="20"/>
                <w:szCs w:val="20"/>
                <w:color w:val="auto"/>
              </w:rPr>
              <w:t>Luna Valley</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w w:val="98"/>
              </w:rPr>
              <w:t>September 23, 2058</w:t>
            </w:r>
          </w:p>
        </w:tc>
        <w:tc>
          <w:tcPr>
            <w:tcW w:w="0" w:type="dxa"/>
            <w:vAlign w:val="bottom"/>
          </w:tcPr>
          <w:p>
            <w:pPr>
              <w:spacing w:after="0"/>
              <w:rPr>
                <w:sz w:val="1"/>
                <w:szCs w:val="1"/>
                <w:color w:val="auto"/>
              </w:rPr>
            </w:pPr>
          </w:p>
        </w:tc>
      </w:tr>
      <w:tr>
        <w:trPr>
          <w:trHeight w:val="294"/>
        </w:trPr>
        <w:tc>
          <w:tcPr>
            <w:tcW w:w="4740" w:type="dxa"/>
            <w:vAlign w:val="bottom"/>
          </w:tcPr>
          <w:p>
            <w:pPr>
              <w:ind w:left="220"/>
              <w:spacing w:after="0"/>
              <w:rPr>
                <w:sz w:val="20"/>
                <w:szCs w:val="20"/>
                <w:color w:val="auto"/>
              </w:rPr>
            </w:pPr>
            <w:r>
              <w:rPr>
                <w:rFonts w:ascii="Arial" w:cs="Arial" w:eastAsia="Arial" w:hAnsi="Arial"/>
                <w:sz w:val="20"/>
                <w:szCs w:val="20"/>
                <w:color w:val="auto"/>
              </w:rPr>
              <w:t>Mililani I</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March 31, 2057</w:t>
            </w:r>
          </w:p>
        </w:tc>
        <w:tc>
          <w:tcPr>
            <w:tcW w:w="0" w:type="dxa"/>
            <w:vAlign w:val="bottom"/>
          </w:tcPr>
          <w:p>
            <w:pPr>
              <w:spacing w:after="0"/>
              <w:rPr>
                <w:sz w:val="1"/>
                <w:szCs w:val="1"/>
                <w:color w:val="auto"/>
              </w:rPr>
            </w:pPr>
          </w:p>
        </w:tc>
      </w:tr>
      <w:tr>
        <w:trPr>
          <w:trHeight w:val="333"/>
        </w:trPr>
        <w:tc>
          <w:tcPr>
            <w:tcW w:w="4740" w:type="dxa"/>
            <w:vAlign w:val="bottom"/>
          </w:tcPr>
          <w:p>
            <w:pPr>
              <w:ind w:left="220"/>
              <w:spacing w:after="0"/>
              <w:rPr>
                <w:sz w:val="20"/>
                <w:szCs w:val="20"/>
                <w:color w:val="auto"/>
              </w:rPr>
            </w:pPr>
            <w:r>
              <w:rPr>
                <w:rFonts w:ascii="Arial" w:cs="Arial" w:eastAsia="Arial" w:hAnsi="Arial"/>
                <w:sz w:val="20"/>
                <w:szCs w:val="20"/>
                <w:color w:val="auto"/>
              </w:rPr>
              <w:t xml:space="preserve">Oahu Solar </w:t>
            </w:r>
            <w:r>
              <w:rPr>
                <w:rFonts w:ascii="Arial" w:cs="Arial" w:eastAsia="Arial" w:hAnsi="Arial"/>
                <w:sz w:val="25"/>
                <w:szCs w:val="25"/>
                <w:color w:val="auto"/>
                <w:vertAlign w:val="superscript"/>
              </w:rPr>
              <w:t>(a)</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August 1, 2057</w:t>
            </w:r>
          </w:p>
        </w:tc>
        <w:tc>
          <w:tcPr>
            <w:tcW w:w="0" w:type="dxa"/>
            <w:vAlign w:val="bottom"/>
          </w:tcPr>
          <w:p>
            <w:pPr>
              <w:spacing w:after="0"/>
              <w:rPr>
                <w:sz w:val="1"/>
                <w:szCs w:val="1"/>
                <w:color w:val="auto"/>
              </w:rPr>
            </w:pPr>
          </w:p>
        </w:tc>
      </w:tr>
      <w:tr>
        <w:trPr>
          <w:trHeight w:val="294"/>
        </w:trPr>
        <w:tc>
          <w:tcPr>
            <w:tcW w:w="4740" w:type="dxa"/>
            <w:vAlign w:val="bottom"/>
          </w:tcPr>
          <w:p>
            <w:pPr>
              <w:ind w:left="220"/>
              <w:spacing w:after="0"/>
              <w:rPr>
                <w:sz w:val="20"/>
                <w:szCs w:val="20"/>
                <w:color w:val="auto"/>
              </w:rPr>
            </w:pPr>
            <w:r>
              <w:rPr>
                <w:rFonts w:ascii="Arial" w:cs="Arial" w:eastAsia="Arial" w:hAnsi="Arial"/>
                <w:sz w:val="20"/>
                <w:szCs w:val="20"/>
                <w:color w:val="auto"/>
              </w:rPr>
              <w:t xml:space="preserve">Rosamond Central </w:t>
            </w:r>
            <w:r>
              <w:rPr>
                <w:rFonts w:ascii="Arial" w:cs="Arial" w:eastAsia="Arial" w:hAnsi="Arial"/>
                <w:sz w:val="25"/>
                <w:szCs w:val="25"/>
                <w:color w:val="auto"/>
                <w:vertAlign w:val="superscript"/>
              </w:rPr>
              <w:t>(a)</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March 31, 2056</w:t>
            </w:r>
          </w:p>
        </w:tc>
        <w:tc>
          <w:tcPr>
            <w:tcW w:w="0" w:type="dxa"/>
            <w:vAlign w:val="bottom"/>
          </w:tcPr>
          <w:p>
            <w:pPr>
              <w:spacing w:after="0"/>
              <w:rPr>
                <w:sz w:val="1"/>
                <w:szCs w:val="1"/>
                <w:color w:val="auto"/>
              </w:rPr>
            </w:pPr>
          </w:p>
        </w:tc>
      </w:tr>
      <w:tr>
        <w:trPr>
          <w:trHeight w:val="255"/>
        </w:trPr>
        <w:tc>
          <w:tcPr>
            <w:tcW w:w="4740" w:type="dxa"/>
            <w:vAlign w:val="bottom"/>
          </w:tcPr>
          <w:p>
            <w:pPr>
              <w:ind w:left="220"/>
              <w:spacing w:after="0"/>
              <w:rPr>
                <w:sz w:val="20"/>
                <w:szCs w:val="20"/>
                <w:color w:val="auto"/>
              </w:rPr>
            </w:pPr>
            <w:r>
              <w:rPr>
                <w:rFonts w:ascii="Arial" w:cs="Arial" w:eastAsia="Arial" w:hAnsi="Arial"/>
                <w:sz w:val="20"/>
                <w:szCs w:val="20"/>
                <w:color w:val="auto"/>
              </w:rPr>
              <w:t>Rosamond South I</w:t>
            </w:r>
          </w:p>
        </w:tc>
        <w:tc>
          <w:tcPr>
            <w:tcW w:w="4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16</w:t>
            </w:r>
          </w:p>
        </w:tc>
        <w:tc>
          <w:tcPr>
            <w:tcW w:w="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w w:val="98"/>
              </w:rPr>
              <w:t>September 30, 2058</w:t>
            </w:r>
          </w:p>
        </w:tc>
        <w:tc>
          <w:tcPr>
            <w:tcW w:w="0" w:type="dxa"/>
            <w:vAlign w:val="bottom"/>
          </w:tcPr>
          <w:p>
            <w:pPr>
              <w:spacing w:after="0"/>
              <w:rPr>
                <w:sz w:val="1"/>
                <w:szCs w:val="1"/>
                <w:color w:val="auto"/>
              </w:rPr>
            </w:pPr>
          </w:p>
        </w:tc>
      </w:tr>
      <w:tr>
        <w:trPr>
          <w:trHeight w:val="588"/>
        </w:trPr>
        <w:tc>
          <w:tcPr>
            <w:tcW w:w="4740" w:type="dxa"/>
            <w:vAlign w:val="bottom"/>
          </w:tcPr>
          <w:p>
            <w:pPr>
              <w:spacing w:after="0"/>
              <w:rPr>
                <w:sz w:val="20"/>
                <w:szCs w:val="20"/>
                <w:color w:val="auto"/>
              </w:rPr>
            </w:pPr>
            <w:r>
              <w:rPr>
                <w:rFonts w:ascii="Arial" w:cs="Arial" w:eastAsia="Arial" w:hAnsi="Arial"/>
                <w:sz w:val="20"/>
                <w:szCs w:val="20"/>
                <w:b w:val="1"/>
                <w:bCs w:val="1"/>
                <w:color w:val="auto"/>
              </w:rPr>
              <w:t>As of December 31, 2024</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740" w:type="dxa"/>
            <w:vAlign w:val="bottom"/>
          </w:tcPr>
          <w:p>
            <w:pPr>
              <w:ind w:left="220"/>
              <w:spacing w:after="0"/>
              <w:rPr>
                <w:sz w:val="20"/>
                <w:szCs w:val="20"/>
                <w:color w:val="auto"/>
              </w:rPr>
            </w:pPr>
            <w:r>
              <w:rPr>
                <w:rFonts w:ascii="Arial" w:cs="Arial" w:eastAsia="Arial" w:hAnsi="Arial"/>
                <w:sz w:val="20"/>
                <w:szCs w:val="20"/>
                <w:color w:val="auto"/>
              </w:rPr>
              <w:t>Daggett 2</w:t>
            </w:r>
          </w:p>
        </w:tc>
        <w:tc>
          <w:tcPr>
            <w:tcW w:w="420" w:type="dxa"/>
            <w:vAlign w:val="bottom"/>
          </w:tcPr>
          <w:p>
            <w:pPr>
              <w:jc w:val="right"/>
              <w:ind w:right="185"/>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22</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23</w:t>
            </w:r>
          </w:p>
        </w:tc>
        <w:tc>
          <w:tcPr>
            <w:tcW w:w="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June 30, 2058</w:t>
            </w:r>
          </w:p>
        </w:tc>
        <w:tc>
          <w:tcPr>
            <w:tcW w:w="0" w:type="dxa"/>
            <w:vAlign w:val="bottom"/>
          </w:tcPr>
          <w:p>
            <w:pPr>
              <w:spacing w:after="0"/>
              <w:rPr>
                <w:sz w:val="1"/>
                <w:szCs w:val="1"/>
                <w:color w:val="auto"/>
              </w:rPr>
            </w:pPr>
          </w:p>
        </w:tc>
      </w:tr>
      <w:tr>
        <w:trPr>
          <w:trHeight w:val="294"/>
        </w:trPr>
        <w:tc>
          <w:tcPr>
            <w:tcW w:w="4740" w:type="dxa"/>
            <w:vAlign w:val="bottom"/>
          </w:tcPr>
          <w:p>
            <w:pPr>
              <w:ind w:left="220"/>
              <w:spacing w:after="0"/>
              <w:rPr>
                <w:sz w:val="20"/>
                <w:szCs w:val="20"/>
                <w:color w:val="auto"/>
              </w:rPr>
            </w:pPr>
            <w:r>
              <w:rPr>
                <w:rFonts w:ascii="Arial" w:cs="Arial" w:eastAsia="Arial" w:hAnsi="Arial"/>
                <w:sz w:val="20"/>
                <w:szCs w:val="20"/>
                <w:color w:val="auto"/>
              </w:rPr>
              <w:t>Daggett 3</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December 18, 2062</w:t>
            </w:r>
          </w:p>
        </w:tc>
        <w:tc>
          <w:tcPr>
            <w:tcW w:w="0" w:type="dxa"/>
            <w:vAlign w:val="bottom"/>
          </w:tcPr>
          <w:p>
            <w:pPr>
              <w:spacing w:after="0"/>
              <w:rPr>
                <w:sz w:val="1"/>
                <w:szCs w:val="1"/>
                <w:color w:val="auto"/>
              </w:rPr>
            </w:pPr>
          </w:p>
        </w:tc>
      </w:tr>
      <w:tr>
        <w:trPr>
          <w:trHeight w:val="294"/>
        </w:trPr>
        <w:tc>
          <w:tcPr>
            <w:tcW w:w="4740" w:type="dxa"/>
            <w:vAlign w:val="bottom"/>
          </w:tcPr>
          <w:p>
            <w:pPr>
              <w:ind w:left="220"/>
              <w:spacing w:after="0"/>
              <w:rPr>
                <w:sz w:val="20"/>
                <w:szCs w:val="20"/>
                <w:color w:val="auto"/>
              </w:rPr>
            </w:pPr>
            <w:r>
              <w:rPr>
                <w:rFonts w:ascii="Arial" w:cs="Arial" w:eastAsia="Arial" w:hAnsi="Arial"/>
                <w:sz w:val="20"/>
                <w:szCs w:val="20"/>
                <w:color w:val="auto"/>
              </w:rPr>
              <w:t>Mililani I</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March 31, 2057</w:t>
            </w:r>
          </w:p>
        </w:tc>
        <w:tc>
          <w:tcPr>
            <w:tcW w:w="0" w:type="dxa"/>
            <w:vAlign w:val="bottom"/>
          </w:tcPr>
          <w:p>
            <w:pPr>
              <w:spacing w:after="0"/>
              <w:rPr>
                <w:sz w:val="1"/>
                <w:szCs w:val="1"/>
                <w:color w:val="auto"/>
              </w:rPr>
            </w:pPr>
          </w:p>
        </w:tc>
      </w:tr>
      <w:tr>
        <w:trPr>
          <w:trHeight w:val="333"/>
        </w:trPr>
        <w:tc>
          <w:tcPr>
            <w:tcW w:w="4740" w:type="dxa"/>
            <w:vAlign w:val="bottom"/>
          </w:tcPr>
          <w:p>
            <w:pPr>
              <w:ind w:left="220"/>
              <w:spacing w:after="0"/>
              <w:rPr>
                <w:sz w:val="20"/>
                <w:szCs w:val="20"/>
                <w:color w:val="auto"/>
              </w:rPr>
            </w:pPr>
            <w:r>
              <w:rPr>
                <w:rFonts w:ascii="Arial" w:cs="Arial" w:eastAsia="Arial" w:hAnsi="Arial"/>
                <w:sz w:val="20"/>
                <w:szCs w:val="20"/>
                <w:color w:val="auto"/>
              </w:rPr>
              <w:t xml:space="preserve">Oahu Solar </w:t>
            </w:r>
            <w:r>
              <w:rPr>
                <w:rFonts w:ascii="Arial" w:cs="Arial" w:eastAsia="Arial" w:hAnsi="Arial"/>
                <w:sz w:val="25"/>
                <w:szCs w:val="25"/>
                <w:color w:val="auto"/>
                <w:vertAlign w:val="superscript"/>
              </w:rPr>
              <w:t>(a)</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August 1, 2057</w:t>
            </w:r>
          </w:p>
        </w:tc>
        <w:tc>
          <w:tcPr>
            <w:tcW w:w="0" w:type="dxa"/>
            <w:vAlign w:val="bottom"/>
          </w:tcPr>
          <w:p>
            <w:pPr>
              <w:spacing w:after="0"/>
              <w:rPr>
                <w:sz w:val="1"/>
                <w:szCs w:val="1"/>
                <w:color w:val="auto"/>
              </w:rPr>
            </w:pPr>
          </w:p>
        </w:tc>
      </w:tr>
      <w:tr>
        <w:trPr>
          <w:trHeight w:val="344"/>
        </w:trPr>
        <w:tc>
          <w:tcPr>
            <w:tcW w:w="4740" w:type="dxa"/>
            <w:vAlign w:val="bottom"/>
          </w:tcPr>
          <w:p>
            <w:pPr>
              <w:ind w:left="220"/>
              <w:spacing w:after="0"/>
              <w:rPr>
                <w:sz w:val="20"/>
                <w:szCs w:val="20"/>
                <w:color w:val="auto"/>
              </w:rPr>
            </w:pPr>
            <w:r>
              <w:rPr>
                <w:rFonts w:ascii="Arial" w:cs="Arial" w:eastAsia="Arial" w:hAnsi="Arial"/>
                <w:sz w:val="20"/>
                <w:szCs w:val="20"/>
                <w:color w:val="auto"/>
              </w:rPr>
              <w:t xml:space="preserve">Rosamond Central </w:t>
            </w:r>
            <w:r>
              <w:rPr>
                <w:rFonts w:ascii="Arial" w:cs="Arial" w:eastAsia="Arial" w:hAnsi="Arial"/>
                <w:sz w:val="25"/>
                <w:szCs w:val="25"/>
                <w:color w:val="auto"/>
                <w:vertAlign w:val="superscript"/>
              </w:rPr>
              <w:t>(a)</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March 31, 2056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-2860675</wp:posOffset>
            </wp:positionV>
            <wp:extent cx="6410325" cy="2927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2">
                      <a:extLst>
                        <a:ext uri="{28A0092B-C50C-407E-A947-70E740481C1C}"/>
                      </a:extLst>
                    </a:blip>
                    <a:srcRect/>
                    <a:stretch>
                      <a:fillRect/>
                    </a:stretch>
                  </pic:blipFill>
                  <pic:spPr bwMode="auto">
                    <a:xfrm>
                      <a:off x="0" y="0"/>
                      <a:ext cx="6410325" cy="2927985"/>
                    </a:xfrm>
                    <a:prstGeom prst="rect">
                      <a:avLst/>
                    </a:prstGeom>
                    <a:noFill/>
                  </pic:spPr>
                </pic:pic>
              </a:graphicData>
            </a:graphic>
          </wp:anchor>
        </w:drawing>
      </w:r>
    </w:p>
    <w:p>
      <w:pPr>
        <w:spacing w:after="0" w:line="68" w:lineRule="exact"/>
        <w:rPr>
          <w:sz w:val="20"/>
          <w:szCs w:val="20"/>
          <w:color w:val="auto"/>
        </w:rPr>
      </w:pPr>
    </w:p>
    <w:p>
      <w:pPr>
        <w:ind w:left="300" w:hanging="219"/>
        <w:spacing w:after="0"/>
        <w:tabs>
          <w:tab w:leader="none" w:pos="300" w:val="left"/>
        </w:tabs>
        <w:numPr>
          <w:ilvl w:val="0"/>
          <w:numId w:val="81"/>
        </w:numPr>
        <w:rPr>
          <w:rFonts w:ascii="Arial" w:cs="Arial" w:eastAsia="Arial" w:hAnsi="Arial"/>
          <w:sz w:val="25"/>
          <w:szCs w:val="25"/>
          <w:color w:val="auto"/>
          <w:vertAlign w:val="superscript"/>
        </w:rPr>
      </w:pPr>
      <w:r>
        <w:rPr>
          <w:rFonts w:ascii="Arial" w:cs="Arial" w:eastAsia="Arial" w:hAnsi="Arial"/>
          <w:sz w:val="16"/>
          <w:szCs w:val="16"/>
          <w:color w:val="auto"/>
        </w:rPr>
        <w:t>The Company has the ability to extend each of these leases for two additional five-year periods.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Lessor</w:t>
      </w:r>
    </w:p>
    <w:p>
      <w:pPr>
        <w:spacing w:after="0" w:line="169"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7"/>
          <w:szCs w:val="17"/>
          <w:color w:val="auto"/>
        </w:rPr>
        <w:t>The majority of the Company’s revenue is obtained through PPAs or other contractual agreements that are accounted for as leases. These leases are comprised of both fixed payments and variable payments contingent upon volumes or performance metrics. Many of the leases have renewal options at the end of the lease term. Termination may be allowed under specific circumstances in the lease arrangements, such as under an event of default. All but one of the Company’s active leases are operating leases. This sales-type lease is further described below. Certain of these operating leases have both lease and non-lease components, and the Company allocates the transaction price to the components based on standalone selling prices.</w:t>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880" w:h="15480" w:orient="portrait"/>
          <w:cols w:equalWidth="0" w:num="1">
            <w:col w:w="10040"/>
          </w:cols>
          <w:pgMar w:left="920" w:top="584" w:right="920" w:bottom="0" w:gutter="0" w:footer="0" w:header="0"/>
          <w:type w:val="continuous"/>
        </w:sectPr>
      </w:pPr>
    </w:p>
    <w:bookmarkStart w:id="136" w:name="page137"/>
    <w:bookmarkEnd w:id="136"/>
    <w:p>
      <w:pPr>
        <w:ind w:left="440"/>
        <w:spacing w:after="0"/>
        <w:rPr>
          <w:sz w:val="20"/>
          <w:szCs w:val="20"/>
          <w:color w:val="auto"/>
        </w:rPr>
      </w:pPr>
      <w:r>
        <w:rPr>
          <w:rFonts w:ascii="Arial" w:cs="Arial" w:eastAsia="Arial" w:hAnsi="Arial"/>
          <w:sz w:val="19"/>
          <w:szCs w:val="19"/>
          <w:color w:val="auto"/>
        </w:rPr>
        <w:t>The following amounts of energy, capacity and other revenues are related to the Company’s operating 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2618105</wp:posOffset>
                </wp:positionH>
                <wp:positionV relativeFrom="paragraph">
                  <wp:posOffset>86360</wp:posOffset>
                </wp:positionV>
                <wp:extent cx="122301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30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15pt,6.8pt" to="302.45pt,6.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3887470</wp:posOffset>
                </wp:positionH>
                <wp:positionV relativeFrom="paragraph">
                  <wp:posOffset>86360</wp:posOffset>
                </wp:positionV>
                <wp:extent cx="122301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30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1pt,6.8pt" to="402.4pt,6.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5156835</wp:posOffset>
                </wp:positionH>
                <wp:positionV relativeFrom="paragraph">
                  <wp:posOffset>86360</wp:posOffset>
                </wp:positionV>
                <wp:extent cx="122301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30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05pt,6.8pt" to="502.35pt,6.8pt" o:allowincell="f" strokecolor="#000000" strokeweight="1pt"/>
            </w:pict>
          </mc:Fallback>
        </mc:AlternateConten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b w:val="1"/>
                <w:bCs w:val="1"/>
                <w:color w:val="auto"/>
                <w:w w:val="92"/>
              </w:rPr>
              <w:t>Flexible Generation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Renewables &amp; Storage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Total</w:t>
            </w:r>
          </w:p>
        </w:tc>
      </w:tr>
      <w:tr>
        <w:trPr>
          <w:trHeight w:val="254"/>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2025</w:t>
            </w: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jc w:val="center"/>
              <w:ind w:right="224"/>
              <w:spacing w:after="0"/>
              <w:rPr>
                <w:sz w:val="20"/>
                <w:szCs w:val="20"/>
                <w:color w:val="auto"/>
              </w:rPr>
            </w:pPr>
            <w:r>
              <w:rPr>
                <w:rFonts w:ascii="Arial" w:cs="Arial" w:eastAsia="Arial" w:hAnsi="Arial"/>
                <w:sz w:val="18"/>
                <w:szCs w:val="18"/>
                <w:b w:val="1"/>
                <w:bCs w:val="1"/>
                <w:color w:val="auto"/>
                <w:w w:val="91"/>
              </w:rPr>
              <w:t>(In millions)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96"/>
        </w:trPr>
        <w:tc>
          <w:tcPr>
            <w:tcW w:w="4120" w:type="dxa"/>
            <w:vAlign w:val="bottom"/>
            <w:gridSpan w:val="3"/>
          </w:tcPr>
          <w:p>
            <w:pPr>
              <w:ind w:left="40"/>
              <w:spacing w:after="0"/>
              <w:rPr>
                <w:sz w:val="20"/>
                <w:szCs w:val="20"/>
                <w:color w:val="auto"/>
              </w:rPr>
            </w:pPr>
            <w:r>
              <w:rPr>
                <w:rFonts w:ascii="Arial" w:cs="Arial" w:eastAsia="Arial" w:hAnsi="Arial"/>
                <w:sz w:val="20"/>
                <w:szCs w:val="20"/>
                <w:color w:val="auto"/>
                <w:w w:val="91"/>
              </w:rPr>
              <w:t xml:space="preserve">Energy revenue </w:t>
            </w:r>
            <w:r>
              <w:rPr>
                <w:rFonts w:ascii="Arial" w:cs="Arial" w:eastAsia="Arial" w:hAnsi="Arial"/>
                <w:sz w:val="20"/>
                <w:szCs w:val="20"/>
                <w:color w:val="B4B4B4"/>
                <w:w w:val="91"/>
              </w:rPr>
              <w:t>. . . . . . . . . . .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2</w:t>
            </w:r>
          </w:p>
        </w:tc>
        <w:tc>
          <w:tcPr>
            <w:tcW w:w="400" w:type="dxa"/>
            <w:vAlign w:val="bottom"/>
            <w:gridSpan w:val="3"/>
          </w:tcPr>
          <w:p>
            <w:pPr>
              <w:jc w:val="right"/>
              <w:ind w:right="72"/>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783</w:t>
            </w:r>
          </w:p>
        </w:tc>
        <w:tc>
          <w:tcPr>
            <w:tcW w:w="540" w:type="dxa"/>
            <w:vAlign w:val="bottom"/>
            <w:gridSpan w:val="3"/>
          </w:tcPr>
          <w:p>
            <w:pPr>
              <w:jc w:val="right"/>
              <w:ind w:right="300"/>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785</w:t>
            </w:r>
          </w:p>
        </w:tc>
      </w:tr>
      <w:tr>
        <w:trPr>
          <w:trHeight w:val="298"/>
        </w:trPr>
        <w:tc>
          <w:tcPr>
            <w:tcW w:w="4120" w:type="dxa"/>
            <w:vAlign w:val="bottom"/>
            <w:gridSpan w:val="3"/>
          </w:tcPr>
          <w:p>
            <w:pPr>
              <w:ind w:left="40"/>
              <w:spacing w:after="0"/>
              <w:rPr>
                <w:sz w:val="20"/>
                <w:szCs w:val="20"/>
                <w:color w:val="auto"/>
              </w:rPr>
            </w:pPr>
            <w:r>
              <w:rPr>
                <w:rFonts w:ascii="Arial" w:cs="Arial" w:eastAsia="Arial" w:hAnsi="Arial"/>
                <w:sz w:val="20"/>
                <w:szCs w:val="20"/>
                <w:color w:val="auto"/>
                <w:w w:val="91"/>
              </w:rPr>
              <w:t xml:space="preserve">Capacity revenue </w:t>
            </w:r>
            <w:r>
              <w:rPr>
                <w:rFonts w:ascii="Arial" w:cs="Arial" w:eastAsia="Arial" w:hAnsi="Arial"/>
                <w:sz w:val="20"/>
                <w:szCs w:val="20"/>
                <w:color w:val="B4B4B4"/>
                <w:w w:val="91"/>
              </w:rPr>
              <w:t>. . . . . . . . . . . . . . . . . . . . . . . . . .</w:t>
            </w: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w:t>
            </w:r>
          </w:p>
        </w:tc>
      </w:tr>
      <w:tr>
        <w:trPr>
          <w:trHeight w:val="254"/>
        </w:trPr>
        <w:tc>
          <w:tcPr>
            <w:tcW w:w="4120" w:type="dxa"/>
            <w:vAlign w:val="bottom"/>
            <w:gridSpan w:val="3"/>
          </w:tcPr>
          <w:p>
            <w:pPr>
              <w:ind w:left="140"/>
              <w:spacing w:after="0"/>
              <w:rPr>
                <w:sz w:val="20"/>
                <w:szCs w:val="20"/>
                <w:color w:val="auto"/>
              </w:rPr>
            </w:pPr>
            <w:r>
              <w:rPr>
                <w:rFonts w:ascii="Arial" w:cs="Arial" w:eastAsia="Arial" w:hAnsi="Arial"/>
                <w:sz w:val="20"/>
                <w:szCs w:val="20"/>
                <w:color w:val="auto"/>
                <w:w w:val="91"/>
              </w:rPr>
              <w:t xml:space="preserve">Operating revenues </w:t>
            </w:r>
            <w:r>
              <w:rPr>
                <w:rFonts w:ascii="Arial" w:cs="Arial" w:eastAsia="Arial" w:hAnsi="Arial"/>
                <w:sz w:val="20"/>
                <w:szCs w:val="20"/>
                <w:color w:val="B4B4B4"/>
                <w:w w:val="91"/>
              </w:rPr>
              <w:t>. . . . . . .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115</w:t>
            </w:r>
          </w:p>
        </w:tc>
        <w:tc>
          <w:tcPr>
            <w:tcW w:w="400" w:type="dxa"/>
            <w:vAlign w:val="bottom"/>
            <w:gridSpan w:val="3"/>
          </w:tcPr>
          <w:p>
            <w:pPr>
              <w:jc w:val="right"/>
              <w:ind w:right="72"/>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846</w:t>
            </w:r>
          </w:p>
        </w:tc>
        <w:tc>
          <w:tcPr>
            <w:tcW w:w="540" w:type="dxa"/>
            <w:vAlign w:val="bottom"/>
            <w:gridSpan w:val="3"/>
          </w:tcPr>
          <w:p>
            <w:pPr>
              <w:jc w:val="right"/>
              <w:ind w:right="300"/>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961</w:t>
            </w:r>
          </w:p>
        </w:tc>
      </w:tr>
      <w:tr>
        <w:trPr>
          <w:trHeight w:val="20"/>
        </w:trPr>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19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Borders>
              <w:bottom w:val="single" w:sz="8" w:color="auto"/>
            </w:tcBorders>
            <w:gridSpan w:val="2"/>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59"/>
        </w:trPr>
        <w:tc>
          <w:tcPr>
            <w:tcW w:w="19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04"/>
              <w:spacing w:after="0"/>
              <w:rPr>
                <w:sz w:val="20"/>
                <w:szCs w:val="20"/>
                <w:color w:val="auto"/>
              </w:rPr>
            </w:pPr>
            <w:r>
              <w:rPr>
                <w:rFonts w:ascii="Arial" w:cs="Arial" w:eastAsia="Arial" w:hAnsi="Arial"/>
                <w:sz w:val="18"/>
                <w:szCs w:val="18"/>
                <w:b w:val="1"/>
                <w:bCs w:val="1"/>
                <w:color w:val="auto"/>
                <w:w w:val="90"/>
              </w:rPr>
              <w:t>Flexible Generation</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Renewables &amp; Storage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Total</w:t>
            </w:r>
          </w:p>
        </w:tc>
      </w:tr>
      <w:tr>
        <w:trPr>
          <w:trHeight w:val="254"/>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jc w:val="center"/>
              <w:ind w:right="224"/>
              <w:spacing w:after="0"/>
              <w:rPr>
                <w:sz w:val="20"/>
                <w:szCs w:val="20"/>
                <w:color w:val="auto"/>
              </w:rPr>
            </w:pPr>
            <w:r>
              <w:rPr>
                <w:rFonts w:ascii="Arial" w:cs="Arial" w:eastAsia="Arial" w:hAnsi="Arial"/>
                <w:sz w:val="18"/>
                <w:szCs w:val="18"/>
                <w:b w:val="1"/>
                <w:bCs w:val="1"/>
                <w:color w:val="auto"/>
                <w:w w:val="91"/>
              </w:rPr>
              <w:t>(In millions)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96"/>
        </w:trPr>
        <w:tc>
          <w:tcPr>
            <w:tcW w:w="4120" w:type="dxa"/>
            <w:vAlign w:val="bottom"/>
            <w:gridSpan w:val="3"/>
          </w:tcPr>
          <w:p>
            <w:pPr>
              <w:ind w:left="40"/>
              <w:spacing w:after="0"/>
              <w:rPr>
                <w:sz w:val="20"/>
                <w:szCs w:val="20"/>
                <w:color w:val="auto"/>
              </w:rPr>
            </w:pPr>
            <w:r>
              <w:rPr>
                <w:rFonts w:ascii="Arial" w:cs="Arial" w:eastAsia="Arial" w:hAnsi="Arial"/>
                <w:sz w:val="20"/>
                <w:szCs w:val="20"/>
                <w:color w:val="auto"/>
                <w:w w:val="91"/>
              </w:rPr>
              <w:t xml:space="preserve">Energy revenue </w:t>
            </w:r>
            <w:r>
              <w:rPr>
                <w:rFonts w:ascii="Arial" w:cs="Arial" w:eastAsia="Arial" w:hAnsi="Arial"/>
                <w:sz w:val="20"/>
                <w:szCs w:val="20"/>
                <w:color w:val="B4B4B4"/>
                <w:w w:val="91"/>
              </w:rPr>
              <w:t>. . . . . . . . . . .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3</w:t>
            </w:r>
          </w:p>
        </w:tc>
        <w:tc>
          <w:tcPr>
            <w:tcW w:w="400" w:type="dxa"/>
            <w:vAlign w:val="bottom"/>
            <w:gridSpan w:val="3"/>
          </w:tcPr>
          <w:p>
            <w:pPr>
              <w:jc w:val="right"/>
              <w:ind w:right="72"/>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817</w:t>
            </w:r>
          </w:p>
        </w:tc>
        <w:tc>
          <w:tcPr>
            <w:tcW w:w="540" w:type="dxa"/>
            <w:vAlign w:val="bottom"/>
            <w:gridSpan w:val="3"/>
          </w:tcPr>
          <w:p>
            <w:pPr>
              <w:jc w:val="right"/>
              <w:ind w:right="300"/>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820</w:t>
            </w:r>
          </w:p>
        </w:tc>
      </w:tr>
      <w:tr>
        <w:trPr>
          <w:trHeight w:val="298"/>
        </w:trPr>
        <w:tc>
          <w:tcPr>
            <w:tcW w:w="4120" w:type="dxa"/>
            <w:vAlign w:val="bottom"/>
            <w:gridSpan w:val="3"/>
          </w:tcPr>
          <w:p>
            <w:pPr>
              <w:ind w:left="40"/>
              <w:spacing w:after="0"/>
              <w:rPr>
                <w:sz w:val="20"/>
                <w:szCs w:val="20"/>
                <w:color w:val="auto"/>
              </w:rPr>
            </w:pPr>
            <w:r>
              <w:rPr>
                <w:rFonts w:ascii="Arial" w:cs="Arial" w:eastAsia="Arial" w:hAnsi="Arial"/>
                <w:sz w:val="20"/>
                <w:szCs w:val="20"/>
                <w:color w:val="auto"/>
                <w:w w:val="91"/>
              </w:rPr>
              <w:t xml:space="preserve">Capacity revenue </w:t>
            </w:r>
            <w:r>
              <w:rPr>
                <w:rFonts w:ascii="Arial" w:cs="Arial" w:eastAsia="Arial" w:hAnsi="Arial"/>
                <w:sz w:val="20"/>
                <w:szCs w:val="20"/>
                <w:color w:val="B4B4B4"/>
                <w:w w:val="91"/>
              </w:rPr>
              <w:t>. . . . . . . . . . . . . . . . . . . . . . . . . .</w:t>
            </w: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w:t>
            </w:r>
          </w:p>
        </w:tc>
      </w:tr>
      <w:tr>
        <w:trPr>
          <w:trHeight w:val="254"/>
        </w:trPr>
        <w:tc>
          <w:tcPr>
            <w:tcW w:w="4120" w:type="dxa"/>
            <w:vAlign w:val="bottom"/>
            <w:gridSpan w:val="3"/>
          </w:tcPr>
          <w:p>
            <w:pPr>
              <w:ind w:left="140"/>
              <w:spacing w:after="0"/>
              <w:rPr>
                <w:sz w:val="20"/>
                <w:szCs w:val="20"/>
                <w:color w:val="auto"/>
              </w:rPr>
            </w:pPr>
            <w:r>
              <w:rPr>
                <w:rFonts w:ascii="Arial" w:cs="Arial" w:eastAsia="Arial" w:hAnsi="Arial"/>
                <w:sz w:val="20"/>
                <w:szCs w:val="20"/>
                <w:color w:val="auto"/>
                <w:w w:val="91"/>
              </w:rPr>
              <w:t xml:space="preserve">Operating revenues </w:t>
            </w:r>
            <w:r>
              <w:rPr>
                <w:rFonts w:ascii="Arial" w:cs="Arial" w:eastAsia="Arial" w:hAnsi="Arial"/>
                <w:sz w:val="20"/>
                <w:szCs w:val="20"/>
                <w:color w:val="B4B4B4"/>
                <w:w w:val="91"/>
              </w:rPr>
              <w:t>. . . . . . .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113</w:t>
            </w:r>
          </w:p>
        </w:tc>
        <w:tc>
          <w:tcPr>
            <w:tcW w:w="400" w:type="dxa"/>
            <w:vAlign w:val="bottom"/>
            <w:gridSpan w:val="3"/>
          </w:tcPr>
          <w:p>
            <w:pPr>
              <w:jc w:val="right"/>
              <w:ind w:right="72"/>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860</w:t>
            </w:r>
          </w:p>
        </w:tc>
        <w:tc>
          <w:tcPr>
            <w:tcW w:w="540" w:type="dxa"/>
            <w:vAlign w:val="bottom"/>
            <w:gridSpan w:val="3"/>
          </w:tcPr>
          <w:p>
            <w:pPr>
              <w:jc w:val="right"/>
              <w:ind w:right="300"/>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973</w:t>
            </w:r>
          </w:p>
        </w:tc>
      </w:tr>
      <w:tr>
        <w:trPr>
          <w:trHeight w:val="20"/>
        </w:trPr>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19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59"/>
        </w:trPr>
        <w:tc>
          <w:tcPr>
            <w:tcW w:w="19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24"/>
              <w:spacing w:after="0"/>
              <w:rPr>
                <w:sz w:val="20"/>
                <w:szCs w:val="20"/>
                <w:color w:val="auto"/>
              </w:rPr>
            </w:pPr>
            <w:r>
              <w:rPr>
                <w:rFonts w:ascii="Arial" w:cs="Arial" w:eastAsia="Arial" w:hAnsi="Arial"/>
                <w:sz w:val="18"/>
                <w:szCs w:val="18"/>
                <w:b w:val="1"/>
                <w:bCs w:val="1"/>
                <w:color w:val="auto"/>
                <w:w w:val="89"/>
              </w:rPr>
              <w:t>Flexible Generation</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Renewables &amp; Storage</w:t>
            </w: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Total</w:t>
            </w:r>
          </w:p>
        </w:tc>
      </w:tr>
      <w:tr>
        <w:trPr>
          <w:trHeight w:val="254"/>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 2023</w:t>
            </w: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tcPr>
          <w:p>
            <w:pPr>
              <w:jc w:val="right"/>
              <w:ind w:right="404"/>
              <w:spacing w:after="0"/>
              <w:rPr>
                <w:sz w:val="20"/>
                <w:szCs w:val="20"/>
                <w:color w:val="auto"/>
              </w:rPr>
            </w:pPr>
            <w:r>
              <w:rPr>
                <w:rFonts w:ascii="Arial" w:cs="Arial" w:eastAsia="Arial" w:hAnsi="Arial"/>
                <w:sz w:val="18"/>
                <w:szCs w:val="18"/>
                <w:b w:val="1"/>
                <w:bCs w:val="1"/>
                <w:color w:val="auto"/>
              </w:rPr>
              <w:t>(In millions)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96"/>
        </w:trPr>
        <w:tc>
          <w:tcPr>
            <w:tcW w:w="4120" w:type="dxa"/>
            <w:vAlign w:val="bottom"/>
            <w:gridSpan w:val="3"/>
          </w:tcPr>
          <w:p>
            <w:pPr>
              <w:ind w:left="40"/>
              <w:spacing w:after="0"/>
              <w:rPr>
                <w:sz w:val="20"/>
                <w:szCs w:val="20"/>
                <w:color w:val="auto"/>
              </w:rPr>
            </w:pPr>
            <w:r>
              <w:rPr>
                <w:rFonts w:ascii="Arial" w:cs="Arial" w:eastAsia="Arial" w:hAnsi="Arial"/>
                <w:sz w:val="20"/>
                <w:szCs w:val="20"/>
                <w:color w:val="auto"/>
                <w:w w:val="91"/>
              </w:rPr>
              <w:t xml:space="preserve">Energy revenue </w:t>
            </w:r>
            <w:r>
              <w:rPr>
                <w:rFonts w:ascii="Arial" w:cs="Arial" w:eastAsia="Arial" w:hAnsi="Arial"/>
                <w:sz w:val="20"/>
                <w:szCs w:val="20"/>
                <w:color w:val="B4B4B4"/>
                <w:w w:val="91"/>
              </w:rPr>
              <w:t>. . . . . . . . . . .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4</w:t>
            </w:r>
          </w:p>
        </w:tc>
        <w:tc>
          <w:tcPr>
            <w:tcW w:w="400" w:type="dxa"/>
            <w:vAlign w:val="bottom"/>
            <w:gridSpan w:val="3"/>
          </w:tcPr>
          <w:p>
            <w:pPr>
              <w:jc w:val="right"/>
              <w:ind w:right="92"/>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760</w:t>
            </w:r>
          </w:p>
        </w:tc>
        <w:tc>
          <w:tcPr>
            <w:tcW w:w="540" w:type="dxa"/>
            <w:vAlign w:val="bottom"/>
            <w:gridSpan w:val="3"/>
          </w:tcPr>
          <w:p>
            <w:pPr>
              <w:jc w:val="right"/>
              <w:ind w:right="320"/>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764</w:t>
            </w:r>
          </w:p>
        </w:tc>
      </w:tr>
      <w:tr>
        <w:trPr>
          <w:trHeight w:val="294"/>
        </w:trPr>
        <w:tc>
          <w:tcPr>
            <w:tcW w:w="4120" w:type="dxa"/>
            <w:vAlign w:val="bottom"/>
            <w:gridSpan w:val="3"/>
          </w:tcPr>
          <w:p>
            <w:pPr>
              <w:ind w:left="40"/>
              <w:spacing w:after="0"/>
              <w:rPr>
                <w:sz w:val="20"/>
                <w:szCs w:val="20"/>
                <w:color w:val="auto"/>
              </w:rPr>
            </w:pPr>
            <w:r>
              <w:rPr>
                <w:rFonts w:ascii="Arial" w:cs="Arial" w:eastAsia="Arial" w:hAnsi="Arial"/>
                <w:sz w:val="20"/>
                <w:szCs w:val="20"/>
                <w:color w:val="auto"/>
                <w:w w:val="91"/>
              </w:rPr>
              <w:t xml:space="preserve">Capacity revenue </w:t>
            </w:r>
            <w:r>
              <w:rPr>
                <w:rFonts w:ascii="Arial" w:cs="Arial" w:eastAsia="Arial" w:hAnsi="Arial"/>
                <w:sz w:val="20"/>
                <w:szCs w:val="20"/>
                <w:color w:val="B4B4B4"/>
                <w:w w:val="91"/>
              </w:rPr>
              <w:t>. . . . . . . . . . . . . . . . . . . . . . . . . .</w:t>
            </w:r>
          </w:p>
        </w:tc>
        <w:tc>
          <w:tcPr>
            <w:tcW w:w="1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249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269</w:t>
            </w:r>
          </w:p>
        </w:tc>
      </w:tr>
      <w:tr>
        <w:trPr>
          <w:trHeight w:val="298"/>
        </w:trPr>
        <w:tc>
          <w:tcPr>
            <w:tcW w:w="4100" w:type="dxa"/>
            <w:vAlign w:val="bottom"/>
            <w:gridSpan w:val="2"/>
          </w:tcPr>
          <w:p>
            <w:pPr>
              <w:ind w:left="40"/>
              <w:spacing w:after="0"/>
              <w:rPr>
                <w:sz w:val="20"/>
                <w:szCs w:val="20"/>
                <w:color w:val="auto"/>
              </w:rPr>
            </w:pPr>
            <w:r>
              <w:rPr>
                <w:rFonts w:ascii="Arial" w:cs="Arial" w:eastAsia="Arial" w:hAnsi="Arial"/>
                <w:sz w:val="20"/>
                <w:szCs w:val="20"/>
                <w:color w:val="auto"/>
                <w:w w:val="89"/>
              </w:rPr>
              <w:t xml:space="preserve">Other revenues </w:t>
            </w:r>
            <w:r>
              <w:rPr>
                <w:rFonts w:ascii="Arial" w:cs="Arial" w:eastAsia="Arial" w:hAnsi="Arial"/>
                <w:sz w:val="25"/>
                <w:szCs w:val="25"/>
                <w:color w:val="auto"/>
                <w:w w:val="89"/>
                <w:vertAlign w:val="superscript"/>
              </w:rPr>
              <w:t>(a)</w:t>
            </w:r>
            <w:r>
              <w:rPr>
                <w:rFonts w:ascii="Arial" w:cs="Arial" w:eastAsia="Arial" w:hAnsi="Arial"/>
                <w:sz w:val="20"/>
                <w:szCs w:val="20"/>
                <w:color w:val="auto"/>
                <w:w w:val="89"/>
              </w:rPr>
              <w:t xml:space="preserve"> </w:t>
            </w:r>
            <w:r>
              <w:rPr>
                <w:rFonts w:ascii="Arial" w:cs="Arial" w:eastAsia="Arial" w:hAnsi="Arial"/>
                <w:sz w:val="20"/>
                <w:szCs w:val="20"/>
                <w:color w:val="B4B4B4"/>
                <w:w w:val="89"/>
              </w:rPr>
              <w:t>. . . . . . . . . . . . . . . . . . . . . . . . . .</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r>
      <w:tr>
        <w:trPr>
          <w:trHeight w:val="254"/>
        </w:trPr>
        <w:tc>
          <w:tcPr>
            <w:tcW w:w="4120" w:type="dxa"/>
            <w:vAlign w:val="bottom"/>
            <w:gridSpan w:val="3"/>
          </w:tcPr>
          <w:p>
            <w:pPr>
              <w:ind w:left="140"/>
              <w:spacing w:after="0"/>
              <w:rPr>
                <w:sz w:val="20"/>
                <w:szCs w:val="20"/>
                <w:color w:val="auto"/>
              </w:rPr>
            </w:pPr>
            <w:r>
              <w:rPr>
                <w:rFonts w:ascii="Arial" w:cs="Arial" w:eastAsia="Arial" w:hAnsi="Arial"/>
                <w:sz w:val="20"/>
                <w:szCs w:val="20"/>
                <w:color w:val="auto"/>
                <w:w w:val="91"/>
              </w:rPr>
              <w:t xml:space="preserve">Operating revenues </w:t>
            </w:r>
            <w:r>
              <w:rPr>
                <w:rFonts w:ascii="Arial" w:cs="Arial" w:eastAsia="Arial" w:hAnsi="Arial"/>
                <w:sz w:val="20"/>
                <w:szCs w:val="20"/>
                <w:color w:val="B4B4B4"/>
                <w:w w:val="91"/>
              </w:rPr>
              <w:t>. . . . . . . . . . . . . . . . . . . . . . .</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274</w:t>
            </w:r>
          </w:p>
        </w:tc>
        <w:tc>
          <w:tcPr>
            <w:tcW w:w="400" w:type="dxa"/>
            <w:vAlign w:val="bottom"/>
            <w:gridSpan w:val="3"/>
          </w:tcPr>
          <w:p>
            <w:pPr>
              <w:jc w:val="right"/>
              <w:ind w:right="92"/>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780</w:t>
            </w:r>
          </w:p>
        </w:tc>
        <w:tc>
          <w:tcPr>
            <w:tcW w:w="540" w:type="dxa"/>
            <w:vAlign w:val="bottom"/>
            <w:gridSpan w:val="3"/>
          </w:tcPr>
          <w:p>
            <w:pPr>
              <w:jc w:val="right"/>
              <w:ind w:right="320"/>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1,054</w:t>
            </w:r>
          </w:p>
        </w:tc>
      </w:tr>
      <w:tr>
        <w:trPr>
          <w:trHeight w:val="20"/>
        </w:trPr>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194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-3051810</wp:posOffset>
            </wp:positionV>
            <wp:extent cx="6410325" cy="5981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3">
                      <a:extLst>
                        <a:ext uri="{28A0092B-C50C-407E-A947-70E740481C1C}"/>
                      </a:extLst>
                    </a:blip>
                    <a:srcRect/>
                    <a:stretch>
                      <a:fillRect/>
                    </a:stretch>
                  </pic:blipFill>
                  <pic:spPr bwMode="auto">
                    <a:xfrm>
                      <a:off x="0" y="0"/>
                      <a:ext cx="6410325" cy="59817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-1962785</wp:posOffset>
            </wp:positionV>
            <wp:extent cx="6410325" cy="5981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4">
                      <a:extLst>
                        <a:ext uri="{28A0092B-C50C-407E-A947-70E740481C1C}"/>
                      </a:extLst>
                    </a:blip>
                    <a:srcRect/>
                    <a:stretch>
                      <a:fillRect/>
                    </a:stretch>
                  </pic:blipFill>
                  <pic:spPr bwMode="auto">
                    <a:xfrm>
                      <a:off x="0" y="0"/>
                      <a:ext cx="6410325" cy="59817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-873760</wp:posOffset>
            </wp:positionV>
            <wp:extent cx="6400800" cy="784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5">
                      <a:extLst>
                        <a:ext uri="{28A0092B-C50C-407E-A947-70E740481C1C}"/>
                      </a:extLst>
                    </a:blip>
                    <a:srcRect/>
                    <a:stretch>
                      <a:fillRect/>
                    </a:stretch>
                  </pic:blipFill>
                  <pic:spPr bwMode="auto">
                    <a:xfrm>
                      <a:off x="0" y="0"/>
                      <a:ext cx="6400800" cy="784860"/>
                    </a:xfrm>
                    <a:prstGeom prst="rect">
                      <a:avLst/>
                    </a:prstGeom>
                    <a:noFill/>
                  </pic:spPr>
                </pic:pic>
              </a:graphicData>
            </a:graphic>
          </wp:anchor>
        </w:drawing>
      </w:r>
    </w:p>
    <w:p>
      <w:pPr>
        <w:spacing w:after="0" w:line="27" w:lineRule="exact"/>
        <w:rPr>
          <w:sz w:val="20"/>
          <w:szCs w:val="20"/>
          <w:color w:val="auto"/>
        </w:rPr>
      </w:pPr>
    </w:p>
    <w:p>
      <w:pPr>
        <w:jc w:val="both"/>
        <w:ind w:left="80" w:firstLine="1"/>
        <w:spacing w:after="0" w:line="233" w:lineRule="auto"/>
        <w:tabs>
          <w:tab w:leader="none" w:pos="292" w:val="left"/>
        </w:tabs>
        <w:numPr>
          <w:ilvl w:val="0"/>
          <w:numId w:val="82"/>
        </w:numPr>
        <w:rPr>
          <w:rFonts w:ascii="Arial" w:cs="Arial" w:eastAsia="Arial" w:hAnsi="Arial"/>
          <w:sz w:val="25"/>
          <w:szCs w:val="25"/>
          <w:color w:val="auto"/>
          <w:vertAlign w:val="superscript"/>
        </w:rPr>
      </w:pPr>
      <w:r>
        <w:rPr>
          <w:rFonts w:ascii="Arial" w:cs="Arial" w:eastAsia="Arial" w:hAnsi="Arial"/>
          <w:sz w:val="18"/>
          <w:szCs w:val="18"/>
          <w:color w:val="auto"/>
        </w:rPr>
        <w:t>On May 31, 2023, the Marsh Landing Black Start addition reached commercial operations and the Company receives an annual fixed fee over a five-year term under the related agreement. The agreement was determined to be a sales-type lease resulting in the Company recording a lease receivable of $21 million included in total operating revenues, offset by net investment costs of $13 million included in cost of operations, resulting in a net pre-tax profit of $8 million. The lease receivable is included in other current and non-current assets on the Company’s consolidated balance sheet.</w:t>
      </w:r>
    </w:p>
    <w:p>
      <w:pPr>
        <w:spacing w:after="0" w:line="156" w:lineRule="exact"/>
        <w:rPr>
          <w:sz w:val="20"/>
          <w:szCs w:val="20"/>
          <w:color w:val="auto"/>
        </w:rPr>
      </w:pPr>
    </w:p>
    <w:p>
      <w:pPr>
        <w:jc w:val="both"/>
        <w:ind w:right="20" w:firstLine="441"/>
        <w:spacing w:after="0" w:line="271" w:lineRule="auto"/>
        <w:rPr>
          <w:sz w:val="20"/>
          <w:szCs w:val="20"/>
          <w:color w:val="auto"/>
        </w:rPr>
      </w:pPr>
      <w:r>
        <w:rPr>
          <w:rFonts w:ascii="Arial" w:cs="Arial" w:eastAsia="Arial" w:hAnsi="Arial"/>
          <w:sz w:val="20"/>
          <w:szCs w:val="20"/>
          <w:color w:val="auto"/>
        </w:rPr>
        <w:t>Minimum future rent payments the Company expects to receive for the remaining periods related to various facility operating leases as of December 31, 2025 were as follows: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8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b w:val="1"/>
                <w:bCs w:val="1"/>
                <w:color w:val="auto"/>
                <w:w w:val="94"/>
              </w:rPr>
              <w:t>(In millions)</w:t>
            </w:r>
          </w:p>
        </w:tc>
      </w:tr>
      <w:tr>
        <w:trPr>
          <w:trHeight w:val="270"/>
        </w:trPr>
        <w:tc>
          <w:tcPr>
            <w:tcW w:w="8560" w:type="dxa"/>
            <w:vAlign w:val="bottom"/>
          </w:tcPr>
          <w:p>
            <w:pPr>
              <w:spacing w:after="0"/>
              <w:rPr>
                <w:sz w:val="20"/>
                <w:szCs w:val="20"/>
                <w:color w:val="auto"/>
              </w:rPr>
            </w:pPr>
            <w:r>
              <w:rPr>
                <w:rFonts w:ascii="Arial" w:cs="Arial" w:eastAsia="Arial" w:hAnsi="Arial"/>
                <w:sz w:val="20"/>
                <w:szCs w:val="20"/>
                <w:color w:val="auto"/>
              </w:rPr>
              <w:t>2026</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214</w:t>
            </w:r>
          </w:p>
        </w:tc>
      </w:tr>
      <w:tr>
        <w:trPr>
          <w:trHeight w:val="294"/>
        </w:trPr>
        <w:tc>
          <w:tcPr>
            <w:tcW w:w="8560" w:type="dxa"/>
            <w:vAlign w:val="bottom"/>
          </w:tcPr>
          <w:p>
            <w:pPr>
              <w:spacing w:after="0"/>
              <w:rPr>
                <w:sz w:val="20"/>
                <w:szCs w:val="20"/>
                <w:color w:val="auto"/>
              </w:rPr>
            </w:pPr>
            <w:r>
              <w:rPr>
                <w:rFonts w:ascii="Arial" w:cs="Arial" w:eastAsia="Arial" w:hAnsi="Arial"/>
                <w:sz w:val="20"/>
                <w:szCs w:val="20"/>
                <w:color w:val="auto"/>
              </w:rPr>
              <w:t>2027</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215</w:t>
            </w:r>
          </w:p>
        </w:tc>
      </w:tr>
      <w:tr>
        <w:trPr>
          <w:trHeight w:val="294"/>
        </w:trPr>
        <w:tc>
          <w:tcPr>
            <w:tcW w:w="8560" w:type="dxa"/>
            <w:vAlign w:val="bottom"/>
          </w:tcPr>
          <w:p>
            <w:pPr>
              <w:spacing w:after="0"/>
              <w:rPr>
                <w:sz w:val="20"/>
                <w:szCs w:val="20"/>
                <w:color w:val="auto"/>
              </w:rPr>
            </w:pPr>
            <w:r>
              <w:rPr>
                <w:rFonts w:ascii="Arial" w:cs="Arial" w:eastAsia="Arial" w:hAnsi="Arial"/>
                <w:sz w:val="20"/>
                <w:szCs w:val="20"/>
                <w:color w:val="auto"/>
              </w:rPr>
              <w:t>2028</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213</w:t>
            </w:r>
          </w:p>
        </w:tc>
      </w:tr>
      <w:tr>
        <w:trPr>
          <w:trHeight w:val="294"/>
        </w:trPr>
        <w:tc>
          <w:tcPr>
            <w:tcW w:w="8560" w:type="dxa"/>
            <w:vAlign w:val="bottom"/>
          </w:tcPr>
          <w:p>
            <w:pPr>
              <w:spacing w:after="0"/>
              <w:rPr>
                <w:sz w:val="20"/>
                <w:szCs w:val="20"/>
                <w:color w:val="auto"/>
              </w:rPr>
            </w:pPr>
            <w:r>
              <w:rPr>
                <w:rFonts w:ascii="Arial" w:cs="Arial" w:eastAsia="Arial" w:hAnsi="Arial"/>
                <w:sz w:val="20"/>
                <w:szCs w:val="20"/>
                <w:color w:val="auto"/>
              </w:rPr>
              <w:t>2029</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211</w:t>
            </w:r>
          </w:p>
        </w:tc>
      </w:tr>
      <w:tr>
        <w:trPr>
          <w:trHeight w:val="294"/>
        </w:trPr>
        <w:tc>
          <w:tcPr>
            <w:tcW w:w="8560" w:type="dxa"/>
            <w:vAlign w:val="bottom"/>
          </w:tcPr>
          <w:p>
            <w:pPr>
              <w:spacing w:after="0"/>
              <w:rPr>
                <w:sz w:val="20"/>
                <w:szCs w:val="20"/>
                <w:color w:val="auto"/>
              </w:rPr>
            </w:pPr>
            <w:r>
              <w:rPr>
                <w:rFonts w:ascii="Arial" w:cs="Arial" w:eastAsia="Arial" w:hAnsi="Arial"/>
                <w:sz w:val="20"/>
                <w:szCs w:val="20"/>
                <w:color w:val="auto"/>
              </w:rPr>
              <w:t>2030</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212</w:t>
            </w:r>
          </w:p>
        </w:tc>
      </w:tr>
      <w:tr>
        <w:trPr>
          <w:trHeight w:val="298"/>
        </w:trPr>
        <w:tc>
          <w:tcPr>
            <w:tcW w:w="8560" w:type="dxa"/>
            <w:vAlign w:val="bottom"/>
          </w:tcPr>
          <w:p>
            <w:pPr>
              <w:spacing w:after="0"/>
              <w:rPr>
                <w:sz w:val="20"/>
                <w:szCs w:val="20"/>
                <w:color w:val="auto"/>
              </w:rPr>
            </w:pPr>
            <w:r>
              <w:rPr>
                <w:rFonts w:ascii="Arial" w:cs="Arial" w:eastAsia="Arial" w:hAnsi="Arial"/>
                <w:sz w:val="20"/>
                <w:szCs w:val="20"/>
                <w:color w:val="auto"/>
              </w:rPr>
              <w:t>Thereafter</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1,918</w:t>
            </w:r>
          </w:p>
        </w:tc>
      </w:tr>
      <w:tr>
        <w:trPr>
          <w:trHeight w:val="254"/>
        </w:trPr>
        <w:tc>
          <w:tcPr>
            <w:tcW w:w="8560" w:type="dxa"/>
            <w:vAlign w:val="bottom"/>
          </w:tcPr>
          <w:p>
            <w:pPr>
              <w:ind w:left="480"/>
              <w:spacing w:after="0"/>
              <w:rPr>
                <w:sz w:val="20"/>
                <w:szCs w:val="20"/>
                <w:color w:val="auto"/>
              </w:rPr>
            </w:pPr>
            <w:r>
              <w:rPr>
                <w:rFonts w:ascii="Arial" w:cs="Arial" w:eastAsia="Arial" w:hAnsi="Arial"/>
                <w:sz w:val="20"/>
                <w:szCs w:val="20"/>
                <w:b w:val="1"/>
                <w:bCs w:val="1"/>
                <w:color w:val="auto"/>
              </w:rPr>
              <w:t>Total lease payments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2,983</w:t>
            </w: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-1337945</wp:posOffset>
            </wp:positionV>
            <wp:extent cx="6410325" cy="13449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6">
                      <a:extLst>
                        <a:ext uri="{28A0092B-C50C-407E-A947-70E740481C1C}"/>
                      </a:extLst>
                    </a:blip>
                    <a:srcRect/>
                    <a:stretch>
                      <a:fillRect/>
                    </a:stretch>
                  </pic:blipFill>
                  <pic:spPr bwMode="auto">
                    <a:xfrm>
                      <a:off x="0" y="0"/>
                      <a:ext cx="6410325" cy="1344930"/>
                    </a:xfrm>
                    <a:prstGeom prst="rect">
                      <a:avLst/>
                    </a:prstGeom>
                    <a:noFill/>
                  </pic:spPr>
                </pic:pic>
              </a:graphicData>
            </a:graphic>
          </wp:anchor>
        </w:drawing>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Property, plant and equipment, net related to the Company’s operating leases were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668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6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b w:val="1"/>
                <w:bCs w:val="1"/>
                <w:color w:val="auto"/>
                <w:w w:val="93"/>
              </w:rPr>
              <w:t>December 31, 2025</w:t>
            </w:r>
          </w:p>
        </w:tc>
        <w:tc>
          <w:tcPr>
            <w:tcW w:w="60" w:type="dxa"/>
            <w:vAlign w:val="bottom"/>
          </w:tcPr>
          <w:p>
            <w:pPr>
              <w:spacing w:after="0"/>
              <w:rPr>
                <w:sz w:val="20"/>
                <w:szCs w:val="20"/>
                <w:color w:val="auto"/>
              </w:rPr>
            </w:pPr>
          </w:p>
        </w:tc>
        <w:tc>
          <w:tcPr>
            <w:tcW w:w="16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b w:val="1"/>
                <w:bCs w:val="1"/>
                <w:color w:val="auto"/>
                <w:w w:val="92"/>
              </w:rPr>
              <w:t>December 31, 2024</w:t>
            </w:r>
          </w:p>
        </w:tc>
      </w:tr>
      <w:tr>
        <w:trPr>
          <w:trHeight w:val="270"/>
        </w:trPr>
        <w:tc>
          <w:tcPr>
            <w:tcW w:w="6680" w:type="dxa"/>
            <w:vAlign w:val="bottom"/>
          </w:tcPr>
          <w:p>
            <w:pPr>
              <w:spacing w:after="0"/>
              <w:rPr>
                <w:sz w:val="20"/>
                <w:szCs w:val="20"/>
                <w:color w:val="auto"/>
              </w:rPr>
            </w:pPr>
            <w:r>
              <w:rPr>
                <w:rFonts w:ascii="Arial" w:cs="Arial" w:eastAsia="Arial" w:hAnsi="Arial"/>
                <w:sz w:val="20"/>
                <w:szCs w:val="20"/>
                <w:color w:val="auto"/>
              </w:rPr>
              <w:t>Property, plant and equipment</w:t>
            </w:r>
          </w:p>
        </w:tc>
        <w:tc>
          <w:tcPr>
            <w:tcW w:w="600" w:type="dxa"/>
            <w:vAlign w:val="bottom"/>
          </w:tcPr>
          <w:p>
            <w:pPr>
              <w:jc w:val="right"/>
              <w:ind w:right="345"/>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6,642</w:t>
            </w:r>
          </w:p>
        </w:tc>
        <w:tc>
          <w:tcPr>
            <w:tcW w:w="660" w:type="dxa"/>
            <w:vAlign w:val="bottom"/>
            <w:gridSpan w:val="2"/>
          </w:tcPr>
          <w:p>
            <w:pPr>
              <w:jc w:val="right"/>
              <w:ind w:right="37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6,284</w:t>
            </w:r>
          </w:p>
        </w:tc>
      </w:tr>
      <w:tr>
        <w:trPr>
          <w:trHeight w:val="298"/>
        </w:trPr>
        <w:tc>
          <w:tcPr>
            <w:tcW w:w="6680" w:type="dxa"/>
            <w:vAlign w:val="bottom"/>
          </w:tcPr>
          <w:p>
            <w:pPr>
              <w:spacing w:after="0"/>
              <w:rPr>
                <w:sz w:val="20"/>
                <w:szCs w:val="20"/>
                <w:color w:val="auto"/>
              </w:rPr>
            </w:pPr>
            <w:r>
              <w:rPr>
                <w:rFonts w:ascii="Arial" w:cs="Arial" w:eastAsia="Arial" w:hAnsi="Arial"/>
                <w:sz w:val="20"/>
                <w:szCs w:val="20"/>
                <w:color w:val="auto"/>
              </w:rPr>
              <w:t>Accumulated depreciation</w:t>
            </w: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(2,520)</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(2,276)</w:t>
            </w:r>
          </w:p>
        </w:tc>
      </w:tr>
      <w:tr>
        <w:trPr>
          <w:trHeight w:val="254"/>
        </w:trPr>
        <w:tc>
          <w:tcPr>
            <w:tcW w:w="6680" w:type="dxa"/>
            <w:vAlign w:val="bottom"/>
          </w:tcPr>
          <w:p>
            <w:pPr>
              <w:ind w:left="100"/>
              <w:spacing w:after="0"/>
              <w:rPr>
                <w:sz w:val="20"/>
                <w:szCs w:val="20"/>
                <w:color w:val="auto"/>
              </w:rPr>
            </w:pPr>
            <w:r>
              <w:rPr>
                <w:rFonts w:ascii="Arial" w:cs="Arial" w:eastAsia="Arial" w:hAnsi="Arial"/>
                <w:sz w:val="20"/>
                <w:szCs w:val="20"/>
                <w:color w:val="auto"/>
                <w:w w:val="89"/>
              </w:rPr>
              <w:t xml:space="preserve">Net property, plant and equipment </w:t>
            </w:r>
            <w:r>
              <w:rPr>
                <w:rFonts w:ascii="Arial" w:cs="Arial" w:eastAsia="Arial" w:hAnsi="Arial"/>
                <w:sz w:val="20"/>
                <w:szCs w:val="20"/>
                <w:color w:val="B4B4B4"/>
                <w:w w:val="89"/>
              </w:rPr>
              <w:t>. . . . . . . . . . . . . . . . . . . . . . . . . . . . . . . . . . . . . . .</w:t>
            </w:r>
          </w:p>
        </w:tc>
        <w:tc>
          <w:tcPr>
            <w:tcW w:w="600" w:type="dxa"/>
            <w:vAlign w:val="bottom"/>
          </w:tcPr>
          <w:p>
            <w:pPr>
              <w:jc w:val="right"/>
              <w:ind w:right="345"/>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4,122</w:t>
            </w:r>
          </w:p>
        </w:tc>
        <w:tc>
          <w:tcPr>
            <w:tcW w:w="660" w:type="dxa"/>
            <w:vAlign w:val="bottom"/>
            <w:gridSpan w:val="2"/>
          </w:tcPr>
          <w:p>
            <w:pPr>
              <w:jc w:val="right"/>
              <w:ind w:right="37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4,008</w:t>
            </w:r>
          </w:p>
        </w:tc>
      </w:tr>
      <w:tr>
        <w:trPr>
          <w:trHeight w:val="20"/>
        </w:trPr>
        <w:tc>
          <w:tcPr>
            <w:tcW w:w="6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-591185</wp:posOffset>
            </wp:positionV>
            <wp:extent cx="6410325" cy="5981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7">
                      <a:extLst>
                        <a:ext uri="{28A0092B-C50C-407E-A947-70E740481C1C}"/>
                      </a:extLst>
                    </a:blip>
                    <a:srcRect/>
                    <a:stretch>
                      <a:fillRect/>
                    </a:stretch>
                  </pic:blipFill>
                  <pic:spPr bwMode="auto">
                    <a:xfrm>
                      <a:off x="0" y="0"/>
                      <a:ext cx="6410325" cy="59817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Revision of Previously Issued Unaudited Financial Information (Unaudited)</w:t>
      </w:r>
    </w:p>
    <w:p>
      <w:pPr>
        <w:spacing w:after="0" w:line="189" w:lineRule="exact"/>
        <w:rPr>
          <w:sz w:val="20"/>
          <w:szCs w:val="20"/>
          <w:color w:val="auto"/>
        </w:rPr>
      </w:pPr>
    </w:p>
    <w:p>
      <w:pPr>
        <w:jc w:val="both"/>
        <w:ind w:right="20" w:firstLine="441"/>
        <w:spacing w:after="0" w:line="303" w:lineRule="auto"/>
        <w:rPr>
          <w:sz w:val="20"/>
          <w:szCs w:val="20"/>
          <w:color w:val="auto"/>
        </w:rPr>
      </w:pPr>
      <w:r>
        <w:rPr>
          <w:rFonts w:ascii="Arial" w:cs="Arial" w:eastAsia="Arial" w:hAnsi="Arial"/>
          <w:sz w:val="17"/>
          <w:szCs w:val="17"/>
          <w:color w:val="auto"/>
        </w:rPr>
        <w:t>During the fourth quarter of 2025, the Company’s management identified errors related to certain calculations of hypothetical liquidation at book value (HLBV) accounting used to allocate net income (loss) to the Company’s redeemable noncontrolling interests and noncontrolling interests in tax equity partnerships in each of the quarters ended March 31, 2025, June 30, 2025 and September 30, 2025. The Company evaluated the materiality of the errors in accordance with Staff Accounting Bulletins No. 99 and No. 108 of the SEC and concluded that the errors were immaterial to all previously reported periods and did not require restatement of any previously issued financial statements.</w:t>
      </w:r>
    </w:p>
    <w:p>
      <w:pPr>
        <w:sectPr>
          <w:pgSz w:w="11880" w:h="15480" w:orient="portrait"/>
          <w:cols w:equalWidth="0" w:num="1">
            <w:col w:w="10060"/>
          </w:cols>
          <w:pgMar w:left="920" w:top="584" w:right="90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135</w:t>
      </w:r>
    </w:p>
    <w:p>
      <w:pPr>
        <w:sectPr>
          <w:pgSz w:w="11880" w:h="15480" w:orient="portrait"/>
          <w:cols w:equalWidth="0" w:num="1">
            <w:col w:w="10060"/>
          </w:cols>
          <w:pgMar w:left="920" w:top="584" w:right="900" w:bottom="0" w:gutter="0" w:footer="0" w:header="0"/>
          <w:type w:val="continuous"/>
        </w:sectPr>
      </w:pPr>
    </w:p>
    <w:bookmarkStart w:id="137" w:name="page138"/>
    <w:bookmarkEnd w:id="137"/>
    <w:p>
      <w:pPr>
        <w:jc w:val="both"/>
        <w:ind w:firstLine="441"/>
        <w:spacing w:after="0" w:line="250" w:lineRule="auto"/>
        <w:rPr>
          <w:sz w:val="20"/>
          <w:szCs w:val="20"/>
          <w:color w:val="auto"/>
        </w:rPr>
      </w:pPr>
      <w:r>
        <w:rPr>
          <w:rFonts w:ascii="Arial" w:cs="Arial" w:eastAsia="Arial" w:hAnsi="Arial"/>
          <w:sz w:val="20"/>
          <w:szCs w:val="20"/>
          <w:color w:val="auto"/>
        </w:rPr>
        <w:t>The corrections had no impact on the Company’s consolidated net income (loss) or its consolidated statements of cash flows contained in the Company’s previously issued Quarterly Reports on Form 10-Q for the quarters ended March 31, 2025, June 30, 2025 and September 30, 2025. The Company will revise prior period financial information, including the corresponding notes to the financial statements, related to the errors contained in its previously issued Quarterly Reports on Form 10-Q for the quarters ended March 31, 2025, June 30, 2025 and September 30, 2025, the next time the respective periods are presented.</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 summary of the corrections to the impacted financial statement line items is presented below:</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center"/>
              <w:ind w:left="60"/>
              <w:spacing w:after="0"/>
              <w:rPr>
                <w:sz w:val="20"/>
                <w:szCs w:val="20"/>
                <w:color w:val="auto"/>
              </w:rPr>
            </w:pPr>
            <w:r>
              <w:rPr>
                <w:rFonts w:ascii="Arial" w:cs="Arial" w:eastAsia="Arial" w:hAnsi="Arial"/>
                <w:sz w:val="16"/>
                <w:szCs w:val="16"/>
                <w:b w:val="1"/>
                <w:bCs w:val="1"/>
                <w:color w:val="auto"/>
                <w:w w:val="89"/>
              </w:rPr>
              <w:t>Three months ended March 31, 2025</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6"/>
                <w:szCs w:val="16"/>
                <w:b w:val="1"/>
                <w:bCs w:val="1"/>
                <w:color w:val="auto"/>
              </w:rPr>
              <w:t>(in millions, except per share amount)</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6"/>
                <w:szCs w:val="16"/>
                <w:b w:val="1"/>
                <w:bCs w:val="1"/>
                <w:color w:val="auto"/>
                <w:w w:val="89"/>
              </w:rPr>
              <w:t>As Previously Reported</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Adjustments</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As Revised</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jc w:val="center"/>
              <w:ind w:left="415"/>
              <w:spacing w:after="0"/>
              <w:rPr>
                <w:sz w:val="20"/>
                <w:szCs w:val="20"/>
                <w:color w:val="auto"/>
              </w:rPr>
            </w:pPr>
            <w:r>
              <w:rPr>
                <w:rFonts w:ascii="Arial" w:cs="Arial" w:eastAsia="Arial" w:hAnsi="Arial"/>
                <w:sz w:val="16"/>
                <w:szCs w:val="16"/>
                <w:b w:val="1"/>
                <w:bCs w:val="1"/>
                <w:color w:val="auto"/>
                <w:w w:val="92"/>
              </w:rPr>
              <w:t>(Unaudited)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0"/>
                <w:szCs w:val="20"/>
                <w:color w:val="auto"/>
              </w:rPr>
            </w:pPr>
            <w:r>
              <w:rPr>
                <w:rFonts w:ascii="Arial" w:cs="Arial" w:eastAsia="Arial" w:hAnsi="Arial"/>
                <w:sz w:val="16"/>
                <w:szCs w:val="16"/>
                <w:b w:val="1"/>
                <w:bCs w:val="1"/>
                <w:color w:val="auto"/>
              </w:rPr>
              <w:t>Consolidated Statement of Operations</w:t>
            </w: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gridSpan w:val="2"/>
          </w:tcPr>
          <w:p>
            <w:pPr>
              <w:ind w:left="140"/>
              <w:spacing w:after="0"/>
              <w:rPr>
                <w:sz w:val="20"/>
                <w:szCs w:val="20"/>
                <w:color w:val="auto"/>
              </w:rPr>
            </w:pPr>
            <w:r>
              <w:rPr>
                <w:rFonts w:ascii="Arial" w:cs="Arial" w:eastAsia="Arial" w:hAnsi="Arial"/>
                <w:sz w:val="16"/>
                <w:szCs w:val="16"/>
                <w:color w:val="auto"/>
                <w:w w:val="89"/>
              </w:rPr>
              <w:t xml:space="preserve">Net loss attributable to noncontrolling interests </w:t>
            </w:r>
            <w:r>
              <w:rPr>
                <w:rFonts w:ascii="Arial" w:cs="Arial" w:eastAsia="Arial" w:hAnsi="Arial"/>
                <w:sz w:val="16"/>
                <w:szCs w:val="16"/>
                <w:color w:val="B4B4B4"/>
                <w:w w:val="89"/>
              </w:rPr>
              <w:t>. . . . . . . . . . . . . . . . . . . . . . . .</w:t>
            </w:r>
          </w:p>
        </w:tc>
        <w:tc>
          <w:tcPr>
            <w:tcW w:w="860" w:type="dxa"/>
            <w:vAlign w:val="bottom"/>
          </w:tcPr>
          <w:p>
            <w:pPr>
              <w:jc w:val="right"/>
              <w:spacing w:after="0"/>
              <w:rPr>
                <w:sz w:val="20"/>
                <w:szCs w:val="20"/>
                <w:color w:val="auto"/>
              </w:rPr>
            </w:pPr>
            <w:r>
              <w:rPr>
                <w:rFonts w:ascii="Arial" w:cs="Arial" w:eastAsia="Arial" w:hAnsi="Arial"/>
                <w:sz w:val="16"/>
                <w:szCs w:val="16"/>
                <w:color w:val="B4B4B4"/>
                <w:w w:val="89"/>
              </w:rPr>
              <w:t>. . . . . . . . . . .</w:t>
            </w:r>
          </w:p>
        </w:tc>
        <w:tc>
          <w:tcPr>
            <w:tcW w:w="340" w:type="dxa"/>
            <w:vAlign w:val="bottom"/>
          </w:tcPr>
          <w:p>
            <w:pPr>
              <w:jc w:val="right"/>
              <w:spacing w:after="0"/>
              <w:rPr>
                <w:sz w:val="20"/>
                <w:szCs w:val="20"/>
                <w:color w:val="auto"/>
              </w:rPr>
            </w:pPr>
            <w:r>
              <w:rPr>
                <w:rFonts w:ascii="Arial" w:cs="Arial" w:eastAsia="Arial" w:hAnsi="Arial"/>
                <w:sz w:val="16"/>
                <w:szCs w:val="16"/>
                <w:color w:val="B4B4B4"/>
                <w:w w:val="96"/>
              </w:rPr>
              <w:t>. . . .</w:t>
            </w:r>
          </w:p>
        </w:tc>
        <w:tc>
          <w:tcPr>
            <w:tcW w:w="400" w:type="dxa"/>
            <w:vAlign w:val="bottom"/>
            <w:gridSpan w:val="2"/>
          </w:tcPr>
          <w:p>
            <w:pPr>
              <w:ind w:left="20"/>
              <w:spacing w:after="0"/>
              <w:rPr>
                <w:sz w:val="20"/>
                <w:szCs w:val="20"/>
                <w:color w:val="auto"/>
              </w:rPr>
            </w:pPr>
            <w:r>
              <w:rPr>
                <w:rFonts w:ascii="Arial" w:cs="Arial" w:eastAsia="Arial" w:hAnsi="Arial"/>
                <w:sz w:val="16"/>
                <w:szCs w:val="16"/>
                <w:color w:val="B4B4B4"/>
              </w:rPr>
              <w:t xml:space="preserve">. .  </w:t>
            </w:r>
            <w:r>
              <w:rPr>
                <w:rFonts w:ascii="Arial" w:cs="Arial" w:eastAsia="Arial" w:hAnsi="Arial"/>
                <w:sz w:val="16"/>
                <w:szCs w:val="16"/>
                <w:color w:val="000000"/>
              </w:rPr>
              <w: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420" w:type="dxa"/>
            <w:vAlign w:val="bottom"/>
          </w:tcPr>
          <w:p>
            <w:pPr>
              <w:jc w:val="center"/>
              <w:ind w:right="22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79"/>
        </w:trPr>
        <w:tc>
          <w:tcPr>
            <w:tcW w:w="5000" w:type="dxa"/>
            <w:vAlign w:val="bottom"/>
            <w:gridSpan w:val="2"/>
          </w:tcPr>
          <w:p>
            <w:pPr>
              <w:ind w:left="140"/>
              <w:spacing w:after="0"/>
              <w:rPr>
                <w:sz w:val="20"/>
                <w:szCs w:val="20"/>
                <w:color w:val="auto"/>
              </w:rPr>
            </w:pPr>
            <w:r>
              <w:rPr>
                <w:rFonts w:ascii="Arial" w:cs="Arial" w:eastAsia="Arial" w:hAnsi="Arial"/>
                <w:sz w:val="16"/>
                <w:szCs w:val="16"/>
                <w:color w:val="auto"/>
                <w:w w:val="89"/>
              </w:rPr>
              <w:t xml:space="preserve">Net income (loss) attributable to Clearway Energy, Inc. </w:t>
            </w:r>
            <w:r>
              <w:rPr>
                <w:rFonts w:ascii="Arial" w:cs="Arial" w:eastAsia="Arial" w:hAnsi="Arial"/>
                <w:sz w:val="16"/>
                <w:szCs w:val="16"/>
                <w:color w:val="B4B4B4"/>
                <w:w w:val="89"/>
              </w:rPr>
              <w:t>. . . . . . . . . . . . . . . . .</w:t>
            </w:r>
          </w:p>
        </w:tc>
        <w:tc>
          <w:tcPr>
            <w:tcW w:w="860" w:type="dxa"/>
            <w:vAlign w:val="bottom"/>
          </w:tcPr>
          <w:p>
            <w:pPr>
              <w:jc w:val="right"/>
              <w:spacing w:after="0"/>
              <w:rPr>
                <w:sz w:val="20"/>
                <w:szCs w:val="20"/>
                <w:color w:val="auto"/>
              </w:rPr>
            </w:pPr>
            <w:r>
              <w:rPr>
                <w:rFonts w:ascii="Arial" w:cs="Arial" w:eastAsia="Arial" w:hAnsi="Arial"/>
                <w:sz w:val="16"/>
                <w:szCs w:val="16"/>
                <w:color w:val="B4B4B4"/>
                <w:w w:val="89"/>
              </w:rPr>
              <w:t>. . . . . . . . . . .</w:t>
            </w:r>
          </w:p>
        </w:tc>
        <w:tc>
          <w:tcPr>
            <w:tcW w:w="340" w:type="dxa"/>
            <w:vAlign w:val="bottom"/>
          </w:tcPr>
          <w:p>
            <w:pPr>
              <w:jc w:val="right"/>
              <w:spacing w:after="0"/>
              <w:rPr>
                <w:sz w:val="20"/>
                <w:szCs w:val="20"/>
                <w:color w:val="auto"/>
              </w:rPr>
            </w:pPr>
            <w:r>
              <w:rPr>
                <w:rFonts w:ascii="Arial" w:cs="Arial" w:eastAsia="Arial" w:hAnsi="Arial"/>
                <w:sz w:val="16"/>
                <w:szCs w:val="16"/>
                <w:color w:val="B4B4B4"/>
                <w:w w:val="96"/>
              </w:rPr>
              <w:t>. . . .</w:t>
            </w:r>
          </w:p>
        </w:tc>
        <w:tc>
          <w:tcPr>
            <w:tcW w:w="260" w:type="dxa"/>
            <w:vAlign w:val="bottom"/>
          </w:tcPr>
          <w:p>
            <w:pPr>
              <w:ind w:left="20"/>
              <w:spacing w:after="0"/>
              <w:rPr>
                <w:sz w:val="20"/>
                <w:szCs w:val="20"/>
                <w:color w:val="auto"/>
              </w:rPr>
            </w:pPr>
            <w:r>
              <w:rPr>
                <w:rFonts w:ascii="Arial" w:cs="Arial" w:eastAsia="Arial" w:hAnsi="Arial"/>
                <w:sz w:val="16"/>
                <w:szCs w:val="16"/>
                <w:color w:val="B4B4B4"/>
              </w:rPr>
              <w:t>. .</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35"/>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6200" w:type="dxa"/>
            <w:vAlign w:val="bottom"/>
            <w:gridSpan w:val="4"/>
          </w:tcPr>
          <w:p>
            <w:pPr>
              <w:ind w:left="140"/>
              <w:spacing w:after="0"/>
              <w:rPr>
                <w:sz w:val="20"/>
                <w:szCs w:val="20"/>
                <w:color w:val="auto"/>
              </w:rPr>
            </w:pPr>
            <w:r>
              <w:rPr>
                <w:rFonts w:ascii="Arial" w:cs="Arial" w:eastAsia="Arial" w:hAnsi="Arial"/>
                <w:sz w:val="16"/>
                <w:szCs w:val="16"/>
                <w:color w:val="auto"/>
                <w:w w:val="87"/>
              </w:rPr>
              <w:t xml:space="preserve">Earnings (loss) per weighted average Class A and Class C common share - basic and diluted </w:t>
            </w:r>
            <w:r>
              <w:rPr>
                <w:rFonts w:ascii="Arial" w:cs="Arial" w:eastAsia="Arial" w:hAnsi="Arial"/>
                <w:sz w:val="16"/>
                <w:szCs w:val="16"/>
                <w:color w:val="B4B4B4"/>
                <w:w w:val="87"/>
              </w:rPr>
              <w:t>. . .</w:t>
            </w:r>
          </w:p>
        </w:tc>
        <w:tc>
          <w:tcPr>
            <w:tcW w:w="400" w:type="dxa"/>
            <w:vAlign w:val="bottom"/>
            <w:gridSpan w:val="2"/>
          </w:tcPr>
          <w:p>
            <w:pPr>
              <w:ind w:left="20"/>
              <w:spacing w:after="0"/>
              <w:rPr>
                <w:sz w:val="20"/>
                <w:szCs w:val="20"/>
                <w:color w:val="auto"/>
              </w:rPr>
            </w:pPr>
            <w:r>
              <w:rPr>
                <w:rFonts w:ascii="Arial" w:cs="Arial" w:eastAsia="Arial" w:hAnsi="Arial"/>
                <w:sz w:val="16"/>
                <w:szCs w:val="16"/>
                <w:color w:val="B4B4B4"/>
              </w:rPr>
              <w:t xml:space="preserve">. .  </w:t>
            </w:r>
            <w:r>
              <w:rPr>
                <w:rFonts w:ascii="Arial" w:cs="Arial" w:eastAsia="Arial" w:hAnsi="Arial"/>
                <w:sz w:val="16"/>
                <w:szCs w:val="16"/>
                <w:color w:val="000000"/>
              </w:rPr>
              <w: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35"/>
              <w:spacing w:after="0"/>
              <w:rPr>
                <w:sz w:val="20"/>
                <w:szCs w:val="20"/>
                <w:color w:val="auto"/>
              </w:rPr>
            </w:pPr>
            <w:r>
              <w:rPr>
                <w:rFonts w:ascii="Arial" w:cs="Arial" w:eastAsia="Arial" w:hAnsi="Arial"/>
                <w:sz w:val="16"/>
                <w:szCs w:val="16"/>
                <w:color w:val="auto"/>
              </w:rPr>
              <w:t>0.03</w:t>
            </w:r>
          </w:p>
        </w:tc>
        <w:tc>
          <w:tcPr>
            <w:tcW w:w="420" w:type="dxa"/>
            <w:vAlign w:val="bottom"/>
          </w:tcPr>
          <w:p>
            <w:pPr>
              <w:jc w:val="center"/>
              <w:ind w:right="22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0"/>
              </w:rPr>
              <w:t>(0.05)</w:t>
            </w:r>
          </w:p>
        </w:tc>
        <w:tc>
          <w:tcPr>
            <w:tcW w:w="2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0"/>
                <w:szCs w:val="20"/>
                <w:color w:val="auto"/>
              </w:rPr>
            </w:pPr>
            <w:r>
              <w:rPr>
                <w:rFonts w:ascii="Arial" w:cs="Arial" w:eastAsia="Arial" w:hAnsi="Arial"/>
                <w:sz w:val="16"/>
                <w:szCs w:val="16"/>
                <w:b w:val="1"/>
                <w:bCs w:val="1"/>
                <w:color w:val="auto"/>
              </w:rPr>
              <w:t>Consolidated Statement of Comprehensive Income (Loss)</w:t>
            </w: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000" w:type="dxa"/>
            <w:vAlign w:val="bottom"/>
            <w:gridSpan w:val="2"/>
          </w:tcPr>
          <w:p>
            <w:pPr>
              <w:ind w:left="140"/>
              <w:spacing w:after="0"/>
              <w:rPr>
                <w:sz w:val="20"/>
                <w:szCs w:val="20"/>
                <w:color w:val="auto"/>
              </w:rPr>
            </w:pPr>
            <w:r>
              <w:rPr>
                <w:rFonts w:ascii="Arial" w:cs="Arial" w:eastAsia="Arial" w:hAnsi="Arial"/>
                <w:sz w:val="16"/>
                <w:szCs w:val="16"/>
                <w:color w:val="auto"/>
                <w:w w:val="89"/>
              </w:rPr>
              <w:t xml:space="preserve">Comprehensive loss attributable to noncontrolling interests </w:t>
            </w:r>
            <w:r>
              <w:rPr>
                <w:rFonts w:ascii="Arial" w:cs="Arial" w:eastAsia="Arial" w:hAnsi="Arial"/>
                <w:sz w:val="16"/>
                <w:szCs w:val="16"/>
                <w:color w:val="B4B4B4"/>
                <w:w w:val="89"/>
              </w:rPr>
              <w:t>. . . . . . . . . . . . . .</w:t>
            </w:r>
          </w:p>
        </w:tc>
        <w:tc>
          <w:tcPr>
            <w:tcW w:w="860" w:type="dxa"/>
            <w:vAlign w:val="bottom"/>
          </w:tcPr>
          <w:p>
            <w:pPr>
              <w:jc w:val="right"/>
              <w:spacing w:after="0"/>
              <w:rPr>
                <w:sz w:val="20"/>
                <w:szCs w:val="20"/>
                <w:color w:val="auto"/>
              </w:rPr>
            </w:pPr>
            <w:r>
              <w:rPr>
                <w:rFonts w:ascii="Arial" w:cs="Arial" w:eastAsia="Arial" w:hAnsi="Arial"/>
                <w:sz w:val="16"/>
                <w:szCs w:val="16"/>
                <w:color w:val="B4B4B4"/>
                <w:w w:val="89"/>
              </w:rPr>
              <w:t>. . . . . . . . . . .</w:t>
            </w:r>
          </w:p>
        </w:tc>
        <w:tc>
          <w:tcPr>
            <w:tcW w:w="340" w:type="dxa"/>
            <w:vAlign w:val="bottom"/>
          </w:tcPr>
          <w:p>
            <w:pPr>
              <w:jc w:val="right"/>
              <w:spacing w:after="0"/>
              <w:rPr>
                <w:sz w:val="20"/>
                <w:szCs w:val="20"/>
                <w:color w:val="auto"/>
              </w:rPr>
            </w:pPr>
            <w:r>
              <w:rPr>
                <w:rFonts w:ascii="Arial" w:cs="Arial" w:eastAsia="Arial" w:hAnsi="Arial"/>
                <w:sz w:val="16"/>
                <w:szCs w:val="16"/>
                <w:color w:val="B4B4B4"/>
                <w:w w:val="96"/>
              </w:rPr>
              <w:t>. . . .</w:t>
            </w:r>
          </w:p>
        </w:tc>
        <w:tc>
          <w:tcPr>
            <w:tcW w:w="400" w:type="dxa"/>
            <w:vAlign w:val="bottom"/>
            <w:gridSpan w:val="2"/>
          </w:tcPr>
          <w:p>
            <w:pPr>
              <w:ind w:left="20"/>
              <w:spacing w:after="0"/>
              <w:rPr>
                <w:sz w:val="20"/>
                <w:szCs w:val="20"/>
                <w:color w:val="auto"/>
              </w:rPr>
            </w:pPr>
            <w:r>
              <w:rPr>
                <w:rFonts w:ascii="Arial" w:cs="Arial" w:eastAsia="Arial" w:hAnsi="Arial"/>
                <w:sz w:val="16"/>
                <w:szCs w:val="16"/>
                <w:color w:val="B4B4B4"/>
              </w:rPr>
              <w:t xml:space="preserve">. .  </w:t>
            </w:r>
            <w:r>
              <w:rPr>
                <w:rFonts w:ascii="Arial" w:cs="Arial" w:eastAsia="Arial" w:hAnsi="Arial"/>
                <w:sz w:val="16"/>
                <w:szCs w:val="16"/>
                <w:color w:val="000000"/>
              </w:rPr>
              <w:t>$</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420" w:type="dxa"/>
            <w:vAlign w:val="bottom"/>
          </w:tcPr>
          <w:p>
            <w:pPr>
              <w:jc w:val="center"/>
              <w:ind w:right="22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4"/>
                <w:szCs w:val="24"/>
                <w:color w:val="auto"/>
              </w:rPr>
            </w:pPr>
          </w:p>
        </w:tc>
        <w:tc>
          <w:tcPr>
            <w:tcW w:w="420" w:type="dxa"/>
            <w:vAlign w:val="bottom"/>
          </w:tcPr>
          <w:p>
            <w:pPr>
              <w:jc w:val="right"/>
              <w:ind w:right="6"/>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50"/>
        </w:trPr>
        <w:tc>
          <w:tcPr>
            <w:tcW w:w="5860" w:type="dxa"/>
            <w:vAlign w:val="bottom"/>
            <w:gridSpan w:val="3"/>
          </w:tcPr>
          <w:p>
            <w:pPr>
              <w:ind w:left="140"/>
              <w:spacing w:after="0"/>
              <w:rPr>
                <w:sz w:val="20"/>
                <w:szCs w:val="20"/>
                <w:color w:val="auto"/>
              </w:rPr>
            </w:pPr>
            <w:r>
              <w:rPr>
                <w:rFonts w:ascii="Arial" w:cs="Arial" w:eastAsia="Arial" w:hAnsi="Arial"/>
                <w:sz w:val="16"/>
                <w:szCs w:val="16"/>
                <w:color w:val="auto"/>
                <w:w w:val="88"/>
              </w:rPr>
              <w:t xml:space="preserve">Comprehensive income (loss) attributable to Clearway Energy, Inc. </w:t>
            </w:r>
            <w:r>
              <w:rPr>
                <w:rFonts w:ascii="Arial" w:cs="Arial" w:eastAsia="Arial" w:hAnsi="Arial"/>
                <w:sz w:val="16"/>
                <w:szCs w:val="16"/>
                <w:color w:val="B4B4B4"/>
                <w:w w:val="88"/>
              </w:rPr>
              <w:t>. . . . . . . . . . . . . . . . . . .</w:t>
            </w:r>
          </w:p>
        </w:tc>
        <w:tc>
          <w:tcPr>
            <w:tcW w:w="340" w:type="dxa"/>
            <w:vAlign w:val="bottom"/>
          </w:tcPr>
          <w:p>
            <w:pPr>
              <w:jc w:val="right"/>
              <w:spacing w:after="0"/>
              <w:rPr>
                <w:sz w:val="20"/>
                <w:szCs w:val="20"/>
                <w:color w:val="auto"/>
              </w:rPr>
            </w:pPr>
            <w:r>
              <w:rPr>
                <w:rFonts w:ascii="Arial" w:cs="Arial" w:eastAsia="Arial" w:hAnsi="Arial"/>
                <w:sz w:val="16"/>
                <w:szCs w:val="16"/>
                <w:color w:val="B4B4B4"/>
                <w:w w:val="96"/>
              </w:rPr>
              <w:t>. . . .</w:t>
            </w:r>
          </w:p>
        </w:tc>
        <w:tc>
          <w:tcPr>
            <w:tcW w:w="400" w:type="dxa"/>
            <w:vAlign w:val="bottom"/>
            <w:gridSpan w:val="2"/>
          </w:tcPr>
          <w:p>
            <w:pPr>
              <w:ind w:left="20"/>
              <w:spacing w:after="0"/>
              <w:rPr>
                <w:sz w:val="20"/>
                <w:szCs w:val="20"/>
                <w:color w:val="auto"/>
              </w:rPr>
            </w:pPr>
            <w:r>
              <w:rPr>
                <w:rFonts w:ascii="Arial" w:cs="Arial" w:eastAsia="Arial" w:hAnsi="Arial"/>
                <w:sz w:val="16"/>
                <w:szCs w:val="16"/>
                <w:color w:val="B4B4B4"/>
              </w:rPr>
              <w:t xml:space="preserve">. .  </w:t>
            </w:r>
            <w:r>
              <w:rPr>
                <w:rFonts w:ascii="Arial" w:cs="Arial" w:eastAsia="Arial" w:hAnsi="Arial"/>
                <w:sz w:val="16"/>
                <w:szCs w:val="16"/>
                <w:color w:val="000000"/>
              </w:rPr>
              <w: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35"/>
              <w:spacing w:after="0"/>
              <w:rPr>
                <w:sz w:val="20"/>
                <w:szCs w:val="20"/>
                <w:color w:val="auto"/>
              </w:rPr>
            </w:pPr>
            <w:r>
              <w:rPr>
                <w:rFonts w:ascii="Arial" w:cs="Arial" w:eastAsia="Arial" w:hAnsi="Arial"/>
                <w:sz w:val="16"/>
                <w:szCs w:val="16"/>
                <w:color w:val="auto"/>
              </w:rPr>
              <w:t>2</w:t>
            </w:r>
          </w:p>
        </w:tc>
        <w:tc>
          <w:tcPr>
            <w:tcW w:w="420" w:type="dxa"/>
            <w:vAlign w:val="bottom"/>
          </w:tcPr>
          <w:p>
            <w:pPr>
              <w:jc w:val="center"/>
              <w:ind w:right="22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0"/>
                <w:szCs w:val="20"/>
                <w:color w:val="auto"/>
              </w:rPr>
            </w:pPr>
            <w:r>
              <w:rPr>
                <w:rFonts w:ascii="Arial" w:cs="Arial" w:eastAsia="Arial" w:hAnsi="Arial"/>
                <w:sz w:val="16"/>
                <w:szCs w:val="16"/>
                <w:b w:val="1"/>
                <w:bCs w:val="1"/>
                <w:color w:val="auto"/>
              </w:rPr>
              <w:t>Consolidated Balance Sheet (As of March 31, 2025)</w:t>
            </w: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000" w:type="dxa"/>
            <w:vAlign w:val="bottom"/>
            <w:gridSpan w:val="2"/>
          </w:tcPr>
          <w:p>
            <w:pPr>
              <w:ind w:left="140"/>
              <w:spacing w:after="0"/>
              <w:rPr>
                <w:sz w:val="20"/>
                <w:szCs w:val="20"/>
                <w:color w:val="auto"/>
              </w:rPr>
            </w:pPr>
            <w:r>
              <w:rPr>
                <w:rFonts w:ascii="Arial" w:cs="Arial" w:eastAsia="Arial" w:hAnsi="Arial"/>
                <w:sz w:val="16"/>
                <w:szCs w:val="16"/>
                <w:color w:val="auto"/>
                <w:w w:val="88"/>
              </w:rPr>
              <w:t xml:space="preserve">Retained earnings </w:t>
            </w:r>
            <w:r>
              <w:rPr>
                <w:rFonts w:ascii="Arial" w:cs="Arial" w:eastAsia="Arial" w:hAnsi="Arial"/>
                <w:sz w:val="16"/>
                <w:szCs w:val="16"/>
                <w:color w:val="B4B4B4"/>
                <w:w w:val="88"/>
              </w:rPr>
              <w:t>. . . . . . . . . . . . . . . . . . . . . . . . . . . . . . . . . . . . . . . . . . . . . . .</w:t>
            </w:r>
          </w:p>
        </w:tc>
        <w:tc>
          <w:tcPr>
            <w:tcW w:w="860" w:type="dxa"/>
            <w:vAlign w:val="bottom"/>
          </w:tcPr>
          <w:p>
            <w:pPr>
              <w:jc w:val="right"/>
              <w:spacing w:after="0"/>
              <w:rPr>
                <w:sz w:val="20"/>
                <w:szCs w:val="20"/>
                <w:color w:val="auto"/>
              </w:rPr>
            </w:pPr>
            <w:r>
              <w:rPr>
                <w:rFonts w:ascii="Arial" w:cs="Arial" w:eastAsia="Arial" w:hAnsi="Arial"/>
                <w:sz w:val="16"/>
                <w:szCs w:val="16"/>
                <w:color w:val="B4B4B4"/>
                <w:w w:val="89"/>
              </w:rPr>
              <w:t>. . . . . . . . . . .</w:t>
            </w:r>
          </w:p>
        </w:tc>
        <w:tc>
          <w:tcPr>
            <w:tcW w:w="340" w:type="dxa"/>
            <w:vAlign w:val="bottom"/>
          </w:tcPr>
          <w:p>
            <w:pPr>
              <w:jc w:val="right"/>
              <w:spacing w:after="0"/>
              <w:rPr>
                <w:sz w:val="20"/>
                <w:szCs w:val="20"/>
                <w:color w:val="auto"/>
              </w:rPr>
            </w:pPr>
            <w:r>
              <w:rPr>
                <w:rFonts w:ascii="Arial" w:cs="Arial" w:eastAsia="Arial" w:hAnsi="Arial"/>
                <w:sz w:val="16"/>
                <w:szCs w:val="16"/>
                <w:color w:val="B4B4B4"/>
                <w:w w:val="96"/>
              </w:rPr>
              <w:t>. . . .</w:t>
            </w:r>
          </w:p>
        </w:tc>
        <w:tc>
          <w:tcPr>
            <w:tcW w:w="400" w:type="dxa"/>
            <w:vAlign w:val="bottom"/>
            <w:gridSpan w:val="2"/>
          </w:tcPr>
          <w:p>
            <w:pPr>
              <w:ind w:left="20"/>
              <w:spacing w:after="0"/>
              <w:rPr>
                <w:sz w:val="20"/>
                <w:szCs w:val="20"/>
                <w:color w:val="auto"/>
              </w:rPr>
            </w:pPr>
            <w:r>
              <w:rPr>
                <w:rFonts w:ascii="Arial" w:cs="Arial" w:eastAsia="Arial" w:hAnsi="Arial"/>
                <w:sz w:val="16"/>
                <w:szCs w:val="16"/>
                <w:color w:val="B4B4B4"/>
              </w:rPr>
              <w:t xml:space="preserve">. .  </w:t>
            </w:r>
            <w:r>
              <w:rPr>
                <w:rFonts w:ascii="Arial" w:cs="Arial" w:eastAsia="Arial" w:hAnsi="Arial"/>
                <w:sz w:val="16"/>
                <w:szCs w:val="16"/>
                <w:color w:val="000000"/>
              </w:rPr>
              <w:t>$</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35"/>
              <w:spacing w:after="0"/>
              <w:rPr>
                <w:sz w:val="20"/>
                <w:szCs w:val="20"/>
                <w:color w:val="auto"/>
              </w:rPr>
            </w:pPr>
            <w:r>
              <w:rPr>
                <w:rFonts w:ascii="Arial" w:cs="Arial" w:eastAsia="Arial" w:hAnsi="Arial"/>
                <w:sz w:val="16"/>
                <w:szCs w:val="16"/>
                <w:color w:val="auto"/>
              </w:rPr>
              <w:t>207</w:t>
            </w:r>
          </w:p>
        </w:tc>
        <w:tc>
          <w:tcPr>
            <w:tcW w:w="420" w:type="dxa"/>
            <w:vAlign w:val="bottom"/>
          </w:tcPr>
          <w:p>
            <w:pPr>
              <w:jc w:val="center"/>
              <w:ind w:right="22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50"/>
        </w:trPr>
        <w:tc>
          <w:tcPr>
            <w:tcW w:w="5000" w:type="dxa"/>
            <w:vAlign w:val="bottom"/>
            <w:gridSpan w:val="2"/>
          </w:tcPr>
          <w:p>
            <w:pPr>
              <w:ind w:left="140"/>
              <w:spacing w:after="0"/>
              <w:rPr>
                <w:sz w:val="20"/>
                <w:szCs w:val="20"/>
                <w:color w:val="auto"/>
              </w:rPr>
            </w:pPr>
            <w:r>
              <w:rPr>
                <w:rFonts w:ascii="Arial" w:cs="Arial" w:eastAsia="Arial" w:hAnsi="Arial"/>
                <w:sz w:val="16"/>
                <w:szCs w:val="16"/>
                <w:color w:val="auto"/>
                <w:w w:val="89"/>
              </w:rPr>
              <w:t xml:space="preserve">Noncontrolling interest </w:t>
            </w:r>
            <w:r>
              <w:rPr>
                <w:rFonts w:ascii="Arial" w:cs="Arial" w:eastAsia="Arial" w:hAnsi="Arial"/>
                <w:sz w:val="16"/>
                <w:szCs w:val="16"/>
                <w:color w:val="B4B4B4"/>
                <w:w w:val="89"/>
              </w:rPr>
              <w:t>. . . . . . . . . . . . . . . . . . . . . . . . . . . . . . . . . . . . . . . . . . .</w:t>
            </w:r>
          </w:p>
        </w:tc>
        <w:tc>
          <w:tcPr>
            <w:tcW w:w="860" w:type="dxa"/>
            <w:vAlign w:val="bottom"/>
          </w:tcPr>
          <w:p>
            <w:pPr>
              <w:jc w:val="right"/>
              <w:spacing w:after="0"/>
              <w:rPr>
                <w:sz w:val="20"/>
                <w:szCs w:val="20"/>
                <w:color w:val="auto"/>
              </w:rPr>
            </w:pPr>
            <w:r>
              <w:rPr>
                <w:rFonts w:ascii="Arial" w:cs="Arial" w:eastAsia="Arial" w:hAnsi="Arial"/>
                <w:sz w:val="16"/>
                <w:szCs w:val="16"/>
                <w:color w:val="B4B4B4"/>
                <w:w w:val="89"/>
              </w:rPr>
              <w:t>. . . . . . . . . . .</w:t>
            </w:r>
          </w:p>
        </w:tc>
        <w:tc>
          <w:tcPr>
            <w:tcW w:w="340" w:type="dxa"/>
            <w:vAlign w:val="bottom"/>
          </w:tcPr>
          <w:p>
            <w:pPr>
              <w:jc w:val="right"/>
              <w:spacing w:after="0"/>
              <w:rPr>
                <w:sz w:val="20"/>
                <w:szCs w:val="20"/>
                <w:color w:val="auto"/>
              </w:rPr>
            </w:pPr>
            <w:r>
              <w:rPr>
                <w:rFonts w:ascii="Arial" w:cs="Arial" w:eastAsia="Arial" w:hAnsi="Arial"/>
                <w:sz w:val="16"/>
                <w:szCs w:val="16"/>
                <w:color w:val="B4B4B4"/>
                <w:w w:val="96"/>
              </w:rPr>
              <w:t>. . . .</w:t>
            </w:r>
          </w:p>
        </w:tc>
        <w:tc>
          <w:tcPr>
            <w:tcW w:w="260" w:type="dxa"/>
            <w:vAlign w:val="bottom"/>
          </w:tcPr>
          <w:p>
            <w:pPr>
              <w:ind w:left="20"/>
              <w:spacing w:after="0"/>
              <w:rPr>
                <w:sz w:val="20"/>
                <w:szCs w:val="20"/>
                <w:color w:val="auto"/>
              </w:rPr>
            </w:pPr>
            <w:r>
              <w:rPr>
                <w:rFonts w:ascii="Arial" w:cs="Arial" w:eastAsia="Arial" w:hAnsi="Arial"/>
                <w:sz w:val="16"/>
                <w:szCs w:val="16"/>
                <w:color w:val="B4B4B4"/>
              </w:rPr>
              <w:t>.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35"/>
              <w:spacing w:after="0"/>
              <w:rPr>
                <w:sz w:val="20"/>
                <w:szCs w:val="20"/>
                <w:color w:val="auto"/>
              </w:rPr>
            </w:pPr>
            <w:r>
              <w:rPr>
                <w:rFonts w:ascii="Arial" w:cs="Arial" w:eastAsia="Arial" w:hAnsi="Arial"/>
                <w:sz w:val="16"/>
                <w:szCs w:val="16"/>
                <w:color w:val="auto"/>
              </w:rPr>
              <w:t>3,477</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3,484</w:t>
            </w:r>
          </w:p>
        </w:tc>
        <w:tc>
          <w:tcPr>
            <w:tcW w:w="0" w:type="dxa"/>
            <w:vAlign w:val="bottom"/>
          </w:tcPr>
          <w:p>
            <w:pPr>
              <w:spacing w:after="0"/>
              <w:rPr>
                <w:sz w:val="1"/>
                <w:szCs w:val="1"/>
                <w:color w:val="auto"/>
              </w:rPr>
            </w:pPr>
          </w:p>
        </w:tc>
      </w:tr>
      <w:tr>
        <w:trPr>
          <w:trHeight w:val="279"/>
        </w:trPr>
        <w:tc>
          <w:tcPr>
            <w:tcW w:w="5000" w:type="dxa"/>
            <w:vAlign w:val="bottom"/>
            <w:gridSpan w:val="2"/>
          </w:tcPr>
          <w:p>
            <w:pPr>
              <w:ind w:left="140"/>
              <w:spacing w:after="0"/>
              <w:rPr>
                <w:sz w:val="20"/>
                <w:szCs w:val="20"/>
                <w:color w:val="auto"/>
              </w:rPr>
            </w:pPr>
            <w:r>
              <w:rPr>
                <w:rFonts w:ascii="Arial" w:cs="Arial" w:eastAsia="Arial" w:hAnsi="Arial"/>
                <w:sz w:val="16"/>
                <w:szCs w:val="16"/>
                <w:color w:val="auto"/>
                <w:w w:val="90"/>
              </w:rPr>
              <w:t xml:space="preserve">Total Stockholders’ Equity  </w:t>
            </w:r>
            <w:r>
              <w:rPr>
                <w:rFonts w:ascii="Arial" w:cs="Arial" w:eastAsia="Arial" w:hAnsi="Arial"/>
                <w:sz w:val="16"/>
                <w:szCs w:val="16"/>
                <w:color w:val="B4B4B4"/>
                <w:w w:val="90"/>
              </w:rPr>
              <w:t>. . . . . . . . . . . . . . . . . . . . . . . . . . . . . . . . . . . . . . .</w:t>
            </w:r>
          </w:p>
        </w:tc>
        <w:tc>
          <w:tcPr>
            <w:tcW w:w="860" w:type="dxa"/>
            <w:vAlign w:val="bottom"/>
          </w:tcPr>
          <w:p>
            <w:pPr>
              <w:jc w:val="right"/>
              <w:spacing w:after="0"/>
              <w:rPr>
                <w:sz w:val="20"/>
                <w:szCs w:val="20"/>
                <w:color w:val="auto"/>
              </w:rPr>
            </w:pPr>
            <w:r>
              <w:rPr>
                <w:rFonts w:ascii="Arial" w:cs="Arial" w:eastAsia="Arial" w:hAnsi="Arial"/>
                <w:sz w:val="16"/>
                <w:szCs w:val="16"/>
                <w:color w:val="B4B4B4"/>
                <w:w w:val="89"/>
              </w:rPr>
              <w:t>. . . . . . . . . . .</w:t>
            </w:r>
          </w:p>
        </w:tc>
        <w:tc>
          <w:tcPr>
            <w:tcW w:w="340" w:type="dxa"/>
            <w:vAlign w:val="bottom"/>
          </w:tcPr>
          <w:p>
            <w:pPr>
              <w:jc w:val="right"/>
              <w:spacing w:after="0"/>
              <w:rPr>
                <w:sz w:val="20"/>
                <w:szCs w:val="20"/>
                <w:color w:val="auto"/>
              </w:rPr>
            </w:pPr>
            <w:r>
              <w:rPr>
                <w:rFonts w:ascii="Arial" w:cs="Arial" w:eastAsia="Arial" w:hAnsi="Arial"/>
                <w:sz w:val="16"/>
                <w:szCs w:val="16"/>
                <w:color w:val="B4B4B4"/>
                <w:w w:val="96"/>
              </w:rPr>
              <w:t>. . . .</w:t>
            </w:r>
          </w:p>
        </w:tc>
        <w:tc>
          <w:tcPr>
            <w:tcW w:w="400" w:type="dxa"/>
            <w:vAlign w:val="bottom"/>
            <w:gridSpan w:val="2"/>
          </w:tcPr>
          <w:p>
            <w:pPr>
              <w:ind w:left="20"/>
              <w:spacing w:after="0"/>
              <w:rPr>
                <w:sz w:val="20"/>
                <w:szCs w:val="20"/>
                <w:color w:val="auto"/>
              </w:rPr>
            </w:pPr>
            <w:r>
              <w:rPr>
                <w:rFonts w:ascii="Arial" w:cs="Arial" w:eastAsia="Arial" w:hAnsi="Arial"/>
                <w:sz w:val="16"/>
                <w:szCs w:val="16"/>
                <w:color w:val="B4B4B4"/>
              </w:rPr>
              <w:t xml:space="preserve">. .   </w:t>
            </w:r>
            <w:r>
              <w:rPr>
                <w:rFonts w:ascii="Arial" w:cs="Arial" w:eastAsia="Arial" w:hAnsi="Arial"/>
                <w:sz w:val="16"/>
                <w:szCs w:val="16"/>
                <w:color w:val="000000"/>
              </w:rPr>
              <w:t>$</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35"/>
              <w:spacing w:after="0"/>
              <w:rPr>
                <w:sz w:val="20"/>
                <w:szCs w:val="20"/>
                <w:color w:val="auto"/>
              </w:rPr>
            </w:pPr>
            <w:r>
              <w:rPr>
                <w:rFonts w:ascii="Arial" w:cs="Arial" w:eastAsia="Arial" w:hAnsi="Arial"/>
                <w:sz w:val="16"/>
                <w:szCs w:val="16"/>
                <w:color w:val="auto"/>
              </w:rPr>
              <w:t>5,420</w:t>
            </w:r>
          </w:p>
        </w:tc>
        <w:tc>
          <w:tcPr>
            <w:tcW w:w="420" w:type="dxa"/>
            <w:vAlign w:val="bottom"/>
          </w:tcPr>
          <w:p>
            <w:pPr>
              <w:jc w:val="center"/>
              <w:ind w:right="22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4"/>
                <w:szCs w:val="24"/>
                <w:color w:val="auto"/>
              </w:rPr>
            </w:pPr>
          </w:p>
        </w:tc>
        <w:tc>
          <w:tcPr>
            <w:tcW w:w="4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5,420</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0"/>
                <w:szCs w:val="20"/>
                <w:color w:val="auto"/>
              </w:rPr>
            </w:pPr>
            <w:r>
              <w:rPr>
                <w:rFonts w:ascii="Arial" w:cs="Arial" w:eastAsia="Arial" w:hAnsi="Arial"/>
                <w:sz w:val="16"/>
                <w:szCs w:val="16"/>
                <w:b w:val="1"/>
                <w:bCs w:val="1"/>
                <w:color w:val="auto"/>
              </w:rPr>
              <w:t>Consolidated Statements of Stockholders’ Equity</w:t>
            </w: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20" w:type="dxa"/>
            <w:vAlign w:val="bottom"/>
          </w:tcPr>
          <w:p>
            <w:pPr>
              <w:ind w:left="140"/>
              <w:spacing w:after="0"/>
              <w:rPr>
                <w:sz w:val="20"/>
                <w:szCs w:val="20"/>
                <w:color w:val="auto"/>
              </w:rPr>
            </w:pPr>
            <w:r>
              <w:rPr>
                <w:rFonts w:ascii="Arial" w:cs="Arial" w:eastAsia="Arial" w:hAnsi="Arial"/>
                <w:sz w:val="16"/>
                <w:szCs w:val="16"/>
                <w:b w:val="1"/>
                <w:bCs w:val="1"/>
                <w:color w:val="auto"/>
              </w:rPr>
              <w:t>Retained Earnings:</w:t>
            </w: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000" w:type="dxa"/>
            <w:vAlign w:val="bottom"/>
            <w:gridSpan w:val="2"/>
          </w:tcPr>
          <w:p>
            <w:pPr>
              <w:ind w:left="140"/>
              <w:spacing w:after="0"/>
              <w:rPr>
                <w:sz w:val="20"/>
                <w:szCs w:val="20"/>
                <w:color w:val="auto"/>
              </w:rPr>
            </w:pPr>
            <w:r>
              <w:rPr>
                <w:rFonts w:ascii="Arial" w:cs="Arial" w:eastAsia="Arial" w:hAnsi="Arial"/>
                <w:sz w:val="16"/>
                <w:szCs w:val="16"/>
                <w:color w:val="auto"/>
                <w:w w:val="88"/>
              </w:rPr>
              <w:t xml:space="preserve">Net income (loss)  </w:t>
            </w:r>
            <w:r>
              <w:rPr>
                <w:rFonts w:ascii="Arial" w:cs="Arial" w:eastAsia="Arial" w:hAnsi="Arial"/>
                <w:sz w:val="16"/>
                <w:szCs w:val="16"/>
                <w:color w:val="B4B4B4"/>
                <w:w w:val="88"/>
              </w:rPr>
              <w:t>. . . . . . . . . . . . . . . . . . . . . . . . . . . . . . . . . . . . . . . . . . . . . . .</w:t>
            </w:r>
          </w:p>
        </w:tc>
        <w:tc>
          <w:tcPr>
            <w:tcW w:w="860" w:type="dxa"/>
            <w:vAlign w:val="bottom"/>
          </w:tcPr>
          <w:p>
            <w:pPr>
              <w:jc w:val="right"/>
              <w:spacing w:after="0"/>
              <w:rPr>
                <w:sz w:val="20"/>
                <w:szCs w:val="20"/>
                <w:color w:val="auto"/>
              </w:rPr>
            </w:pPr>
            <w:r>
              <w:rPr>
                <w:rFonts w:ascii="Arial" w:cs="Arial" w:eastAsia="Arial" w:hAnsi="Arial"/>
                <w:sz w:val="16"/>
                <w:szCs w:val="16"/>
                <w:color w:val="B4B4B4"/>
                <w:w w:val="89"/>
              </w:rPr>
              <w:t>. . . . . . . . . . .</w:t>
            </w:r>
          </w:p>
        </w:tc>
        <w:tc>
          <w:tcPr>
            <w:tcW w:w="340" w:type="dxa"/>
            <w:vAlign w:val="bottom"/>
          </w:tcPr>
          <w:p>
            <w:pPr>
              <w:jc w:val="right"/>
              <w:spacing w:after="0"/>
              <w:rPr>
                <w:sz w:val="20"/>
                <w:szCs w:val="20"/>
                <w:color w:val="auto"/>
              </w:rPr>
            </w:pPr>
            <w:r>
              <w:rPr>
                <w:rFonts w:ascii="Arial" w:cs="Arial" w:eastAsia="Arial" w:hAnsi="Arial"/>
                <w:sz w:val="16"/>
                <w:szCs w:val="16"/>
                <w:color w:val="B4B4B4"/>
                <w:w w:val="96"/>
              </w:rPr>
              <w:t>. . . .</w:t>
            </w:r>
          </w:p>
        </w:tc>
        <w:tc>
          <w:tcPr>
            <w:tcW w:w="400" w:type="dxa"/>
            <w:vAlign w:val="bottom"/>
            <w:gridSpan w:val="2"/>
          </w:tcPr>
          <w:p>
            <w:pPr>
              <w:ind w:left="20"/>
              <w:spacing w:after="0"/>
              <w:rPr>
                <w:sz w:val="20"/>
                <w:szCs w:val="20"/>
                <w:color w:val="auto"/>
              </w:rPr>
            </w:pPr>
            <w:r>
              <w:rPr>
                <w:rFonts w:ascii="Arial" w:cs="Arial" w:eastAsia="Arial" w:hAnsi="Arial"/>
                <w:sz w:val="16"/>
                <w:szCs w:val="16"/>
                <w:color w:val="B4B4B4"/>
              </w:rPr>
              <w:t xml:space="preserve">. .   </w:t>
            </w:r>
            <w:r>
              <w:rPr>
                <w:rFonts w:ascii="Arial" w:cs="Arial" w:eastAsia="Arial" w:hAnsi="Arial"/>
                <w:sz w:val="16"/>
                <w:szCs w:val="16"/>
                <w:color w:val="000000"/>
              </w:rPr>
              <w:t>$</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35"/>
              <w:spacing w:after="0"/>
              <w:rPr>
                <w:sz w:val="20"/>
                <w:szCs w:val="20"/>
                <w:color w:val="auto"/>
              </w:rPr>
            </w:pPr>
            <w:r>
              <w:rPr>
                <w:rFonts w:ascii="Arial" w:cs="Arial" w:eastAsia="Arial" w:hAnsi="Arial"/>
                <w:sz w:val="16"/>
                <w:szCs w:val="16"/>
                <w:color w:val="auto"/>
              </w:rPr>
              <w:t>4</w:t>
            </w:r>
          </w:p>
        </w:tc>
        <w:tc>
          <w:tcPr>
            <w:tcW w:w="420" w:type="dxa"/>
            <w:vAlign w:val="bottom"/>
          </w:tcPr>
          <w:p>
            <w:pPr>
              <w:jc w:val="center"/>
              <w:ind w:right="22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0"/>
        </w:trPr>
        <w:tc>
          <w:tcPr>
            <w:tcW w:w="5000" w:type="dxa"/>
            <w:vAlign w:val="bottom"/>
            <w:gridSpan w:val="2"/>
          </w:tcPr>
          <w:p>
            <w:pPr>
              <w:ind w:left="140"/>
              <w:spacing w:after="0"/>
              <w:rPr>
                <w:sz w:val="20"/>
                <w:szCs w:val="20"/>
                <w:color w:val="auto"/>
              </w:rPr>
            </w:pPr>
            <w:r>
              <w:rPr>
                <w:rFonts w:ascii="Arial" w:cs="Arial" w:eastAsia="Arial" w:hAnsi="Arial"/>
                <w:sz w:val="16"/>
                <w:szCs w:val="16"/>
                <w:color w:val="auto"/>
                <w:w w:val="88"/>
              </w:rPr>
              <w:t xml:space="preserve">Retained Earnings at March 31, 2025 </w:t>
            </w:r>
            <w:r>
              <w:rPr>
                <w:rFonts w:ascii="Arial" w:cs="Arial" w:eastAsia="Arial" w:hAnsi="Arial"/>
                <w:sz w:val="16"/>
                <w:szCs w:val="16"/>
                <w:color w:val="B4B4B4"/>
                <w:w w:val="88"/>
              </w:rPr>
              <w:t>. . . . . . . . . . . . . . . . . . . . . . . . . . . . . . . .</w:t>
            </w:r>
          </w:p>
        </w:tc>
        <w:tc>
          <w:tcPr>
            <w:tcW w:w="860" w:type="dxa"/>
            <w:vAlign w:val="bottom"/>
          </w:tcPr>
          <w:p>
            <w:pPr>
              <w:jc w:val="right"/>
              <w:spacing w:after="0"/>
              <w:rPr>
                <w:sz w:val="20"/>
                <w:szCs w:val="20"/>
                <w:color w:val="auto"/>
              </w:rPr>
            </w:pPr>
            <w:r>
              <w:rPr>
                <w:rFonts w:ascii="Arial" w:cs="Arial" w:eastAsia="Arial" w:hAnsi="Arial"/>
                <w:sz w:val="16"/>
                <w:szCs w:val="16"/>
                <w:color w:val="B4B4B4"/>
                <w:w w:val="89"/>
              </w:rPr>
              <w:t>. . . . . . . . . . .</w:t>
            </w:r>
          </w:p>
        </w:tc>
        <w:tc>
          <w:tcPr>
            <w:tcW w:w="340" w:type="dxa"/>
            <w:vAlign w:val="bottom"/>
          </w:tcPr>
          <w:p>
            <w:pPr>
              <w:jc w:val="right"/>
              <w:spacing w:after="0"/>
              <w:rPr>
                <w:sz w:val="20"/>
                <w:szCs w:val="20"/>
                <w:color w:val="auto"/>
              </w:rPr>
            </w:pPr>
            <w:r>
              <w:rPr>
                <w:rFonts w:ascii="Arial" w:cs="Arial" w:eastAsia="Arial" w:hAnsi="Arial"/>
                <w:sz w:val="16"/>
                <w:szCs w:val="16"/>
                <w:color w:val="B4B4B4"/>
                <w:w w:val="96"/>
              </w:rPr>
              <w:t>. . . .</w:t>
            </w:r>
          </w:p>
        </w:tc>
        <w:tc>
          <w:tcPr>
            <w:tcW w:w="400" w:type="dxa"/>
            <w:vAlign w:val="bottom"/>
            <w:gridSpan w:val="2"/>
          </w:tcPr>
          <w:p>
            <w:pPr>
              <w:ind w:left="20"/>
              <w:spacing w:after="0"/>
              <w:rPr>
                <w:sz w:val="20"/>
                <w:szCs w:val="20"/>
                <w:color w:val="auto"/>
              </w:rPr>
            </w:pPr>
            <w:r>
              <w:rPr>
                <w:rFonts w:ascii="Arial" w:cs="Arial" w:eastAsia="Arial" w:hAnsi="Arial"/>
                <w:sz w:val="16"/>
                <w:szCs w:val="16"/>
                <w:color w:val="B4B4B4"/>
              </w:rPr>
              <w:t xml:space="preserve">. .  </w:t>
            </w:r>
            <w:r>
              <w:rPr>
                <w:rFonts w:ascii="Arial" w:cs="Arial" w:eastAsia="Arial" w:hAnsi="Arial"/>
                <w:sz w:val="16"/>
                <w:szCs w:val="16"/>
                <w:color w:val="000000"/>
              </w:rPr>
              <w: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35"/>
              <w:spacing w:after="0"/>
              <w:rPr>
                <w:sz w:val="20"/>
                <w:szCs w:val="20"/>
                <w:color w:val="auto"/>
              </w:rPr>
            </w:pPr>
            <w:r>
              <w:rPr>
                <w:rFonts w:ascii="Arial" w:cs="Arial" w:eastAsia="Arial" w:hAnsi="Arial"/>
                <w:sz w:val="16"/>
                <w:szCs w:val="16"/>
                <w:color w:val="auto"/>
              </w:rPr>
              <w:t>207</w:t>
            </w:r>
          </w:p>
        </w:tc>
        <w:tc>
          <w:tcPr>
            <w:tcW w:w="420" w:type="dxa"/>
            <w:vAlign w:val="bottom"/>
          </w:tcPr>
          <w:p>
            <w:pPr>
              <w:jc w:val="center"/>
              <w:ind w:right="22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50"/>
        </w:trPr>
        <w:tc>
          <w:tcPr>
            <w:tcW w:w="4520" w:type="dxa"/>
            <w:vAlign w:val="bottom"/>
          </w:tcPr>
          <w:p>
            <w:pPr>
              <w:ind w:left="140"/>
              <w:spacing w:after="0"/>
              <w:rPr>
                <w:sz w:val="20"/>
                <w:szCs w:val="20"/>
                <w:color w:val="auto"/>
              </w:rPr>
            </w:pPr>
            <w:r>
              <w:rPr>
                <w:rFonts w:ascii="Arial" w:cs="Arial" w:eastAsia="Arial" w:hAnsi="Arial"/>
                <w:sz w:val="16"/>
                <w:szCs w:val="16"/>
                <w:b w:val="1"/>
                <w:bCs w:val="1"/>
                <w:color w:val="auto"/>
              </w:rPr>
              <w:t>Noncontrolling Interest:</w:t>
            </w: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gridSpan w:val="2"/>
          </w:tcPr>
          <w:p>
            <w:pPr>
              <w:ind w:left="140"/>
              <w:spacing w:after="0"/>
              <w:rPr>
                <w:sz w:val="20"/>
                <w:szCs w:val="20"/>
                <w:color w:val="auto"/>
              </w:rPr>
            </w:pPr>
            <w:r>
              <w:rPr>
                <w:rFonts w:ascii="Arial" w:cs="Arial" w:eastAsia="Arial" w:hAnsi="Arial"/>
                <w:sz w:val="16"/>
                <w:szCs w:val="16"/>
                <w:color w:val="auto"/>
                <w:w w:val="88"/>
              </w:rPr>
              <w:t xml:space="preserve">Net loss </w:t>
            </w:r>
            <w:r>
              <w:rPr>
                <w:rFonts w:ascii="Arial" w:cs="Arial" w:eastAsia="Arial" w:hAnsi="Arial"/>
                <w:sz w:val="16"/>
                <w:szCs w:val="16"/>
                <w:color w:val="B4B4B4"/>
                <w:w w:val="88"/>
              </w:rPr>
              <w:t>. . . . . . . . . . . . . . . . . . . . . . . . . . . . . . . . . . . . . . . . . . . . . . . . . . . . . . .</w:t>
            </w:r>
          </w:p>
        </w:tc>
        <w:tc>
          <w:tcPr>
            <w:tcW w:w="860" w:type="dxa"/>
            <w:vAlign w:val="bottom"/>
          </w:tcPr>
          <w:p>
            <w:pPr>
              <w:jc w:val="right"/>
              <w:spacing w:after="0"/>
              <w:rPr>
                <w:sz w:val="20"/>
                <w:szCs w:val="20"/>
                <w:color w:val="auto"/>
              </w:rPr>
            </w:pPr>
            <w:r>
              <w:rPr>
                <w:rFonts w:ascii="Arial" w:cs="Arial" w:eastAsia="Arial" w:hAnsi="Arial"/>
                <w:sz w:val="16"/>
                <w:szCs w:val="16"/>
                <w:color w:val="B4B4B4"/>
                <w:w w:val="89"/>
              </w:rPr>
              <w:t>. . . . . . . . . . .</w:t>
            </w:r>
          </w:p>
        </w:tc>
        <w:tc>
          <w:tcPr>
            <w:tcW w:w="340" w:type="dxa"/>
            <w:vAlign w:val="bottom"/>
          </w:tcPr>
          <w:p>
            <w:pPr>
              <w:jc w:val="right"/>
              <w:spacing w:after="0"/>
              <w:rPr>
                <w:sz w:val="20"/>
                <w:szCs w:val="20"/>
                <w:color w:val="auto"/>
              </w:rPr>
            </w:pPr>
            <w:r>
              <w:rPr>
                <w:rFonts w:ascii="Arial" w:cs="Arial" w:eastAsia="Arial" w:hAnsi="Arial"/>
                <w:sz w:val="16"/>
                <w:szCs w:val="16"/>
                <w:color w:val="B4B4B4"/>
                <w:w w:val="96"/>
              </w:rPr>
              <w:t>. . . .</w:t>
            </w:r>
          </w:p>
        </w:tc>
        <w:tc>
          <w:tcPr>
            <w:tcW w:w="400" w:type="dxa"/>
            <w:vAlign w:val="bottom"/>
            <w:gridSpan w:val="2"/>
          </w:tcPr>
          <w:p>
            <w:pPr>
              <w:ind w:left="20"/>
              <w:spacing w:after="0"/>
              <w:rPr>
                <w:sz w:val="20"/>
                <w:szCs w:val="20"/>
                <w:color w:val="auto"/>
              </w:rPr>
            </w:pPr>
            <w:r>
              <w:rPr>
                <w:rFonts w:ascii="Arial" w:cs="Arial" w:eastAsia="Arial" w:hAnsi="Arial"/>
                <w:sz w:val="16"/>
                <w:szCs w:val="16"/>
                <w:color w:val="B4B4B4"/>
              </w:rPr>
              <w:t xml:space="preserve">. .  </w:t>
            </w:r>
            <w:r>
              <w:rPr>
                <w:rFonts w:ascii="Arial" w:cs="Arial" w:eastAsia="Arial" w:hAnsi="Arial"/>
                <w:sz w:val="16"/>
                <w:szCs w:val="16"/>
                <w:color w:val="000000"/>
              </w:rPr>
              <w: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420" w:type="dxa"/>
            <w:vAlign w:val="bottom"/>
          </w:tcPr>
          <w:p>
            <w:pPr>
              <w:jc w:val="center"/>
              <w:ind w:right="22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50"/>
        </w:trPr>
        <w:tc>
          <w:tcPr>
            <w:tcW w:w="5000" w:type="dxa"/>
            <w:vAlign w:val="bottom"/>
            <w:gridSpan w:val="2"/>
          </w:tcPr>
          <w:p>
            <w:pPr>
              <w:ind w:left="140"/>
              <w:spacing w:after="0"/>
              <w:rPr>
                <w:sz w:val="20"/>
                <w:szCs w:val="20"/>
                <w:color w:val="auto"/>
              </w:rPr>
            </w:pPr>
            <w:r>
              <w:rPr>
                <w:rFonts w:ascii="Arial" w:cs="Arial" w:eastAsia="Arial" w:hAnsi="Arial"/>
                <w:sz w:val="16"/>
                <w:szCs w:val="16"/>
                <w:color w:val="auto"/>
                <w:w w:val="89"/>
              </w:rPr>
              <w:t xml:space="preserve">Noncontrolling Interest at March 31, 2025 </w:t>
            </w:r>
            <w:r>
              <w:rPr>
                <w:rFonts w:ascii="Arial" w:cs="Arial" w:eastAsia="Arial" w:hAnsi="Arial"/>
                <w:sz w:val="16"/>
                <w:szCs w:val="16"/>
                <w:color w:val="B4B4B4"/>
                <w:w w:val="89"/>
              </w:rPr>
              <w:t>. . . . . . . . . . . . . . . . . . . . . . . . . . . .</w:t>
            </w:r>
          </w:p>
        </w:tc>
        <w:tc>
          <w:tcPr>
            <w:tcW w:w="860" w:type="dxa"/>
            <w:vAlign w:val="bottom"/>
          </w:tcPr>
          <w:p>
            <w:pPr>
              <w:jc w:val="right"/>
              <w:spacing w:after="0"/>
              <w:rPr>
                <w:sz w:val="20"/>
                <w:szCs w:val="20"/>
                <w:color w:val="auto"/>
              </w:rPr>
            </w:pPr>
            <w:r>
              <w:rPr>
                <w:rFonts w:ascii="Arial" w:cs="Arial" w:eastAsia="Arial" w:hAnsi="Arial"/>
                <w:sz w:val="16"/>
                <w:szCs w:val="16"/>
                <w:color w:val="B4B4B4"/>
                <w:w w:val="89"/>
              </w:rPr>
              <w:t>. . . . . . . . . . .</w:t>
            </w:r>
          </w:p>
        </w:tc>
        <w:tc>
          <w:tcPr>
            <w:tcW w:w="340" w:type="dxa"/>
            <w:vAlign w:val="bottom"/>
          </w:tcPr>
          <w:p>
            <w:pPr>
              <w:jc w:val="right"/>
              <w:spacing w:after="0"/>
              <w:rPr>
                <w:sz w:val="20"/>
                <w:szCs w:val="20"/>
                <w:color w:val="auto"/>
              </w:rPr>
            </w:pPr>
            <w:r>
              <w:rPr>
                <w:rFonts w:ascii="Arial" w:cs="Arial" w:eastAsia="Arial" w:hAnsi="Arial"/>
                <w:sz w:val="16"/>
                <w:szCs w:val="16"/>
                <w:color w:val="B4B4B4"/>
                <w:w w:val="96"/>
              </w:rPr>
              <w:t>. . . .</w:t>
            </w:r>
          </w:p>
        </w:tc>
        <w:tc>
          <w:tcPr>
            <w:tcW w:w="400" w:type="dxa"/>
            <w:vAlign w:val="bottom"/>
            <w:gridSpan w:val="2"/>
          </w:tcPr>
          <w:p>
            <w:pPr>
              <w:ind w:left="20"/>
              <w:spacing w:after="0"/>
              <w:rPr>
                <w:sz w:val="20"/>
                <w:szCs w:val="20"/>
                <w:color w:val="auto"/>
              </w:rPr>
            </w:pPr>
            <w:r>
              <w:rPr>
                <w:rFonts w:ascii="Arial" w:cs="Arial" w:eastAsia="Arial" w:hAnsi="Arial"/>
                <w:sz w:val="16"/>
                <w:szCs w:val="16"/>
                <w:color w:val="B4B4B4"/>
              </w:rPr>
              <w:t xml:space="preserve">. .  </w:t>
            </w:r>
            <w:r>
              <w:rPr>
                <w:rFonts w:ascii="Arial" w:cs="Arial" w:eastAsia="Arial" w:hAnsi="Arial"/>
                <w:sz w:val="16"/>
                <w:szCs w:val="16"/>
                <w:color w:val="000000"/>
              </w:rPr>
              <w:t>$</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35"/>
              <w:spacing w:after="0"/>
              <w:rPr>
                <w:sz w:val="20"/>
                <w:szCs w:val="20"/>
                <w:color w:val="auto"/>
              </w:rPr>
            </w:pPr>
            <w:r>
              <w:rPr>
                <w:rFonts w:ascii="Arial" w:cs="Arial" w:eastAsia="Arial" w:hAnsi="Arial"/>
                <w:sz w:val="16"/>
                <w:szCs w:val="16"/>
                <w:color w:val="auto"/>
              </w:rPr>
              <w:t>3,477</w:t>
            </w:r>
          </w:p>
        </w:tc>
        <w:tc>
          <w:tcPr>
            <w:tcW w:w="420" w:type="dxa"/>
            <w:vAlign w:val="bottom"/>
          </w:tcPr>
          <w:p>
            <w:pPr>
              <w:jc w:val="center"/>
              <w:ind w:right="22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3,484</w:t>
            </w:r>
          </w:p>
        </w:tc>
        <w:tc>
          <w:tcPr>
            <w:tcW w:w="0" w:type="dxa"/>
            <w:vAlign w:val="bottom"/>
          </w:tcPr>
          <w:p>
            <w:pPr>
              <w:spacing w:after="0"/>
              <w:rPr>
                <w:sz w:val="1"/>
                <w:szCs w:val="1"/>
                <w:color w:val="auto"/>
              </w:rPr>
            </w:pPr>
          </w:p>
        </w:tc>
      </w:tr>
      <w:tr>
        <w:trPr>
          <w:trHeight w:val="502"/>
        </w:trPr>
        <w:tc>
          <w:tcPr>
            <w:tcW w:w="45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w w:val="90"/>
              </w:rPr>
              <w:t>Three months ended June 30, 2025</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2"/>
                <w:szCs w:val="12"/>
                <w:b w:val="1"/>
                <w:bCs w:val="1"/>
                <w:color w:val="auto"/>
              </w:rPr>
              <w:t>Six months ended June 30, 2025</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520" w:type="dxa"/>
            <w:vAlign w:val="bottom"/>
          </w:tcPr>
          <w:p>
            <w:pPr>
              <w:spacing w:after="0"/>
              <w:rPr>
                <w:sz w:val="20"/>
                <w:szCs w:val="20"/>
                <w:color w:val="auto"/>
              </w:rPr>
            </w:pPr>
            <w:r>
              <w:rPr>
                <w:rFonts w:ascii="Arial" w:cs="Arial" w:eastAsia="Arial" w:hAnsi="Arial"/>
                <w:sz w:val="12"/>
                <w:szCs w:val="12"/>
                <w:b w:val="1"/>
                <w:bCs w:val="1"/>
                <w:color w:val="auto"/>
              </w:rPr>
              <w:t>(in millions, except per share amount)</w:t>
            </w: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3"/>
              </w:rPr>
              <w:t>As Previously Reported</w:t>
            </w: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w w:val="96"/>
              </w:rPr>
              <w:t>Adjustments</w:t>
            </w: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9"/>
              </w:rPr>
              <w:t>As Revised</w:t>
            </w:r>
          </w:p>
        </w:tc>
        <w:tc>
          <w:tcPr>
            <w:tcW w:w="80" w:type="dxa"/>
            <w:vAlign w:val="bottom"/>
          </w:tcPr>
          <w:p>
            <w:pPr>
              <w:spacing w:after="0"/>
              <w:rPr>
                <w:sz w:val="17"/>
                <w:szCs w:val="17"/>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0"/>
              </w:rPr>
              <w:t>As Previously Reported</w:t>
            </w: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w w:val="93"/>
              </w:rPr>
              <w:t>Adjustments</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As Revised</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2"/>
                <w:szCs w:val="12"/>
                <w:b w:val="1"/>
                <w:bCs w:val="1"/>
                <w:color w:val="auto"/>
              </w:rPr>
              <w:t>(Unaudited)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gridSpan w:val="3"/>
          </w:tcPr>
          <w:p>
            <w:pPr>
              <w:jc w:val="right"/>
              <w:ind w:right="86"/>
              <w:spacing w:after="0"/>
              <w:rPr>
                <w:sz w:val="20"/>
                <w:szCs w:val="20"/>
                <w:color w:val="auto"/>
              </w:rPr>
            </w:pPr>
            <w:r>
              <w:rPr>
                <w:rFonts w:ascii="Arial" w:cs="Arial" w:eastAsia="Arial" w:hAnsi="Arial"/>
                <w:sz w:val="12"/>
                <w:szCs w:val="12"/>
                <w:b w:val="1"/>
                <w:bCs w:val="1"/>
                <w:color w:val="auto"/>
              </w:rPr>
              <w:t>(Unaudited)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2"/>
                <w:szCs w:val="12"/>
                <w:b w:val="1"/>
                <w:bCs w:val="1"/>
                <w:color w:val="auto"/>
              </w:rPr>
              <w:t>Consolidated Statement of Operations</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color w:val="auto"/>
                <w:w w:val="91"/>
              </w:rPr>
              <w:t xml:space="preserve">Net loss attributable to noncontrolling interests and redeemable noncontrolling interests </w:t>
            </w:r>
            <w:r>
              <w:rPr>
                <w:rFonts w:ascii="Arial" w:cs="Arial" w:eastAsia="Arial" w:hAnsi="Arial"/>
                <w:sz w:val="12"/>
                <w:szCs w:val="12"/>
                <w:color w:val="B4B4B4"/>
                <w:w w:val="91"/>
              </w:rPr>
              <w:t>. .</w:t>
            </w:r>
          </w:p>
        </w:tc>
        <w:tc>
          <w:tcPr>
            <w:tcW w:w="480" w:type="dxa"/>
            <w:vAlign w:val="bottom"/>
          </w:tcPr>
          <w:p>
            <w:pPr>
              <w:ind w:left="6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3"/>
              <w:spacing w:after="0"/>
              <w:rPr>
                <w:sz w:val="20"/>
                <w:szCs w:val="20"/>
                <w:color w:val="auto"/>
              </w:rPr>
            </w:pPr>
            <w:r>
              <w:rPr>
                <w:rFonts w:ascii="Arial" w:cs="Arial" w:eastAsia="Arial" w:hAnsi="Arial"/>
                <w:sz w:val="12"/>
                <w:szCs w:val="12"/>
                <w:color w:val="auto"/>
              </w:rPr>
              <w:t>(21)</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22"/>
              <w:spacing w:after="0"/>
              <w:rPr>
                <w:sz w:val="20"/>
                <w:szCs w:val="20"/>
                <w:color w:val="auto"/>
              </w:rPr>
            </w:pPr>
            <w:r>
              <w:rPr>
                <w:rFonts w:ascii="Arial" w:cs="Arial" w:eastAsia="Arial" w:hAnsi="Arial"/>
                <w:sz w:val="12"/>
                <w:szCs w:val="12"/>
                <w:color w:val="auto"/>
              </w:rPr>
              <w:t>3</w:t>
            </w: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(18)</w:t>
            </w:r>
          </w:p>
        </w:tc>
        <w:tc>
          <w:tcPr>
            <w:tcW w:w="9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(129)</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9"/>
                <w:szCs w:val="19"/>
                <w:color w:val="auto"/>
              </w:rPr>
            </w:pPr>
          </w:p>
        </w:tc>
        <w:tc>
          <w:tcPr>
            <w:tcW w:w="220" w:type="dxa"/>
            <w:vAlign w:val="bottom"/>
          </w:tcPr>
          <w:p>
            <w:pPr>
              <w:jc w:val="right"/>
              <w:ind w:right="5"/>
              <w:spacing w:after="0"/>
              <w:rPr>
                <w:sz w:val="20"/>
                <w:szCs w:val="20"/>
                <w:color w:val="auto"/>
              </w:rPr>
            </w:pPr>
            <w:r>
              <w:rPr>
                <w:rFonts w:ascii="Arial" w:cs="Arial" w:eastAsia="Arial" w:hAnsi="Arial"/>
                <w:sz w:val="12"/>
                <w:szCs w:val="12"/>
                <w:color w:val="auto"/>
                <w:w w:val="89"/>
              </w:rPr>
              <w:t>10</w:t>
            </w:r>
          </w:p>
        </w:tc>
        <w:tc>
          <w:tcPr>
            <w:tcW w:w="1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1"/>
              </w:rPr>
              <w:t xml:space="preserve">Net income attributable to Clearway Energy, Inc. </w:t>
            </w:r>
            <w:r>
              <w:rPr>
                <w:rFonts w:ascii="Arial" w:cs="Arial" w:eastAsia="Arial" w:hAnsi="Arial"/>
                <w:sz w:val="12"/>
                <w:szCs w:val="12"/>
                <w:color w:val="B4B4B4"/>
                <w:w w:val="91"/>
              </w:rPr>
              <w:t>. . . . . . . . . . . . . . . . . . . . . . . . . . . . . . . . .</w:t>
            </w:r>
          </w:p>
        </w:tc>
        <w:tc>
          <w:tcPr>
            <w:tcW w:w="4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33</w:t>
            </w: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ind w:right="9"/>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0"/>
              </w:rPr>
              <w:t xml:space="preserve">Earnings per weighted average Class A and Class C common share - basic and diluted </w:t>
            </w:r>
            <w:r>
              <w:rPr>
                <w:rFonts w:ascii="Arial" w:cs="Arial" w:eastAsia="Arial" w:hAnsi="Arial"/>
                <w:sz w:val="12"/>
                <w:szCs w:val="12"/>
                <w:color w:val="B4B4B4"/>
                <w:w w:val="90"/>
              </w:rPr>
              <w:t>. . .</w:t>
            </w:r>
          </w:p>
        </w:tc>
        <w:tc>
          <w:tcPr>
            <w:tcW w:w="480" w:type="dxa"/>
            <w:vAlign w:val="bottom"/>
          </w:tcPr>
          <w:p>
            <w:pPr>
              <w:ind w:left="6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0.28</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(0.03)</w:t>
            </w: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0.25</w:t>
            </w:r>
          </w:p>
        </w:tc>
        <w:tc>
          <w:tcPr>
            <w:tcW w:w="9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9"/>
              <w:spacing w:after="0"/>
              <w:rPr>
                <w:sz w:val="20"/>
                <w:szCs w:val="20"/>
                <w:color w:val="auto"/>
              </w:rPr>
            </w:pPr>
            <w:r>
              <w:rPr>
                <w:rFonts w:ascii="Arial" w:cs="Arial" w:eastAsia="Arial" w:hAnsi="Arial"/>
                <w:sz w:val="12"/>
                <w:szCs w:val="12"/>
                <w:color w:val="auto"/>
              </w:rPr>
              <w:t>0.31</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(0.08)</w:t>
            </w:r>
          </w:p>
        </w:tc>
        <w:tc>
          <w:tcPr>
            <w:tcW w:w="1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2"/>
                <w:szCs w:val="12"/>
                <w:b w:val="1"/>
                <w:bCs w:val="1"/>
                <w:color w:val="auto"/>
              </w:rPr>
              <w:t>Consolidated Statement of Comprehensive Income</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520" w:type="dxa"/>
            <w:vAlign w:val="bottom"/>
          </w:tcPr>
          <w:p>
            <w:pPr>
              <w:ind w:left="140"/>
              <w:spacing w:after="0"/>
              <w:rPr>
                <w:sz w:val="20"/>
                <w:szCs w:val="20"/>
                <w:color w:val="auto"/>
              </w:rPr>
            </w:pPr>
            <w:r>
              <w:rPr>
                <w:rFonts w:ascii="Arial" w:cs="Arial" w:eastAsia="Arial" w:hAnsi="Arial"/>
                <w:sz w:val="12"/>
                <w:szCs w:val="12"/>
                <w:color w:val="auto"/>
              </w:rPr>
              <w:t>Comprehensive loss attributable to noncontrolling interests and redeemable</w:t>
            </w:r>
          </w:p>
        </w:tc>
        <w:tc>
          <w:tcPr>
            <w:tcW w:w="48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860" w:type="dxa"/>
            <w:vAlign w:val="bottom"/>
            <w:vMerge w:val="restart"/>
          </w:tcPr>
          <w:p>
            <w:pPr>
              <w:jc w:val="right"/>
              <w:ind w:right="13"/>
              <w:spacing w:after="0"/>
              <w:rPr>
                <w:sz w:val="20"/>
                <w:szCs w:val="20"/>
                <w:color w:val="auto"/>
              </w:rPr>
            </w:pPr>
            <w:r>
              <w:rPr>
                <w:rFonts w:ascii="Arial" w:cs="Arial" w:eastAsia="Arial" w:hAnsi="Arial"/>
                <w:sz w:val="12"/>
                <w:szCs w:val="12"/>
                <w:color w:val="auto"/>
              </w:rPr>
              <w:t>(30)</w:t>
            </w:r>
          </w:p>
        </w:tc>
        <w:tc>
          <w:tcPr>
            <w:tcW w:w="340" w:type="dxa"/>
            <w:vAlign w:val="bottom"/>
            <w:vMerge w:val="restart"/>
          </w:tcPr>
          <w:p>
            <w:pPr>
              <w:spacing w:after="0"/>
              <w:rPr>
                <w:sz w:val="20"/>
                <w:szCs w:val="20"/>
                <w:color w:val="auto"/>
              </w:rPr>
            </w:pPr>
            <w:r>
              <w:rPr>
                <w:rFonts w:ascii="Arial" w:cs="Arial" w:eastAsia="Arial" w:hAnsi="Arial"/>
                <w:sz w:val="12"/>
                <w:szCs w:val="12"/>
                <w:color w:val="auto"/>
              </w:rPr>
              <w:t>$</w:t>
            </w:r>
          </w:p>
        </w:tc>
        <w:tc>
          <w:tcPr>
            <w:tcW w:w="400" w:type="dxa"/>
            <w:vAlign w:val="bottom"/>
            <w:gridSpan w:val="2"/>
            <w:vMerge w:val="restart"/>
          </w:tcPr>
          <w:p>
            <w:pPr>
              <w:jc w:val="right"/>
              <w:ind w:right="22"/>
              <w:spacing w:after="0"/>
              <w:rPr>
                <w:sz w:val="20"/>
                <w:szCs w:val="20"/>
                <w:color w:val="auto"/>
              </w:rPr>
            </w:pPr>
            <w:r>
              <w:rPr>
                <w:rFonts w:ascii="Arial" w:cs="Arial" w:eastAsia="Arial" w:hAnsi="Arial"/>
                <w:sz w:val="12"/>
                <w:szCs w:val="12"/>
                <w:color w:val="auto"/>
              </w:rPr>
              <w:t>3</w:t>
            </w:r>
          </w:p>
        </w:tc>
        <w:tc>
          <w:tcPr>
            <w:tcW w:w="2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(27)</w:t>
            </w:r>
          </w:p>
        </w:tc>
        <w:tc>
          <w:tcPr>
            <w:tcW w:w="96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(141)</w:t>
            </w:r>
          </w:p>
        </w:tc>
        <w:tc>
          <w:tcPr>
            <w:tcW w:w="120" w:type="dxa"/>
            <w:vAlign w:val="bottom"/>
            <w:vMerge w:val="restart"/>
          </w:tcPr>
          <w:p>
            <w:pPr>
              <w:ind w:left="40"/>
              <w:spacing w:after="0"/>
              <w:rPr>
                <w:sz w:val="20"/>
                <w:szCs w:val="20"/>
                <w:color w:val="auto"/>
              </w:rPr>
            </w:pPr>
            <w:r>
              <w:rPr>
                <w:rFonts w:ascii="Arial" w:cs="Arial" w:eastAsia="Arial" w:hAnsi="Arial"/>
                <w:sz w:val="12"/>
                <w:szCs w:val="12"/>
                <w:color w:val="auto"/>
                <w:w w:val="89"/>
              </w:rPr>
              <w:t>$</w:t>
            </w:r>
          </w:p>
        </w:tc>
        <w:tc>
          <w:tcPr>
            <w:tcW w:w="420" w:type="dxa"/>
            <w:vAlign w:val="bottom"/>
          </w:tcPr>
          <w:p>
            <w:pPr>
              <w:spacing w:after="0"/>
              <w:rPr>
                <w:sz w:val="16"/>
                <w:szCs w:val="16"/>
                <w:color w:val="auto"/>
              </w:rPr>
            </w:pPr>
          </w:p>
        </w:tc>
        <w:tc>
          <w:tcPr>
            <w:tcW w:w="220" w:type="dxa"/>
            <w:vAlign w:val="bottom"/>
            <w:vMerge w:val="restart"/>
          </w:tcPr>
          <w:p>
            <w:pPr>
              <w:jc w:val="right"/>
              <w:ind w:right="5"/>
              <w:spacing w:after="0"/>
              <w:rPr>
                <w:sz w:val="20"/>
                <w:szCs w:val="20"/>
                <w:color w:val="auto"/>
              </w:rPr>
            </w:pPr>
            <w:r>
              <w:rPr>
                <w:rFonts w:ascii="Arial" w:cs="Arial" w:eastAsia="Arial" w:hAnsi="Arial"/>
                <w:sz w:val="12"/>
                <w:szCs w:val="12"/>
                <w:color w:val="auto"/>
                <w:w w:val="89"/>
              </w:rPr>
              <w:t>10</w:t>
            </w:r>
          </w:p>
        </w:tc>
        <w:tc>
          <w:tcPr>
            <w:tcW w:w="16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(131)</w:t>
            </w:r>
          </w:p>
        </w:tc>
        <w:tc>
          <w:tcPr>
            <w:tcW w:w="0" w:type="dxa"/>
            <w:vAlign w:val="bottom"/>
          </w:tcPr>
          <w:p>
            <w:pPr>
              <w:spacing w:after="0"/>
              <w:rPr>
                <w:sz w:val="1"/>
                <w:szCs w:val="1"/>
                <w:color w:val="auto"/>
              </w:rPr>
            </w:pPr>
          </w:p>
        </w:tc>
      </w:tr>
      <w:tr>
        <w:trPr>
          <w:trHeight w:val="151"/>
        </w:trPr>
        <w:tc>
          <w:tcPr>
            <w:tcW w:w="4520" w:type="dxa"/>
            <w:vAlign w:val="bottom"/>
          </w:tcPr>
          <w:p>
            <w:pPr>
              <w:ind w:left="320"/>
              <w:spacing w:after="0"/>
              <w:rPr>
                <w:sz w:val="20"/>
                <w:szCs w:val="20"/>
                <w:color w:val="auto"/>
              </w:rPr>
            </w:pPr>
            <w:r>
              <w:rPr>
                <w:rFonts w:ascii="Arial" w:cs="Arial" w:eastAsia="Arial" w:hAnsi="Arial"/>
                <w:sz w:val="12"/>
                <w:szCs w:val="12"/>
                <w:color w:val="auto"/>
                <w:w w:val="91"/>
              </w:rPr>
              <w:t xml:space="preserve">noncontrolling interests </w:t>
            </w:r>
            <w:r>
              <w:rPr>
                <w:rFonts w:ascii="Arial" w:cs="Arial" w:eastAsia="Arial" w:hAnsi="Arial"/>
                <w:sz w:val="12"/>
                <w:szCs w:val="12"/>
                <w:color w:val="B4B4B4"/>
                <w:w w:val="91"/>
              </w:rPr>
              <w:t>. . . . . . . . . . . . . . . . . . . . . . . . . . . . . . . . . . . . . . . . . . . . . . . . . .</w:t>
            </w:r>
          </w:p>
        </w:tc>
        <w:tc>
          <w:tcPr>
            <w:tcW w:w="4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1"/>
              </w:rPr>
              <w:t xml:space="preserve">Comprehensive income attributable to Clearway Energy, Inc. </w:t>
            </w:r>
            <w:r>
              <w:rPr>
                <w:rFonts w:ascii="Arial" w:cs="Arial" w:eastAsia="Arial" w:hAnsi="Arial"/>
                <w:sz w:val="12"/>
                <w:szCs w:val="12"/>
                <w:color w:val="B4B4B4"/>
                <w:w w:val="91"/>
              </w:rPr>
              <w:t>. . . . . . . . . . . . . . . . . . . . . . .</w:t>
            </w:r>
          </w:p>
        </w:tc>
        <w:tc>
          <w:tcPr>
            <w:tcW w:w="480" w:type="dxa"/>
            <w:vAlign w:val="bottom"/>
          </w:tcPr>
          <w:p>
            <w:pPr>
              <w:ind w:left="6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29</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26</w:t>
            </w:r>
          </w:p>
        </w:tc>
        <w:tc>
          <w:tcPr>
            <w:tcW w:w="9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9"/>
              <w:spacing w:after="0"/>
              <w:rPr>
                <w:sz w:val="20"/>
                <w:szCs w:val="20"/>
                <w:color w:val="auto"/>
              </w:rPr>
            </w:pPr>
            <w:r>
              <w:rPr>
                <w:rFonts w:ascii="Arial" w:cs="Arial" w:eastAsia="Arial" w:hAnsi="Arial"/>
                <w:sz w:val="12"/>
                <w:szCs w:val="12"/>
                <w:color w:val="auto"/>
              </w:rPr>
              <w:t>31</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1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2"/>
                <w:szCs w:val="12"/>
                <w:b w:val="1"/>
                <w:bCs w:val="1"/>
                <w:color w:val="auto"/>
              </w:rPr>
              <w:t>Consolidated Balance Sheet (As of June 30, 2025)</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color w:val="auto"/>
                <w:w w:val="90"/>
              </w:rPr>
              <w:t xml:space="preserve">Redeemable noncontrolling interest in subsidiaries </w:t>
            </w:r>
            <w:r>
              <w:rPr>
                <w:rFonts w:ascii="Arial" w:cs="Arial" w:eastAsia="Arial" w:hAnsi="Arial"/>
                <w:sz w:val="12"/>
                <w:szCs w:val="12"/>
                <w:color w:val="B4B4B4"/>
                <w:w w:val="90"/>
              </w:rPr>
              <w:t>. . . . . . . . . . . . . . . . . . . . . . . . . . . . . . . .</w:t>
            </w:r>
          </w:p>
        </w:tc>
        <w:tc>
          <w:tcPr>
            <w:tcW w:w="480" w:type="dxa"/>
            <w:vAlign w:val="bottom"/>
          </w:tcPr>
          <w:p>
            <w:pPr>
              <w:ind w:left="6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38</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22"/>
              <w:spacing w:after="0"/>
              <w:rPr>
                <w:sz w:val="20"/>
                <w:szCs w:val="20"/>
                <w:color w:val="auto"/>
              </w:rPr>
            </w:pPr>
            <w:r>
              <w:rPr>
                <w:rFonts w:ascii="Arial" w:cs="Arial" w:eastAsia="Arial" w:hAnsi="Arial"/>
                <w:sz w:val="12"/>
                <w:szCs w:val="12"/>
                <w:color w:val="auto"/>
              </w:rPr>
              <w:t>7</w:t>
            </w: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0"/>
              </w:rPr>
              <w:t xml:space="preserve">Retained earnings </w:t>
            </w:r>
            <w:r>
              <w:rPr>
                <w:rFonts w:ascii="Arial" w:cs="Arial" w:eastAsia="Arial" w:hAnsi="Arial"/>
                <w:sz w:val="12"/>
                <w:szCs w:val="12"/>
                <w:color w:val="B4B4B4"/>
                <w:w w:val="90"/>
              </w:rPr>
              <w:t>. . . . . . . . . . . . . . . . . . . . . . . . . . . . . . . . . . . . . . . . . . . . . . . . . . . . . . . . . .</w:t>
            </w:r>
          </w:p>
        </w:tc>
        <w:tc>
          <w:tcPr>
            <w:tcW w:w="4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188</w:t>
            </w:r>
          </w:p>
        </w:tc>
        <w:tc>
          <w:tcPr>
            <w:tcW w:w="3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178</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1"/>
              </w:rPr>
              <w:t xml:space="preserve">Noncontrolling interest  </w:t>
            </w:r>
            <w:r>
              <w:rPr>
                <w:rFonts w:ascii="Arial" w:cs="Arial" w:eastAsia="Arial" w:hAnsi="Arial"/>
                <w:sz w:val="12"/>
                <w:szCs w:val="12"/>
                <w:color w:val="B4B4B4"/>
                <w:w w:val="91"/>
              </w:rPr>
              <w:t>. . . . . . . . . . . . . . . . . . . . . . . . . . . . . . . . . . . . . . . . . . . . . . . . . . . . .</w:t>
            </w:r>
          </w:p>
        </w:tc>
        <w:tc>
          <w:tcPr>
            <w:tcW w:w="4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3,693</w:t>
            </w:r>
          </w:p>
        </w:tc>
        <w:tc>
          <w:tcPr>
            <w:tcW w:w="340" w:type="dxa"/>
            <w:vAlign w:val="bottom"/>
          </w:tcPr>
          <w:p>
            <w:pPr>
              <w:spacing w:after="0"/>
              <w:rPr>
                <w:sz w:val="19"/>
                <w:szCs w:val="19"/>
                <w:color w:val="auto"/>
              </w:rPr>
            </w:pPr>
          </w:p>
        </w:tc>
        <w:tc>
          <w:tcPr>
            <w:tcW w:w="400" w:type="dxa"/>
            <w:vAlign w:val="bottom"/>
            <w:gridSpan w:val="2"/>
          </w:tcPr>
          <w:p>
            <w:pPr>
              <w:jc w:val="right"/>
              <w:ind w:right="22"/>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3,696</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color w:val="auto"/>
                <w:w w:val="92"/>
              </w:rPr>
              <w:t xml:space="preserve">Total Stockholders’ Equity </w:t>
            </w:r>
            <w:r>
              <w:rPr>
                <w:rFonts w:ascii="Arial" w:cs="Arial" w:eastAsia="Arial" w:hAnsi="Arial"/>
                <w:sz w:val="12"/>
                <w:szCs w:val="12"/>
                <w:color w:val="B4B4B4"/>
                <w:w w:val="92"/>
              </w:rPr>
              <w:t>. . . . . . . . . . . . . . . . . . . . . . . . . . . . . . . . . . . . . . . . . . . . . . . . . .</w:t>
            </w:r>
          </w:p>
        </w:tc>
        <w:tc>
          <w:tcPr>
            <w:tcW w:w="480" w:type="dxa"/>
            <w:vAlign w:val="bottom"/>
          </w:tcPr>
          <w:p>
            <w:pPr>
              <w:ind w:left="6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5,542</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(7)</w:t>
            </w: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5,535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2"/>
                <w:szCs w:val="12"/>
                <w:b w:val="1"/>
                <w:bCs w:val="1"/>
                <w:color w:val="auto"/>
              </w:rPr>
              <w:t>Consolidated Statements of Stockholders’ Equity</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b w:val="1"/>
                <w:bCs w:val="1"/>
                <w:color w:val="auto"/>
              </w:rPr>
              <w:t>Retained Earnings:</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0"/>
              </w:rPr>
              <w:t xml:space="preserve">Net income </w:t>
            </w:r>
            <w:r>
              <w:rPr>
                <w:rFonts w:ascii="Arial" w:cs="Arial" w:eastAsia="Arial" w:hAnsi="Arial"/>
                <w:sz w:val="12"/>
                <w:szCs w:val="12"/>
                <w:color w:val="B4B4B4"/>
                <w:w w:val="90"/>
              </w:rPr>
              <w:t>. . . . . . . . . . . . . . . . . . . . . . . . . . . . . . . . . . . . . . . . . . . . . . . . . . . . . . . . . . . . . . .</w:t>
            </w:r>
          </w:p>
        </w:tc>
        <w:tc>
          <w:tcPr>
            <w:tcW w:w="480" w:type="dxa"/>
            <w:vAlign w:val="bottom"/>
          </w:tcPr>
          <w:p>
            <w:pPr>
              <w:ind w:left="6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33</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89"/>
              </w:rPr>
              <w:t xml:space="preserve">Retained Earnings at June 30, 2025 </w:t>
            </w:r>
            <w:r>
              <w:rPr>
                <w:rFonts w:ascii="Arial" w:cs="Arial" w:eastAsia="Arial" w:hAnsi="Arial"/>
                <w:sz w:val="12"/>
                <w:szCs w:val="12"/>
                <w:color w:val="B4B4B4"/>
                <w:w w:val="89"/>
              </w:rPr>
              <w:t>. . . . . . . . . . . . . . . . . . . . . . . . . . . . . . . . . . . . . . . . . . . .</w:t>
            </w:r>
          </w:p>
        </w:tc>
        <w:tc>
          <w:tcPr>
            <w:tcW w:w="480" w:type="dxa"/>
            <w:vAlign w:val="bottom"/>
          </w:tcPr>
          <w:p>
            <w:pPr>
              <w:ind w:left="6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188</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(10)</w:t>
            </w: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178</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b w:val="1"/>
                <w:bCs w:val="1"/>
                <w:color w:val="auto"/>
              </w:rPr>
              <w:t>Noncontrolling Interest:</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0"/>
              </w:rPr>
              <w:t xml:space="preserve">Net loss </w:t>
            </w:r>
            <w:r>
              <w:rPr>
                <w:rFonts w:ascii="Arial" w:cs="Arial" w:eastAsia="Arial" w:hAnsi="Arial"/>
                <w:sz w:val="12"/>
                <w:szCs w:val="12"/>
                <w:color w:val="B4B4B4"/>
                <w:w w:val="90"/>
              </w:rPr>
              <w:t>. . . . . . . . . . . . . . . . . . . . . . . . . . . . . . . . . . . . . . . . . . . . . . . . . . . . . . . . . . . . . . . . . .</w:t>
            </w:r>
          </w:p>
        </w:tc>
        <w:tc>
          <w:tcPr>
            <w:tcW w:w="480" w:type="dxa"/>
            <w:vAlign w:val="bottom"/>
          </w:tcPr>
          <w:p>
            <w:pPr>
              <w:ind w:left="6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3"/>
              <w:spacing w:after="0"/>
              <w:rPr>
                <w:sz w:val="20"/>
                <w:szCs w:val="20"/>
                <w:color w:val="auto"/>
              </w:rPr>
            </w:pPr>
            <w:r>
              <w:rPr>
                <w:rFonts w:ascii="Arial" w:cs="Arial" w:eastAsia="Arial" w:hAnsi="Arial"/>
                <w:sz w:val="12"/>
                <w:szCs w:val="12"/>
                <w:color w:val="auto"/>
              </w:rPr>
              <w:t>(8)</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(4)</w:t>
            </w: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color w:val="auto"/>
                <w:w w:val="90"/>
              </w:rPr>
              <w:t xml:space="preserve">Noncontrolling Interest at June 30, 2025 </w:t>
            </w:r>
            <w:r>
              <w:rPr>
                <w:rFonts w:ascii="Arial" w:cs="Arial" w:eastAsia="Arial" w:hAnsi="Arial"/>
                <w:sz w:val="12"/>
                <w:szCs w:val="12"/>
                <w:color w:val="B4B4B4"/>
                <w:w w:val="90"/>
              </w:rPr>
              <w:t>. . . . . . . . . . . . . . . . . . . . . . . . . . . . . . . . . . . . . . . .</w:t>
            </w:r>
          </w:p>
        </w:tc>
        <w:tc>
          <w:tcPr>
            <w:tcW w:w="480" w:type="dxa"/>
            <w:vAlign w:val="bottom"/>
          </w:tcPr>
          <w:p>
            <w:pPr>
              <w:ind w:left="6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53"/>
              <w:spacing w:after="0"/>
              <w:rPr>
                <w:sz w:val="20"/>
                <w:szCs w:val="20"/>
                <w:color w:val="auto"/>
              </w:rPr>
            </w:pPr>
            <w:r>
              <w:rPr>
                <w:rFonts w:ascii="Arial" w:cs="Arial" w:eastAsia="Arial" w:hAnsi="Arial"/>
                <w:sz w:val="12"/>
                <w:szCs w:val="12"/>
                <w:color w:val="auto"/>
              </w:rPr>
              <w:t>3,693</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22"/>
              <w:spacing w:after="0"/>
              <w:rPr>
                <w:sz w:val="20"/>
                <w:szCs w:val="20"/>
                <w:color w:val="auto"/>
              </w:rPr>
            </w:pPr>
            <w:r>
              <w:rPr>
                <w:rFonts w:ascii="Arial" w:cs="Arial" w:eastAsia="Arial" w:hAnsi="Arial"/>
                <w:sz w:val="12"/>
                <w:szCs w:val="12"/>
                <w:color w:val="auto"/>
              </w:rPr>
              <w:t>3</w:t>
            </w: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3,696</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-6278245</wp:posOffset>
            </wp:positionV>
            <wp:extent cx="6410325" cy="63042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8">
                      <a:extLst>
                        <a:ext uri="{28A0092B-C50C-407E-A947-70E740481C1C}"/>
                      </a:extLst>
                    </a:blip>
                    <a:srcRect/>
                    <a:stretch>
                      <a:fillRect/>
                    </a:stretch>
                  </pic:blipFill>
                  <pic:spPr bwMode="auto">
                    <a:xfrm>
                      <a:off x="0" y="0"/>
                      <a:ext cx="6410325" cy="6304280"/>
                    </a:xfrm>
                    <a:prstGeom prst="rect">
                      <a:avLst/>
                    </a:prstGeom>
                    <a:noFill/>
                  </pic:spPr>
                </pic:pic>
              </a:graphicData>
            </a:graphic>
          </wp:anchor>
        </w:drawing>
      </w:r>
    </w:p>
    <w:p>
      <w:pPr>
        <w:sectPr>
          <w:pgSz w:w="11880" w:h="15480" w:orient="portrait"/>
          <w:cols w:equalWidth="0" w:num="1">
            <w:col w:w="10040"/>
          </w:cols>
          <w:pgMar w:left="920" w:top="58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880" w:h="15480" w:orient="portrait"/>
          <w:cols w:equalWidth="0" w:num="1">
            <w:col w:w="10040"/>
          </w:cols>
          <w:pgMar w:left="920" w:top="584" w:right="920" w:bottom="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163"/>
        </w:trPr>
        <w:tc>
          <w:tcPr>
            <w:tcW w:w="4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2"/>
                <w:szCs w:val="12"/>
                <w:b w:val="1"/>
                <w:bCs w:val="1"/>
                <w:color w:val="auto"/>
                <w:w w:val="86"/>
              </w:rPr>
              <w:t>Three months ended September 30, 2025</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2"/>
                <w:szCs w:val="12"/>
                <w:b w:val="1"/>
                <w:bCs w:val="1"/>
                <w:color w:val="auto"/>
                <w:w w:val="89"/>
              </w:rPr>
              <w:t>Nine months ended September 30, 2025</w:t>
            </w: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520" w:type="dxa"/>
            <w:vAlign w:val="bottom"/>
          </w:tcPr>
          <w:p>
            <w:pPr>
              <w:spacing w:after="0"/>
              <w:rPr>
                <w:sz w:val="20"/>
                <w:szCs w:val="20"/>
                <w:color w:val="auto"/>
              </w:rPr>
            </w:pPr>
            <w:r>
              <w:rPr>
                <w:rFonts w:ascii="Arial" w:cs="Arial" w:eastAsia="Arial" w:hAnsi="Arial"/>
                <w:sz w:val="12"/>
                <w:szCs w:val="12"/>
                <w:b w:val="1"/>
                <w:bCs w:val="1"/>
                <w:color w:val="auto"/>
              </w:rPr>
              <w:t>(in millions, except per share amount)</w:t>
            </w: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1"/>
              </w:rPr>
              <w:t>As Previously Reported</w:t>
            </w: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3"/>
              </w:rPr>
              <w:t>Adjustments</w:t>
            </w: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89"/>
              </w:rPr>
              <w:t>As Revised</w:t>
            </w:r>
          </w:p>
        </w:tc>
        <w:tc>
          <w:tcPr>
            <w:tcW w:w="80" w:type="dxa"/>
            <w:vAlign w:val="bottom"/>
          </w:tcPr>
          <w:p>
            <w:pPr>
              <w:spacing w:after="0"/>
              <w:rPr>
                <w:sz w:val="17"/>
                <w:szCs w:val="17"/>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w w:val="91"/>
              </w:rPr>
              <w:t>As Previously Reported</w:t>
            </w: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3"/>
              </w:rPr>
              <w:t>Adjustments</w:t>
            </w: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89"/>
              </w:rPr>
              <w:t>As Revised</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860"/>
              <w:spacing w:after="0"/>
              <w:rPr>
                <w:sz w:val="20"/>
                <w:szCs w:val="20"/>
                <w:color w:val="auto"/>
              </w:rPr>
            </w:pPr>
            <w:r>
              <w:rPr>
                <w:rFonts w:ascii="Arial" w:cs="Arial" w:eastAsia="Arial" w:hAnsi="Arial"/>
                <w:sz w:val="12"/>
                <w:szCs w:val="12"/>
                <w:b w:val="1"/>
                <w:bCs w:val="1"/>
                <w:color w:val="auto"/>
                <w:w w:val="92"/>
              </w:rPr>
              <w:t>(Unaudited)</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520" w:type="dxa"/>
            <w:vAlign w:val="bottom"/>
          </w:tcPr>
          <w:p>
            <w:pPr>
              <w:spacing w:after="0"/>
              <w:rPr>
                <w:sz w:val="20"/>
                <w:szCs w:val="20"/>
                <w:color w:val="auto"/>
              </w:rPr>
            </w:pPr>
            <w:r>
              <w:rPr>
                <w:rFonts w:ascii="Arial" w:cs="Arial" w:eastAsia="Arial" w:hAnsi="Arial"/>
                <w:sz w:val="12"/>
                <w:szCs w:val="12"/>
                <w:b w:val="1"/>
                <w:bCs w:val="1"/>
                <w:color w:val="auto"/>
              </w:rPr>
              <w:t>Consolidated Statement of Operations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color w:val="auto"/>
                <w:w w:val="91"/>
              </w:rPr>
              <w:t xml:space="preserve">Net loss attributable to noncontrolling interests and redeemable noncontrolling interests </w:t>
            </w:r>
            <w:r>
              <w:rPr>
                <w:rFonts w:ascii="Arial" w:cs="Arial" w:eastAsia="Arial" w:hAnsi="Arial"/>
                <w:sz w:val="12"/>
                <w:szCs w:val="12"/>
                <w:color w:val="B4B4B4"/>
                <w:w w:val="91"/>
              </w:rPr>
              <w:t>. .</w:t>
            </w: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(176)</w:t>
            </w: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4</w:t>
            </w:r>
          </w:p>
        </w:tc>
        <w:tc>
          <w:tcPr>
            <w:tcW w:w="320" w:type="dxa"/>
            <w:vAlign w:val="bottom"/>
          </w:tcPr>
          <w:p>
            <w:pPr>
              <w:ind w:left="4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(172)</w:t>
            </w:r>
          </w:p>
        </w:tc>
        <w:tc>
          <w:tcPr>
            <w:tcW w:w="3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(305)</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1"/>
              <w:spacing w:after="0"/>
              <w:rPr>
                <w:sz w:val="20"/>
                <w:szCs w:val="20"/>
                <w:color w:val="auto"/>
              </w:rPr>
            </w:pPr>
            <w:r>
              <w:rPr>
                <w:rFonts w:ascii="Arial" w:cs="Arial" w:eastAsia="Arial" w:hAnsi="Arial"/>
                <w:sz w:val="12"/>
                <w:szCs w:val="12"/>
                <w:color w:val="auto"/>
              </w:rPr>
              <w:t>14</w:t>
            </w:r>
          </w:p>
        </w:tc>
        <w:tc>
          <w:tcPr>
            <w:tcW w:w="34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9"/>
              </w:rPr>
              <w:t>(291)</w:t>
            </w: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1"/>
              </w:rPr>
              <w:t xml:space="preserve">Net income attributable to Clearway Energy, Inc. </w:t>
            </w:r>
            <w:r>
              <w:rPr>
                <w:rFonts w:ascii="Arial" w:cs="Arial" w:eastAsia="Arial" w:hAnsi="Arial"/>
                <w:sz w:val="12"/>
                <w:szCs w:val="12"/>
                <w:color w:val="B4B4B4"/>
                <w:w w:val="91"/>
              </w:rPr>
              <w:t>. . . . . . . . . . . . . . . . . . . . . . . . . . . . . . . . .</w:t>
            </w:r>
          </w:p>
        </w:tc>
        <w:tc>
          <w:tcPr>
            <w:tcW w:w="2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236</w:t>
            </w:r>
          </w:p>
        </w:tc>
        <w:tc>
          <w:tcPr>
            <w:tcW w:w="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w:t>
            </w: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273</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w:t>
            </w:r>
          </w:p>
        </w:tc>
        <w:tc>
          <w:tcPr>
            <w:tcW w:w="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259</w:t>
            </w: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color w:val="auto"/>
                <w:w w:val="90"/>
              </w:rPr>
              <w:t xml:space="preserve">Earnings per weighted average Class A and Class C common share - basic and diluted </w:t>
            </w:r>
            <w:r>
              <w:rPr>
                <w:rFonts w:ascii="Arial" w:cs="Arial" w:eastAsia="Arial" w:hAnsi="Arial"/>
                <w:sz w:val="12"/>
                <w:szCs w:val="12"/>
                <w:color w:val="B4B4B4"/>
                <w:w w:val="90"/>
              </w:rPr>
              <w:t>. . .</w:t>
            </w: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2.00</w:t>
            </w: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5"/>
              </w:rPr>
              <w:t>(0.03)</w:t>
            </w:r>
          </w:p>
        </w:tc>
        <w:tc>
          <w:tcPr>
            <w:tcW w:w="320" w:type="dxa"/>
            <w:vAlign w:val="bottom"/>
          </w:tcPr>
          <w:p>
            <w:pPr>
              <w:ind w:left="4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1.97</w:t>
            </w:r>
          </w:p>
        </w:tc>
        <w:tc>
          <w:tcPr>
            <w:tcW w:w="3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2.32</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(0.12)</w:t>
            </w:r>
          </w:p>
        </w:tc>
        <w:tc>
          <w:tcPr>
            <w:tcW w:w="34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220"/>
        </w:trPr>
        <w:tc>
          <w:tcPr>
            <w:tcW w:w="4520" w:type="dxa"/>
            <w:vAlign w:val="bottom"/>
          </w:tcPr>
          <w:p>
            <w:pPr>
              <w:spacing w:after="0"/>
              <w:rPr>
                <w:sz w:val="20"/>
                <w:szCs w:val="20"/>
                <w:color w:val="auto"/>
              </w:rPr>
            </w:pPr>
            <w:r>
              <w:rPr>
                <w:rFonts w:ascii="Arial" w:cs="Arial" w:eastAsia="Arial" w:hAnsi="Arial"/>
                <w:sz w:val="12"/>
                <w:szCs w:val="12"/>
                <w:b w:val="1"/>
                <w:bCs w:val="1"/>
                <w:color w:val="auto"/>
              </w:rPr>
              <w:t>Consolidated Statement of Comprehensive Income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520" w:type="dxa"/>
            <w:vAlign w:val="bottom"/>
          </w:tcPr>
          <w:p>
            <w:pPr>
              <w:ind w:left="140"/>
              <w:spacing w:after="0"/>
              <w:rPr>
                <w:sz w:val="20"/>
                <w:szCs w:val="20"/>
                <w:color w:val="auto"/>
              </w:rPr>
            </w:pPr>
            <w:r>
              <w:rPr>
                <w:rFonts w:ascii="Arial" w:cs="Arial" w:eastAsia="Arial" w:hAnsi="Arial"/>
                <w:sz w:val="12"/>
                <w:szCs w:val="12"/>
                <w:color w:val="auto"/>
              </w:rPr>
              <w:t>Comprehensive loss attributable to noncontrolling interests and redeemable</w:t>
            </w:r>
          </w:p>
        </w:tc>
        <w:tc>
          <w:tcPr>
            <w:tcW w:w="22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2"/>
                <w:szCs w:val="12"/>
                <w:color w:val="auto"/>
              </w:rPr>
              <w:t>(178)</w:t>
            </w:r>
          </w:p>
        </w:tc>
        <w:tc>
          <w:tcPr>
            <w:tcW w:w="4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340" w:type="dxa"/>
            <w:vAlign w:val="bottom"/>
            <w:vMerge w:val="restart"/>
          </w:tcPr>
          <w:p>
            <w:pPr>
              <w:jc w:val="right"/>
              <w:ind w:right="1"/>
              <w:spacing w:after="0"/>
              <w:rPr>
                <w:sz w:val="20"/>
                <w:szCs w:val="20"/>
                <w:color w:val="auto"/>
              </w:rPr>
            </w:pPr>
            <w:r>
              <w:rPr>
                <w:rFonts w:ascii="Arial" w:cs="Arial" w:eastAsia="Arial" w:hAnsi="Arial"/>
                <w:sz w:val="12"/>
                <w:szCs w:val="12"/>
                <w:color w:val="auto"/>
              </w:rPr>
              <w:t>4</w:t>
            </w:r>
          </w:p>
        </w:tc>
        <w:tc>
          <w:tcPr>
            <w:tcW w:w="320" w:type="dxa"/>
            <w:vAlign w:val="bottom"/>
            <w:vMerge w:val="restart"/>
          </w:tcPr>
          <w:p>
            <w:pPr>
              <w:ind w:left="40"/>
              <w:spacing w:after="0"/>
              <w:rPr>
                <w:sz w:val="20"/>
                <w:szCs w:val="20"/>
                <w:color w:val="auto"/>
              </w:rPr>
            </w:pPr>
            <w:r>
              <w:rPr>
                <w:rFonts w:ascii="Arial" w:cs="Arial" w:eastAsia="Arial" w:hAnsi="Arial"/>
                <w:sz w:val="12"/>
                <w:szCs w:val="12"/>
                <w:color w:val="auto"/>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(174)</w:t>
            </w:r>
          </w:p>
        </w:tc>
        <w:tc>
          <w:tcPr>
            <w:tcW w:w="3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2"/>
                <w:szCs w:val="12"/>
                <w:color w:val="auto"/>
              </w:rPr>
              <w:t>(319)</w:t>
            </w:r>
          </w:p>
        </w:tc>
        <w:tc>
          <w:tcPr>
            <w:tcW w:w="26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ind w:right="1"/>
              <w:spacing w:after="0"/>
              <w:rPr>
                <w:sz w:val="20"/>
                <w:szCs w:val="20"/>
                <w:color w:val="auto"/>
              </w:rPr>
            </w:pPr>
            <w:r>
              <w:rPr>
                <w:rFonts w:ascii="Arial" w:cs="Arial" w:eastAsia="Arial" w:hAnsi="Arial"/>
                <w:sz w:val="12"/>
                <w:szCs w:val="12"/>
                <w:color w:val="auto"/>
              </w:rPr>
              <w:t>14</w:t>
            </w:r>
          </w:p>
        </w:tc>
        <w:tc>
          <w:tcPr>
            <w:tcW w:w="340" w:type="dxa"/>
            <w:vAlign w:val="bottom"/>
            <w:vMerge w:val="restart"/>
          </w:tcPr>
          <w:p>
            <w:pPr>
              <w:ind w:left="40"/>
              <w:spacing w:after="0"/>
              <w:rPr>
                <w:sz w:val="20"/>
                <w:szCs w:val="20"/>
                <w:color w:val="auto"/>
              </w:rPr>
            </w:pPr>
            <w:r>
              <w:rPr>
                <w:rFonts w:ascii="Arial" w:cs="Arial" w:eastAsia="Arial" w:hAnsi="Arial"/>
                <w:sz w:val="12"/>
                <w:szCs w:val="12"/>
                <w:color w:val="auto"/>
              </w:rPr>
              <w:t>$</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w w:val="99"/>
              </w:rPr>
              <w:t>(305)</w:t>
            </w:r>
          </w:p>
        </w:tc>
        <w:tc>
          <w:tcPr>
            <w:tcW w:w="0" w:type="dxa"/>
            <w:vAlign w:val="bottom"/>
          </w:tcPr>
          <w:p>
            <w:pPr>
              <w:spacing w:after="0"/>
              <w:rPr>
                <w:sz w:val="1"/>
                <w:szCs w:val="1"/>
                <w:color w:val="auto"/>
              </w:rPr>
            </w:pPr>
          </w:p>
        </w:tc>
      </w:tr>
      <w:tr>
        <w:trPr>
          <w:trHeight w:val="151"/>
        </w:trPr>
        <w:tc>
          <w:tcPr>
            <w:tcW w:w="4520" w:type="dxa"/>
            <w:vAlign w:val="bottom"/>
          </w:tcPr>
          <w:p>
            <w:pPr>
              <w:ind w:left="320"/>
              <w:spacing w:after="0"/>
              <w:rPr>
                <w:sz w:val="20"/>
                <w:szCs w:val="20"/>
                <w:color w:val="auto"/>
              </w:rPr>
            </w:pPr>
            <w:r>
              <w:rPr>
                <w:rFonts w:ascii="Arial" w:cs="Arial" w:eastAsia="Arial" w:hAnsi="Arial"/>
                <w:sz w:val="12"/>
                <w:szCs w:val="12"/>
                <w:color w:val="auto"/>
                <w:w w:val="91"/>
              </w:rPr>
              <w:t xml:space="preserve">noncontrolling interests </w:t>
            </w:r>
            <w:r>
              <w:rPr>
                <w:rFonts w:ascii="Arial" w:cs="Arial" w:eastAsia="Arial" w:hAnsi="Arial"/>
                <w:sz w:val="12"/>
                <w:szCs w:val="12"/>
                <w:color w:val="B4B4B4"/>
                <w:w w:val="91"/>
              </w:rPr>
              <w:t>. . . . . . . . . . . . . . . . . . . . . . . . . . . . . . . . . . . . . . . . . . . . . . . . . .</w:t>
            </w:r>
          </w:p>
        </w:tc>
        <w:tc>
          <w:tcPr>
            <w:tcW w:w="2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1"/>
              </w:rPr>
              <w:t xml:space="preserve">Comprehensive income attributable to Clearway Energy, Inc. </w:t>
            </w:r>
            <w:r>
              <w:rPr>
                <w:rFonts w:ascii="Arial" w:cs="Arial" w:eastAsia="Arial" w:hAnsi="Arial"/>
                <w:sz w:val="12"/>
                <w:szCs w:val="12"/>
                <w:color w:val="B4B4B4"/>
                <w:w w:val="91"/>
              </w:rPr>
              <w:t>. . . . . . . . . . . . . . . . . . . . . . .</w:t>
            </w: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233</w:t>
            </w: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(4)</w:t>
            </w:r>
          </w:p>
        </w:tc>
        <w:tc>
          <w:tcPr>
            <w:tcW w:w="320" w:type="dxa"/>
            <w:vAlign w:val="bottom"/>
          </w:tcPr>
          <w:p>
            <w:pPr>
              <w:ind w:left="4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229</w:t>
            </w:r>
          </w:p>
        </w:tc>
        <w:tc>
          <w:tcPr>
            <w:tcW w:w="32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264</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(14)</w:t>
            </w:r>
          </w:p>
        </w:tc>
        <w:tc>
          <w:tcPr>
            <w:tcW w:w="34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221"/>
        </w:trPr>
        <w:tc>
          <w:tcPr>
            <w:tcW w:w="4520" w:type="dxa"/>
            <w:vAlign w:val="bottom"/>
          </w:tcPr>
          <w:p>
            <w:pPr>
              <w:spacing w:after="0"/>
              <w:rPr>
                <w:sz w:val="20"/>
                <w:szCs w:val="20"/>
                <w:color w:val="auto"/>
              </w:rPr>
            </w:pPr>
            <w:r>
              <w:rPr>
                <w:rFonts w:ascii="Arial" w:cs="Arial" w:eastAsia="Arial" w:hAnsi="Arial"/>
                <w:sz w:val="12"/>
                <w:szCs w:val="12"/>
                <w:b w:val="1"/>
                <w:bCs w:val="1"/>
                <w:color w:val="auto"/>
              </w:rPr>
              <w:t>Consolidated Balance Sheet (As of September 30, 2025)</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color w:val="auto"/>
                <w:w w:val="90"/>
              </w:rPr>
              <w:t xml:space="preserve">Redeemable noncontrolling interest in subsidiaries </w:t>
            </w:r>
            <w:r>
              <w:rPr>
                <w:rFonts w:ascii="Arial" w:cs="Arial" w:eastAsia="Arial" w:hAnsi="Arial"/>
                <w:sz w:val="12"/>
                <w:szCs w:val="12"/>
                <w:color w:val="B4B4B4"/>
                <w:w w:val="90"/>
              </w:rPr>
              <w:t>. . . . . . . . . . . . . . . . . . . . . . . . . . . . . . . .</w:t>
            </w: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74</w:t>
            </w: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
              <w:spacing w:after="0"/>
              <w:rPr>
                <w:sz w:val="20"/>
                <w:szCs w:val="20"/>
                <w:color w:val="auto"/>
              </w:rPr>
            </w:pPr>
            <w:r>
              <w:rPr>
                <w:rFonts w:ascii="Arial" w:cs="Arial" w:eastAsia="Arial" w:hAnsi="Arial"/>
                <w:sz w:val="12"/>
                <w:szCs w:val="12"/>
                <w:color w:val="auto"/>
              </w:rPr>
              <w:t>30</w:t>
            </w:r>
          </w:p>
        </w:tc>
        <w:tc>
          <w:tcPr>
            <w:tcW w:w="320" w:type="dxa"/>
            <w:vAlign w:val="bottom"/>
          </w:tcPr>
          <w:p>
            <w:pPr>
              <w:ind w:left="4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104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0"/>
              </w:rPr>
              <w:t xml:space="preserve">Retained earnings </w:t>
            </w:r>
            <w:r>
              <w:rPr>
                <w:rFonts w:ascii="Arial" w:cs="Arial" w:eastAsia="Arial" w:hAnsi="Arial"/>
                <w:sz w:val="12"/>
                <w:szCs w:val="12"/>
                <w:color w:val="B4B4B4"/>
                <w:w w:val="90"/>
              </w:rPr>
              <w:t>. . . . . . . . . . . . . . . . . . . . . . . . . . . . . . . . . . . . . . . . . . . . . . . . . . . . . . . . . .</w:t>
            </w:r>
          </w:p>
        </w:tc>
        <w:tc>
          <w:tcPr>
            <w:tcW w:w="2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372</w:t>
            </w:r>
          </w:p>
        </w:tc>
        <w:tc>
          <w:tcPr>
            <w:tcW w:w="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(14)</w:t>
            </w: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color w:val="auto"/>
                <w:w w:val="91"/>
              </w:rPr>
              <w:t xml:space="preserve">Noncontrolling interest  </w:t>
            </w:r>
            <w:r>
              <w:rPr>
                <w:rFonts w:ascii="Arial" w:cs="Arial" w:eastAsia="Arial" w:hAnsi="Arial"/>
                <w:sz w:val="12"/>
                <w:szCs w:val="12"/>
                <w:color w:val="B4B4B4"/>
                <w:w w:val="91"/>
              </w:rPr>
              <w:t>. . . . . . . . . . . . . . . . . . . . . . . . . . . . . . . . . . . . . . . . . . . . . . . . . . . . .</w:t>
            </w:r>
          </w:p>
        </w:tc>
        <w:tc>
          <w:tcPr>
            <w:tcW w:w="2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3,666</w:t>
            </w:r>
          </w:p>
        </w:tc>
        <w:tc>
          <w:tcPr>
            <w:tcW w:w="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(16)</w:t>
            </w: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86"/>
              </w:rPr>
              <w:t>3,650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2"/>
              </w:rPr>
              <w:t xml:space="preserve">Total Stockholders’ Equity </w:t>
            </w:r>
            <w:r>
              <w:rPr>
                <w:rFonts w:ascii="Arial" w:cs="Arial" w:eastAsia="Arial" w:hAnsi="Arial"/>
                <w:sz w:val="12"/>
                <w:szCs w:val="12"/>
                <w:color w:val="B4B4B4"/>
                <w:w w:val="92"/>
              </w:rPr>
              <w:t>. . . . . . . . . . . . . . . . . . . . . . . . . . . . . . . . . . . . . . . . . . . . . . . . . .</w:t>
            </w: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5,715</w:t>
            </w: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(30)</w:t>
            </w:r>
          </w:p>
        </w:tc>
        <w:tc>
          <w:tcPr>
            <w:tcW w:w="320" w:type="dxa"/>
            <w:vAlign w:val="bottom"/>
          </w:tcPr>
          <w:p>
            <w:pPr>
              <w:ind w:left="4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86"/>
              </w:rPr>
              <w:t>5,685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spacing w:after="0"/>
              <w:rPr>
                <w:sz w:val="20"/>
                <w:szCs w:val="20"/>
                <w:color w:val="auto"/>
              </w:rPr>
            </w:pPr>
            <w:r>
              <w:rPr>
                <w:rFonts w:ascii="Arial" w:cs="Arial" w:eastAsia="Arial" w:hAnsi="Arial"/>
                <w:sz w:val="12"/>
                <w:szCs w:val="12"/>
                <w:b w:val="1"/>
                <w:bCs w:val="1"/>
                <w:color w:val="auto"/>
              </w:rPr>
              <w:t>Consolidated Statements of Stockholders’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b w:val="1"/>
                <w:bCs w:val="1"/>
                <w:color w:val="auto"/>
              </w:rPr>
              <w:t>Retained Earnings: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0"/>
              </w:rPr>
              <w:t xml:space="preserve">Net income </w:t>
            </w:r>
            <w:r>
              <w:rPr>
                <w:rFonts w:ascii="Arial" w:cs="Arial" w:eastAsia="Arial" w:hAnsi="Arial"/>
                <w:sz w:val="12"/>
                <w:szCs w:val="12"/>
                <w:color w:val="B4B4B4"/>
                <w:w w:val="90"/>
              </w:rPr>
              <w:t>. . . . . . . . . . . . . . . . . . . . . . . . . . . . . . . . . . . . . . . . . . . . . . . . . . . . . . . . . . . . . . .</w:t>
            </w: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236</w:t>
            </w: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(4)</w:t>
            </w:r>
          </w:p>
        </w:tc>
        <w:tc>
          <w:tcPr>
            <w:tcW w:w="320" w:type="dxa"/>
            <w:vAlign w:val="bottom"/>
          </w:tcPr>
          <w:p>
            <w:pPr>
              <w:ind w:left="4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232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color w:val="auto"/>
                <w:w w:val="90"/>
              </w:rPr>
              <w:t xml:space="preserve">Retained Earnings at September 30, 2025 </w:t>
            </w:r>
            <w:r>
              <w:rPr>
                <w:rFonts w:ascii="Arial" w:cs="Arial" w:eastAsia="Arial" w:hAnsi="Arial"/>
                <w:sz w:val="12"/>
                <w:szCs w:val="12"/>
                <w:color w:val="B4B4B4"/>
                <w:w w:val="90"/>
              </w:rPr>
              <w:t>. . . . . . . . . . . . . . . . . . . . . . . . . . . . . . . . . . . . . . .</w:t>
            </w: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372</w:t>
            </w: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(14)</w:t>
            </w:r>
          </w:p>
        </w:tc>
        <w:tc>
          <w:tcPr>
            <w:tcW w:w="320" w:type="dxa"/>
            <w:vAlign w:val="bottom"/>
          </w:tcPr>
          <w:p>
            <w:pPr>
              <w:ind w:left="4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358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b w:val="1"/>
                <w:bCs w:val="1"/>
                <w:color w:val="auto"/>
              </w:rPr>
              <w:t>Noncontrolling Interest: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20" w:type="dxa"/>
            <w:vAlign w:val="bottom"/>
          </w:tcPr>
          <w:p>
            <w:pPr>
              <w:ind w:left="140"/>
              <w:spacing w:after="0"/>
              <w:rPr>
                <w:sz w:val="20"/>
                <w:szCs w:val="20"/>
                <w:color w:val="auto"/>
              </w:rPr>
            </w:pPr>
            <w:r>
              <w:rPr>
                <w:rFonts w:ascii="Arial" w:cs="Arial" w:eastAsia="Arial" w:hAnsi="Arial"/>
                <w:sz w:val="12"/>
                <w:szCs w:val="12"/>
                <w:color w:val="auto"/>
                <w:w w:val="90"/>
              </w:rPr>
              <w:t xml:space="preserve">Net income (loss) </w:t>
            </w:r>
            <w:r>
              <w:rPr>
                <w:rFonts w:ascii="Arial" w:cs="Arial" w:eastAsia="Arial" w:hAnsi="Arial"/>
                <w:sz w:val="12"/>
                <w:szCs w:val="12"/>
                <w:color w:val="B4B4B4"/>
                <w:w w:val="90"/>
              </w:rPr>
              <w:t>. . . . . . . . . . . . . . . . . . . . . . . . . . . . . . . . . . . . . . . . . . . . . . . . . . . . . . . . . .</w:t>
            </w: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9</w:t>
            </w: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(19)</w:t>
            </w:r>
          </w:p>
        </w:tc>
        <w:tc>
          <w:tcPr>
            <w:tcW w:w="320" w:type="dxa"/>
            <w:vAlign w:val="bottom"/>
          </w:tcPr>
          <w:p>
            <w:pPr>
              <w:ind w:left="4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tcPr>
          <w:p>
            <w:pPr>
              <w:ind w:left="140"/>
              <w:spacing w:after="0"/>
              <w:rPr>
                <w:sz w:val="20"/>
                <w:szCs w:val="20"/>
                <w:color w:val="auto"/>
              </w:rPr>
            </w:pPr>
            <w:r>
              <w:rPr>
                <w:rFonts w:ascii="Arial" w:cs="Arial" w:eastAsia="Arial" w:hAnsi="Arial"/>
                <w:sz w:val="12"/>
                <w:szCs w:val="12"/>
                <w:color w:val="auto"/>
                <w:w w:val="91"/>
              </w:rPr>
              <w:t xml:space="preserve">Noncontrolling Interest at September 30, 2025 </w:t>
            </w:r>
            <w:r>
              <w:rPr>
                <w:rFonts w:ascii="Arial" w:cs="Arial" w:eastAsia="Arial" w:hAnsi="Arial"/>
                <w:sz w:val="12"/>
                <w:szCs w:val="12"/>
                <w:color w:val="B4B4B4"/>
                <w:w w:val="91"/>
              </w:rPr>
              <w:t>. . . . . . . . . . . . . . . . . . . . . . . . . . . . . . . . . . .</w:t>
            </w:r>
          </w:p>
        </w:tc>
        <w:tc>
          <w:tcPr>
            <w:tcW w:w="220" w:type="dxa"/>
            <w:vAlign w:val="bottom"/>
          </w:tcPr>
          <w:p>
            <w:pPr>
              <w:ind w:left="6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1"/>
              <w:spacing w:after="0"/>
              <w:rPr>
                <w:sz w:val="20"/>
                <w:szCs w:val="20"/>
                <w:color w:val="auto"/>
              </w:rPr>
            </w:pPr>
            <w:r>
              <w:rPr>
                <w:rFonts w:ascii="Arial" w:cs="Arial" w:eastAsia="Arial" w:hAnsi="Arial"/>
                <w:sz w:val="12"/>
                <w:szCs w:val="12"/>
                <w:color w:val="auto"/>
              </w:rPr>
              <w:t>3,666</w:t>
            </w: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(16)</w:t>
            </w:r>
          </w:p>
        </w:tc>
        <w:tc>
          <w:tcPr>
            <w:tcW w:w="320" w:type="dxa"/>
            <w:vAlign w:val="bottom"/>
          </w:tcPr>
          <w:p>
            <w:pPr>
              <w:ind w:left="4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86"/>
              </w:rPr>
              <w:t>3,650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-2733675</wp:posOffset>
            </wp:positionV>
            <wp:extent cx="6410325" cy="27603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9">
                      <a:extLst>
                        <a:ext uri="{28A0092B-C50C-407E-A947-70E740481C1C}"/>
                      </a:extLst>
                    </a:blip>
                    <a:srcRect/>
                    <a:stretch>
                      <a:fillRect/>
                    </a:stretch>
                  </pic:blipFill>
                  <pic:spPr bwMode="auto">
                    <a:xfrm>
                      <a:off x="0" y="0"/>
                      <a:ext cx="6410325" cy="2760345"/>
                    </a:xfrm>
                    <a:prstGeom prst="rect">
                      <a:avLst/>
                    </a:prstGeom>
                    <a:noFill/>
                  </pic:spPr>
                </pic:pic>
              </a:graphicData>
            </a:graphic>
          </wp:anchor>
        </w:drawing>
      </w:r>
    </w:p>
    <w:p>
      <w:pPr>
        <w:sectPr>
          <w:pgSz w:w="11880" w:h="15480" w:orient="portrait"/>
          <w:cols w:equalWidth="0" w:num="1">
            <w:col w:w="10000"/>
          </w:cols>
          <w:pgMar w:left="960" w:top="69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137</w:t>
      </w:r>
    </w:p>
    <w:p>
      <w:pPr>
        <w:sectPr>
          <w:pgSz w:w="11880" w:h="15480" w:orient="portrait"/>
          <w:cols w:equalWidth="0" w:num="1">
            <w:col w:w="10000"/>
          </w:cols>
          <w:pgMar w:left="960" w:top="692" w:right="920" w:bottom="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59"/>
        </w:trPr>
        <w:tc>
          <w:tcPr>
            <w:tcW w:w="6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w w:val="89"/>
              </w:rPr>
              <w:t>Schedule I</w:t>
            </w:r>
          </w:p>
        </w:tc>
        <w:tc>
          <w:tcPr>
            <w:tcW w:w="0" w:type="dxa"/>
            <w:vAlign w:val="bottom"/>
          </w:tcPr>
          <w:p>
            <w:pPr>
              <w:spacing w:after="0"/>
              <w:rPr>
                <w:sz w:val="1"/>
                <w:szCs w:val="1"/>
                <w:color w:val="auto"/>
              </w:rPr>
            </w:pPr>
          </w:p>
        </w:tc>
      </w:tr>
      <w:tr>
        <w:trPr>
          <w:trHeight w:val="412"/>
        </w:trPr>
        <w:tc>
          <w:tcPr>
            <w:tcW w:w="6340" w:type="dxa"/>
            <w:vAlign w:val="bottom"/>
          </w:tcPr>
          <w:p>
            <w:pPr>
              <w:jc w:val="right"/>
              <w:spacing w:after="0"/>
              <w:rPr>
                <w:sz w:val="20"/>
                <w:szCs w:val="20"/>
                <w:color w:val="auto"/>
              </w:rPr>
            </w:pPr>
            <w:r>
              <w:rPr>
                <w:rFonts w:ascii="Arial" w:cs="Arial" w:eastAsia="Arial" w:hAnsi="Arial"/>
                <w:sz w:val="20"/>
                <w:szCs w:val="20"/>
                <w:b w:val="1"/>
                <w:bCs w:val="1"/>
                <w:color w:val="auto"/>
              </w:rPr>
              <w:t>Clearway Energy, Inc. (Parent)</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340" w:type="dxa"/>
            <w:vAlign w:val="bottom"/>
          </w:tcPr>
          <w:p>
            <w:pPr>
              <w:jc w:val="right"/>
              <w:spacing w:after="0"/>
              <w:rPr>
                <w:sz w:val="20"/>
                <w:szCs w:val="20"/>
                <w:color w:val="auto"/>
              </w:rPr>
            </w:pPr>
            <w:r>
              <w:rPr>
                <w:rFonts w:ascii="Arial" w:cs="Arial" w:eastAsia="Arial" w:hAnsi="Arial"/>
                <w:sz w:val="20"/>
                <w:szCs w:val="20"/>
                <w:b w:val="1"/>
                <w:bCs w:val="1"/>
                <w:color w:val="auto"/>
              </w:rPr>
              <w:t>Condensed Financial Statements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640" w:type="dxa"/>
            <w:vAlign w:val="bottom"/>
            <w:gridSpan w:val="2"/>
          </w:tcPr>
          <w:p>
            <w:pPr>
              <w:jc w:val="right"/>
              <w:ind w:right="22"/>
              <w:spacing w:after="0"/>
              <w:rPr>
                <w:sz w:val="20"/>
                <w:szCs w:val="20"/>
                <w:color w:val="auto"/>
              </w:rPr>
            </w:pPr>
            <w:r>
              <w:rPr>
                <w:rFonts w:ascii="Arial" w:cs="Arial" w:eastAsia="Arial" w:hAnsi="Arial"/>
                <w:sz w:val="20"/>
                <w:szCs w:val="20"/>
                <w:b w:val="1"/>
                <w:bCs w:val="1"/>
                <w:color w:val="auto"/>
              </w:rPr>
              <w:t>Condensed Statements of Operations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340" w:type="dxa"/>
            <w:vAlign w:val="bottom"/>
          </w:tcPr>
          <w:p>
            <w:pPr>
              <w:jc w:val="right"/>
              <w:ind w:right="5424"/>
              <w:spacing w:after="0"/>
              <w:rPr>
                <w:sz w:val="20"/>
                <w:szCs w:val="20"/>
                <w:color w:val="auto"/>
              </w:rPr>
            </w:pPr>
            <w:r>
              <w:rPr>
                <w:rFonts w:ascii="Arial" w:cs="Arial" w:eastAsia="Arial" w:hAnsi="Arial"/>
                <w:sz w:val="16"/>
                <w:szCs w:val="16"/>
                <w:b w:val="1"/>
                <w:bCs w:val="1"/>
                <w:color w:val="auto"/>
                <w:w w:val="89"/>
              </w:rPr>
              <w:t>(In millions)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74"/>
        </w:trPr>
        <w:tc>
          <w:tcPr>
            <w:tcW w:w="6340" w:type="dxa"/>
            <w:vAlign w:val="bottom"/>
          </w:tcPr>
          <w:p>
            <w:pPr>
              <w:jc w:val="right"/>
              <w:spacing w:after="0"/>
              <w:rPr>
                <w:sz w:val="20"/>
                <w:szCs w:val="20"/>
                <w:color w:val="auto"/>
              </w:rPr>
            </w:pPr>
            <w:r>
              <w:rPr>
                <w:rFonts w:ascii="Arial" w:cs="Arial" w:eastAsia="Arial" w:hAnsi="Arial"/>
                <w:sz w:val="20"/>
                <w:szCs w:val="20"/>
                <w:color w:val="auto"/>
                <w:w w:val="90"/>
              </w:rPr>
              <w:t xml:space="preserve">Total operating costs and expenses </w:t>
            </w:r>
            <w:r>
              <w:rPr>
                <w:rFonts w:ascii="Arial" w:cs="Arial" w:eastAsia="Arial" w:hAnsi="Arial"/>
                <w:sz w:val="20"/>
                <w:szCs w:val="20"/>
                <w:color w:val="B4B4B4"/>
                <w:w w:val="90"/>
              </w:rPr>
              <w:t>. . . . . . . . . . . . . . . . . . . . . . . . . . . . . . . . . .</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74"/>
        </w:trPr>
        <w:tc>
          <w:tcPr>
            <w:tcW w:w="6340" w:type="dxa"/>
            <w:vAlign w:val="bottom"/>
          </w:tcPr>
          <w:p>
            <w:pPr>
              <w:jc w:val="right"/>
              <w:spacing w:after="0"/>
              <w:rPr>
                <w:sz w:val="20"/>
                <w:szCs w:val="20"/>
                <w:color w:val="auto"/>
              </w:rPr>
            </w:pPr>
            <w:r>
              <w:rPr>
                <w:rFonts w:ascii="Arial" w:cs="Arial" w:eastAsia="Arial" w:hAnsi="Arial"/>
                <w:sz w:val="20"/>
                <w:szCs w:val="20"/>
                <w:color w:val="auto"/>
                <w:w w:val="90"/>
              </w:rPr>
              <w:t xml:space="preserve">Equity in losses of consolidated subsidiaries </w:t>
            </w:r>
            <w:r>
              <w:rPr>
                <w:rFonts w:ascii="Arial" w:cs="Arial" w:eastAsia="Arial" w:hAnsi="Arial"/>
                <w:sz w:val="20"/>
                <w:szCs w:val="20"/>
                <w:color w:val="B4B4B4"/>
                <w:w w:val="90"/>
              </w:rPr>
              <w:t>. . . . . . . . . . . . . . . . . . . . . . . . . . .</w:t>
            </w:r>
          </w:p>
        </w:tc>
        <w:tc>
          <w:tcPr>
            <w:tcW w:w="30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(173)</w:t>
            </w:r>
          </w:p>
        </w:tc>
        <w:tc>
          <w:tcPr>
            <w:tcW w:w="120" w:type="dxa"/>
            <w:vAlign w:val="bottom"/>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(33)</w:t>
            </w:r>
          </w:p>
        </w:tc>
        <w:tc>
          <w:tcPr>
            <w:tcW w:w="6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74"/>
        </w:trPr>
        <w:tc>
          <w:tcPr>
            <w:tcW w:w="6340" w:type="dxa"/>
            <w:vAlign w:val="bottom"/>
          </w:tcPr>
          <w:p>
            <w:pPr>
              <w:jc w:val="right"/>
              <w:spacing w:after="0"/>
              <w:rPr>
                <w:sz w:val="20"/>
                <w:szCs w:val="20"/>
                <w:color w:val="auto"/>
              </w:rPr>
            </w:pPr>
            <w:r>
              <w:rPr>
                <w:rFonts w:ascii="Arial" w:cs="Arial" w:eastAsia="Arial" w:hAnsi="Arial"/>
                <w:sz w:val="20"/>
                <w:szCs w:val="20"/>
                <w:color w:val="auto"/>
                <w:w w:val="91"/>
              </w:rPr>
              <w:t xml:space="preserve">Total other expense, net </w:t>
            </w:r>
            <w:r>
              <w:rPr>
                <w:rFonts w:ascii="Arial" w:cs="Arial" w:eastAsia="Arial" w:hAnsi="Arial"/>
                <w:sz w:val="20"/>
                <w:szCs w:val="20"/>
                <w:color w:val="B4B4B4"/>
                <w:w w:val="91"/>
              </w:rPr>
              <w:t>. . . . . . . . . . . . . . . . . . . . . . . . . . . . . . . . . . . . . . . . . .</w:t>
            </w: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70"/>
        </w:trPr>
        <w:tc>
          <w:tcPr>
            <w:tcW w:w="634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Loss Before Income Taxes </w:t>
            </w:r>
            <w:r>
              <w:rPr>
                <w:rFonts w:ascii="Arial" w:cs="Arial" w:eastAsia="Arial" w:hAnsi="Arial"/>
                <w:sz w:val="20"/>
                <w:szCs w:val="20"/>
                <w:b w:val="1"/>
                <w:bCs w:val="1"/>
                <w:color w:val="B4B4B4"/>
                <w:w w:val="88"/>
              </w:rPr>
              <w:t>. . . . . . . . . . . . . . . . . . . . . . . . . . . . . . . . . . . . . . . . .</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(174)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98"/>
        </w:trPr>
        <w:tc>
          <w:tcPr>
            <w:tcW w:w="6340" w:type="dxa"/>
            <w:vAlign w:val="bottom"/>
          </w:tcPr>
          <w:p>
            <w:pPr>
              <w:jc w:val="right"/>
              <w:spacing w:after="0"/>
              <w:rPr>
                <w:sz w:val="20"/>
                <w:szCs w:val="20"/>
                <w:color w:val="auto"/>
              </w:rPr>
            </w:pPr>
            <w:r>
              <w:rPr>
                <w:rFonts w:ascii="Arial" w:cs="Arial" w:eastAsia="Arial" w:hAnsi="Arial"/>
                <w:sz w:val="20"/>
                <w:szCs w:val="20"/>
                <w:color w:val="auto"/>
                <w:w w:val="89"/>
              </w:rPr>
              <w:t xml:space="preserve">Income tax expense  </w:t>
            </w:r>
            <w:r>
              <w:rPr>
                <w:rFonts w:ascii="Arial" w:cs="Arial" w:eastAsia="Arial" w:hAnsi="Arial"/>
                <w:sz w:val="20"/>
                <w:szCs w:val="20"/>
                <w:color w:val="B4B4B4"/>
                <w:w w:val="89"/>
              </w:rPr>
              <w:t>. . . . . . . . . . . . . . . . . . . . . . . . . . . . . . . . . . . . . . . . . . . . . .</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634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Net Loss </w:t>
            </w:r>
            <w:r>
              <w:rPr>
                <w:rFonts w:ascii="Arial" w:cs="Arial" w:eastAsia="Arial" w:hAnsi="Arial"/>
                <w:sz w:val="20"/>
                <w:szCs w:val="20"/>
                <w:b w:val="1"/>
                <w:bCs w:val="1"/>
                <w:color w:val="B4B4B4"/>
                <w:w w:val="88"/>
              </w:rPr>
              <w:t>. . . . . . . . . . . . . . . . . . . . . . . . . . . . . . . . . . . . . . . . . . . . . . . . . . . . . . . .</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31"/>
        </w:trPr>
        <w:tc>
          <w:tcPr>
            <w:tcW w:w="6340" w:type="dxa"/>
            <w:vAlign w:val="bottom"/>
          </w:tcPr>
          <w:p>
            <w:pPr>
              <w:jc w:val="right"/>
              <w:ind w:right="684"/>
              <w:spacing w:after="0"/>
              <w:rPr>
                <w:sz w:val="20"/>
                <w:szCs w:val="20"/>
                <w:color w:val="auto"/>
              </w:rPr>
            </w:pPr>
            <w:r>
              <w:rPr>
                <w:rFonts w:ascii="Arial" w:cs="Arial" w:eastAsia="Arial" w:hAnsi="Arial"/>
                <w:sz w:val="20"/>
                <w:szCs w:val="20"/>
                <w:color w:val="auto"/>
                <w:w w:val="90"/>
              </w:rPr>
              <w:t>Less: Net loss attributable to noncontrolling interests and redeemable</w:t>
            </w:r>
          </w:p>
        </w:tc>
        <w:tc>
          <w:tcPr>
            <w:tcW w:w="30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(400)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(151)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58"/>
        </w:trPr>
        <w:tc>
          <w:tcPr>
            <w:tcW w:w="6340" w:type="dxa"/>
            <w:vAlign w:val="bottom"/>
          </w:tcPr>
          <w:p>
            <w:pPr>
              <w:jc w:val="right"/>
              <w:spacing w:after="0"/>
              <w:rPr>
                <w:sz w:val="20"/>
                <w:szCs w:val="20"/>
                <w:color w:val="auto"/>
              </w:rPr>
            </w:pPr>
            <w:r>
              <w:rPr>
                <w:rFonts w:ascii="Arial" w:cs="Arial" w:eastAsia="Arial" w:hAnsi="Arial"/>
                <w:sz w:val="20"/>
                <w:szCs w:val="20"/>
                <w:color w:val="auto"/>
                <w:w w:val="93"/>
              </w:rPr>
              <w:t xml:space="preserve">noncontrolling interests </w:t>
            </w:r>
            <w:r>
              <w:rPr>
                <w:rFonts w:ascii="Arial" w:cs="Arial" w:eastAsia="Arial" w:hAnsi="Arial"/>
                <w:sz w:val="20"/>
                <w:szCs w:val="20"/>
                <w:color w:val="B4B4B4"/>
                <w:w w:val="93"/>
              </w:rPr>
              <w:t>. . . . . . . . . . . . . . . . . . . . . . . . . . . . . . . . . . . . . . . . . .</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340" w:type="dxa"/>
            <w:vAlign w:val="bottom"/>
          </w:tcPr>
          <w:p>
            <w:pPr>
              <w:jc w:val="right"/>
              <w:spacing w:after="0"/>
              <w:rPr>
                <w:sz w:val="20"/>
                <w:szCs w:val="20"/>
                <w:color w:val="auto"/>
              </w:rPr>
            </w:pPr>
            <w:r>
              <w:rPr>
                <w:rFonts w:ascii="Arial" w:cs="Arial" w:eastAsia="Arial" w:hAnsi="Arial"/>
                <w:sz w:val="20"/>
                <w:szCs w:val="20"/>
                <w:b w:val="1"/>
                <w:bCs w:val="1"/>
                <w:color w:val="auto"/>
                <w:w w:val="90"/>
              </w:rPr>
              <w:t xml:space="preserve">Net Income Attributable to Clearway Energy, Inc. </w:t>
            </w:r>
            <w:r>
              <w:rPr>
                <w:rFonts w:ascii="Arial" w:cs="Arial" w:eastAsia="Arial" w:hAnsi="Arial"/>
                <w:sz w:val="20"/>
                <w:szCs w:val="20"/>
                <w:b w:val="1"/>
                <w:bCs w:val="1"/>
                <w:color w:val="B4B4B4"/>
                <w:w w:val="90"/>
              </w:rPr>
              <w:t>. . . . . . . . . . . . . . . . . . . . .</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169</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88</w:t>
            </w:r>
          </w:p>
        </w:tc>
        <w:tc>
          <w:tcPr>
            <w:tcW w:w="3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-1645920</wp:posOffset>
            </wp:positionV>
            <wp:extent cx="6410325" cy="1652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0">
                      <a:extLst>
                        <a:ext uri="{28A0092B-C50C-407E-A947-70E740481C1C}"/>
                      </a:extLst>
                    </a:blip>
                    <a:srcRect/>
                    <a:stretch>
                      <a:fillRect/>
                    </a:stretch>
                  </pic:blipFill>
                  <pic:spPr bwMode="auto">
                    <a:xfrm>
                      <a:off x="0" y="0"/>
                      <a:ext cx="6410325" cy="165290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See accompanying notes to condensed financial statements.</w:t>
      </w:r>
    </w:p>
    <w:p>
      <w:pPr>
        <w:sectPr>
          <w:pgSz w:w="11880" w:h="15480" w:orient="portrait"/>
          <w:cols w:equalWidth="0" w:num="1">
            <w:col w:w="10000"/>
          </w:cols>
          <w:pgMar w:left="96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138</w:t>
      </w:r>
    </w:p>
    <w:p>
      <w:pPr>
        <w:sectPr>
          <w:pgSz w:w="11880" w:h="15480" w:orient="portrait"/>
          <w:cols w:equalWidth="0" w:num="1">
            <w:col w:w="10000"/>
          </w:cols>
          <w:pgMar w:left="960" w:top="577" w:right="920" w:bottom="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59"/>
        </w:trPr>
        <w:tc>
          <w:tcPr>
            <w:tcW w:w="7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Schedule I</w:t>
            </w:r>
          </w:p>
        </w:tc>
        <w:tc>
          <w:tcPr>
            <w:tcW w:w="0" w:type="dxa"/>
            <w:vAlign w:val="bottom"/>
          </w:tcPr>
          <w:p>
            <w:pPr>
              <w:spacing w:after="0"/>
              <w:rPr>
                <w:sz w:val="1"/>
                <w:szCs w:val="1"/>
                <w:color w:val="auto"/>
              </w:rPr>
            </w:pPr>
          </w:p>
        </w:tc>
      </w:tr>
      <w:tr>
        <w:trPr>
          <w:trHeight w:val="412"/>
        </w:trPr>
        <w:tc>
          <w:tcPr>
            <w:tcW w:w="7460" w:type="dxa"/>
            <w:vAlign w:val="bottom"/>
          </w:tcPr>
          <w:p>
            <w:pPr>
              <w:ind w:left="3640"/>
              <w:spacing w:after="0"/>
              <w:rPr>
                <w:sz w:val="20"/>
                <w:szCs w:val="20"/>
                <w:color w:val="auto"/>
              </w:rPr>
            </w:pPr>
            <w:r>
              <w:rPr>
                <w:rFonts w:ascii="Arial" w:cs="Arial" w:eastAsia="Arial" w:hAnsi="Arial"/>
                <w:sz w:val="20"/>
                <w:szCs w:val="20"/>
                <w:b w:val="1"/>
                <w:bCs w:val="1"/>
                <w:color w:val="auto"/>
              </w:rPr>
              <w:t>Clearway Energy, Inc. (Parent)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460" w:type="dxa"/>
            <w:vAlign w:val="bottom"/>
          </w:tcPr>
          <w:p>
            <w:pPr>
              <w:ind w:left="3860"/>
              <w:spacing w:after="0"/>
              <w:rPr>
                <w:sz w:val="20"/>
                <w:szCs w:val="20"/>
                <w:color w:val="auto"/>
              </w:rPr>
            </w:pPr>
            <w:r>
              <w:rPr>
                <w:rFonts w:ascii="Arial" w:cs="Arial" w:eastAsia="Arial" w:hAnsi="Arial"/>
                <w:sz w:val="20"/>
                <w:szCs w:val="20"/>
                <w:b w:val="1"/>
                <w:bCs w:val="1"/>
                <w:color w:val="auto"/>
              </w:rPr>
              <w:t>Condensed Balance Sheets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Arial" w:cs="Arial" w:eastAsia="Arial" w:hAnsi="Arial"/>
                <w:sz w:val="16"/>
                <w:szCs w:val="16"/>
                <w:b w:val="1"/>
                <w:bCs w:val="1"/>
                <w:color w:val="auto"/>
                <w:w w:val="86"/>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4"/>
              <w:spacing w:after="0"/>
              <w:rPr>
                <w:sz w:val="20"/>
                <w:szCs w:val="20"/>
                <w:color w:val="auto"/>
              </w:rPr>
            </w:pPr>
            <w:r>
              <w:rPr>
                <w:rFonts w:ascii="Arial" w:cs="Arial" w:eastAsia="Arial" w:hAnsi="Arial"/>
                <w:sz w:val="16"/>
                <w:szCs w:val="16"/>
                <w:b w:val="1"/>
                <w:bCs w:val="1"/>
                <w:color w:val="auto"/>
                <w:w w:val="84"/>
              </w:rPr>
              <w:t>December 31,</w:t>
            </w:r>
          </w:p>
        </w:tc>
        <w:tc>
          <w:tcPr>
            <w:tcW w:w="0" w:type="dxa"/>
            <w:vAlign w:val="bottom"/>
          </w:tcPr>
          <w:p>
            <w:pPr>
              <w:spacing w:after="0"/>
              <w:rPr>
                <w:sz w:val="1"/>
                <w:szCs w:val="1"/>
                <w:color w:val="auto"/>
              </w:rPr>
            </w:pPr>
          </w:p>
        </w:tc>
      </w:tr>
      <w:tr>
        <w:trPr>
          <w:trHeight w:val="257"/>
        </w:trPr>
        <w:tc>
          <w:tcPr>
            <w:tcW w:w="74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6"/>
        </w:trPr>
        <w:tc>
          <w:tcPr>
            <w:tcW w:w="7460" w:type="dxa"/>
            <w:vAlign w:val="bottom"/>
          </w:tcPr>
          <w:p>
            <w:pPr>
              <w:ind w:left="3340"/>
              <w:spacing w:after="0"/>
              <w:rPr>
                <w:sz w:val="20"/>
                <w:szCs w:val="20"/>
                <w:color w:val="auto"/>
              </w:rPr>
            </w:pPr>
            <w:r>
              <w:rPr>
                <w:rFonts w:ascii="Arial" w:cs="Arial" w:eastAsia="Arial" w:hAnsi="Arial"/>
                <w:sz w:val="20"/>
                <w:szCs w:val="20"/>
                <w:b w:val="1"/>
                <w:bCs w:val="1"/>
                <w:color w:val="auto"/>
              </w:rPr>
              <w:t>ASSETS</w:t>
            </w:r>
          </w:p>
        </w:tc>
        <w:tc>
          <w:tcPr>
            <w:tcW w:w="140" w:type="dxa"/>
            <w:vAlign w:val="bottom"/>
          </w:tcPr>
          <w:p>
            <w:pPr>
              <w:spacing w:after="0"/>
              <w:rPr>
                <w:sz w:val="22"/>
                <w:szCs w:val="22"/>
                <w:color w:val="auto"/>
              </w:rPr>
            </w:pPr>
          </w:p>
        </w:tc>
        <w:tc>
          <w:tcPr>
            <w:tcW w:w="2380" w:type="dxa"/>
            <w:vAlign w:val="bottom"/>
            <w:gridSpan w:val="4"/>
          </w:tcPr>
          <w:p>
            <w:pPr>
              <w:jc w:val="right"/>
              <w:ind w:right="764"/>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573"/>
        </w:trPr>
        <w:tc>
          <w:tcPr>
            <w:tcW w:w="746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460" w:type="dxa"/>
            <w:vAlign w:val="bottom"/>
          </w:tcPr>
          <w:p>
            <w:pPr>
              <w:ind w:left="120"/>
              <w:spacing w:after="0"/>
              <w:rPr>
                <w:sz w:val="20"/>
                <w:szCs w:val="20"/>
                <w:color w:val="auto"/>
              </w:rPr>
            </w:pPr>
            <w:r>
              <w:rPr>
                <w:rFonts w:ascii="Arial" w:cs="Arial" w:eastAsia="Arial" w:hAnsi="Arial"/>
                <w:sz w:val="20"/>
                <w:szCs w:val="20"/>
                <w:color w:val="auto"/>
                <w:w w:val="89"/>
              </w:rPr>
              <w:t xml:space="preserve">Accounts receivable — affiliates </w:t>
            </w:r>
            <w:r>
              <w:rPr>
                <w:rFonts w:ascii="Arial" w:cs="Arial" w:eastAsia="Arial" w:hAnsi="Arial"/>
                <w:sz w:val="20"/>
                <w:szCs w:val="20"/>
                <w:color w:val="B4B4B4"/>
                <w:w w:val="89"/>
              </w:rPr>
              <w:t>. . . . . . . . . . . . . . . . . . . . . . . . . . . . . . . . . . . . . . . . . . . . . . . .</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94"/>
        </w:trPr>
        <w:tc>
          <w:tcPr>
            <w:tcW w:w="7460" w:type="dxa"/>
            <w:vAlign w:val="bottom"/>
          </w:tcPr>
          <w:p>
            <w:pPr>
              <w:ind w:left="120"/>
              <w:spacing w:after="0"/>
              <w:rPr>
                <w:sz w:val="20"/>
                <w:szCs w:val="20"/>
                <w:color w:val="auto"/>
              </w:rPr>
            </w:pPr>
            <w:r>
              <w:rPr>
                <w:rFonts w:ascii="Arial" w:cs="Arial" w:eastAsia="Arial" w:hAnsi="Arial"/>
                <w:sz w:val="20"/>
                <w:szCs w:val="20"/>
                <w:color w:val="auto"/>
                <w:w w:val="90"/>
              </w:rPr>
              <w:t xml:space="preserve">Note receivable — Clearway Energy Operating LLC  </w:t>
            </w:r>
            <w:r>
              <w:rPr>
                <w:rFonts w:ascii="Arial" w:cs="Arial" w:eastAsia="Arial" w:hAnsi="Arial"/>
                <w:sz w:val="20"/>
                <w:szCs w:val="20"/>
                <w:color w:val="B4B4B4"/>
                <w:w w:val="90"/>
              </w:rPr>
              <w:t>. . . . . . . . . . . . . . . . . . . . . . . . . . . . . .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4"/>
        </w:trPr>
        <w:tc>
          <w:tcPr>
            <w:tcW w:w="7460" w:type="dxa"/>
            <w:vAlign w:val="bottom"/>
          </w:tcPr>
          <w:p>
            <w:pPr>
              <w:ind w:left="100"/>
              <w:spacing w:after="0"/>
              <w:rPr>
                <w:sz w:val="20"/>
                <w:szCs w:val="20"/>
                <w:color w:val="auto"/>
              </w:rPr>
            </w:pPr>
            <w:r>
              <w:rPr>
                <w:rFonts w:ascii="Arial" w:cs="Arial" w:eastAsia="Arial" w:hAnsi="Arial"/>
                <w:sz w:val="20"/>
                <w:szCs w:val="20"/>
                <w:color w:val="auto"/>
                <w:w w:val="88"/>
              </w:rPr>
              <w:t xml:space="preserve">Other current assets </w:t>
            </w:r>
            <w:r>
              <w:rPr>
                <w:rFonts w:ascii="Arial" w:cs="Arial" w:eastAsia="Arial" w:hAnsi="Arial"/>
                <w:sz w:val="20"/>
                <w:szCs w:val="20"/>
                <w:color w:val="B4B4B4"/>
                <w:w w:val="88"/>
              </w:rPr>
              <w:t>. . . . . . . . . . . . . . . . . . . . . . . . . . . . . . . . . . . . . . . . . . . . . . . . . . . . . . . . .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79"/>
        </w:trPr>
        <w:tc>
          <w:tcPr>
            <w:tcW w:w="7460" w:type="dxa"/>
            <w:vAlign w:val="bottom"/>
          </w:tcPr>
          <w:p>
            <w:pPr>
              <w:spacing w:after="0"/>
              <w:rPr>
                <w:sz w:val="20"/>
                <w:szCs w:val="20"/>
                <w:color w:val="auto"/>
              </w:rPr>
            </w:pPr>
            <w:r>
              <w:rPr>
                <w:rFonts w:ascii="Arial" w:cs="Arial" w:eastAsia="Arial" w:hAnsi="Arial"/>
                <w:sz w:val="20"/>
                <w:szCs w:val="20"/>
                <w:b w:val="1"/>
                <w:bCs w:val="1"/>
                <w:color w:val="auto"/>
              </w:rPr>
              <w:t>Other Assets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460" w:type="dxa"/>
            <w:vAlign w:val="bottom"/>
          </w:tcPr>
          <w:p>
            <w:pPr>
              <w:ind w:left="120"/>
              <w:spacing w:after="0"/>
              <w:rPr>
                <w:sz w:val="20"/>
                <w:szCs w:val="20"/>
                <w:color w:val="auto"/>
              </w:rPr>
            </w:pPr>
            <w:r>
              <w:rPr>
                <w:rFonts w:ascii="Arial" w:cs="Arial" w:eastAsia="Arial" w:hAnsi="Arial"/>
                <w:sz w:val="20"/>
                <w:szCs w:val="20"/>
                <w:color w:val="auto"/>
                <w:w w:val="89"/>
              </w:rPr>
              <w:t xml:space="preserve">Investment in consolidated subsidiaries </w:t>
            </w:r>
            <w:r>
              <w:rPr>
                <w:rFonts w:ascii="Arial" w:cs="Arial" w:eastAsia="Arial" w:hAnsi="Arial"/>
                <w:sz w:val="20"/>
                <w:szCs w:val="20"/>
                <w:color w:val="B4B4B4"/>
                <w:w w:val="89"/>
              </w:rPr>
              <w:t>. . . . . . . . . . . . . . . . . . . . . . . . . . . . . . . . . . . . . . . . .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5,903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5,642</w:t>
            </w:r>
          </w:p>
        </w:tc>
        <w:tc>
          <w:tcPr>
            <w:tcW w:w="0" w:type="dxa"/>
            <w:vAlign w:val="bottom"/>
          </w:tcPr>
          <w:p>
            <w:pPr>
              <w:spacing w:after="0"/>
              <w:rPr>
                <w:sz w:val="1"/>
                <w:szCs w:val="1"/>
                <w:color w:val="auto"/>
              </w:rPr>
            </w:pPr>
          </w:p>
        </w:tc>
      </w:tr>
      <w:tr>
        <w:trPr>
          <w:trHeight w:val="294"/>
        </w:trPr>
        <w:tc>
          <w:tcPr>
            <w:tcW w:w="7460" w:type="dxa"/>
            <w:vAlign w:val="bottom"/>
          </w:tcPr>
          <w:p>
            <w:pPr>
              <w:ind w:left="120"/>
              <w:spacing w:after="0"/>
              <w:rPr>
                <w:sz w:val="20"/>
                <w:szCs w:val="20"/>
                <w:color w:val="auto"/>
              </w:rPr>
            </w:pPr>
            <w:r>
              <w:rPr>
                <w:rFonts w:ascii="Arial" w:cs="Arial" w:eastAsia="Arial" w:hAnsi="Arial"/>
                <w:sz w:val="20"/>
                <w:szCs w:val="20"/>
                <w:color w:val="auto"/>
                <w:w w:val="88"/>
              </w:rPr>
              <w:t xml:space="preserve">Deferred income taxes </w:t>
            </w:r>
            <w:r>
              <w:rPr>
                <w:rFonts w:ascii="Arial" w:cs="Arial" w:eastAsia="Arial" w:hAnsi="Arial"/>
                <w:sz w:val="20"/>
                <w:szCs w:val="20"/>
                <w:color w:val="B4B4B4"/>
                <w:w w:val="88"/>
              </w:rPr>
              <w:t>. . . . . . . . . . . . . . . . . . . . . . . . . . . . . . . . . . . . . . . . . . . . . . . . . . . . . . .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172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8"/>
        </w:trPr>
        <w:tc>
          <w:tcPr>
            <w:tcW w:w="7460" w:type="dxa"/>
            <w:vAlign w:val="bottom"/>
          </w:tcPr>
          <w:p>
            <w:pPr>
              <w:ind w:left="120"/>
              <w:spacing w:after="0"/>
              <w:rPr>
                <w:sz w:val="20"/>
                <w:szCs w:val="20"/>
                <w:color w:val="auto"/>
              </w:rPr>
            </w:pPr>
            <w:r>
              <w:rPr>
                <w:rFonts w:ascii="Arial" w:cs="Arial" w:eastAsia="Arial" w:hAnsi="Arial"/>
                <w:sz w:val="20"/>
                <w:szCs w:val="20"/>
                <w:color w:val="auto"/>
                <w:w w:val="89"/>
              </w:rPr>
              <w:t xml:space="preserve">Other non-current assets </w:t>
            </w:r>
            <w:r>
              <w:rPr>
                <w:rFonts w:ascii="Arial" w:cs="Arial" w:eastAsia="Arial" w:hAnsi="Arial"/>
                <w:sz w:val="20"/>
                <w:szCs w:val="20"/>
                <w:color w:val="B4B4B4"/>
                <w:w w:val="89"/>
              </w:rPr>
              <w:t>. . . . . . . . . . . . . . . . . . . . . . . . . . . . . . . . . . . . . . . . . . . . . . . . . . . . . .</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7460" w:type="dxa"/>
            <w:vAlign w:val="bottom"/>
          </w:tcPr>
          <w:p>
            <w:pPr>
              <w:spacing w:after="0"/>
              <w:rPr>
                <w:sz w:val="20"/>
                <w:szCs w:val="20"/>
                <w:color w:val="auto"/>
              </w:rPr>
            </w:pPr>
            <w:r>
              <w:rPr>
                <w:rFonts w:ascii="Arial" w:cs="Arial" w:eastAsia="Arial" w:hAnsi="Arial"/>
                <w:sz w:val="20"/>
                <w:szCs w:val="20"/>
                <w:b w:val="1"/>
                <w:bCs w:val="1"/>
                <w:color w:val="auto"/>
                <w:w w:val="88"/>
              </w:rPr>
              <w:t xml:space="preserve">Total Assets </w:t>
            </w:r>
            <w:r>
              <w:rPr>
                <w:rFonts w:ascii="Arial" w:cs="Arial" w:eastAsia="Arial" w:hAnsi="Arial"/>
                <w:sz w:val="20"/>
                <w:szCs w:val="20"/>
                <w:b w:val="1"/>
                <w:bCs w:val="1"/>
                <w:color w:val="B4B4B4"/>
                <w:w w:val="88"/>
              </w:rPr>
              <w:t>. . . . . . . . . . . . . . . . . . . . . . . . . . . . . . . . . . . . . . . . . . . . . . . . . . . . . . . . . . . . . . . . .</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6,141</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5,655</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1560"/>
              <w:spacing w:after="0"/>
              <w:rPr>
                <w:sz w:val="20"/>
                <w:szCs w:val="20"/>
                <w:color w:val="auto"/>
              </w:rPr>
            </w:pPr>
            <w:r>
              <w:rPr>
                <w:rFonts w:ascii="Arial" w:cs="Arial" w:eastAsia="Arial" w:hAnsi="Arial"/>
                <w:sz w:val="20"/>
                <w:szCs w:val="20"/>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4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460" w:type="dxa"/>
            <w:vAlign w:val="bottom"/>
          </w:tcPr>
          <w:p>
            <w:pPr>
              <w:spacing w:after="0"/>
              <w:rPr>
                <w:sz w:val="20"/>
                <w:szCs w:val="20"/>
                <w:color w:val="auto"/>
              </w:rPr>
            </w:pPr>
            <w:r>
              <w:rPr>
                <w:rFonts w:ascii="Arial" w:cs="Arial" w:eastAsia="Arial" w:hAnsi="Arial"/>
                <w:sz w:val="20"/>
                <w:szCs w:val="20"/>
                <w:b w:val="1"/>
                <w:bCs w:val="1"/>
                <w:color w:val="auto"/>
              </w:rPr>
              <w:t>Other Liabilities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460" w:type="dxa"/>
            <w:vAlign w:val="bottom"/>
          </w:tcPr>
          <w:p>
            <w:pPr>
              <w:ind w:left="120"/>
              <w:spacing w:after="0"/>
              <w:rPr>
                <w:sz w:val="20"/>
                <w:szCs w:val="20"/>
                <w:color w:val="auto"/>
              </w:rPr>
            </w:pPr>
            <w:r>
              <w:rPr>
                <w:rFonts w:ascii="Arial" w:cs="Arial" w:eastAsia="Arial" w:hAnsi="Arial"/>
                <w:sz w:val="20"/>
                <w:szCs w:val="20"/>
                <w:color w:val="auto"/>
                <w:w w:val="88"/>
              </w:rPr>
              <w:t xml:space="preserve">Deferred income taxes </w:t>
            </w:r>
            <w:r>
              <w:rPr>
                <w:rFonts w:ascii="Arial" w:cs="Arial" w:eastAsia="Arial" w:hAnsi="Arial"/>
                <w:sz w:val="20"/>
                <w:szCs w:val="20"/>
                <w:color w:val="B4B4B4"/>
                <w:w w:val="88"/>
              </w:rPr>
              <w:t>. . . . . . . . . . . . . . . . . . . . . . . . . . . . . . . . . . . . . . . . . . . . . . . . . . . . . . . .</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44</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98"/>
        </w:trPr>
        <w:tc>
          <w:tcPr>
            <w:tcW w:w="7460" w:type="dxa"/>
            <w:vAlign w:val="bottom"/>
          </w:tcPr>
          <w:p>
            <w:pPr>
              <w:ind w:left="120"/>
              <w:spacing w:after="0"/>
              <w:rPr>
                <w:sz w:val="20"/>
                <w:szCs w:val="20"/>
                <w:color w:val="auto"/>
              </w:rPr>
            </w:pPr>
            <w:r>
              <w:rPr>
                <w:rFonts w:ascii="Arial" w:cs="Arial" w:eastAsia="Arial" w:hAnsi="Arial"/>
                <w:sz w:val="20"/>
                <w:szCs w:val="20"/>
                <w:color w:val="auto"/>
                <w:w w:val="90"/>
              </w:rPr>
              <w:t xml:space="preserve">Other non-current liabilities  </w:t>
            </w:r>
            <w:r>
              <w:rPr>
                <w:rFonts w:ascii="Arial" w:cs="Arial" w:eastAsia="Arial" w:hAnsi="Arial"/>
                <w:sz w:val="20"/>
                <w:szCs w:val="20"/>
                <w:color w:val="B4B4B4"/>
                <w:w w:val="90"/>
              </w:rPr>
              <w:t>. . . . . . . . . . . . . . . . . . . . . . . . . . . . . . . . . . . . . . . . . . . . . . . . . . .</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286</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70"/>
        </w:trPr>
        <w:tc>
          <w:tcPr>
            <w:tcW w:w="7460" w:type="dxa"/>
            <w:vAlign w:val="bottom"/>
          </w:tcPr>
          <w:p>
            <w:pPr>
              <w:spacing w:after="0"/>
              <w:rPr>
                <w:sz w:val="20"/>
                <w:szCs w:val="20"/>
                <w:color w:val="auto"/>
              </w:rPr>
            </w:pPr>
            <w:r>
              <w:rPr>
                <w:rFonts w:ascii="Arial" w:cs="Arial" w:eastAsia="Arial" w:hAnsi="Arial"/>
                <w:sz w:val="20"/>
                <w:szCs w:val="20"/>
                <w:b w:val="1"/>
                <w:bCs w:val="1"/>
                <w:color w:val="auto"/>
                <w:w w:val="89"/>
              </w:rPr>
              <w:t xml:space="preserve">Total Liabilities </w:t>
            </w:r>
            <w:r>
              <w:rPr>
                <w:rFonts w:ascii="Arial" w:cs="Arial" w:eastAsia="Arial" w:hAnsi="Arial"/>
                <w:sz w:val="20"/>
                <w:szCs w:val="20"/>
                <w:b w:val="1"/>
                <w:bCs w:val="1"/>
                <w:color w:val="B4B4B4"/>
                <w:w w:val="89"/>
              </w:rPr>
              <w:t>. . . . . . . . . . . . . . . . . . . . . . . . . . . . . . . . . . . . . . . . . . . . . . . . . . . . . . . . . . . . . .</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330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78"/>
        </w:trPr>
        <w:tc>
          <w:tcPr>
            <w:tcW w:w="7460" w:type="dxa"/>
            <w:vAlign w:val="bottom"/>
          </w:tcPr>
          <w:p>
            <w:pPr>
              <w:spacing w:after="0"/>
              <w:rPr>
                <w:sz w:val="20"/>
                <w:szCs w:val="20"/>
                <w:color w:val="auto"/>
              </w:rPr>
            </w:pPr>
            <w:r>
              <w:rPr>
                <w:rFonts w:ascii="Arial" w:cs="Arial" w:eastAsia="Arial" w:hAnsi="Arial"/>
                <w:sz w:val="20"/>
                <w:szCs w:val="20"/>
                <w:b w:val="1"/>
                <w:bCs w:val="1"/>
                <w:color w:val="auto"/>
              </w:rPr>
              <w:t>Commitments and Contingencies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460" w:type="dxa"/>
            <w:vAlign w:val="bottom"/>
          </w:tcPr>
          <w:p>
            <w:pPr>
              <w:spacing w:after="0"/>
              <w:rPr>
                <w:sz w:val="20"/>
                <w:szCs w:val="20"/>
                <w:color w:val="auto"/>
              </w:rPr>
            </w:pPr>
            <w:r>
              <w:rPr>
                <w:rFonts w:ascii="Arial" w:cs="Arial" w:eastAsia="Arial" w:hAnsi="Arial"/>
                <w:sz w:val="20"/>
                <w:szCs w:val="20"/>
                <w:b w:val="1"/>
                <w:bCs w:val="1"/>
                <w:color w:val="auto"/>
              </w:rPr>
              <w:t>Stockholders’ Equity</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460" w:type="dxa"/>
            <w:vAlign w:val="bottom"/>
          </w:tcPr>
          <w:p>
            <w:pPr>
              <w:ind w:left="120"/>
              <w:spacing w:after="0"/>
              <w:rPr>
                <w:sz w:val="20"/>
                <w:szCs w:val="20"/>
                <w:color w:val="auto"/>
              </w:rPr>
            </w:pPr>
            <w:r>
              <w:rPr>
                <w:rFonts w:ascii="Arial" w:cs="Arial" w:eastAsia="Arial" w:hAnsi="Arial"/>
                <w:sz w:val="20"/>
                <w:szCs w:val="20"/>
                <w:color w:val="auto"/>
                <w:w w:val="88"/>
              </w:rPr>
              <w:t xml:space="preserve">Preferred stock, $0.01 par value; 10,000,000 shares authorized; none issued </w:t>
            </w:r>
            <w:r>
              <w:rPr>
                <w:rFonts w:ascii="Arial" w:cs="Arial" w:eastAsia="Arial" w:hAnsi="Arial"/>
                <w:sz w:val="20"/>
                <w:szCs w:val="20"/>
                <w:color w:val="B4B4B4"/>
                <w:w w:val="88"/>
              </w:rPr>
              <w:t>. . . . . . . . . . . .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1"/>
        </w:trPr>
        <w:tc>
          <w:tcPr>
            <w:tcW w:w="7460" w:type="dxa"/>
            <w:vAlign w:val="bottom"/>
          </w:tcPr>
          <w:p>
            <w:pPr>
              <w:ind w:left="120"/>
              <w:spacing w:after="0"/>
              <w:rPr>
                <w:sz w:val="20"/>
                <w:szCs w:val="20"/>
                <w:color w:val="auto"/>
              </w:rPr>
            </w:pPr>
            <w:r>
              <w:rPr>
                <w:rFonts w:ascii="Arial" w:cs="Arial" w:eastAsia="Arial" w:hAnsi="Arial"/>
                <w:sz w:val="20"/>
                <w:szCs w:val="20"/>
                <w:color w:val="auto"/>
                <w:w w:val="95"/>
              </w:rPr>
              <w:t>Class A, Class B, Class C and Class D common stock, $0.01 par value; 3,000,000,000</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120"/>
              <w:spacing w:after="0" w:line="196" w:lineRule="exact"/>
              <w:rPr>
                <w:sz w:val="20"/>
                <w:szCs w:val="20"/>
                <w:color w:val="auto"/>
              </w:rPr>
            </w:pPr>
            <w:r>
              <w:rPr>
                <w:rFonts w:ascii="Arial" w:cs="Arial" w:eastAsia="Arial" w:hAnsi="Arial"/>
                <w:sz w:val="20"/>
                <w:szCs w:val="20"/>
                <w:color w:val="auto"/>
                <w:w w:val="88"/>
              </w:rPr>
              <w:t>shares authorized (Class A 500,000,000, Class B 500,000,000, Class C 1,000,000,000, Class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120"/>
              <w:spacing w:after="0" w:line="196" w:lineRule="exact"/>
              <w:rPr>
                <w:sz w:val="20"/>
                <w:szCs w:val="20"/>
                <w:color w:val="auto"/>
              </w:rPr>
            </w:pPr>
            <w:r>
              <w:rPr>
                <w:rFonts w:ascii="Arial" w:cs="Arial" w:eastAsia="Arial" w:hAnsi="Arial"/>
                <w:sz w:val="20"/>
                <w:szCs w:val="20"/>
                <w:color w:val="auto"/>
                <w:w w:val="89"/>
              </w:rPr>
              <w:t>D 1,000,000,000); 203,773,674 shares issued and outstanding (Class A 34,613,853, Class B</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120"/>
              <w:spacing w:after="0" w:line="196" w:lineRule="exact"/>
              <w:rPr>
                <w:sz w:val="20"/>
                <w:szCs w:val="20"/>
                <w:color w:val="auto"/>
              </w:rPr>
            </w:pPr>
            <w:r>
              <w:rPr>
                <w:rFonts w:ascii="Arial" w:cs="Arial" w:eastAsia="Arial" w:hAnsi="Arial"/>
                <w:sz w:val="20"/>
                <w:szCs w:val="20"/>
                <w:color w:val="auto"/>
              </w:rPr>
              <w:t>42,738,750, Class C 84,844,929, Class D 41,576,142) at December 31, 2025 and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120"/>
              <w:spacing w:after="0" w:line="196" w:lineRule="exact"/>
              <w:rPr>
                <w:sz w:val="20"/>
                <w:szCs w:val="20"/>
                <w:color w:val="auto"/>
              </w:rPr>
            </w:pPr>
            <w:r>
              <w:rPr>
                <w:rFonts w:ascii="Arial" w:cs="Arial" w:eastAsia="Arial" w:hAnsi="Arial"/>
                <w:sz w:val="20"/>
                <w:szCs w:val="20"/>
                <w:color w:val="auto"/>
                <w:w w:val="89"/>
              </w:rPr>
              <w:t>202,147,579 shares issued and outstanding (Class A 34,613,853, Class B 42,738,750, Class</w:t>
            </w: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5"/>
        </w:trPr>
        <w:tc>
          <w:tcPr>
            <w:tcW w:w="7460" w:type="dxa"/>
            <w:vAlign w:val="bottom"/>
          </w:tcPr>
          <w:p>
            <w:pPr>
              <w:ind w:left="120"/>
              <w:spacing w:after="0"/>
              <w:rPr>
                <w:sz w:val="20"/>
                <w:szCs w:val="20"/>
                <w:color w:val="auto"/>
              </w:rPr>
            </w:pPr>
            <w:r>
              <w:rPr>
                <w:rFonts w:ascii="Arial" w:cs="Arial" w:eastAsia="Arial" w:hAnsi="Arial"/>
                <w:sz w:val="20"/>
                <w:szCs w:val="20"/>
                <w:color w:val="auto"/>
                <w:w w:val="89"/>
              </w:rPr>
              <w:t xml:space="preserve">C 82,833,226, Class D 41,961,750) at December 31, 2024 </w:t>
            </w:r>
            <w:r>
              <w:rPr>
                <w:rFonts w:ascii="Arial" w:cs="Arial" w:eastAsia="Arial" w:hAnsi="Arial"/>
                <w:sz w:val="20"/>
                <w:szCs w:val="20"/>
                <w:color w:val="B4B4B4"/>
                <w:w w:val="89"/>
              </w:rPr>
              <w:t>. . . . . . . . . . . . . . . . . . . . . . . . . . .</w:t>
            </w:r>
          </w:p>
        </w:tc>
        <w:tc>
          <w:tcPr>
            <w:tcW w:w="1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7460" w:type="dxa"/>
            <w:vAlign w:val="bottom"/>
          </w:tcPr>
          <w:p>
            <w:pPr>
              <w:ind w:left="120"/>
              <w:spacing w:after="0"/>
              <w:rPr>
                <w:sz w:val="20"/>
                <w:szCs w:val="20"/>
                <w:color w:val="auto"/>
              </w:rPr>
            </w:pPr>
            <w:r>
              <w:rPr>
                <w:rFonts w:ascii="Arial" w:cs="Arial" w:eastAsia="Arial" w:hAnsi="Arial"/>
                <w:sz w:val="20"/>
                <w:szCs w:val="20"/>
                <w:color w:val="auto"/>
                <w:w w:val="90"/>
              </w:rPr>
              <w:t xml:space="preserve">Additional paid-in capital </w:t>
            </w:r>
            <w:r>
              <w:rPr>
                <w:rFonts w:ascii="Arial" w:cs="Arial" w:eastAsia="Arial" w:hAnsi="Arial"/>
                <w:sz w:val="20"/>
                <w:szCs w:val="20"/>
                <w:color w:val="B4B4B4"/>
                <w:w w:val="90"/>
              </w:rPr>
              <w:t>. . . . . . . . . . . . . . . . . . . . . . . . . . . . . . . . . . . . . . . . . . . . . . . . . . . .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1,715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1,805</w:t>
            </w:r>
          </w:p>
        </w:tc>
        <w:tc>
          <w:tcPr>
            <w:tcW w:w="0" w:type="dxa"/>
            <w:vAlign w:val="bottom"/>
          </w:tcPr>
          <w:p>
            <w:pPr>
              <w:spacing w:after="0"/>
              <w:rPr>
                <w:sz w:val="1"/>
                <w:szCs w:val="1"/>
                <w:color w:val="auto"/>
              </w:rPr>
            </w:pPr>
          </w:p>
        </w:tc>
      </w:tr>
      <w:tr>
        <w:trPr>
          <w:trHeight w:val="294"/>
        </w:trPr>
        <w:tc>
          <w:tcPr>
            <w:tcW w:w="7460" w:type="dxa"/>
            <w:vAlign w:val="bottom"/>
          </w:tcPr>
          <w:p>
            <w:pPr>
              <w:ind w:left="120"/>
              <w:spacing w:after="0"/>
              <w:rPr>
                <w:sz w:val="20"/>
                <w:szCs w:val="20"/>
                <w:color w:val="auto"/>
              </w:rPr>
            </w:pPr>
            <w:r>
              <w:rPr>
                <w:rFonts w:ascii="Arial" w:cs="Arial" w:eastAsia="Arial" w:hAnsi="Arial"/>
                <w:sz w:val="20"/>
                <w:szCs w:val="20"/>
                <w:color w:val="auto"/>
                <w:w w:val="88"/>
              </w:rPr>
              <w:t xml:space="preserve">Retained earnings  </w:t>
            </w:r>
            <w:r>
              <w:rPr>
                <w:rFonts w:ascii="Arial" w:cs="Arial" w:eastAsia="Arial" w:hAnsi="Arial"/>
                <w:sz w:val="20"/>
                <w:szCs w:val="20"/>
                <w:color w:val="B4B4B4"/>
                <w:w w:val="88"/>
              </w:rPr>
              <w:t>. . . . . . . . . . . . . . . . . . . . . . . . . . . . . . . . . . . . . . . . . . . . . . . . . . . . . . . . . .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254</w:t>
            </w:r>
          </w:p>
        </w:tc>
        <w:tc>
          <w:tcPr>
            <w:tcW w:w="0" w:type="dxa"/>
            <w:vAlign w:val="bottom"/>
          </w:tcPr>
          <w:p>
            <w:pPr>
              <w:spacing w:after="0"/>
              <w:rPr>
                <w:sz w:val="1"/>
                <w:szCs w:val="1"/>
                <w:color w:val="auto"/>
              </w:rPr>
            </w:pPr>
          </w:p>
        </w:tc>
      </w:tr>
      <w:tr>
        <w:trPr>
          <w:trHeight w:val="294"/>
        </w:trPr>
        <w:tc>
          <w:tcPr>
            <w:tcW w:w="7460" w:type="dxa"/>
            <w:vAlign w:val="bottom"/>
          </w:tcPr>
          <w:p>
            <w:pPr>
              <w:ind w:left="120"/>
              <w:spacing w:after="0"/>
              <w:rPr>
                <w:sz w:val="20"/>
                <w:szCs w:val="20"/>
                <w:color w:val="auto"/>
              </w:rPr>
            </w:pPr>
            <w:r>
              <w:rPr>
                <w:rFonts w:ascii="Arial" w:cs="Arial" w:eastAsia="Arial" w:hAnsi="Arial"/>
                <w:sz w:val="20"/>
                <w:szCs w:val="20"/>
                <w:color w:val="auto"/>
                <w:w w:val="89"/>
              </w:rPr>
              <w:t xml:space="preserve">Accumulated other comprehensive (loss) income </w:t>
            </w:r>
            <w:r>
              <w:rPr>
                <w:rFonts w:ascii="Arial" w:cs="Arial" w:eastAsia="Arial" w:hAnsi="Arial"/>
                <w:sz w:val="20"/>
                <w:szCs w:val="20"/>
                <w:color w:val="B4B4B4"/>
                <w:w w:val="89"/>
              </w:rPr>
              <w:t>. . . . . . . . . . . . . . . . . . . . . . . . . . . . . . . . . .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98"/>
        </w:trPr>
        <w:tc>
          <w:tcPr>
            <w:tcW w:w="7460" w:type="dxa"/>
            <w:vAlign w:val="bottom"/>
          </w:tcPr>
          <w:p>
            <w:pPr>
              <w:ind w:left="120"/>
              <w:spacing w:after="0"/>
              <w:rPr>
                <w:sz w:val="20"/>
                <w:szCs w:val="20"/>
                <w:color w:val="auto"/>
              </w:rPr>
            </w:pPr>
            <w:r>
              <w:rPr>
                <w:rFonts w:ascii="Arial" w:cs="Arial" w:eastAsia="Arial" w:hAnsi="Arial"/>
                <w:sz w:val="20"/>
                <w:szCs w:val="20"/>
                <w:color w:val="auto"/>
                <w:w w:val="90"/>
              </w:rPr>
              <w:t xml:space="preserve">Noncontrolling interest </w:t>
            </w:r>
            <w:r>
              <w:rPr>
                <w:rFonts w:ascii="Arial" w:cs="Arial" w:eastAsia="Arial" w:hAnsi="Arial"/>
                <w:sz w:val="20"/>
                <w:szCs w:val="20"/>
                <w:color w:val="B4B4B4"/>
                <w:w w:val="90"/>
              </w:rPr>
              <w:t>. . . . . . . . . . . . . . . . . . . . . . . . . . . . . . . . . . . . . . . . . . . . . . . . . . . . . . .</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3,887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3,501</w:t>
            </w:r>
          </w:p>
        </w:tc>
        <w:tc>
          <w:tcPr>
            <w:tcW w:w="0" w:type="dxa"/>
            <w:vAlign w:val="bottom"/>
          </w:tcPr>
          <w:p>
            <w:pPr>
              <w:spacing w:after="0"/>
              <w:rPr>
                <w:sz w:val="1"/>
                <w:szCs w:val="1"/>
                <w:color w:val="auto"/>
              </w:rPr>
            </w:pPr>
          </w:p>
        </w:tc>
      </w:tr>
      <w:tr>
        <w:trPr>
          <w:trHeight w:val="274"/>
        </w:trPr>
        <w:tc>
          <w:tcPr>
            <w:tcW w:w="7460" w:type="dxa"/>
            <w:vAlign w:val="bottom"/>
          </w:tcPr>
          <w:p>
            <w:pPr>
              <w:spacing w:after="0"/>
              <w:rPr>
                <w:sz w:val="20"/>
                <w:szCs w:val="20"/>
                <w:color w:val="auto"/>
              </w:rPr>
            </w:pPr>
            <w:r>
              <w:rPr>
                <w:rFonts w:ascii="Arial" w:cs="Arial" w:eastAsia="Arial" w:hAnsi="Arial"/>
                <w:sz w:val="20"/>
                <w:szCs w:val="20"/>
                <w:b w:val="1"/>
                <w:bCs w:val="1"/>
                <w:color w:val="auto"/>
                <w:w w:val="89"/>
              </w:rPr>
              <w:t xml:space="preserve">Total Stockholders’ Equity </w:t>
            </w:r>
            <w:r>
              <w:rPr>
                <w:rFonts w:ascii="Arial" w:cs="Arial" w:eastAsia="Arial" w:hAnsi="Arial"/>
                <w:sz w:val="20"/>
                <w:szCs w:val="20"/>
                <w:b w:val="1"/>
                <w:bCs w:val="1"/>
                <w:color w:val="B4B4B4"/>
                <w:w w:val="89"/>
              </w:rPr>
              <w:t>. . . . . . . . . . . . . . . . . . . . . . . . . . . . . . . . . . . . . . . . . . . . . . . . . . . .</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5,811</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5,564</w:t>
            </w:r>
          </w:p>
        </w:tc>
        <w:tc>
          <w:tcPr>
            <w:tcW w:w="0" w:type="dxa"/>
            <w:vAlign w:val="bottom"/>
          </w:tcPr>
          <w:p>
            <w:pPr>
              <w:spacing w:after="0"/>
              <w:rPr>
                <w:sz w:val="1"/>
                <w:szCs w:val="1"/>
                <w:color w:val="auto"/>
              </w:rPr>
            </w:pPr>
          </w:p>
        </w:tc>
      </w:tr>
      <w:tr>
        <w:trPr>
          <w:trHeight w:val="254"/>
        </w:trPr>
        <w:tc>
          <w:tcPr>
            <w:tcW w:w="7460" w:type="dxa"/>
            <w:vAlign w:val="bottom"/>
          </w:tcPr>
          <w:p>
            <w:pPr>
              <w:spacing w:after="0"/>
              <w:rPr>
                <w:sz w:val="20"/>
                <w:szCs w:val="20"/>
                <w:color w:val="auto"/>
              </w:rPr>
            </w:pPr>
            <w:r>
              <w:rPr>
                <w:rFonts w:ascii="Arial" w:cs="Arial" w:eastAsia="Arial" w:hAnsi="Arial"/>
                <w:sz w:val="20"/>
                <w:szCs w:val="20"/>
                <w:b w:val="1"/>
                <w:bCs w:val="1"/>
                <w:color w:val="auto"/>
                <w:w w:val="90"/>
              </w:rPr>
              <w:t xml:space="preserve">Total Liabilities and Stockholders’ Equity </w:t>
            </w:r>
            <w:r>
              <w:rPr>
                <w:rFonts w:ascii="Arial" w:cs="Arial" w:eastAsia="Arial" w:hAnsi="Arial"/>
                <w:sz w:val="20"/>
                <w:szCs w:val="20"/>
                <w:b w:val="1"/>
                <w:bCs w:val="1"/>
                <w:color w:val="B4B4B4"/>
                <w:w w:val="90"/>
              </w:rPr>
              <w:t>. . . . . . . . . . . . . . . . . . . . . . . . . . . . . . . . . . . . . . .</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6,141</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5,655</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-5099685</wp:posOffset>
            </wp:positionV>
            <wp:extent cx="6400800" cy="51066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1">
                      <a:extLst>
                        <a:ext uri="{28A0092B-C50C-407E-A947-70E740481C1C}"/>
                      </a:extLst>
                    </a:blip>
                    <a:srcRect/>
                    <a:stretch>
                      <a:fillRect/>
                    </a:stretch>
                  </pic:blipFill>
                  <pic:spPr bwMode="auto">
                    <a:xfrm>
                      <a:off x="0" y="0"/>
                      <a:ext cx="6400800" cy="5106670"/>
                    </a:xfrm>
                    <a:prstGeom prst="rect">
                      <a:avLst/>
                    </a:prstGeom>
                    <a:noFill/>
                  </pic:spPr>
                </pic:pic>
              </a:graphicData>
            </a:graphic>
          </wp:anchor>
        </w:drawing>
      </w:r>
    </w:p>
    <w:p>
      <w:pPr>
        <w:spacing w:after="0" w:line="16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condensed financial statements.</w:t>
      </w:r>
    </w:p>
    <w:p>
      <w:pPr>
        <w:sectPr>
          <w:pgSz w:w="11880" w:h="15480" w:orient="portrait"/>
          <w:cols w:equalWidth="0" w:num="1">
            <w:col w:w="9980"/>
          </w:cols>
          <w:pgMar w:left="98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139</w:t>
      </w:r>
    </w:p>
    <w:p>
      <w:pPr>
        <w:sectPr>
          <w:pgSz w:w="11880" w:h="15480" w:orient="portrait"/>
          <w:cols w:equalWidth="0" w:num="1">
            <w:col w:w="9980"/>
          </w:cols>
          <w:pgMar w:left="980" w:top="577" w:right="920" w:bottom="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59"/>
        </w:trPr>
        <w:tc>
          <w:tcPr>
            <w:tcW w:w="6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w w:val="89"/>
              </w:rPr>
              <w:t>Schedule I</w:t>
            </w:r>
          </w:p>
        </w:tc>
      </w:tr>
      <w:tr>
        <w:trPr>
          <w:trHeight w:val="412"/>
        </w:trPr>
        <w:tc>
          <w:tcPr>
            <w:tcW w:w="6340" w:type="dxa"/>
            <w:vAlign w:val="bottom"/>
          </w:tcPr>
          <w:p>
            <w:pPr>
              <w:jc w:val="center"/>
              <w:ind w:left="3482"/>
              <w:spacing w:after="0"/>
              <w:rPr>
                <w:sz w:val="20"/>
                <w:szCs w:val="20"/>
                <w:color w:val="auto"/>
              </w:rPr>
            </w:pPr>
            <w:r>
              <w:rPr>
                <w:rFonts w:ascii="Arial" w:cs="Arial" w:eastAsia="Arial" w:hAnsi="Arial"/>
                <w:sz w:val="20"/>
                <w:szCs w:val="20"/>
                <w:b w:val="1"/>
                <w:bCs w:val="1"/>
                <w:color w:val="auto"/>
                <w:w w:val="91"/>
              </w:rPr>
              <w:t>Clearway Energy, Inc. (Parent)</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3"/>
        </w:trPr>
        <w:tc>
          <w:tcPr>
            <w:tcW w:w="6640" w:type="dxa"/>
            <w:vAlign w:val="bottom"/>
            <w:gridSpan w:val="2"/>
          </w:tcPr>
          <w:p>
            <w:pPr>
              <w:jc w:val="center"/>
              <w:ind w:left="3182"/>
              <w:spacing w:after="0"/>
              <w:rPr>
                <w:sz w:val="20"/>
                <w:szCs w:val="20"/>
                <w:color w:val="auto"/>
              </w:rPr>
            </w:pPr>
            <w:r>
              <w:rPr>
                <w:rFonts w:ascii="Arial" w:cs="Arial" w:eastAsia="Arial" w:hAnsi="Arial"/>
                <w:sz w:val="20"/>
                <w:szCs w:val="20"/>
                <w:b w:val="1"/>
                <w:bCs w:val="1"/>
                <w:color w:val="auto"/>
                <w:w w:val="85"/>
              </w:rPr>
              <w:t>Condensed Statements of Cash Flows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2"/>
        </w:trPr>
        <w:tc>
          <w:tcPr>
            <w:tcW w:w="6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left="525"/>
              <w:spacing w:after="0"/>
              <w:rPr>
                <w:sz w:val="20"/>
                <w:szCs w:val="20"/>
                <w:color w:val="auto"/>
              </w:rPr>
            </w:pPr>
            <w:r>
              <w:rPr>
                <w:rFonts w:ascii="Arial" w:cs="Arial" w:eastAsia="Arial" w:hAnsi="Arial"/>
                <w:sz w:val="16"/>
                <w:szCs w:val="16"/>
                <w:b w:val="1"/>
                <w:bCs w:val="1"/>
                <w:color w:val="auto"/>
                <w:w w:val="88"/>
              </w:rPr>
              <w:t>Year ended December 31,</w:t>
            </w:r>
          </w:p>
        </w:tc>
        <w:tc>
          <w:tcPr>
            <w:tcW w:w="920" w:type="dxa"/>
            <w:vAlign w:val="bottom"/>
            <w:tcBorders>
              <w:bottom w:val="single" w:sz="8" w:color="auto"/>
            </w:tcBorders>
          </w:tcPr>
          <w:p>
            <w:pPr>
              <w:spacing w:after="0"/>
              <w:rPr>
                <w:sz w:val="24"/>
                <w:szCs w:val="24"/>
                <w:color w:val="auto"/>
              </w:rPr>
            </w:pPr>
          </w:p>
        </w:tc>
      </w:tr>
      <w:tr>
        <w:trPr>
          <w:trHeight w:val="230"/>
        </w:trPr>
        <w:tc>
          <w:tcPr>
            <w:tcW w:w="6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65"/>
              <w:spacing w:after="0"/>
              <w:rPr>
                <w:sz w:val="20"/>
                <w:szCs w:val="20"/>
                <w:color w:val="auto"/>
              </w:rPr>
            </w:pPr>
            <w:r>
              <w:rPr>
                <w:rFonts w:ascii="Arial" w:cs="Arial" w:eastAsia="Arial" w:hAnsi="Arial"/>
                <w:sz w:val="16"/>
                <w:szCs w:val="16"/>
                <w:b w:val="1"/>
                <w:bCs w:val="1"/>
                <w:color w:val="auto"/>
                <w:w w:val="89"/>
              </w:rPr>
              <w:t>2024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b w:val="1"/>
                <w:bCs w:val="1"/>
                <w:color w:val="auto"/>
              </w:rPr>
              <w:t>2023</w:t>
            </w:r>
          </w:p>
        </w:tc>
      </w:tr>
      <w:tr>
        <w:trPr>
          <w:trHeight w:val="267"/>
        </w:trPr>
        <w:tc>
          <w:tcPr>
            <w:tcW w:w="6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center"/>
              <w:ind w:right="85"/>
              <w:spacing w:after="0"/>
              <w:rPr>
                <w:sz w:val="20"/>
                <w:szCs w:val="20"/>
                <w:color w:val="auto"/>
              </w:rPr>
            </w:pPr>
            <w:r>
              <w:rPr>
                <w:rFonts w:ascii="Arial" w:cs="Arial" w:eastAsia="Arial" w:hAnsi="Arial"/>
                <w:sz w:val="16"/>
                <w:szCs w:val="16"/>
                <w:b w:val="1"/>
                <w:bCs w:val="1"/>
                <w:color w:val="auto"/>
                <w:w w:val="91"/>
              </w:rPr>
              <w:t>(In millions)</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84"/>
        </w:trPr>
        <w:tc>
          <w:tcPr>
            <w:tcW w:w="6340" w:type="dxa"/>
            <w:vAlign w:val="bottom"/>
          </w:tcPr>
          <w:p>
            <w:pPr>
              <w:jc w:val="right"/>
              <w:spacing w:after="0"/>
              <w:rPr>
                <w:sz w:val="20"/>
                <w:szCs w:val="20"/>
                <w:color w:val="auto"/>
              </w:rPr>
            </w:pPr>
            <w:r>
              <w:rPr>
                <w:rFonts w:ascii="Arial" w:cs="Arial" w:eastAsia="Arial" w:hAnsi="Arial"/>
                <w:sz w:val="20"/>
                <w:szCs w:val="20"/>
                <w:b w:val="1"/>
                <w:bCs w:val="1"/>
                <w:color w:val="auto"/>
                <w:w w:val="88"/>
              </w:rPr>
              <w:t xml:space="preserve">Net Cash Used in Operating Activities </w:t>
            </w:r>
            <w:r>
              <w:rPr>
                <w:rFonts w:ascii="Arial" w:cs="Arial" w:eastAsia="Arial" w:hAnsi="Arial"/>
                <w:sz w:val="20"/>
                <w:szCs w:val="20"/>
                <w:b w:val="1"/>
                <w:bCs w:val="1"/>
                <w:color w:val="B4B4B4"/>
                <w:w w:val="88"/>
              </w:rPr>
              <w:t>. . . . . . . . . . . . . . . . . . . . . . . . . . . . . . .</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79"/>
        </w:trPr>
        <w:tc>
          <w:tcPr>
            <w:tcW w:w="6340" w:type="dxa"/>
            <w:vAlign w:val="bottom"/>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0"/>
        </w:trPr>
        <w:tc>
          <w:tcPr>
            <w:tcW w:w="6340" w:type="dxa"/>
            <w:vAlign w:val="bottom"/>
          </w:tcPr>
          <w:p>
            <w:pPr>
              <w:jc w:val="right"/>
              <w:spacing w:after="0"/>
              <w:rPr>
                <w:sz w:val="20"/>
                <w:szCs w:val="20"/>
                <w:color w:val="auto"/>
              </w:rPr>
            </w:pPr>
            <w:r>
              <w:rPr>
                <w:rFonts w:ascii="Arial" w:cs="Arial" w:eastAsia="Arial" w:hAnsi="Arial"/>
                <w:sz w:val="20"/>
                <w:szCs w:val="20"/>
                <w:color w:val="auto"/>
                <w:w w:val="91"/>
              </w:rPr>
              <w:t xml:space="preserve">Investments in consolidated affiliates </w:t>
            </w:r>
            <w:r>
              <w:rPr>
                <w:rFonts w:ascii="Arial" w:cs="Arial" w:eastAsia="Arial" w:hAnsi="Arial"/>
                <w:sz w:val="20"/>
                <w:szCs w:val="20"/>
                <w:color w:val="B4B4B4"/>
                <w:w w:val="91"/>
              </w:rPr>
              <w:t>. . . . . . . . . . . . . . . . . . . . . . . . . . . . . . . .</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340" w:type="dxa"/>
            <w:vAlign w:val="bottom"/>
          </w:tcPr>
          <w:p>
            <w:pPr>
              <w:jc w:val="right"/>
              <w:spacing w:after="0"/>
              <w:rPr>
                <w:sz w:val="20"/>
                <w:szCs w:val="20"/>
                <w:color w:val="auto"/>
              </w:rPr>
            </w:pPr>
            <w:r>
              <w:rPr>
                <w:rFonts w:ascii="Arial" w:cs="Arial" w:eastAsia="Arial" w:hAnsi="Arial"/>
                <w:sz w:val="20"/>
                <w:szCs w:val="20"/>
                <w:color w:val="auto"/>
                <w:w w:val="92"/>
              </w:rPr>
              <w:t xml:space="preserve">Cash advances for notes receivable — affiliate </w:t>
            </w:r>
            <w:r>
              <w:rPr>
                <w:rFonts w:ascii="Arial" w:cs="Arial" w:eastAsia="Arial" w:hAnsi="Arial"/>
                <w:sz w:val="20"/>
                <w:szCs w:val="20"/>
                <w:color w:val="B4B4B4"/>
                <w:w w:val="92"/>
              </w:rPr>
              <w:t>. . . . . . . . . . . . . . . . . . . . . . . .</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6340" w:type="dxa"/>
            <w:vAlign w:val="bottom"/>
          </w:tcPr>
          <w:p>
            <w:pPr>
              <w:jc w:val="right"/>
              <w:spacing w:after="0"/>
              <w:rPr>
                <w:sz w:val="20"/>
                <w:szCs w:val="20"/>
                <w:color w:val="auto"/>
              </w:rPr>
            </w:pPr>
            <w:r>
              <w:rPr>
                <w:rFonts w:ascii="Arial" w:cs="Arial" w:eastAsia="Arial" w:hAnsi="Arial"/>
                <w:sz w:val="20"/>
                <w:szCs w:val="20"/>
                <w:color w:val="auto"/>
                <w:w w:val="92"/>
              </w:rPr>
              <w:t xml:space="preserve">Cash received from notes receivable — affiliate </w:t>
            </w:r>
            <w:r>
              <w:rPr>
                <w:rFonts w:ascii="Arial" w:cs="Arial" w:eastAsia="Arial" w:hAnsi="Arial"/>
                <w:sz w:val="20"/>
                <w:szCs w:val="20"/>
                <w:color w:val="B4B4B4"/>
                <w:w w:val="92"/>
              </w:rPr>
              <w:t>. . . . . . . . . . . . . . . . . . . . . . .</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57"/>
        </w:trPr>
        <w:tc>
          <w:tcPr>
            <w:tcW w:w="6340" w:type="dxa"/>
            <w:vAlign w:val="bottom"/>
          </w:tcPr>
          <w:p>
            <w:pPr>
              <w:jc w:val="right"/>
              <w:spacing w:after="0"/>
              <w:rPr>
                <w:sz w:val="20"/>
                <w:szCs w:val="20"/>
                <w:color w:val="auto"/>
              </w:rPr>
            </w:pPr>
            <w:r>
              <w:rPr>
                <w:rFonts w:ascii="Arial" w:cs="Arial" w:eastAsia="Arial" w:hAnsi="Arial"/>
                <w:sz w:val="20"/>
                <w:szCs w:val="20"/>
                <w:b w:val="1"/>
                <w:bCs w:val="1"/>
                <w:color w:val="B4B4B4"/>
                <w:w w:val="94"/>
              </w:rPr>
              <w:t>. . . . . . . . . . . . . . . . . . . .</w:t>
            </w:r>
            <w:r>
              <w:rPr>
                <w:rFonts w:ascii="Arial" w:cs="Arial" w:eastAsia="Arial" w:hAnsi="Arial"/>
                <w:sz w:val="20"/>
                <w:szCs w:val="20"/>
                <w:b w:val="1"/>
                <w:bCs w:val="1"/>
                <w:color w:val="000000"/>
                <w:w w:val="94"/>
              </w:rPr>
              <w:t>NetCash(Usedin)ProvidedbyInvestingActivities</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78"/>
        </w:trPr>
        <w:tc>
          <w:tcPr>
            <w:tcW w:w="6340" w:type="dxa"/>
            <w:vAlign w:val="bottom"/>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1"/>
        </w:trPr>
        <w:tc>
          <w:tcPr>
            <w:tcW w:w="6340" w:type="dxa"/>
            <w:vAlign w:val="bottom"/>
          </w:tcPr>
          <w:p>
            <w:pPr>
              <w:jc w:val="right"/>
              <w:spacing w:after="0"/>
              <w:rPr>
                <w:sz w:val="20"/>
                <w:szCs w:val="20"/>
                <w:color w:val="auto"/>
              </w:rPr>
            </w:pPr>
            <w:r>
              <w:rPr>
                <w:rFonts w:ascii="Arial" w:cs="Arial" w:eastAsia="Arial" w:hAnsi="Arial"/>
                <w:sz w:val="20"/>
                <w:szCs w:val="20"/>
                <w:color w:val="auto"/>
                <w:w w:val="90"/>
              </w:rPr>
              <w:t xml:space="preserve">Proceeds from the issuance of Class C common stock </w:t>
            </w:r>
            <w:r>
              <w:rPr>
                <w:rFonts w:ascii="Arial" w:cs="Arial" w:eastAsia="Arial" w:hAnsi="Arial"/>
                <w:sz w:val="20"/>
                <w:szCs w:val="20"/>
                <w:color w:val="B4B4B4"/>
                <w:w w:val="90"/>
              </w:rPr>
              <w:t>. . . . . . . . . . . . . . . . . . .</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6340" w:type="dxa"/>
            <w:vAlign w:val="bottom"/>
          </w:tcPr>
          <w:p>
            <w:pPr>
              <w:jc w:val="right"/>
              <w:spacing w:after="0"/>
              <w:rPr>
                <w:sz w:val="20"/>
                <w:szCs w:val="20"/>
                <w:color w:val="auto"/>
              </w:rPr>
            </w:pPr>
            <w:r>
              <w:rPr>
                <w:rFonts w:ascii="Arial" w:cs="Arial" w:eastAsia="Arial" w:hAnsi="Arial"/>
                <w:sz w:val="20"/>
                <w:szCs w:val="20"/>
                <w:color w:val="auto"/>
                <w:w w:val="93"/>
              </w:rPr>
              <w:t xml:space="preserve">Cash received from Clearway Energy LLC for tax-related distributions </w:t>
            </w:r>
            <w:r>
              <w:rPr>
                <w:rFonts w:ascii="Arial" w:cs="Arial" w:eastAsia="Arial" w:hAnsi="Arial"/>
                <w:sz w:val="20"/>
                <w:szCs w:val="20"/>
                <w:color w:val="B4B4B4"/>
                <w:w w:val="93"/>
              </w:rPr>
              <w:t>. . . . .</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79"/>
        </w:trPr>
        <w:tc>
          <w:tcPr>
            <w:tcW w:w="6340" w:type="dxa"/>
            <w:vAlign w:val="bottom"/>
          </w:tcPr>
          <w:p>
            <w:pPr>
              <w:jc w:val="right"/>
              <w:spacing w:after="0"/>
              <w:rPr>
                <w:sz w:val="20"/>
                <w:szCs w:val="20"/>
                <w:color w:val="auto"/>
              </w:rPr>
            </w:pPr>
            <w:r>
              <w:rPr>
                <w:rFonts w:ascii="Arial" w:cs="Arial" w:eastAsia="Arial" w:hAnsi="Arial"/>
                <w:sz w:val="20"/>
                <w:szCs w:val="20"/>
                <w:color w:val="auto"/>
                <w:w w:val="93"/>
              </w:rPr>
              <w:t xml:space="preserve">Cash received from Clearway Energy LLC for the payment of dividends  </w:t>
            </w:r>
            <w:r>
              <w:rPr>
                <w:rFonts w:ascii="Arial" w:cs="Arial" w:eastAsia="Arial" w:hAnsi="Arial"/>
                <w:sz w:val="20"/>
                <w:szCs w:val="20"/>
                <w:color w:val="B4B4B4"/>
                <w:w w:val="93"/>
              </w:rPr>
              <w:t>. . .</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194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180</w:t>
            </w:r>
          </w:p>
        </w:tc>
      </w:tr>
      <w:tr>
        <w:trPr>
          <w:trHeight w:val="282"/>
        </w:trPr>
        <w:tc>
          <w:tcPr>
            <w:tcW w:w="6340" w:type="dxa"/>
            <w:vAlign w:val="bottom"/>
          </w:tcPr>
          <w:p>
            <w:pPr>
              <w:jc w:val="right"/>
              <w:spacing w:after="0"/>
              <w:rPr>
                <w:sz w:val="20"/>
                <w:szCs w:val="20"/>
                <w:color w:val="auto"/>
              </w:rPr>
            </w:pPr>
            <w:r>
              <w:rPr>
                <w:rFonts w:ascii="Arial" w:cs="Arial" w:eastAsia="Arial" w:hAnsi="Arial"/>
                <w:sz w:val="20"/>
                <w:szCs w:val="20"/>
                <w:color w:val="auto"/>
                <w:w w:val="91"/>
              </w:rPr>
              <w:t xml:space="preserve">Payment of dividends </w:t>
            </w:r>
            <w:r>
              <w:rPr>
                <w:rFonts w:ascii="Arial" w:cs="Arial" w:eastAsia="Arial" w:hAnsi="Arial"/>
                <w:sz w:val="20"/>
                <w:szCs w:val="20"/>
                <w:color w:val="B4B4B4"/>
                <w:w w:val="91"/>
              </w:rPr>
              <w:t>. . . . . . . . . . . . . . . . . . . . . . . . . . . . . . . . . . . . . . . . . . . .</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w:t>
            </w:r>
          </w:p>
        </w:tc>
      </w:tr>
      <w:tr>
        <w:trPr>
          <w:trHeight w:val="257"/>
        </w:trPr>
        <w:tc>
          <w:tcPr>
            <w:tcW w:w="6340" w:type="dxa"/>
            <w:vAlign w:val="bottom"/>
          </w:tcPr>
          <w:p>
            <w:pPr>
              <w:jc w:val="right"/>
              <w:spacing w:after="0"/>
              <w:rPr>
                <w:sz w:val="20"/>
                <w:szCs w:val="20"/>
                <w:color w:val="auto"/>
              </w:rPr>
            </w:pPr>
            <w:r>
              <w:rPr>
                <w:rFonts w:ascii="Arial" w:cs="Arial" w:eastAsia="Arial" w:hAnsi="Arial"/>
                <w:sz w:val="20"/>
                <w:szCs w:val="20"/>
                <w:b w:val="1"/>
                <w:bCs w:val="1"/>
                <w:color w:val="B4B4B4"/>
                <w:w w:val="93"/>
              </w:rPr>
              <w:t>. . . . . . . . . . . . . . . . . . . . . . . . . . .</w:t>
            </w:r>
            <w:r>
              <w:rPr>
                <w:rFonts w:ascii="Arial" w:cs="Arial" w:eastAsia="Arial" w:hAnsi="Arial"/>
                <w:sz w:val="20"/>
                <w:szCs w:val="20"/>
                <w:b w:val="1"/>
                <w:bCs w:val="1"/>
                <w:color w:val="000000"/>
                <w:w w:val="93"/>
              </w:rPr>
              <w:t>NetCashProvidedbyFinancingActivities</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79"/>
        </w:trPr>
        <w:tc>
          <w:tcPr>
            <w:tcW w:w="6340" w:type="dxa"/>
            <w:vAlign w:val="bottom"/>
          </w:tcPr>
          <w:p>
            <w:pPr>
              <w:jc w:val="right"/>
              <w:spacing w:after="0"/>
              <w:rPr>
                <w:sz w:val="20"/>
                <w:szCs w:val="20"/>
                <w:color w:val="auto"/>
              </w:rPr>
            </w:pPr>
            <w:r>
              <w:rPr>
                <w:rFonts w:ascii="Arial" w:cs="Arial" w:eastAsia="Arial" w:hAnsi="Arial"/>
                <w:sz w:val="20"/>
                <w:szCs w:val="20"/>
                <w:b w:val="1"/>
                <w:bCs w:val="1"/>
                <w:color w:val="auto"/>
                <w:w w:val="87"/>
              </w:rPr>
              <w:t xml:space="preserve">Net Change in Cash </w:t>
            </w:r>
            <w:r>
              <w:rPr>
                <w:rFonts w:ascii="Arial" w:cs="Arial" w:eastAsia="Arial" w:hAnsi="Arial"/>
                <w:sz w:val="20"/>
                <w:szCs w:val="20"/>
                <w:b w:val="1"/>
                <w:bCs w:val="1"/>
                <w:color w:val="B4B4B4"/>
                <w:w w:val="87"/>
              </w:rPr>
              <w:t>. . . . . . . . . . . . . . . . . . . . . . . . . . . . . . . . . . . . . . . . . . . . . . .</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2"/>
        </w:trPr>
        <w:tc>
          <w:tcPr>
            <w:tcW w:w="6340" w:type="dxa"/>
            <w:vAlign w:val="bottom"/>
          </w:tcPr>
          <w:p>
            <w:pPr>
              <w:jc w:val="right"/>
              <w:spacing w:after="0"/>
              <w:rPr>
                <w:sz w:val="20"/>
                <w:szCs w:val="20"/>
                <w:color w:val="auto"/>
              </w:rPr>
            </w:pPr>
            <w:r>
              <w:rPr>
                <w:rFonts w:ascii="Arial" w:cs="Arial" w:eastAsia="Arial" w:hAnsi="Arial"/>
                <w:sz w:val="20"/>
                <w:szCs w:val="20"/>
                <w:b w:val="1"/>
                <w:bCs w:val="1"/>
                <w:color w:val="auto"/>
                <w:w w:val="87"/>
              </w:rPr>
              <w:t xml:space="preserve">Cash at Beginning of Period </w:t>
            </w:r>
            <w:r>
              <w:rPr>
                <w:rFonts w:ascii="Arial" w:cs="Arial" w:eastAsia="Arial" w:hAnsi="Arial"/>
                <w:sz w:val="20"/>
                <w:szCs w:val="20"/>
                <w:b w:val="1"/>
                <w:bCs w:val="1"/>
                <w:color w:val="B4B4B4"/>
                <w:w w:val="87"/>
              </w:rPr>
              <w:t>. . . . . . . . . . . . . . . . . . . . . . . . . . . . . . . . . . . . . . . .</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6340" w:type="dxa"/>
            <w:vAlign w:val="bottom"/>
          </w:tcPr>
          <w:p>
            <w:pPr>
              <w:jc w:val="right"/>
              <w:spacing w:after="0"/>
              <w:rPr>
                <w:sz w:val="20"/>
                <w:szCs w:val="20"/>
                <w:color w:val="auto"/>
              </w:rPr>
            </w:pPr>
            <w:r>
              <w:rPr>
                <w:rFonts w:ascii="Arial" w:cs="Arial" w:eastAsia="Arial" w:hAnsi="Arial"/>
                <w:sz w:val="20"/>
                <w:szCs w:val="20"/>
                <w:b w:val="1"/>
                <w:bCs w:val="1"/>
                <w:color w:val="B4B4B4"/>
                <w:w w:val="91"/>
              </w:rPr>
              <w:t>. . . . . . . . . . . . . . . . . . . . . . . . . . . . . . . . . . . . . . . . . . . . .</w:t>
            </w:r>
            <w:r>
              <w:rPr>
                <w:rFonts w:ascii="Arial" w:cs="Arial" w:eastAsia="Arial" w:hAnsi="Arial"/>
                <w:sz w:val="20"/>
                <w:szCs w:val="20"/>
                <w:b w:val="1"/>
                <w:bCs w:val="1"/>
                <w:color w:val="000000"/>
                <w:w w:val="91"/>
              </w:rPr>
              <w:t>CashatEndofPeriod</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0"/>
        </w:trPr>
        <w:tc>
          <w:tcPr>
            <w:tcW w:w="6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-2691130</wp:posOffset>
            </wp:positionV>
            <wp:extent cx="6391275" cy="26981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2">
                      <a:extLst>
                        <a:ext uri="{28A0092B-C50C-407E-A947-70E740481C1C}"/>
                      </a:extLst>
                    </a:blip>
                    <a:srcRect/>
                    <a:stretch>
                      <a:fillRect/>
                    </a:stretch>
                  </pic:blipFill>
                  <pic:spPr bwMode="auto">
                    <a:xfrm>
                      <a:off x="0" y="0"/>
                      <a:ext cx="6391275" cy="2698115"/>
                    </a:xfrm>
                    <a:prstGeom prst="rect">
                      <a:avLst/>
                    </a:prstGeom>
                    <a:noFill/>
                  </pic:spPr>
                </pic:pic>
              </a:graphicData>
            </a:graphic>
          </wp:anchor>
        </w:drawing>
      </w:r>
    </w:p>
    <w:p>
      <w:pPr>
        <w:spacing w:after="0" w:line="16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accompanying notes to condensed financial statements.</w:t>
      </w:r>
    </w:p>
    <w:p>
      <w:pPr>
        <w:sectPr>
          <w:pgSz w:w="11880" w:h="15480" w:orient="portrait"/>
          <w:cols w:equalWidth="0" w:num="1">
            <w:col w:w="9980"/>
          </w:cols>
          <w:pgMar w:left="98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140</w:t>
      </w:r>
    </w:p>
    <w:p>
      <w:pPr>
        <w:sectPr>
          <w:pgSz w:w="11880" w:h="15480" w:orient="portrait"/>
          <w:cols w:equalWidth="0" w:num="1">
            <w:col w:w="9980"/>
          </w:cols>
          <w:pgMar w:left="980" w:top="577" w:right="920" w:bottom="0" w:gutter="0" w:footer="0" w:header="0"/>
          <w:type w:val="continuous"/>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Schedule I</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Clearway Energy, Inc. (Parent)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Condensed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Background and Basis of Presentation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Background</w:t>
      </w:r>
    </w:p>
    <w:p>
      <w:pPr>
        <w:spacing w:after="0" w:line="189" w:lineRule="exact"/>
        <w:rPr>
          <w:sz w:val="20"/>
          <w:szCs w:val="20"/>
          <w:color w:val="auto"/>
        </w:rPr>
      </w:pPr>
    </w:p>
    <w:p>
      <w:pPr>
        <w:jc w:val="both"/>
        <w:ind w:firstLine="441"/>
        <w:spacing w:after="0" w:line="278" w:lineRule="auto"/>
        <w:rPr>
          <w:sz w:val="20"/>
          <w:szCs w:val="20"/>
          <w:color w:val="auto"/>
        </w:rPr>
      </w:pPr>
      <w:r>
        <w:rPr>
          <w:rFonts w:ascii="Arial" w:cs="Arial" w:eastAsia="Arial" w:hAnsi="Arial"/>
          <w:sz w:val="19"/>
          <w:szCs w:val="19"/>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Clearway Energy Group LLC, or CEG.</w:t>
      </w:r>
    </w:p>
    <w:p>
      <w:pPr>
        <w:spacing w:after="0" w:line="12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9"/>
          <w:szCs w:val="19"/>
          <w:color w:val="auto"/>
        </w:rPr>
        <w:t>The Company is one of the largest owners of clean energy generation assets in the U.S. The Company’s portfolio comprises approximately 12.9 GW of gross capacity in 27 states, including approximately 10.1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dividend income. The majority of the Company’s revenues are derived from long-term contractual arrangements for the output or capacity from these assets.</w:t>
      </w:r>
    </w:p>
    <w:p>
      <w:pPr>
        <w:spacing w:after="0" w:line="140"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20"/>
          <w:szCs w:val="20"/>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150"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As of December 31, 2025, the Company owned 58.62% of the economic interests of Clearway Energy LLC, with CEG owning 41.38% of the economic interests of Clearway Energy LLC.</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18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9"/>
          <w:szCs w:val="19"/>
          <w:color w:val="auto"/>
        </w:rPr>
        <w:t>The condensed parent-only company financial statements have been prepared in accordance with Rule 12-04 of Regulation S-X, as the restricted net assets of Clearway Energy, Inc.’s subsidiaries exceed 25% of the consolidated net assets of Clearway Energy, Inc.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Inc.</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Long-Term Debt</w:t>
      </w:r>
    </w:p>
    <w:p>
      <w:pPr>
        <w:spacing w:after="0" w:line="187"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20"/>
          <w:szCs w:val="20"/>
          <w:color w:val="auto"/>
        </w:rPr>
        <w:t xml:space="preserve">For a discussion of Clearway Energy, Inc.’s financing arrangements, see Note 10, </w:t>
      </w:r>
      <w:r>
        <w:rPr>
          <w:rFonts w:ascii="Arial" w:cs="Arial" w:eastAsia="Arial" w:hAnsi="Arial"/>
          <w:sz w:val="20"/>
          <w:szCs w:val="20"/>
          <w:b w:val="1"/>
          <w:bCs w:val="1"/>
          <w:i w:val="1"/>
          <w:iCs w:val="1"/>
          <w:color w:val="auto"/>
        </w:rPr>
        <w:t>Long-term Debt,</w:t>
      </w:r>
      <w:r>
        <w:rPr>
          <w:rFonts w:ascii="Arial" w:cs="Arial" w:eastAsia="Arial" w:hAnsi="Arial"/>
          <w:sz w:val="20"/>
          <w:szCs w:val="20"/>
          <w:color w:val="auto"/>
        </w:rPr>
        <w:t xml:space="preserve"> to the Company’s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Contingencies and Guarantees</w:t>
      </w:r>
    </w:p>
    <w:p>
      <w:pPr>
        <w:spacing w:after="0" w:line="187"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20"/>
          <w:szCs w:val="20"/>
          <w:color w:val="auto"/>
        </w:rPr>
        <w:t xml:space="preserve">See Note 14, </w:t>
      </w:r>
      <w:r>
        <w:rPr>
          <w:rFonts w:ascii="Arial" w:cs="Arial" w:eastAsia="Arial" w:hAnsi="Arial"/>
          <w:sz w:val="20"/>
          <w:szCs w:val="20"/>
          <w:b w:val="1"/>
          <w:bCs w:val="1"/>
          <w:i w:val="1"/>
          <w:iCs w:val="1"/>
          <w:color w:val="auto"/>
        </w:rPr>
        <w:t>Income Taxes,</w:t>
      </w:r>
      <w:r>
        <w:rPr>
          <w:rFonts w:ascii="Arial" w:cs="Arial" w:eastAsia="Arial" w:hAnsi="Arial"/>
          <w:sz w:val="20"/>
          <w:szCs w:val="20"/>
          <w:color w:val="auto"/>
        </w:rPr>
        <w:t xml:space="preserve"> and Note 16, </w:t>
      </w:r>
      <w:r>
        <w:rPr>
          <w:rFonts w:ascii="Arial" w:cs="Arial" w:eastAsia="Arial" w:hAnsi="Arial"/>
          <w:sz w:val="20"/>
          <w:szCs w:val="20"/>
          <w:b w:val="1"/>
          <w:bCs w:val="1"/>
          <w:i w:val="1"/>
          <w:iCs w:val="1"/>
          <w:color w:val="auto"/>
        </w:rPr>
        <w:t>Contingencies,</w:t>
      </w:r>
      <w:r>
        <w:rPr>
          <w:rFonts w:ascii="Arial" w:cs="Arial" w:eastAsia="Arial" w:hAnsi="Arial"/>
          <w:sz w:val="20"/>
          <w:szCs w:val="20"/>
          <w:color w:val="auto"/>
        </w:rPr>
        <w:t xml:space="preserve"> to the Company’s consolidated financial statements for a detailed discussion of Clearway Energy, Inc.’s contingencies.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Dividends</w:t>
      </w:r>
    </w:p>
    <w:p>
      <w:pPr>
        <w:spacing w:after="0" w:line="189"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20"/>
          <w:szCs w:val="20"/>
          <w:color w:val="auto"/>
        </w:rPr>
        <w:t>Cash distributions paid to Clearway Energy, Inc. by its subsidiary, Clearway Energy LLC, were $209 million, $194 million and $180 million for the years ended December 31, 2025, 2024, and 2023, respectively.</w:t>
      </w:r>
    </w:p>
    <w:p>
      <w:pPr>
        <w:sectPr>
          <w:pgSz w:w="11880" w:h="15480" w:orient="portrait"/>
          <w:cols w:equalWidth="0" w:num="1">
            <w:col w:w="10040"/>
          </w:cols>
          <w:pgMar w:left="92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ectPr>
          <w:pgSz w:w="11880" w:h="15480" w:orient="portrait"/>
          <w:cols w:equalWidth="0" w:num="1">
            <w:col w:w="10040"/>
          </w:cols>
          <w:pgMar w:left="920" w:top="577" w:right="920" w:bottom="0" w:gutter="0" w:footer="0" w:header="0"/>
          <w:type w:val="continuous"/>
        </w:sectPr>
      </w:pPr>
    </w:p>
    <w:bookmarkStart w:id="143" w:name="page144"/>
    <w:bookmarkEnd w:id="143"/>
    <w:p>
      <w:pPr>
        <w:jc w:val="center"/>
        <w:ind w:right="40"/>
        <w:spacing w:after="0"/>
        <w:rPr>
          <w:sz w:val="20"/>
          <w:szCs w:val="20"/>
          <w:color w:val="auto"/>
        </w:rPr>
      </w:pPr>
      <w:r>
        <w:rPr>
          <w:rFonts w:ascii="Arial" w:cs="Arial" w:eastAsia="Arial" w:hAnsi="Arial"/>
          <w:sz w:val="20"/>
          <w:szCs w:val="20"/>
          <w:b w:val="1"/>
          <w:bCs w:val="1"/>
          <w:color w:val="auto"/>
        </w:rPr>
        <w:t>SCHEDULE II. VALUATION AND QUALIFYING ACCOUNTS</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For the Years Ended December 31, 2025, 2024, and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6"/>
              <w:spacing w:after="0"/>
              <w:rPr>
                <w:sz w:val="20"/>
                <w:szCs w:val="20"/>
                <w:color w:val="auto"/>
              </w:rPr>
            </w:pPr>
            <w:r>
              <w:rPr>
                <w:rFonts w:ascii="Arial" w:cs="Arial" w:eastAsia="Arial" w:hAnsi="Arial"/>
                <w:sz w:val="16"/>
                <w:szCs w:val="16"/>
                <w:b w:val="1"/>
                <w:bCs w:val="1"/>
                <w:color w:val="auto"/>
                <w:w w:val="87"/>
              </w:rPr>
              <w:t>Balance at</w:t>
            </w: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Charged to</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154"/>
              <w:spacing w:after="0"/>
              <w:rPr>
                <w:sz w:val="20"/>
                <w:szCs w:val="20"/>
                <w:color w:val="auto"/>
              </w:rPr>
            </w:pPr>
            <w:r>
              <w:rPr>
                <w:rFonts w:ascii="Arial" w:cs="Arial" w:eastAsia="Arial" w:hAnsi="Arial"/>
                <w:sz w:val="16"/>
                <w:szCs w:val="16"/>
                <w:b w:val="1"/>
                <w:bCs w:val="1"/>
                <w:color w:val="auto"/>
                <w:w w:val="92"/>
              </w:rPr>
              <w:t>Charged to</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114"/>
              <w:spacing w:after="0"/>
              <w:rPr>
                <w:sz w:val="20"/>
                <w:szCs w:val="20"/>
                <w:color w:val="auto"/>
              </w:rPr>
            </w:pPr>
            <w:r>
              <w:rPr>
                <w:rFonts w:ascii="Arial" w:cs="Arial" w:eastAsia="Arial" w:hAnsi="Arial"/>
                <w:sz w:val="16"/>
                <w:szCs w:val="16"/>
                <w:b w:val="1"/>
                <w:bCs w:val="1"/>
                <w:color w:val="auto"/>
                <w:w w:val="89"/>
              </w:rPr>
              <w:t>Balance at</w:t>
            </w:r>
          </w:p>
        </w:tc>
        <w:tc>
          <w:tcPr>
            <w:tcW w:w="0" w:type="dxa"/>
            <w:vAlign w:val="bottom"/>
          </w:tcPr>
          <w:p>
            <w:pPr>
              <w:spacing w:after="0"/>
              <w:rPr>
                <w:sz w:val="1"/>
                <w:szCs w:val="1"/>
                <w:color w:val="auto"/>
              </w:rPr>
            </w:pPr>
          </w:p>
        </w:tc>
      </w:tr>
      <w:tr>
        <w:trPr>
          <w:trHeight w:val="157"/>
        </w:trPr>
        <w:tc>
          <w:tcPr>
            <w:tcW w:w="5400" w:type="dxa"/>
            <w:vAlign w:val="bottom"/>
            <w:vMerge w:val="restart"/>
          </w:tcPr>
          <w:p>
            <w:pPr>
              <w:spacing w:after="0"/>
              <w:rPr>
                <w:sz w:val="20"/>
                <w:szCs w:val="20"/>
                <w:color w:val="auto"/>
              </w:rPr>
            </w:pPr>
            <w:r>
              <w:rPr>
                <w:rFonts w:ascii="Arial" w:cs="Arial" w:eastAsia="Arial" w:hAnsi="Arial"/>
                <w:sz w:val="16"/>
                <w:szCs w:val="16"/>
                <w:b w:val="1"/>
                <w:bCs w:val="1"/>
                <w:color w:val="auto"/>
              </w:rPr>
              <w:t>(In millions)</w:t>
            </w:r>
          </w:p>
        </w:tc>
        <w:tc>
          <w:tcPr>
            <w:tcW w:w="1020" w:type="dxa"/>
            <w:vAlign w:val="bottom"/>
            <w:gridSpan w:val="2"/>
          </w:tcPr>
          <w:p>
            <w:pPr>
              <w:jc w:val="center"/>
              <w:spacing w:after="0" w:line="157" w:lineRule="exact"/>
              <w:rPr>
                <w:sz w:val="20"/>
                <w:szCs w:val="20"/>
                <w:color w:val="auto"/>
              </w:rPr>
            </w:pPr>
            <w:r>
              <w:rPr>
                <w:rFonts w:ascii="Arial" w:cs="Arial" w:eastAsia="Arial" w:hAnsi="Arial"/>
                <w:sz w:val="16"/>
                <w:szCs w:val="16"/>
                <w:b w:val="1"/>
                <w:bCs w:val="1"/>
                <w:color w:val="auto"/>
                <w:w w:val="87"/>
              </w:rPr>
              <w:t>Beginning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56"/>
              <w:spacing w:after="0" w:line="157" w:lineRule="exact"/>
              <w:rPr>
                <w:sz w:val="20"/>
                <w:szCs w:val="20"/>
                <w:color w:val="auto"/>
              </w:rPr>
            </w:pPr>
            <w:r>
              <w:rPr>
                <w:rFonts w:ascii="Arial" w:cs="Arial" w:eastAsia="Arial" w:hAnsi="Arial"/>
                <w:sz w:val="16"/>
                <w:szCs w:val="16"/>
                <w:b w:val="1"/>
                <w:bCs w:val="1"/>
                <w:color w:val="auto"/>
                <w:w w:val="85"/>
              </w:rPr>
              <w:t>Costs and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8"/>
              </w:rPr>
              <w:t>Period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2"/>
              </w:rPr>
              <w:t>Expenses</w:t>
            </w:r>
          </w:p>
        </w:tc>
        <w:tc>
          <w:tcPr>
            <w:tcW w:w="8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6"/>
                <w:szCs w:val="16"/>
                <w:b w:val="1"/>
                <w:bCs w:val="1"/>
                <w:color w:val="auto"/>
                <w:w w:val="93"/>
              </w:rPr>
              <w:t>Other Accounts</w:t>
            </w:r>
          </w:p>
        </w:tc>
        <w:tc>
          <w:tcPr>
            <w:tcW w:w="8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End of Period</w:t>
            </w:r>
          </w:p>
        </w:tc>
        <w:tc>
          <w:tcPr>
            <w:tcW w:w="0" w:type="dxa"/>
            <w:vAlign w:val="bottom"/>
          </w:tcPr>
          <w:p>
            <w:pPr>
              <w:spacing w:after="0"/>
              <w:rPr>
                <w:sz w:val="1"/>
                <w:szCs w:val="1"/>
                <w:color w:val="auto"/>
              </w:rPr>
            </w:pPr>
          </w:p>
        </w:tc>
      </w:tr>
      <w:tr>
        <w:trPr>
          <w:trHeight w:val="254"/>
        </w:trPr>
        <w:tc>
          <w:tcPr>
            <w:tcW w:w="5400" w:type="dxa"/>
            <w:vAlign w:val="bottom"/>
          </w:tcPr>
          <w:p>
            <w:pPr>
              <w:spacing w:after="0"/>
              <w:rPr>
                <w:sz w:val="20"/>
                <w:szCs w:val="20"/>
                <w:color w:val="auto"/>
              </w:rPr>
            </w:pPr>
            <w:r>
              <w:rPr>
                <w:rFonts w:ascii="Arial" w:cs="Arial" w:eastAsia="Arial" w:hAnsi="Arial"/>
                <w:sz w:val="18"/>
                <w:szCs w:val="18"/>
                <w:b w:val="1"/>
                <w:bCs w:val="1"/>
                <w:color w:val="auto"/>
                <w:w w:val="93"/>
              </w:rPr>
              <w:t>Income tax valuation allowance, deducted from deferred tax assets</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5400" w:type="dxa"/>
            <w:vAlign w:val="bottom"/>
          </w:tcPr>
          <w:p>
            <w:pPr>
              <w:spacing w:after="0"/>
              <w:rPr>
                <w:sz w:val="20"/>
                <w:szCs w:val="20"/>
                <w:color w:val="auto"/>
              </w:rPr>
            </w:pPr>
            <w:r>
              <w:rPr>
                <w:rFonts w:ascii="Arial" w:cs="Arial" w:eastAsia="Arial" w:hAnsi="Arial"/>
                <w:sz w:val="18"/>
                <w:szCs w:val="18"/>
                <w:color w:val="auto"/>
                <w:w w:val="89"/>
              </w:rPr>
              <w:t xml:space="preserve">Year Ended December 31, 2025  </w:t>
            </w:r>
            <w:r>
              <w:rPr>
                <w:rFonts w:ascii="Arial" w:cs="Arial" w:eastAsia="Arial" w:hAnsi="Arial"/>
                <w:sz w:val="18"/>
                <w:szCs w:val="18"/>
                <w:color w:val="B4B4B4"/>
                <w:w w:val="89"/>
              </w:rPr>
              <w:t>. . . . . . . . . . . . . . . . . . . . . . . . . . . . . . . . . .</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94"/>
        </w:trPr>
        <w:tc>
          <w:tcPr>
            <w:tcW w:w="5400" w:type="dxa"/>
            <w:vAlign w:val="bottom"/>
          </w:tcPr>
          <w:p>
            <w:pPr>
              <w:spacing w:after="0"/>
              <w:rPr>
                <w:sz w:val="20"/>
                <w:szCs w:val="20"/>
                <w:color w:val="auto"/>
              </w:rPr>
            </w:pPr>
            <w:r>
              <w:rPr>
                <w:rFonts w:ascii="Arial" w:cs="Arial" w:eastAsia="Arial" w:hAnsi="Arial"/>
                <w:sz w:val="18"/>
                <w:szCs w:val="18"/>
                <w:color w:val="auto"/>
                <w:w w:val="89"/>
              </w:rPr>
              <w:t xml:space="preserve">Year Ended December 31, 2024  </w:t>
            </w:r>
            <w:r>
              <w:rPr>
                <w:rFonts w:ascii="Arial" w:cs="Arial" w:eastAsia="Arial" w:hAnsi="Arial"/>
                <w:sz w:val="18"/>
                <w:szCs w:val="18"/>
                <w:color w:val="B4B4B4"/>
                <w:w w:val="89"/>
              </w:rPr>
              <w:t>. . . . . . . . . . . . . . . . . . . . . . . . . . . . . . . . . .</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4"/>
        </w:trPr>
        <w:tc>
          <w:tcPr>
            <w:tcW w:w="5400" w:type="dxa"/>
            <w:vAlign w:val="bottom"/>
          </w:tcPr>
          <w:p>
            <w:pPr>
              <w:spacing w:after="0"/>
              <w:rPr>
                <w:sz w:val="20"/>
                <w:szCs w:val="20"/>
                <w:color w:val="auto"/>
              </w:rPr>
            </w:pPr>
            <w:r>
              <w:rPr>
                <w:rFonts w:ascii="Arial" w:cs="Arial" w:eastAsia="Arial" w:hAnsi="Arial"/>
                <w:sz w:val="18"/>
                <w:szCs w:val="18"/>
                <w:color w:val="auto"/>
                <w:w w:val="89"/>
              </w:rPr>
              <w:t xml:space="preserve">Year Ended December 31, 2023  </w:t>
            </w:r>
            <w:r>
              <w:rPr>
                <w:rFonts w:ascii="Arial" w:cs="Arial" w:eastAsia="Arial" w:hAnsi="Arial"/>
                <w:sz w:val="18"/>
                <w:szCs w:val="18"/>
                <w:color w:val="B4B4B4"/>
                <w:w w:val="89"/>
              </w:rPr>
              <w:t>. . . . . . . . . . . . . . . . . . . . . . . . . . . . . . . . . .</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-739775</wp:posOffset>
            </wp:positionV>
            <wp:extent cx="6410325" cy="7626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23">
                      <a:extLst>
                        <a:ext uri="{28A0092B-C50C-407E-A947-70E740481C1C}"/>
                      </a:extLst>
                    </a:blip>
                    <a:srcRect/>
                    <a:stretch>
                      <a:fillRect/>
                    </a:stretch>
                  </pic:blipFill>
                  <pic:spPr bwMode="auto">
                    <a:xfrm>
                      <a:off x="0" y="0"/>
                      <a:ext cx="6410325" cy="762635"/>
                    </a:xfrm>
                    <a:prstGeom prst="rect">
                      <a:avLst/>
                    </a:prstGeom>
                    <a:noFill/>
                  </pic:spPr>
                </pic:pic>
              </a:graphicData>
            </a:graphic>
          </wp:anchor>
        </w:drawing>
      </w:r>
    </w:p>
    <w:p>
      <w:pPr>
        <w:sectPr>
          <w:pgSz w:w="11880" w:h="15480" w:orient="portrait"/>
          <w:cols w:equalWidth="0" w:num="1">
            <w:col w:w="10000"/>
          </w:cols>
          <w:pgMar w:left="960" w:top="57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142</w:t>
      </w:r>
    </w:p>
    <w:p>
      <w:pPr>
        <w:sectPr>
          <w:pgSz w:w="11880" w:h="15480" w:orient="portrait"/>
          <w:cols w:equalWidth="0" w:num="1">
            <w:col w:w="10000"/>
          </w:cols>
          <w:pgMar w:left="960" w:top="577" w:right="920" w:bottom="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59"/>
        </w:trPr>
        <w:tc>
          <w:tcPr>
            <w:tcW w:w="760" w:type="dxa"/>
            <w:vAlign w:val="bottom"/>
          </w:tcPr>
          <w:p>
            <w:pPr>
              <w:spacing w:after="0"/>
              <w:rPr>
                <w:sz w:val="22"/>
                <w:szCs w:val="22"/>
                <w:color w:val="auto"/>
              </w:rPr>
            </w:pPr>
          </w:p>
        </w:tc>
        <w:tc>
          <w:tcPr>
            <w:tcW w:w="5220" w:type="dxa"/>
            <w:vAlign w:val="bottom"/>
          </w:tcPr>
          <w:p>
            <w:pPr>
              <w:ind w:left="3440"/>
              <w:spacing w:after="0"/>
              <w:rPr>
                <w:sz w:val="20"/>
                <w:szCs w:val="20"/>
                <w:color w:val="auto"/>
              </w:rPr>
            </w:pPr>
            <w:r>
              <w:rPr>
                <w:rFonts w:ascii="Arial" w:cs="Arial" w:eastAsia="Arial" w:hAnsi="Arial"/>
                <w:sz w:val="20"/>
                <w:szCs w:val="20"/>
                <w:b w:val="1"/>
                <w:bCs w:val="1"/>
                <w:color w:val="auto"/>
              </w:rPr>
              <w:t>EXHIBIT INDEX</w:t>
            </w:r>
          </w:p>
        </w:tc>
      </w:tr>
      <w:tr>
        <w:trPr>
          <w:trHeight w:val="289"/>
        </w:trPr>
        <w:tc>
          <w:tcPr>
            <w:tcW w:w="7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5220" w:type="dxa"/>
            <w:vAlign w:val="bottom"/>
          </w:tcPr>
          <w:p>
            <w:pPr>
              <w:ind w:left="140"/>
              <w:spacing w:after="0"/>
              <w:rPr>
                <w:sz w:val="20"/>
                <w:szCs w:val="20"/>
                <w:color w:val="auto"/>
              </w:rPr>
            </w:pPr>
            <w:r>
              <w:rPr>
                <w:rFonts w:ascii="Arial" w:cs="Arial" w:eastAsia="Arial" w:hAnsi="Arial"/>
                <w:sz w:val="18"/>
                <w:szCs w:val="18"/>
                <w:color w:val="auto"/>
                <w:w w:val="93"/>
              </w:rPr>
              <w:t>Amended  and  Restated  Certificate  of  Incorporation  of  Clearway</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Energy, Inc.</w:t>
            </w:r>
          </w:p>
        </w:tc>
      </w:tr>
      <w:tr>
        <w:trPr>
          <w:trHeight w:val="403"/>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5220" w:type="dxa"/>
            <w:vAlign w:val="bottom"/>
          </w:tcPr>
          <w:p>
            <w:pPr>
              <w:ind w:left="140"/>
              <w:spacing w:after="0"/>
              <w:rPr>
                <w:sz w:val="20"/>
                <w:szCs w:val="20"/>
                <w:color w:val="auto"/>
              </w:rPr>
            </w:pPr>
            <w:r>
              <w:rPr>
                <w:rFonts w:ascii="Arial" w:cs="Arial" w:eastAsia="Arial" w:hAnsi="Arial"/>
                <w:sz w:val="18"/>
                <w:szCs w:val="18"/>
                <w:color w:val="auto"/>
                <w:w w:val="89"/>
              </w:rPr>
              <w:t>Fourth Amended and Restated Bylaws of Clearway Energy, Inc., dated</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August 31, 2018.</w:t>
            </w:r>
          </w:p>
        </w:tc>
      </w:tr>
      <w:tr>
        <w:trPr>
          <w:trHeight w:val="403"/>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5220" w:type="dxa"/>
            <w:vAlign w:val="bottom"/>
          </w:tcPr>
          <w:p>
            <w:pPr>
              <w:ind w:left="140"/>
              <w:spacing w:after="0"/>
              <w:rPr>
                <w:sz w:val="20"/>
                <w:szCs w:val="20"/>
                <w:color w:val="auto"/>
              </w:rPr>
            </w:pPr>
            <w:r>
              <w:rPr>
                <w:rFonts w:ascii="Arial" w:cs="Arial" w:eastAsia="Arial" w:hAnsi="Arial"/>
                <w:sz w:val="18"/>
                <w:szCs w:val="18"/>
                <w:color w:val="auto"/>
                <w:w w:val="92"/>
              </w:rPr>
              <w:t>Fourth Amended and Restated Limited Liability Company Agreement</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0"/>
              </w:rPr>
              <w:t>of NRG Yield LLC, dated as of August 31, 2018, by and between NRG</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Yield, Inc. and Zephyr Renewables LLC.</w:t>
            </w:r>
          </w:p>
        </w:tc>
      </w:tr>
      <w:tr>
        <w:trPr>
          <w:trHeight w:val="279"/>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5220" w:type="dxa"/>
            <w:vAlign w:val="bottom"/>
          </w:tcPr>
          <w:p>
            <w:pPr>
              <w:ind w:left="140"/>
              <w:spacing w:after="0"/>
              <w:rPr>
                <w:sz w:val="20"/>
                <w:szCs w:val="20"/>
                <w:color w:val="auto"/>
              </w:rPr>
            </w:pPr>
            <w:r>
              <w:rPr>
                <w:rFonts w:ascii="Arial" w:cs="Arial" w:eastAsia="Arial" w:hAnsi="Arial"/>
                <w:sz w:val="18"/>
                <w:szCs w:val="18"/>
                <w:color w:val="auto"/>
              </w:rPr>
              <w:t>Specimen Class A Common Stock Certificate.</w:t>
            </w:r>
          </w:p>
        </w:tc>
      </w:tr>
      <w:tr>
        <w:trPr>
          <w:trHeight w:val="632"/>
        </w:trPr>
        <w:tc>
          <w:tcPr>
            <w:tcW w:w="760" w:type="dxa"/>
            <w:vAlign w:val="bottom"/>
          </w:tcPr>
          <w:p>
            <w:pPr>
              <w:spacing w:after="0"/>
              <w:rPr>
                <w:sz w:val="20"/>
                <w:szCs w:val="20"/>
                <w:color w:val="auto"/>
              </w:rPr>
            </w:pPr>
            <w:r>
              <w:rPr>
                <w:rFonts w:ascii="Arial" w:cs="Arial" w:eastAsia="Arial" w:hAnsi="Arial"/>
                <w:sz w:val="18"/>
                <w:szCs w:val="18"/>
                <w:color w:val="auto"/>
              </w:rPr>
              <w:t>4.3</w:t>
            </w:r>
          </w:p>
        </w:tc>
        <w:tc>
          <w:tcPr>
            <w:tcW w:w="5220" w:type="dxa"/>
            <w:vAlign w:val="bottom"/>
          </w:tcPr>
          <w:p>
            <w:pPr>
              <w:ind w:left="140"/>
              <w:spacing w:after="0"/>
              <w:rPr>
                <w:sz w:val="20"/>
                <w:szCs w:val="20"/>
                <w:color w:val="auto"/>
              </w:rPr>
            </w:pPr>
            <w:r>
              <w:rPr>
                <w:rFonts w:ascii="Arial" w:cs="Arial" w:eastAsia="Arial" w:hAnsi="Arial"/>
                <w:sz w:val="18"/>
                <w:szCs w:val="18"/>
                <w:color w:val="auto"/>
              </w:rPr>
              <w:t>Specimen Class C Common Stock Certificate.</w:t>
            </w:r>
          </w:p>
        </w:tc>
      </w:tr>
      <w:tr>
        <w:trPr>
          <w:trHeight w:val="580"/>
        </w:trPr>
        <w:tc>
          <w:tcPr>
            <w:tcW w:w="760" w:type="dxa"/>
            <w:vAlign w:val="bottom"/>
          </w:tcPr>
          <w:p>
            <w:pPr>
              <w:spacing w:after="0"/>
              <w:rPr>
                <w:sz w:val="20"/>
                <w:szCs w:val="20"/>
                <w:color w:val="auto"/>
              </w:rPr>
            </w:pPr>
            <w:r>
              <w:rPr>
                <w:rFonts w:ascii="Arial" w:cs="Arial" w:eastAsia="Arial" w:hAnsi="Arial"/>
                <w:sz w:val="18"/>
                <w:szCs w:val="18"/>
                <w:color w:val="auto"/>
              </w:rPr>
              <w:t>4.4</w:t>
            </w:r>
          </w:p>
        </w:tc>
        <w:tc>
          <w:tcPr>
            <w:tcW w:w="5220" w:type="dxa"/>
            <w:vAlign w:val="bottom"/>
          </w:tcPr>
          <w:p>
            <w:pPr>
              <w:ind w:left="140"/>
              <w:spacing w:after="0"/>
              <w:rPr>
                <w:sz w:val="20"/>
                <w:szCs w:val="20"/>
                <w:color w:val="auto"/>
              </w:rPr>
            </w:pPr>
            <w:r>
              <w:rPr>
                <w:rFonts w:ascii="Arial" w:cs="Arial" w:eastAsia="Arial" w:hAnsi="Arial"/>
                <w:sz w:val="18"/>
                <w:szCs w:val="18"/>
                <w:color w:val="auto"/>
                <w:w w:val="94"/>
              </w:rPr>
              <w:t>Indenture,  dated  December  11,  2019,  among  Clearway  Energy</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6"/>
              </w:rPr>
              <w:t>Operating LLC, the guarantors named therein and Delaware Trust</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Company, as trustee.</w:t>
            </w:r>
          </w:p>
        </w:tc>
      </w:tr>
      <w:tr>
        <w:trPr>
          <w:trHeight w:val="279"/>
        </w:trPr>
        <w:tc>
          <w:tcPr>
            <w:tcW w:w="760" w:type="dxa"/>
            <w:vAlign w:val="bottom"/>
          </w:tcPr>
          <w:p>
            <w:pPr>
              <w:spacing w:after="0"/>
              <w:rPr>
                <w:sz w:val="20"/>
                <w:szCs w:val="20"/>
                <w:color w:val="auto"/>
              </w:rPr>
            </w:pPr>
            <w:r>
              <w:rPr>
                <w:rFonts w:ascii="Arial" w:cs="Arial" w:eastAsia="Arial" w:hAnsi="Arial"/>
                <w:sz w:val="18"/>
                <w:szCs w:val="18"/>
                <w:color w:val="auto"/>
              </w:rPr>
              <w:t>4.5</w:t>
            </w:r>
          </w:p>
        </w:tc>
        <w:tc>
          <w:tcPr>
            <w:tcW w:w="5220" w:type="dxa"/>
            <w:vAlign w:val="bottom"/>
          </w:tcPr>
          <w:p>
            <w:pPr>
              <w:ind w:left="140"/>
              <w:spacing w:after="0"/>
              <w:rPr>
                <w:sz w:val="20"/>
                <w:szCs w:val="20"/>
                <w:color w:val="auto"/>
              </w:rPr>
            </w:pPr>
            <w:r>
              <w:rPr>
                <w:rFonts w:ascii="Arial" w:cs="Arial" w:eastAsia="Arial" w:hAnsi="Arial"/>
                <w:sz w:val="18"/>
                <w:szCs w:val="18"/>
                <w:color w:val="auto"/>
              </w:rPr>
              <w:t>Form of 4.750% Senior Notes due 2028.</w:t>
            </w:r>
          </w:p>
        </w:tc>
      </w:tr>
      <w:tr>
        <w:trPr>
          <w:trHeight w:val="580"/>
        </w:trPr>
        <w:tc>
          <w:tcPr>
            <w:tcW w:w="760" w:type="dxa"/>
            <w:vAlign w:val="bottom"/>
          </w:tcPr>
          <w:p>
            <w:pPr>
              <w:spacing w:after="0"/>
              <w:rPr>
                <w:sz w:val="20"/>
                <w:szCs w:val="20"/>
                <w:color w:val="auto"/>
              </w:rPr>
            </w:pPr>
            <w:r>
              <w:rPr>
                <w:rFonts w:ascii="Arial" w:cs="Arial" w:eastAsia="Arial" w:hAnsi="Arial"/>
                <w:sz w:val="18"/>
                <w:szCs w:val="18"/>
                <w:color w:val="auto"/>
              </w:rPr>
              <w:t>4.6</w:t>
            </w:r>
          </w:p>
        </w:tc>
        <w:tc>
          <w:tcPr>
            <w:tcW w:w="5220" w:type="dxa"/>
            <w:vAlign w:val="bottom"/>
          </w:tcPr>
          <w:p>
            <w:pPr>
              <w:ind w:left="140"/>
              <w:spacing w:after="0"/>
              <w:rPr>
                <w:sz w:val="20"/>
                <w:szCs w:val="20"/>
                <w:color w:val="auto"/>
              </w:rPr>
            </w:pPr>
            <w:r>
              <w:rPr>
                <w:rFonts w:ascii="Arial" w:cs="Arial" w:eastAsia="Arial" w:hAnsi="Arial"/>
                <w:sz w:val="18"/>
                <w:szCs w:val="18"/>
                <w:color w:val="auto"/>
                <w:w w:val="95"/>
              </w:rPr>
              <w:t>First Supplemental Indenture, dated as of January 6, 2020, among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Clearway Energy Operating LLC, the guarantors named therein and</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4.7</w:t>
            </w:r>
          </w:p>
        </w:tc>
        <w:tc>
          <w:tcPr>
            <w:tcW w:w="5220" w:type="dxa"/>
            <w:vAlign w:val="bottom"/>
          </w:tcPr>
          <w:p>
            <w:pPr>
              <w:ind w:left="140"/>
              <w:spacing w:after="0"/>
              <w:rPr>
                <w:sz w:val="20"/>
                <w:szCs w:val="20"/>
                <w:color w:val="auto"/>
              </w:rPr>
            </w:pPr>
            <w:r>
              <w:rPr>
                <w:rFonts w:ascii="Arial" w:cs="Arial" w:eastAsia="Arial" w:hAnsi="Arial"/>
                <w:sz w:val="18"/>
                <w:szCs w:val="18"/>
                <w:color w:val="auto"/>
                <w:w w:val="88"/>
              </w:rPr>
              <w:t>Second Supplemental Indenture, dated as of February 26, 2020, among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Clearway Energy Operating LLC, the guarantors named therein and</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4.8</w:t>
            </w:r>
          </w:p>
        </w:tc>
        <w:tc>
          <w:tcPr>
            <w:tcW w:w="5220" w:type="dxa"/>
            <w:vAlign w:val="bottom"/>
          </w:tcPr>
          <w:p>
            <w:pPr>
              <w:ind w:left="140"/>
              <w:spacing w:after="0"/>
              <w:rPr>
                <w:sz w:val="20"/>
                <w:szCs w:val="20"/>
                <w:color w:val="auto"/>
              </w:rPr>
            </w:pPr>
            <w:r>
              <w:rPr>
                <w:rFonts w:ascii="Arial" w:cs="Arial" w:eastAsia="Arial" w:hAnsi="Arial"/>
                <w:sz w:val="18"/>
                <w:szCs w:val="18"/>
                <w:color w:val="auto"/>
                <w:w w:val="98"/>
              </w:rPr>
              <w:t>Third Supplemental Indenture, dated as of July 17, 2020, among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Clearway Energy Operating LLC, the guarantors named therein and</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4.9</w:t>
            </w:r>
          </w:p>
        </w:tc>
        <w:tc>
          <w:tcPr>
            <w:tcW w:w="5220" w:type="dxa"/>
            <w:vAlign w:val="bottom"/>
          </w:tcPr>
          <w:p>
            <w:pPr>
              <w:ind w:left="140"/>
              <w:spacing w:after="0"/>
              <w:rPr>
                <w:sz w:val="20"/>
                <w:szCs w:val="20"/>
                <w:color w:val="auto"/>
              </w:rPr>
            </w:pPr>
            <w:r>
              <w:rPr>
                <w:rFonts w:ascii="Arial" w:cs="Arial" w:eastAsia="Arial" w:hAnsi="Arial"/>
                <w:sz w:val="18"/>
                <w:szCs w:val="18"/>
                <w:color w:val="auto"/>
                <w:w w:val="92"/>
              </w:rPr>
              <w:t>Fourth Supplemental Indenture, dated as of August 17, 2020, among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Clearway Energy Operating LLC, the guarantors named therein and</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4.10</w:t>
            </w:r>
          </w:p>
        </w:tc>
        <w:tc>
          <w:tcPr>
            <w:tcW w:w="5220" w:type="dxa"/>
            <w:vAlign w:val="bottom"/>
          </w:tcPr>
          <w:p>
            <w:pPr>
              <w:ind w:left="140"/>
              <w:spacing w:after="0"/>
              <w:rPr>
                <w:sz w:val="20"/>
                <w:szCs w:val="20"/>
                <w:color w:val="auto"/>
              </w:rPr>
            </w:pPr>
            <w:r>
              <w:rPr>
                <w:rFonts w:ascii="Arial" w:cs="Arial" w:eastAsia="Arial" w:hAnsi="Arial"/>
                <w:sz w:val="18"/>
                <w:szCs w:val="18"/>
                <w:color w:val="auto"/>
                <w:w w:val="90"/>
              </w:rPr>
              <w:t>Fifth Supplemental Indenture, dated as of November 18, 2020, among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Clearway Energy Operating LLC, the guarantors named therein and</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4.11</w:t>
            </w:r>
          </w:p>
        </w:tc>
        <w:tc>
          <w:tcPr>
            <w:tcW w:w="5220" w:type="dxa"/>
            <w:vAlign w:val="bottom"/>
          </w:tcPr>
          <w:p>
            <w:pPr>
              <w:ind w:left="140"/>
              <w:spacing w:after="0"/>
              <w:rPr>
                <w:sz w:val="20"/>
                <w:szCs w:val="20"/>
                <w:color w:val="auto"/>
              </w:rPr>
            </w:pPr>
            <w:r>
              <w:rPr>
                <w:rFonts w:ascii="Arial" w:cs="Arial" w:eastAsia="Arial" w:hAnsi="Arial"/>
                <w:sz w:val="18"/>
                <w:szCs w:val="18"/>
                <w:color w:val="auto"/>
                <w:w w:val="91"/>
              </w:rPr>
              <w:t>Sixth Supplemental Indenture, dated as of December 1, 2020, among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Clearway Energy Operating LLC, the guarantors named therein and</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4.12</w:t>
            </w:r>
          </w:p>
        </w:tc>
        <w:tc>
          <w:tcPr>
            <w:tcW w:w="5220" w:type="dxa"/>
            <w:vAlign w:val="bottom"/>
          </w:tcPr>
          <w:p>
            <w:pPr>
              <w:ind w:left="140"/>
              <w:spacing w:after="0"/>
              <w:rPr>
                <w:sz w:val="20"/>
                <w:szCs w:val="20"/>
                <w:color w:val="auto"/>
              </w:rPr>
            </w:pPr>
            <w:r>
              <w:rPr>
                <w:rFonts w:ascii="Arial" w:cs="Arial" w:eastAsia="Arial" w:hAnsi="Arial"/>
                <w:sz w:val="18"/>
                <w:szCs w:val="18"/>
                <w:color w:val="auto"/>
                <w:w w:val="95"/>
              </w:rPr>
              <w:t>Seventh Supplemental Indenture, dated as of December 23, 2020,</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89"/>
              </w:rPr>
              <w:t>among Clearway Energy Operating LLC, the guarantors named therein</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and Delaware Trust Company.</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4.13</w:t>
            </w:r>
          </w:p>
        </w:tc>
        <w:tc>
          <w:tcPr>
            <w:tcW w:w="5220" w:type="dxa"/>
            <w:vAlign w:val="bottom"/>
          </w:tcPr>
          <w:p>
            <w:pPr>
              <w:ind w:left="140"/>
              <w:spacing w:after="0"/>
              <w:rPr>
                <w:sz w:val="20"/>
                <w:szCs w:val="20"/>
                <w:color w:val="auto"/>
              </w:rPr>
            </w:pPr>
            <w:r>
              <w:rPr>
                <w:rFonts w:ascii="Arial" w:cs="Arial" w:eastAsia="Arial" w:hAnsi="Arial"/>
                <w:sz w:val="18"/>
                <w:szCs w:val="18"/>
                <w:color w:val="auto"/>
                <w:w w:val="91"/>
              </w:rPr>
              <w:t>Eighth Supplemental Indenture, dated as of February 3, 2021, among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Clearway Energy Operating LLC, the guarantors named therein and</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4.14</w:t>
            </w:r>
          </w:p>
        </w:tc>
        <w:tc>
          <w:tcPr>
            <w:tcW w:w="5220" w:type="dxa"/>
            <w:vAlign w:val="bottom"/>
          </w:tcPr>
          <w:p>
            <w:pPr>
              <w:ind w:left="140"/>
              <w:spacing w:after="0"/>
              <w:rPr>
                <w:sz w:val="20"/>
                <w:szCs w:val="20"/>
                <w:color w:val="auto"/>
              </w:rPr>
            </w:pPr>
            <w:r>
              <w:rPr>
                <w:rFonts w:ascii="Arial" w:cs="Arial" w:eastAsia="Arial" w:hAnsi="Arial"/>
                <w:sz w:val="18"/>
                <w:szCs w:val="18"/>
                <w:color w:val="auto"/>
                <w:w w:val="93"/>
              </w:rPr>
              <w:t>Indenture, dated March 9, 2021, among Clearway Energy Operating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1"/>
              </w:rPr>
              <w:t>LLC, the guarantors named therein and Delaware Trust Company, as</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trustee.</w:t>
            </w:r>
          </w:p>
        </w:tc>
      </w:tr>
      <w:tr>
        <w:trPr>
          <w:trHeight w:val="279"/>
        </w:trPr>
        <w:tc>
          <w:tcPr>
            <w:tcW w:w="760" w:type="dxa"/>
            <w:vAlign w:val="bottom"/>
          </w:tcPr>
          <w:p>
            <w:pPr>
              <w:spacing w:after="0"/>
              <w:rPr>
                <w:sz w:val="20"/>
                <w:szCs w:val="20"/>
                <w:color w:val="auto"/>
              </w:rPr>
            </w:pPr>
            <w:r>
              <w:rPr>
                <w:rFonts w:ascii="Arial" w:cs="Arial" w:eastAsia="Arial" w:hAnsi="Arial"/>
                <w:sz w:val="18"/>
                <w:szCs w:val="18"/>
                <w:color w:val="auto"/>
              </w:rPr>
              <w:t>4.15</w:t>
            </w:r>
          </w:p>
        </w:tc>
        <w:tc>
          <w:tcPr>
            <w:tcW w:w="5220" w:type="dxa"/>
            <w:vAlign w:val="bottom"/>
          </w:tcPr>
          <w:p>
            <w:pPr>
              <w:ind w:left="140"/>
              <w:spacing w:after="0"/>
              <w:rPr>
                <w:sz w:val="20"/>
                <w:szCs w:val="20"/>
                <w:color w:val="auto"/>
              </w:rPr>
            </w:pPr>
            <w:r>
              <w:rPr>
                <w:rFonts w:ascii="Arial" w:cs="Arial" w:eastAsia="Arial" w:hAnsi="Arial"/>
                <w:sz w:val="18"/>
                <w:szCs w:val="18"/>
                <w:color w:val="auto"/>
              </w:rPr>
              <w:t>Form of 3.750% Senior Notes due 2031.</w:t>
            </w:r>
          </w:p>
        </w:tc>
      </w:tr>
      <w:tr>
        <w:trPr>
          <w:trHeight w:val="580"/>
        </w:trPr>
        <w:tc>
          <w:tcPr>
            <w:tcW w:w="760" w:type="dxa"/>
            <w:vAlign w:val="bottom"/>
          </w:tcPr>
          <w:p>
            <w:pPr>
              <w:spacing w:after="0"/>
              <w:rPr>
                <w:sz w:val="20"/>
                <w:szCs w:val="20"/>
                <w:color w:val="auto"/>
              </w:rPr>
            </w:pPr>
            <w:r>
              <w:rPr>
                <w:rFonts w:ascii="Arial" w:cs="Arial" w:eastAsia="Arial" w:hAnsi="Arial"/>
                <w:sz w:val="18"/>
                <w:szCs w:val="18"/>
                <w:color w:val="auto"/>
              </w:rPr>
              <w:t>4.16</w:t>
            </w:r>
          </w:p>
        </w:tc>
        <w:tc>
          <w:tcPr>
            <w:tcW w:w="5220" w:type="dxa"/>
            <w:vAlign w:val="bottom"/>
          </w:tcPr>
          <w:p>
            <w:pPr>
              <w:ind w:left="140"/>
              <w:spacing w:after="0"/>
              <w:rPr>
                <w:sz w:val="20"/>
                <w:szCs w:val="20"/>
                <w:color w:val="auto"/>
              </w:rPr>
            </w:pPr>
            <w:r>
              <w:rPr>
                <w:rFonts w:ascii="Arial" w:cs="Arial" w:eastAsia="Arial" w:hAnsi="Arial"/>
                <w:sz w:val="18"/>
                <w:szCs w:val="18"/>
                <w:color w:val="auto"/>
                <w:w w:val="97"/>
              </w:rPr>
              <w:t>Ninth Supplemental Indenture, dated as of May 14, 2021, among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Clearway Energy Operating LLC, the guarantors named therein and</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4.17</w:t>
            </w:r>
          </w:p>
        </w:tc>
        <w:tc>
          <w:tcPr>
            <w:tcW w:w="5220" w:type="dxa"/>
            <w:vAlign w:val="bottom"/>
          </w:tcPr>
          <w:p>
            <w:pPr>
              <w:ind w:left="140"/>
              <w:spacing w:after="0"/>
              <w:rPr>
                <w:sz w:val="20"/>
                <w:szCs w:val="20"/>
                <w:color w:val="auto"/>
              </w:rPr>
            </w:pPr>
            <w:r>
              <w:rPr>
                <w:rFonts w:ascii="Arial" w:cs="Arial" w:eastAsia="Arial" w:hAnsi="Arial"/>
                <w:sz w:val="18"/>
                <w:szCs w:val="18"/>
                <w:color w:val="auto"/>
                <w:w w:val="99"/>
              </w:rPr>
              <w:t>First Supplemental Indenture, dated as of May 14, 2021, among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Clearway Energy Operating LLC, the guarantors named therein and</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4.18</w:t>
            </w:r>
          </w:p>
        </w:tc>
        <w:tc>
          <w:tcPr>
            <w:tcW w:w="5220" w:type="dxa"/>
            <w:vAlign w:val="bottom"/>
          </w:tcPr>
          <w:p>
            <w:pPr>
              <w:ind w:left="140"/>
              <w:spacing w:after="0"/>
              <w:rPr>
                <w:sz w:val="20"/>
                <w:szCs w:val="20"/>
                <w:color w:val="auto"/>
              </w:rPr>
            </w:pPr>
            <w:r>
              <w:rPr>
                <w:rFonts w:ascii="Arial" w:cs="Arial" w:eastAsia="Arial" w:hAnsi="Arial"/>
                <w:sz w:val="18"/>
                <w:szCs w:val="18"/>
                <w:color w:val="auto"/>
                <w:w w:val="90"/>
              </w:rPr>
              <w:t>Indenture, dated October 1, 2021, among Clearway Energy Operating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1"/>
              </w:rPr>
              <w:t>LLC, the guarantors named therein and Delaware Trust Company, as</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trustee.</w:t>
            </w:r>
          </w:p>
        </w:tc>
      </w:tr>
      <w:tr>
        <w:trPr>
          <w:trHeight w:val="279"/>
        </w:trPr>
        <w:tc>
          <w:tcPr>
            <w:tcW w:w="760" w:type="dxa"/>
            <w:vAlign w:val="bottom"/>
          </w:tcPr>
          <w:p>
            <w:pPr>
              <w:spacing w:after="0"/>
              <w:rPr>
                <w:sz w:val="20"/>
                <w:szCs w:val="20"/>
                <w:color w:val="auto"/>
              </w:rPr>
            </w:pPr>
            <w:r>
              <w:rPr>
                <w:rFonts w:ascii="Arial" w:cs="Arial" w:eastAsia="Arial" w:hAnsi="Arial"/>
                <w:sz w:val="18"/>
                <w:szCs w:val="18"/>
                <w:color w:val="auto"/>
              </w:rPr>
              <w:t>4.19</w:t>
            </w:r>
          </w:p>
        </w:tc>
        <w:tc>
          <w:tcPr>
            <w:tcW w:w="5220" w:type="dxa"/>
            <w:vAlign w:val="bottom"/>
          </w:tcPr>
          <w:p>
            <w:pPr>
              <w:ind w:left="140"/>
              <w:spacing w:after="0"/>
              <w:rPr>
                <w:sz w:val="20"/>
                <w:szCs w:val="20"/>
                <w:color w:val="auto"/>
              </w:rPr>
            </w:pPr>
            <w:r>
              <w:rPr>
                <w:rFonts w:ascii="Arial" w:cs="Arial" w:eastAsia="Arial" w:hAnsi="Arial"/>
                <w:sz w:val="18"/>
                <w:szCs w:val="18"/>
                <w:color w:val="auto"/>
              </w:rPr>
              <w:t>Form of 3.750% Senior Notes due 2032.</w:t>
            </w:r>
          </w:p>
        </w:tc>
      </w:tr>
    </w:tbl>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Filing</w:t>
      </w:r>
    </w:p>
    <w:p>
      <w:pPr>
        <w:spacing w:after="0" w:line="7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3.1 to the Company’s Current Report on Form 10-Q filed on May 4, 2020.</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3.2 to the Company’s Current Report on Form 8-K filed on September 5, 2018.</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10.6 to the Company’s Current Report on Form 8-K filed on September 5, 2018.</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4.13 to the Company’s Annual Report on Form 10-K filed on February 28, 2019.</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4.14 to the Company’s Annual Report on Form 10-K filed on February 28, 2019.</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4.1 to the Company’s Current Report on Form 8-K filed on December 12, 2019.</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4.2 to the Company’s Current Report on Form 8-K filed on December 12, 2019.</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4.3 to the Company’s Current Report on Form 8-K filed on January 8, 2020.</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4.3 to the Company’s Current Report on Form 8-K filed on March 3, 2020.</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4.3 to the Company’s Current Report on Form 8-K filed on July 21, 2020.</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4.3 to the Company’s Current Report on Form 8-K filed on August 20, 2020.</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4.3 to the Company’s Current Report on Form 8-K filed on November 19, 2020.</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4.3 to the Company’s Current Report on Form 8-K filed on December 4, 2020.</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4.3 to the Company’s Current Report on Form 8-K filed on December 29, 2020.</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4.3 to the Company’s Current Report on Form 8-K filed on February 5, 2021.</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4.1 to the Company’s Current Report on Form 8-K filed on March 9, 2021.</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4.2 to the Company’s Current Report on Form 8-K filed on March 9, 2021.</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4.2 to the Company’s Current Report on Form 8-K filed on May 19, 2021.</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4.3 to the Company’s Current Report on Form 8-K filed on May 19, 2021.</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4.1 to the Company’s Current Report on Form 8-K filed on October 1, 2021.</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4.2 to the Company’s Current Report on Form 8-K filed on October 1, 2021.</w:t>
      </w:r>
    </w:p>
    <w:p>
      <w:pPr>
        <w:spacing w:after="0" w:line="200" w:lineRule="exact"/>
        <w:rPr>
          <w:sz w:val="20"/>
          <w:szCs w:val="20"/>
          <w:color w:val="auto"/>
        </w:rPr>
      </w:pPr>
    </w:p>
    <w:p>
      <w:pPr>
        <w:sectPr>
          <w:pgSz w:w="11880" w:h="15480" w:orient="portrait"/>
          <w:cols w:equalWidth="0" w:num="2">
            <w:col w:w="5980" w:space="180"/>
            <w:col w:w="3760"/>
          </w:cols>
          <w:pgMar w:left="980" w:top="577" w:right="980" w:bottom="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ectPr>
          <w:pgSz w:w="11880" w:h="15480" w:orient="portrait"/>
          <w:cols w:equalWidth="0" w:num="1">
            <w:col w:w="9920"/>
          </w:cols>
          <w:pgMar w:left="980" w:top="577" w:right="980" w:bottom="0" w:gutter="0" w:footer="0" w:header="0"/>
          <w:type w:val="continuous"/>
        </w:sectPr>
      </w:pPr>
    </w:p>
    <w:bookmarkStart w:id="145" w:name="page146"/>
    <w:bookmarkEnd w:id="145"/>
    <w:p>
      <w:pPr>
        <w:spacing w:after="0"/>
        <w:tabs>
          <w:tab w:leader="none" w:pos="880" w:val="left"/>
        </w:tabs>
        <w:rPr>
          <w:sz w:val="20"/>
          <w:szCs w:val="20"/>
          <w:color w:val="auto"/>
        </w:rPr>
      </w:pPr>
      <w:r>
        <w:rPr>
          <w:rFonts w:ascii="Arial" w:cs="Arial" w:eastAsia="Arial" w:hAnsi="Arial"/>
          <w:sz w:val="18"/>
          <w:szCs w:val="18"/>
          <w:b w:val="1"/>
          <w:bCs w:val="1"/>
          <w:color w:val="auto"/>
        </w:rPr>
        <w:t>Number</w:t>
        <w:tab/>
        <w:t>Description</w:t>
      </w:r>
    </w:p>
    <w:p>
      <w:pPr>
        <w:spacing w:after="0" w:line="77"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Tenth Supplemental Indenture, dated as of October 7, 2021,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Second Supplemental Indenture, dated as of October 7, 2021,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First Supplemental Indenture, dated as of October 7, 2021,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Eleventh Supplemental Indenture, dated as of May 25, 2022,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Third Supplemental Indenture, dated as of May 25, 2022,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Second Supplemental Indenture, dated as of May 25, 2022,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Twelfth Supplemental Indenture, dated as of February 14, 2023,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Fourth Supplemental Indenture, dated as of February 14, 2023,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Third Supplemental Indenture, dated as of February 14, 2023,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Thirteenth Supplemental Indenture, dated as of August 4, 2023,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Fifth Supplemental Indenture, dated as of August 4, 2023,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Fourth Supplemental Indenture, dated as of August 4, 2023,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Fourteenth Supplemental Indenture, dated as of November 13, 2023,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Sixth Supplemental Indenture, dated as of November 13, 2023,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8"/>
          <w:szCs w:val="18"/>
          <w:color w:val="auto"/>
        </w:rPr>
        <w:t>Fifth Supplemental Indenture, dated as of November 13, 2023,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8"/>
          <w:szCs w:val="18"/>
          <w:color w:val="auto"/>
        </w:rPr>
        <w:t>Fifteenth Supplemental Indenture, dated as of May 30, 2024,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8"/>
          <w:szCs w:val="18"/>
          <w:color w:val="auto"/>
        </w:rPr>
        <w:t>Seventh Supplemental Indenture, dated as of May 30, 2024,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8"/>
          <w:szCs w:val="18"/>
          <w:color w:val="auto"/>
        </w:rPr>
        <w:t>Sixth Supplemental Indenture, dated as of May 30, 2024,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8"/>
          <w:szCs w:val="18"/>
          <w:color w:val="auto"/>
        </w:rPr>
        <w:t>Sixteenth Supplemental Indenture, dated as of July 17, 2024,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4.39</w:t>
      </w:r>
      <w:r>
        <w:rPr>
          <w:sz w:val="20"/>
          <w:szCs w:val="20"/>
          <w:color w:val="auto"/>
        </w:rPr>
        <w:tab/>
      </w:r>
      <w:r>
        <w:rPr>
          <w:rFonts w:ascii="Arial" w:cs="Arial" w:eastAsia="Arial" w:hAnsi="Arial"/>
          <w:sz w:val="18"/>
          <w:szCs w:val="18"/>
          <w:color w:val="auto"/>
        </w:rPr>
        <w:t>Eighth Supplemental Indenture, dated as of July 17, 2024, among Clearway Energy Operating LLC, the guarantors named therein and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8"/>
          <w:szCs w:val="18"/>
          <w:color w:val="auto"/>
        </w:rPr>
        <w:t>Seventh Supplemental Indenture, dated as of July 17, 2024, among Clearway Energy Operating LLC, the guarantors named therein and Delaware Trust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Method of Filing</w:t>
      </w:r>
    </w:p>
    <w:p>
      <w:pPr>
        <w:spacing w:after="0" w:line="7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4.2 to the Company’s Current Report on Form 8-K filed on October 8, 2021.</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4.3 to the Company’s Current Report on Form 8-K filed on October 8, 2021.</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4.4 to the Company’s Current Report on Form 8-K filed on October 8, 2021.</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4.1 to the Company’s Current Report on Form 8-K filed on June 1, 2022.</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4.2 to the Company’s Current Report on Form 8-K filed on June 1, 2022.</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4.3 to the Company’s Current Report on Form 8-K filed on June 1, 2022.</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4.1 to the Company’s Current Report on Form 8-K filed on February 21, 2023.</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4.2 to the Company’s Current Report on Form 8-K filed on February 21, 2023.</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4.3 to the Company’s Current Report on Form 8-K filed on February 21, 2023.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572" w:lineRule="exact"/>
        <w:rPr>
          <w:sz w:val="20"/>
          <w:szCs w:val="20"/>
          <w:color w:val="auto"/>
        </w:rPr>
      </w:pPr>
    </w:p>
    <w:p>
      <w:pPr>
        <w:sectPr>
          <w:pgSz w:w="11880" w:h="15480" w:orient="portrait"/>
          <w:cols w:equalWidth="0" w:num="2">
            <w:col w:w="5980" w:space="180"/>
            <w:col w:w="3760"/>
          </w:cols>
          <w:pgMar w:left="980" w:top="659" w:right="98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ectPr>
          <w:pgSz w:w="11880" w:h="15480" w:orient="portrait"/>
          <w:cols w:equalWidth="0" w:num="1">
            <w:col w:w="9920"/>
          </w:cols>
          <w:pgMar w:left="980" w:top="659" w:right="980" w:bottom="0" w:gutter="0" w:footer="0" w:header="0"/>
          <w:type w:val="continuous"/>
        </w:sectPr>
      </w:pPr>
    </w:p>
    <w:bookmarkStart w:id="146" w:name="page147"/>
    <w:bookmarkEnd w:id="146"/>
    <w:p>
      <w:pPr>
        <w:spacing w:after="0"/>
        <w:tabs>
          <w:tab w:leader="none" w:pos="880" w:val="left"/>
        </w:tabs>
        <w:rPr>
          <w:sz w:val="20"/>
          <w:szCs w:val="20"/>
          <w:color w:val="auto"/>
        </w:rPr>
      </w:pPr>
      <w:r>
        <w:rPr>
          <w:rFonts w:ascii="Arial" w:cs="Arial" w:eastAsia="Arial" w:hAnsi="Arial"/>
          <w:sz w:val="18"/>
          <w:szCs w:val="18"/>
          <w:b w:val="1"/>
          <w:bCs w:val="1"/>
          <w:color w:val="auto"/>
        </w:rPr>
        <w:t>Number</w:t>
        <w:tab/>
        <w:t>Description</w:t>
      </w:r>
    </w:p>
    <w:p>
      <w:pPr>
        <w:spacing w:after="0" w:line="77"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Seventeenth Supplemental Indenture, dated as of October 30, 2024,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Ninth Supplemental Indenture, dated as of October 30, 2024,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8"/>
          <w:szCs w:val="18"/>
          <w:color w:val="auto"/>
        </w:rPr>
        <w:t>Eighth Supplemental Indenture, dated as of October 30, 2024,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8"/>
          <w:szCs w:val="18"/>
          <w:color w:val="auto"/>
        </w:rPr>
        <w:t>Eighteenth Supplemental Indenture, dated as of January 13, 2025,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8"/>
          <w:szCs w:val="18"/>
          <w:color w:val="auto"/>
        </w:rPr>
        <w:t>Tenth Supplemental Indenture, dated as of January 13, 2025,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8"/>
          <w:szCs w:val="18"/>
          <w:color w:val="auto"/>
        </w:rPr>
        <w:t>Ninth Supplemental Indenture, dated as of January 13, 2025,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4.47</w:t>
      </w:r>
      <w:r>
        <w:rPr>
          <w:sz w:val="20"/>
          <w:szCs w:val="20"/>
          <w:color w:val="auto"/>
        </w:rPr>
        <w:tab/>
      </w:r>
      <w:r>
        <w:rPr>
          <w:rFonts w:ascii="Arial" w:cs="Arial" w:eastAsia="Arial" w:hAnsi="Arial"/>
          <w:sz w:val="18"/>
          <w:szCs w:val="18"/>
          <w:color w:val="auto"/>
        </w:rPr>
        <w:t>Nineteenth Supplemental Indenture, dated as of April 30, 2025,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4.48</w:t>
      </w:r>
      <w:r>
        <w:rPr>
          <w:sz w:val="20"/>
          <w:szCs w:val="20"/>
          <w:color w:val="auto"/>
        </w:rPr>
        <w:tab/>
      </w:r>
      <w:r>
        <w:rPr>
          <w:rFonts w:ascii="Arial" w:cs="Arial" w:eastAsia="Arial" w:hAnsi="Arial"/>
          <w:sz w:val="18"/>
          <w:szCs w:val="18"/>
          <w:color w:val="auto"/>
        </w:rPr>
        <w:t>Eleventh Supplemental Indenture, dated as of April 30, 2025,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4.49</w:t>
      </w:r>
      <w:r>
        <w:rPr>
          <w:sz w:val="20"/>
          <w:szCs w:val="20"/>
          <w:color w:val="auto"/>
        </w:rPr>
        <w:tab/>
      </w:r>
      <w:r>
        <w:rPr>
          <w:rFonts w:ascii="Arial" w:cs="Arial" w:eastAsia="Arial" w:hAnsi="Arial"/>
          <w:sz w:val="18"/>
          <w:szCs w:val="18"/>
          <w:color w:val="auto"/>
        </w:rPr>
        <w:t>Tenth Supplemental Indenture, dated as of April 30, 2025,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8"/>
          <w:szCs w:val="18"/>
          <w:color w:val="auto"/>
        </w:rPr>
        <w:t>Twentieth Supplemental Indenture, dated as of October 17, 2025,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Twelfth Supplemental Indenture, dated as of October 17, 2025,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8"/>
          <w:szCs w:val="18"/>
          <w:color w:val="auto"/>
        </w:rPr>
        <w:t>Eleventh Supplemental Indenture, dated as of October 17, 2025,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8"/>
          <w:szCs w:val="18"/>
          <w:color w:val="auto"/>
        </w:rPr>
        <w:t>Twenty-First Supplemental Indenture, dated as of December 22, 2025,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4.54</w:t>
      </w:r>
      <w:r>
        <w:rPr>
          <w:sz w:val="20"/>
          <w:szCs w:val="20"/>
          <w:color w:val="auto"/>
        </w:rPr>
        <w:tab/>
      </w:r>
      <w:r>
        <w:rPr>
          <w:rFonts w:ascii="Arial" w:cs="Arial" w:eastAsia="Arial" w:hAnsi="Arial"/>
          <w:sz w:val="18"/>
          <w:szCs w:val="18"/>
          <w:color w:val="auto"/>
        </w:rPr>
        <w:t>Thirteenth Supplemental Indenture, dated as of December 22, 2025,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4.55</w:t>
      </w:r>
      <w:r>
        <w:rPr>
          <w:sz w:val="20"/>
          <w:szCs w:val="20"/>
          <w:color w:val="auto"/>
        </w:rPr>
        <w:tab/>
      </w:r>
      <w:r>
        <w:rPr>
          <w:rFonts w:ascii="Arial" w:cs="Arial" w:eastAsia="Arial" w:hAnsi="Arial"/>
          <w:sz w:val="18"/>
          <w:szCs w:val="18"/>
          <w:color w:val="auto"/>
        </w:rPr>
        <w:t>Twelfth Supplemental Indenture, dated as of December 22, 2025, among Clearway Energy Operating LLC, the guarantors named therein and CSC Delaware Trust Company (formerly known as Delaware Trust Company).</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4.56</w:t>
      </w:r>
      <w:r>
        <w:rPr>
          <w:sz w:val="20"/>
          <w:szCs w:val="20"/>
          <w:color w:val="auto"/>
        </w:rPr>
        <w:tab/>
      </w:r>
      <w:r>
        <w:rPr>
          <w:rFonts w:ascii="Arial" w:cs="Arial" w:eastAsia="Arial" w:hAnsi="Arial"/>
          <w:sz w:val="18"/>
          <w:szCs w:val="18"/>
          <w:color w:val="auto"/>
        </w:rPr>
        <w:t>Indenture, dated January 13, 2026, among Clearway Energy Operating LLC, the guarantors named therein and CSC Delaware Trust Company, as trustee.</w:t>
      </w:r>
    </w:p>
    <w:p>
      <w:pPr>
        <w:spacing w:after="0" w:line="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4.57</w:t>
      </w:r>
      <w:r>
        <w:rPr>
          <w:sz w:val="20"/>
          <w:szCs w:val="20"/>
          <w:color w:val="auto"/>
        </w:rPr>
        <w:tab/>
      </w:r>
      <w:r>
        <w:rPr>
          <w:rFonts w:ascii="Arial" w:cs="Arial" w:eastAsia="Arial" w:hAnsi="Arial"/>
          <w:sz w:val="15"/>
          <w:szCs w:val="15"/>
          <w:color w:val="auto"/>
        </w:rPr>
        <w:t>Form of 5.750% Senior Notes due 2034.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Method of Filing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4.1 to the Company’s Current Report on Form 8-K filed on January 13, 2026.</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4.2 to the Company’s Current Report on Form 8-K filed on January 13, 2026.</w:t>
      </w:r>
    </w:p>
    <w:p>
      <w:pPr>
        <w:spacing w:after="0" w:line="200" w:lineRule="exact"/>
        <w:rPr>
          <w:sz w:val="20"/>
          <w:szCs w:val="20"/>
          <w:color w:val="auto"/>
        </w:rPr>
      </w:pPr>
    </w:p>
    <w:p>
      <w:pPr>
        <w:sectPr>
          <w:pgSz w:w="11880" w:h="15480" w:orient="portrait"/>
          <w:cols w:equalWidth="0" w:num="2">
            <w:col w:w="5980" w:space="180"/>
            <w:col w:w="3760"/>
          </w:cols>
          <w:pgMar w:left="980" w:top="659" w:right="980" w:bottom="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ectPr>
          <w:pgSz w:w="11880" w:h="15480" w:orient="portrait"/>
          <w:cols w:equalWidth="0" w:num="1">
            <w:col w:w="9920"/>
          </w:cols>
          <w:pgMar w:left="980" w:top="659" w:right="980" w:bottom="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31"/>
        </w:trPr>
        <w:tc>
          <w:tcPr>
            <w:tcW w:w="7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220" w:type="dxa"/>
            <w:vAlign w:val="bottom"/>
          </w:tcPr>
          <w:p>
            <w:pPr>
              <w:ind w:left="140"/>
              <w:spacing w:after="0"/>
              <w:rPr>
                <w:sz w:val="20"/>
                <w:szCs w:val="20"/>
                <w:color w:val="auto"/>
              </w:rPr>
            </w:pPr>
            <w:r>
              <w:rPr>
                <w:rFonts w:ascii="Arial" w:cs="Arial" w:eastAsia="Arial" w:hAnsi="Arial"/>
                <w:sz w:val="18"/>
                <w:szCs w:val="18"/>
                <w:b w:val="1"/>
                <w:bCs w:val="1"/>
                <w:color w:val="auto"/>
              </w:rPr>
              <w:t>Description</w:t>
            </w:r>
          </w:p>
        </w:tc>
      </w:tr>
      <w:tr>
        <w:trPr>
          <w:trHeight w:val="246"/>
        </w:trPr>
        <w:tc>
          <w:tcPr>
            <w:tcW w:w="760" w:type="dxa"/>
            <w:vAlign w:val="bottom"/>
          </w:tcPr>
          <w:p>
            <w:pPr>
              <w:spacing w:after="0"/>
              <w:rPr>
                <w:sz w:val="20"/>
                <w:szCs w:val="20"/>
                <w:color w:val="auto"/>
              </w:rPr>
            </w:pPr>
            <w:r>
              <w:rPr>
                <w:rFonts w:ascii="Arial" w:cs="Arial" w:eastAsia="Arial" w:hAnsi="Arial"/>
                <w:sz w:val="18"/>
                <w:szCs w:val="18"/>
                <w:color w:val="auto"/>
              </w:rPr>
              <w:t>4.58</w:t>
            </w:r>
          </w:p>
        </w:tc>
        <w:tc>
          <w:tcPr>
            <w:tcW w:w="5220" w:type="dxa"/>
            <w:vAlign w:val="bottom"/>
          </w:tcPr>
          <w:p>
            <w:pPr>
              <w:ind w:left="140"/>
              <w:spacing w:after="0"/>
              <w:rPr>
                <w:sz w:val="20"/>
                <w:szCs w:val="20"/>
                <w:color w:val="auto"/>
              </w:rPr>
            </w:pPr>
            <w:r>
              <w:rPr>
                <w:rFonts w:ascii="Arial" w:cs="Arial" w:eastAsia="Arial" w:hAnsi="Arial"/>
                <w:sz w:val="18"/>
                <w:szCs w:val="18"/>
                <w:color w:val="auto"/>
                <w:w w:val="95"/>
              </w:rPr>
              <w:t>Twenty-Second Supplemental Indenture, dated as of February 11,</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1"/>
              </w:rPr>
              <w:t>2026, among Clearway Energy Operating LLC, the guarantors named</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rPr>
              <w:t>therein and CSC Delaware Trust Company (formerly known as</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Delaware Trust Company).</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4.59</w:t>
            </w:r>
          </w:p>
        </w:tc>
        <w:tc>
          <w:tcPr>
            <w:tcW w:w="5220" w:type="dxa"/>
            <w:vAlign w:val="bottom"/>
          </w:tcPr>
          <w:p>
            <w:pPr>
              <w:ind w:left="140"/>
              <w:spacing w:after="0"/>
              <w:rPr>
                <w:sz w:val="20"/>
                <w:szCs w:val="20"/>
                <w:color w:val="auto"/>
              </w:rPr>
            </w:pPr>
            <w:r>
              <w:rPr>
                <w:rFonts w:ascii="Arial" w:cs="Arial" w:eastAsia="Arial" w:hAnsi="Arial"/>
                <w:sz w:val="18"/>
                <w:szCs w:val="18"/>
                <w:color w:val="auto"/>
                <w:w w:val="93"/>
              </w:rPr>
              <w:t>Fourteenth Supplemental Indenture, dated as of February 11, 2026,</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89"/>
              </w:rPr>
              <w:t>among Clearway Energy Operating LLC, the guarantors named therein</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89"/>
              </w:rPr>
              <w:t>and CSC Delaware Trust Company (formerly known as Delaware Trust</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Company).</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4.60</w:t>
            </w:r>
          </w:p>
        </w:tc>
        <w:tc>
          <w:tcPr>
            <w:tcW w:w="5220" w:type="dxa"/>
            <w:vAlign w:val="bottom"/>
          </w:tcPr>
          <w:p>
            <w:pPr>
              <w:ind w:left="140"/>
              <w:spacing w:after="0"/>
              <w:rPr>
                <w:sz w:val="20"/>
                <w:szCs w:val="20"/>
                <w:color w:val="auto"/>
              </w:rPr>
            </w:pPr>
            <w:r>
              <w:rPr>
                <w:rFonts w:ascii="Arial" w:cs="Arial" w:eastAsia="Arial" w:hAnsi="Arial"/>
                <w:sz w:val="18"/>
                <w:szCs w:val="18"/>
                <w:color w:val="auto"/>
                <w:w w:val="94"/>
              </w:rPr>
              <w:t>Thirteenth Supplemental Indenture, dated as of February 11, 2026,</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89"/>
              </w:rPr>
              <w:t>among Clearway Energy Operating LLC, the guarantors named therein</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89"/>
              </w:rPr>
              <w:t>and CSC Delaware Trust Company (formerly known as Delaware Trust</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Company).</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4.61</w:t>
            </w:r>
          </w:p>
        </w:tc>
        <w:tc>
          <w:tcPr>
            <w:tcW w:w="5220" w:type="dxa"/>
            <w:vAlign w:val="bottom"/>
          </w:tcPr>
          <w:p>
            <w:pPr>
              <w:ind w:left="140"/>
              <w:spacing w:after="0"/>
              <w:rPr>
                <w:sz w:val="20"/>
                <w:szCs w:val="20"/>
                <w:color w:val="auto"/>
              </w:rPr>
            </w:pPr>
            <w:r>
              <w:rPr>
                <w:rFonts w:ascii="Arial" w:cs="Arial" w:eastAsia="Arial" w:hAnsi="Arial"/>
                <w:sz w:val="18"/>
                <w:szCs w:val="18"/>
                <w:color w:val="auto"/>
                <w:w w:val="92"/>
              </w:rPr>
              <w:t>First Supplemental Indenture, dated as of February 11, 2026, among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Clearway Energy Operating LLC, the guarantors named therein and</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5"/>
              </w:rPr>
              <w:t>CSC Delaware Trust Company (formerly known as Delaware Trust</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Company).</w:t>
            </w:r>
          </w:p>
        </w:tc>
      </w:tr>
      <w:tr>
        <w:trPr>
          <w:trHeight w:val="279"/>
        </w:trPr>
        <w:tc>
          <w:tcPr>
            <w:tcW w:w="760" w:type="dxa"/>
            <w:vAlign w:val="bottom"/>
          </w:tcPr>
          <w:p>
            <w:pPr>
              <w:spacing w:after="0"/>
              <w:rPr>
                <w:sz w:val="20"/>
                <w:szCs w:val="20"/>
                <w:color w:val="auto"/>
              </w:rPr>
            </w:pPr>
            <w:r>
              <w:rPr>
                <w:rFonts w:ascii="Arial" w:cs="Arial" w:eastAsia="Arial" w:hAnsi="Arial"/>
                <w:sz w:val="18"/>
                <w:szCs w:val="18"/>
                <w:color w:val="auto"/>
              </w:rPr>
              <w:t>4.62</w:t>
            </w:r>
          </w:p>
        </w:tc>
        <w:tc>
          <w:tcPr>
            <w:tcW w:w="5220" w:type="dxa"/>
            <w:vAlign w:val="bottom"/>
          </w:tcPr>
          <w:p>
            <w:pPr>
              <w:ind w:left="140"/>
              <w:spacing w:after="0"/>
              <w:rPr>
                <w:sz w:val="20"/>
                <w:szCs w:val="20"/>
                <w:color w:val="auto"/>
              </w:rPr>
            </w:pPr>
            <w:r>
              <w:rPr>
                <w:rFonts w:ascii="Arial" w:cs="Arial" w:eastAsia="Arial" w:hAnsi="Arial"/>
                <w:sz w:val="18"/>
                <w:szCs w:val="18"/>
                <w:color w:val="auto"/>
              </w:rPr>
              <w:t>Description of Securities.</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5220" w:type="dxa"/>
            <w:vAlign w:val="bottom"/>
          </w:tcPr>
          <w:p>
            <w:pPr>
              <w:ind w:left="140"/>
              <w:spacing w:after="0"/>
              <w:rPr>
                <w:sz w:val="20"/>
                <w:szCs w:val="20"/>
                <w:color w:val="auto"/>
              </w:rPr>
            </w:pPr>
            <w:r>
              <w:rPr>
                <w:rFonts w:ascii="Arial" w:cs="Arial" w:eastAsia="Arial" w:hAnsi="Arial"/>
                <w:sz w:val="18"/>
                <w:szCs w:val="18"/>
                <w:color w:val="auto"/>
                <w:w w:val="94"/>
              </w:rPr>
              <w:t>Zephyr Voting and Governance Agreement, dated as of August 31,</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w w:val="92"/>
              </w:rPr>
              <w:t>2018, by and between NRG Yield, Inc. and Zephyr Renewables LLC.</w:t>
            </w:r>
          </w:p>
        </w:tc>
      </w:tr>
      <w:tr>
        <w:trPr>
          <w:trHeight w:val="455"/>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5220" w:type="dxa"/>
            <w:vAlign w:val="bottom"/>
          </w:tcPr>
          <w:p>
            <w:pPr>
              <w:ind w:left="140"/>
              <w:spacing w:after="0"/>
              <w:rPr>
                <w:sz w:val="20"/>
                <w:szCs w:val="20"/>
                <w:color w:val="auto"/>
              </w:rPr>
            </w:pPr>
            <w:r>
              <w:rPr>
                <w:rFonts w:ascii="Arial" w:cs="Arial" w:eastAsia="Arial" w:hAnsi="Arial"/>
                <w:sz w:val="18"/>
                <w:szCs w:val="18"/>
                <w:color w:val="auto"/>
              </w:rPr>
              <w:t>Form of Indemnification Agreement.</w:t>
            </w:r>
          </w:p>
        </w:tc>
      </w:tr>
      <w:tr>
        <w:trPr>
          <w:trHeight w:val="580"/>
        </w:trPr>
        <w:tc>
          <w:tcPr>
            <w:tcW w:w="760" w:type="dxa"/>
            <w:vAlign w:val="bottom"/>
          </w:tcPr>
          <w:p>
            <w:pPr>
              <w:spacing w:after="0"/>
              <w:rPr>
                <w:sz w:val="20"/>
                <w:szCs w:val="20"/>
                <w:color w:val="auto"/>
              </w:rPr>
            </w:pPr>
            <w:r>
              <w:rPr>
                <w:rFonts w:ascii="Arial" w:cs="Arial" w:eastAsia="Arial" w:hAnsi="Arial"/>
                <w:sz w:val="18"/>
                <w:szCs w:val="18"/>
                <w:color w:val="auto"/>
              </w:rPr>
              <w:t>10.3.1</w:t>
            </w:r>
          </w:p>
        </w:tc>
        <w:tc>
          <w:tcPr>
            <w:tcW w:w="5220" w:type="dxa"/>
            <w:vAlign w:val="bottom"/>
          </w:tcPr>
          <w:p>
            <w:pPr>
              <w:ind w:left="140"/>
              <w:spacing w:after="0"/>
              <w:rPr>
                <w:sz w:val="20"/>
                <w:szCs w:val="20"/>
                <w:color w:val="auto"/>
              </w:rPr>
            </w:pPr>
            <w:r>
              <w:rPr>
                <w:rFonts w:ascii="Arial" w:cs="Arial" w:eastAsia="Arial" w:hAnsi="Arial"/>
                <w:sz w:val="18"/>
                <w:szCs w:val="18"/>
                <w:color w:val="auto"/>
                <w:w w:val="88"/>
              </w:rPr>
              <w:t>Amended and Restated Credit Agreement, dated April 25, 2014, by and</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6"/>
              </w:rPr>
              <w:t>among NRG Yield Operating LLC, NRG Yield LLC, Royal Bank of</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88"/>
              </w:rPr>
              <w:t>Canada, as Administrative Agent, the lenders party thereto, Royal Bank</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1"/>
              </w:rPr>
              <w:t>of Canada, Goldman Sachs Bank USA and Bank of America, N.A., as</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1"/>
              </w:rPr>
              <w:t>L/C Issuers and RBC Capital Markets as Sole Left Lead Arranger and</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Sole Left Lead Book Runner.</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10.3.2</w:t>
            </w:r>
          </w:p>
        </w:tc>
        <w:tc>
          <w:tcPr>
            <w:tcW w:w="5220" w:type="dxa"/>
            <w:vAlign w:val="bottom"/>
          </w:tcPr>
          <w:p>
            <w:pPr>
              <w:ind w:left="140"/>
              <w:spacing w:after="0"/>
              <w:rPr>
                <w:sz w:val="20"/>
                <w:szCs w:val="20"/>
                <w:color w:val="auto"/>
              </w:rPr>
            </w:pPr>
            <w:r>
              <w:rPr>
                <w:rFonts w:ascii="Arial" w:cs="Arial" w:eastAsia="Arial" w:hAnsi="Arial"/>
                <w:sz w:val="18"/>
                <w:szCs w:val="18"/>
                <w:color w:val="auto"/>
                <w:w w:val="94"/>
              </w:rPr>
              <w:t>First Amendment to Amended &amp; Restated Credit Agreement, dated</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2"/>
              </w:rPr>
              <w:t>June 26, 2015, by and among NRG Yield Operating LLC, NRG Yield</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LLC, Royal Bank of Canada and the Lenders party thereto.</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10.3.3</w:t>
            </w:r>
          </w:p>
        </w:tc>
        <w:tc>
          <w:tcPr>
            <w:tcW w:w="5220" w:type="dxa"/>
            <w:vAlign w:val="bottom"/>
          </w:tcPr>
          <w:p>
            <w:pPr>
              <w:ind w:left="140"/>
              <w:spacing w:after="0"/>
              <w:rPr>
                <w:sz w:val="20"/>
                <w:szCs w:val="20"/>
                <w:color w:val="auto"/>
              </w:rPr>
            </w:pPr>
            <w:r>
              <w:rPr>
                <w:rFonts w:ascii="Arial" w:cs="Arial" w:eastAsia="Arial" w:hAnsi="Arial"/>
                <w:sz w:val="18"/>
                <w:szCs w:val="18"/>
                <w:color w:val="auto"/>
                <w:w w:val="90"/>
              </w:rPr>
              <w:t>Second Amendment to Amended &amp; Restated Credit Agreement, dated</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6"/>
              </w:rPr>
              <w:t>February 6, 2018, by and among NRG Yield Operating LLC, NRG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5"/>
              </w:rPr>
              <w:t>Yield LLC, the guarantors party thereto, Royal Bank of Canada, as</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Administrative Agent, and the lenders party thereto.</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10.3.4</w:t>
            </w:r>
          </w:p>
        </w:tc>
        <w:tc>
          <w:tcPr>
            <w:tcW w:w="5220" w:type="dxa"/>
            <w:vAlign w:val="bottom"/>
          </w:tcPr>
          <w:p>
            <w:pPr>
              <w:ind w:left="140"/>
              <w:spacing w:after="0"/>
              <w:rPr>
                <w:sz w:val="20"/>
                <w:szCs w:val="20"/>
                <w:color w:val="auto"/>
              </w:rPr>
            </w:pPr>
            <w:r>
              <w:rPr>
                <w:rFonts w:ascii="Arial" w:cs="Arial" w:eastAsia="Arial" w:hAnsi="Arial"/>
                <w:sz w:val="18"/>
                <w:szCs w:val="18"/>
                <w:color w:val="auto"/>
                <w:w w:val="93"/>
              </w:rPr>
              <w:t>Third Amendment to Amended and Restated Credit Agreement and</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1"/>
              </w:rPr>
              <w:t>Administrative Agent Resignation and Appointment Agreement, dated</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as of April 30, 2018, by and among NRG Yield Operating LLC, NRG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5"/>
              </w:rPr>
              <w:t>Yield LLC, the guarantors party thereto, Royal Bank of Canada, as</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7"/>
              </w:rPr>
              <w:t>Resigning Administrative Agent, JPMorgan Chase Bank, N.A., as</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Successor Administrative Agent, and the lenders party thereto.</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10.3.5</w:t>
            </w:r>
          </w:p>
        </w:tc>
        <w:tc>
          <w:tcPr>
            <w:tcW w:w="5220" w:type="dxa"/>
            <w:vAlign w:val="bottom"/>
          </w:tcPr>
          <w:p>
            <w:pPr>
              <w:ind w:left="140"/>
              <w:spacing w:after="0"/>
              <w:rPr>
                <w:sz w:val="20"/>
                <w:szCs w:val="20"/>
                <w:color w:val="auto"/>
              </w:rPr>
            </w:pPr>
            <w:r>
              <w:rPr>
                <w:rFonts w:ascii="Arial" w:cs="Arial" w:eastAsia="Arial" w:hAnsi="Arial"/>
                <w:sz w:val="18"/>
                <w:szCs w:val="18"/>
                <w:color w:val="auto"/>
                <w:w w:val="88"/>
              </w:rPr>
              <w:t>Fourth Amendment to Amended and Restated Credit Agreement, dated</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1"/>
              </w:rPr>
              <w:t>as of November 30, 2018, by and among Clearway Energy Operating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LLC, Clearway Energy LLC, the guarantors party thereto, JPMorgan</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7"/>
              </w:rPr>
              <w:t>Chase Bank, N.A., as administrative agent, and the lenders party</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thereto.</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10.3.6</w:t>
            </w:r>
          </w:p>
        </w:tc>
        <w:tc>
          <w:tcPr>
            <w:tcW w:w="5220" w:type="dxa"/>
            <w:vAlign w:val="bottom"/>
          </w:tcPr>
          <w:p>
            <w:pPr>
              <w:ind w:left="140"/>
              <w:spacing w:after="0"/>
              <w:rPr>
                <w:sz w:val="20"/>
                <w:szCs w:val="20"/>
                <w:color w:val="auto"/>
              </w:rPr>
            </w:pPr>
            <w:r>
              <w:rPr>
                <w:rFonts w:ascii="Arial" w:cs="Arial" w:eastAsia="Arial" w:hAnsi="Arial"/>
                <w:sz w:val="18"/>
                <w:szCs w:val="18"/>
                <w:color w:val="auto"/>
                <w:w w:val="91"/>
              </w:rPr>
              <w:t>Fifth Amendment to Amended and Restated Credit Agreement, dated</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1"/>
              </w:rPr>
              <w:t>as of December 20, 2019, by and among Clearway Energy Operating</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LLC, Clearway Energy LLC, the guarantors party thereto, JPMorgan</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7"/>
              </w:rPr>
              <w:t>Chase Bank, N.A., as administrative agent, and the lenders party</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thereto.</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10.3.7</w:t>
            </w:r>
          </w:p>
        </w:tc>
        <w:tc>
          <w:tcPr>
            <w:tcW w:w="5220" w:type="dxa"/>
            <w:vAlign w:val="bottom"/>
          </w:tcPr>
          <w:p>
            <w:pPr>
              <w:ind w:left="140"/>
              <w:spacing w:after="0"/>
              <w:rPr>
                <w:sz w:val="20"/>
                <w:szCs w:val="20"/>
                <w:color w:val="auto"/>
              </w:rPr>
            </w:pPr>
            <w:r>
              <w:rPr>
                <w:rFonts w:ascii="Arial" w:cs="Arial" w:eastAsia="Arial" w:hAnsi="Arial"/>
                <w:sz w:val="18"/>
                <w:szCs w:val="18"/>
                <w:color w:val="auto"/>
                <w:w w:val="93"/>
              </w:rPr>
              <w:t>Sixth  Amendment  to  Amended  and  Restated  Credit  Agreement,</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effective as of November 30, 2021, by and among Clearway Energy</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Operating LLC, Clearway Energy LLC, the guarantors party thereto,</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0"/>
              </w:rPr>
              <w:t>JPMorgan Chase Bank, N.A., as administrative agent, and the lenders</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party thereto.</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10.3.8</w:t>
            </w:r>
          </w:p>
        </w:tc>
        <w:tc>
          <w:tcPr>
            <w:tcW w:w="5220" w:type="dxa"/>
            <w:vAlign w:val="bottom"/>
          </w:tcPr>
          <w:p>
            <w:pPr>
              <w:ind w:left="140"/>
              <w:spacing w:after="0"/>
              <w:rPr>
                <w:sz w:val="20"/>
                <w:szCs w:val="20"/>
                <w:color w:val="auto"/>
              </w:rPr>
            </w:pPr>
            <w:r>
              <w:rPr>
                <w:rFonts w:ascii="Arial" w:cs="Arial" w:eastAsia="Arial" w:hAnsi="Arial"/>
                <w:sz w:val="18"/>
                <w:szCs w:val="18"/>
                <w:color w:val="auto"/>
                <w:w w:val="94"/>
              </w:rPr>
              <w:t>Seventh Amendment to Amended and Restated Credit Agreement,</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entered into as of August 15, 2022, by and among Clearway Energy</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Operating LLC, Clearway Energy LLC, the guarantors party thereto,</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0"/>
              </w:rPr>
              <w:t>JPMorgan Chase Bank, N.A., as administrative agent, and the lenders</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party thereto.</w:t>
            </w:r>
          </w:p>
        </w:tc>
      </w:t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10.3.9</w:t>
            </w:r>
          </w:p>
        </w:tc>
        <w:tc>
          <w:tcPr>
            <w:tcW w:w="5220" w:type="dxa"/>
            <w:vAlign w:val="bottom"/>
          </w:tcPr>
          <w:p>
            <w:pPr>
              <w:ind w:left="140"/>
              <w:spacing w:after="0"/>
              <w:rPr>
                <w:sz w:val="20"/>
                <w:szCs w:val="20"/>
                <w:color w:val="auto"/>
              </w:rPr>
            </w:pPr>
            <w:r>
              <w:rPr>
                <w:rFonts w:ascii="Arial" w:cs="Arial" w:eastAsia="Arial" w:hAnsi="Arial"/>
                <w:sz w:val="18"/>
                <w:szCs w:val="18"/>
                <w:color w:val="auto"/>
                <w:w w:val="97"/>
              </w:rPr>
              <w:t>Eighth Amendment to Amended and Restated Credit Agreement,</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4"/>
              </w:rPr>
              <w:t>entered into as of March 15, 2023, by and among Clearway Energy</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3"/>
              </w:rPr>
              <w:t>Operating LLC, Clearway Energy LLC, the guarantors party thereto,</w:t>
            </w:r>
          </w:p>
        </w:tc>
      </w:tr>
      <w:tr>
        <w:trPr>
          <w:trHeight w:val="176"/>
        </w:trPr>
        <w:tc>
          <w:tcPr>
            <w:tcW w:w="760" w:type="dxa"/>
            <w:vAlign w:val="bottom"/>
          </w:tcPr>
          <w:p>
            <w:pPr>
              <w:spacing w:after="0"/>
              <w:rPr>
                <w:sz w:val="15"/>
                <w:szCs w:val="15"/>
                <w:color w:val="auto"/>
              </w:rPr>
            </w:pPr>
          </w:p>
        </w:tc>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w w:val="90"/>
              </w:rPr>
              <w:t>JPMorgan Chase Bank, N.A., as administrative agent, and the lenders</w:t>
            </w:r>
          </w:p>
        </w:tc>
      </w:tr>
      <w:tr>
        <w:trPr>
          <w:trHeight w:val="229"/>
        </w:trPr>
        <w:tc>
          <w:tcPr>
            <w:tcW w:w="760" w:type="dxa"/>
            <w:vAlign w:val="bottom"/>
          </w:tcPr>
          <w:p>
            <w:pPr>
              <w:spacing w:after="0"/>
              <w:rPr>
                <w:sz w:val="19"/>
                <w:szCs w:val="19"/>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party thereto.</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Method of Filing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10.4 to the Company’s Current Report on Form 8-K filed on September 5, 2018.</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10.10 to the Company’s Annual Report on Form 10-K filed on February 28, 2019.</w:t>
      </w:r>
    </w:p>
    <w:p>
      <w:pPr>
        <w:spacing w:after="0" w:line="5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April 28, 2014.</w:t>
      </w:r>
    </w:p>
    <w:p>
      <w:pPr>
        <w:spacing w:after="0" w:line="200" w:lineRule="exact"/>
        <w:rPr>
          <w:sz w:val="20"/>
          <w:szCs w:val="20"/>
          <w:color w:val="auto"/>
        </w:rPr>
      </w:pPr>
    </w:p>
    <w:p>
      <w:pPr>
        <w:spacing w:after="0" w:line="33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10.9 to the Company’s Quarterly Report on Form 10-Q filed on August 4, 2015.</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February 12, 2018.</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Quarterly Report on Form 10-Q filed on May 3, 2018.</w:t>
      </w:r>
    </w:p>
    <w:p>
      <w:pPr>
        <w:spacing w:after="0" w:line="200" w:lineRule="exact"/>
        <w:rPr>
          <w:sz w:val="20"/>
          <w:szCs w:val="20"/>
          <w:color w:val="auto"/>
        </w:rPr>
      </w:pPr>
    </w:p>
    <w:p>
      <w:pPr>
        <w:spacing w:after="0" w:line="38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6, 2018.</w:t>
      </w:r>
    </w:p>
    <w:p>
      <w:pPr>
        <w:spacing w:after="0" w:line="200" w:lineRule="exact"/>
        <w:rPr>
          <w:sz w:val="20"/>
          <w:szCs w:val="20"/>
          <w:color w:val="auto"/>
        </w:rPr>
      </w:pPr>
    </w:p>
    <w:p>
      <w:pPr>
        <w:spacing w:after="0" w:line="20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23, 2019.</w:t>
      </w:r>
    </w:p>
    <w:p>
      <w:pPr>
        <w:spacing w:after="0" w:line="200" w:lineRule="exact"/>
        <w:rPr>
          <w:sz w:val="20"/>
          <w:szCs w:val="20"/>
          <w:color w:val="auto"/>
        </w:rPr>
      </w:pPr>
    </w:p>
    <w:p>
      <w:pPr>
        <w:spacing w:after="0" w:line="20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1, 2021.</w:t>
      </w:r>
    </w:p>
    <w:p>
      <w:pPr>
        <w:spacing w:after="0" w:line="3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August 19, 2022.</w:t>
      </w:r>
    </w:p>
    <w:p>
      <w:pPr>
        <w:spacing w:after="0" w:line="36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March 20, 2023.</w:t>
      </w:r>
    </w:p>
    <w:p>
      <w:pPr>
        <w:spacing w:after="0" w:line="555" w:lineRule="exact"/>
        <w:rPr>
          <w:sz w:val="20"/>
          <w:szCs w:val="20"/>
          <w:color w:val="auto"/>
        </w:rPr>
      </w:pPr>
    </w:p>
    <w:p>
      <w:pPr>
        <w:sectPr>
          <w:pgSz w:w="11880" w:h="15480" w:orient="portrait"/>
          <w:cols w:equalWidth="0" w:num="2">
            <w:col w:w="5980" w:space="180"/>
            <w:col w:w="3760"/>
          </w:cols>
          <w:pgMar w:left="980" w:top="659" w:right="980" w:bottom="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ectPr>
          <w:pgSz w:w="11880" w:h="15480" w:orient="portrait"/>
          <w:cols w:equalWidth="0" w:num="1">
            <w:col w:w="9920"/>
          </w:cols>
          <w:pgMar w:left="980" w:top="659" w:right="980" w:bottom="0" w:gutter="0" w:footer="0" w:header="0"/>
          <w:type w:val="continuous"/>
        </w:sectPr>
      </w:pPr>
    </w:p>
    <w:bookmarkStart w:id="148" w:name="page149"/>
    <w:bookmarkEnd w:id="148"/>
    <w:p>
      <w:pPr>
        <w:spacing w:after="0"/>
        <w:tabs>
          <w:tab w:leader="none" w:pos="880" w:val="left"/>
        </w:tabs>
        <w:rPr>
          <w:sz w:val="20"/>
          <w:szCs w:val="20"/>
          <w:color w:val="auto"/>
        </w:rPr>
      </w:pPr>
      <w:r>
        <w:rPr>
          <w:rFonts w:ascii="Arial" w:cs="Arial" w:eastAsia="Arial" w:hAnsi="Arial"/>
          <w:sz w:val="18"/>
          <w:szCs w:val="18"/>
          <w:b w:val="1"/>
          <w:bCs w:val="1"/>
          <w:color w:val="auto"/>
        </w:rPr>
        <w:t>Number</w:t>
        <w:tab/>
        <w:t>Description</w:t>
      </w:r>
    </w:p>
    <w:p>
      <w:pPr>
        <w:spacing w:after="0" w:line="77" w:lineRule="exact"/>
        <w:rPr>
          <w:sz w:val="20"/>
          <w:szCs w:val="20"/>
          <w:color w:val="auto"/>
        </w:rPr>
      </w:pPr>
    </w:p>
    <w:p>
      <w:pPr>
        <w:jc w:val="both"/>
        <w:ind w:left="900" w:hanging="896"/>
        <w:spacing w:after="0" w:line="235" w:lineRule="auto"/>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Clearway Energy, Inc. 2013 Equity Incentive Plan Restricted Stock Unit Agreement for Officers.</w:t>
      </w:r>
    </w:p>
    <w:p>
      <w:pPr>
        <w:spacing w:after="0" w:line="227" w:lineRule="exact"/>
        <w:rPr>
          <w:sz w:val="20"/>
          <w:szCs w:val="20"/>
          <w:color w:val="auto"/>
        </w:rPr>
      </w:pPr>
    </w:p>
    <w:p>
      <w:pPr>
        <w:jc w:val="both"/>
        <w:ind w:left="900" w:hanging="896"/>
        <w:spacing w:after="0" w:line="235" w:lineRule="auto"/>
        <w:tabs>
          <w:tab w:leader="none" w:pos="8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Clearway Energy, Inc. 2013 Equity Incentive Plan Restricted Stock Unit Agreement for Non-officers.</w:t>
      </w:r>
    </w:p>
    <w:p>
      <w:pPr>
        <w:spacing w:after="0" w:line="227" w:lineRule="exact"/>
        <w:rPr>
          <w:sz w:val="20"/>
          <w:szCs w:val="20"/>
          <w:color w:val="auto"/>
        </w:rPr>
      </w:pPr>
    </w:p>
    <w:p>
      <w:pPr>
        <w:jc w:val="both"/>
        <w:ind w:left="900" w:hanging="896"/>
        <w:spacing w:after="0" w:line="235" w:lineRule="auto"/>
        <w:tabs>
          <w:tab w:leader="none" w:pos="8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Clearway Energy, Inc. 2013 Equity Incentive Plan Relative Performance Stock Unit Agreement.</w:t>
      </w:r>
    </w:p>
    <w:p>
      <w:pPr>
        <w:spacing w:after="0" w:line="227" w:lineRule="exact"/>
        <w:rPr>
          <w:sz w:val="20"/>
          <w:szCs w:val="20"/>
          <w:color w:val="auto"/>
        </w:rPr>
      </w:pPr>
    </w:p>
    <w:p>
      <w:pPr>
        <w:jc w:val="both"/>
        <w:ind w:left="900" w:hanging="896"/>
        <w:spacing w:after="0" w:line="216" w:lineRule="auto"/>
        <w:tabs>
          <w:tab w:leader="none" w:pos="8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Consent and Indemnity Agreement, dated as of February 6, 2018, by and among NRG Energy, Inc., NRG Repowering Holdings LLC, NRG Yield, Inc., and GIP III Zephyr Acquisition Partners, L.P., and NRG Yield Operating LLC (solely with respect to Sections E.5, E.6 and G.12).</w:t>
      </w:r>
    </w:p>
    <w:p>
      <w:pPr>
        <w:spacing w:after="0" w:line="53"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Amended and Restated Registration Rights Agreement, dated as of May 14, 2015, by and between NRG Energy, Inc. and NRG Yield, Inc. and, pursuant to a joinder thereto, dated as of August 31, 2018, Zephyr Renewables LLC.</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Purchase and Sale Agreement, dated as of August 20, 2021, by and between Dominion Solar Projects III, Inc. and Utah Solar Holdings II LLC.</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Membership Interest Purchase Agreement, dated as of October 22, 2021, by and between Clearway Energy Operating LLC and KKR Thor Bidco, LLC.</w:t>
      </w:r>
    </w:p>
    <w:p>
      <w:pPr>
        <w:spacing w:after="0" w:line="53" w:lineRule="exact"/>
        <w:rPr>
          <w:sz w:val="20"/>
          <w:szCs w:val="20"/>
          <w:color w:val="auto"/>
        </w:rPr>
      </w:pPr>
    </w:p>
    <w:p>
      <w:pPr>
        <w:jc w:val="both"/>
        <w:ind w:left="900" w:hanging="896"/>
        <w:spacing w:after="0" w:line="271" w:lineRule="auto"/>
        <w:tabs>
          <w:tab w:leader="none" w:pos="8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Senior Secured Bridge Credit Agreement, dated as of November 30, 2021, by and among Clearway Energy Operating LLC, Clearway Energy LLC, the guarantors party thereto, Bank of America, N.A., as administrative agent, and the lenders party thereto.</w:t>
      </w:r>
    </w:p>
    <w:p>
      <w:pPr>
        <w:spacing w:after="0" w:line="29" w:lineRule="exact"/>
        <w:rPr>
          <w:sz w:val="20"/>
          <w:szCs w:val="20"/>
          <w:color w:val="auto"/>
        </w:rPr>
      </w:pPr>
    </w:p>
    <w:p>
      <w:pPr>
        <w:jc w:val="both"/>
        <w:ind w:left="900" w:hanging="896"/>
        <w:spacing w:after="0" w:line="284" w:lineRule="auto"/>
        <w:tabs>
          <w:tab w:leader="none" w:pos="8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First Amendment to Membership Interest Purchase Agreement, dated as of December 17, 2021, by and among Lighthouse Renewable Class A LLC, Clearway Renew LLC and Clearway Energy Operating LLC.</w:t>
      </w:r>
    </w:p>
    <w:p>
      <w:pPr>
        <w:spacing w:after="0" w:line="20"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First Amendment to Membership Interest Purchase Agreement, dated as of December 29, 2021, by and among Lighthouse Renewable Class A LLC and Clearway Renew LLC.</w:t>
      </w:r>
    </w:p>
    <w:p>
      <w:pPr>
        <w:spacing w:after="0" w:line="53" w:lineRule="exact"/>
        <w:rPr>
          <w:sz w:val="20"/>
          <w:szCs w:val="20"/>
          <w:color w:val="auto"/>
        </w:rPr>
      </w:pPr>
    </w:p>
    <w:p>
      <w:pPr>
        <w:jc w:val="both"/>
        <w:ind w:left="900" w:hanging="896"/>
        <w:spacing w:after="0" w:line="235" w:lineRule="auto"/>
        <w:tabs>
          <w:tab w:leader="none" w:pos="8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Clearway Energy, Inc. Involuntary Severance Plan, effective as of January 1, 2022.</w:t>
      </w:r>
    </w:p>
    <w:p>
      <w:pPr>
        <w:spacing w:after="0" w:line="227" w:lineRule="exact"/>
        <w:rPr>
          <w:sz w:val="20"/>
          <w:szCs w:val="20"/>
          <w:color w:val="auto"/>
        </w:rPr>
      </w:pPr>
    </w:p>
    <w:p>
      <w:pPr>
        <w:jc w:val="both"/>
        <w:ind w:left="900" w:hanging="896"/>
        <w:spacing w:after="0" w:line="235" w:lineRule="auto"/>
        <w:tabs>
          <w:tab w:leader="none" w:pos="8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Clearway Energy, Inc. Key Management Change-in-Control and General Severance Plan, effective as of January 1, 2022.</w:t>
      </w:r>
    </w:p>
    <w:p>
      <w:pPr>
        <w:spacing w:after="0" w:line="227" w:lineRule="exact"/>
        <w:rPr>
          <w:sz w:val="20"/>
          <w:szCs w:val="20"/>
          <w:color w:val="auto"/>
        </w:rPr>
      </w:pPr>
    </w:p>
    <w:p>
      <w:pPr>
        <w:jc w:val="both"/>
        <w:ind w:left="900" w:hanging="896"/>
        <w:spacing w:after="0" w:line="235" w:lineRule="auto"/>
        <w:tabs>
          <w:tab w:leader="none" w:pos="8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Clearway Energy, Inc. Executive Change-in-Control and General Severance Plan, effective as of January 1, 2022.</w:t>
      </w:r>
    </w:p>
    <w:p>
      <w:pPr>
        <w:spacing w:after="0" w:line="227"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Membership Interest Purchase Agreement, dated as of December 23, 2022, by and between VP-Arica CE Seller LLC and VP-Arica Parent Holdco LLC.</w:t>
      </w:r>
    </w:p>
    <w:p>
      <w:pPr>
        <w:spacing w:after="0" w:line="53" w:lineRule="exact"/>
        <w:rPr>
          <w:sz w:val="20"/>
          <w:szCs w:val="20"/>
          <w:color w:val="auto"/>
        </w:rPr>
      </w:pPr>
    </w:p>
    <w:p>
      <w:pPr>
        <w:jc w:val="both"/>
        <w:ind w:left="900" w:hanging="896"/>
        <w:spacing w:after="0" w:line="224" w:lineRule="auto"/>
        <w:tabs>
          <w:tab w:leader="none" w:pos="8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Membership Interest Purchase Agreement, dated as of May 19, 2023, by and between Renew Development HoldCo LLC and Cedar Creek Wind Holdco LLC.</w:t>
      </w:r>
    </w:p>
    <w:p>
      <w:pPr>
        <w:spacing w:after="0" w:line="53" w:lineRule="exact"/>
        <w:rPr>
          <w:sz w:val="20"/>
          <w:szCs w:val="20"/>
          <w:color w:val="auto"/>
        </w:rPr>
      </w:pPr>
    </w:p>
    <w:p>
      <w:pPr>
        <w:jc w:val="both"/>
        <w:ind w:left="900" w:hanging="896"/>
        <w:spacing w:after="0" w:line="324" w:lineRule="auto"/>
        <w:tabs>
          <w:tab w:leader="none" w:pos="8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Clearway Energy, Inc. Amended and Restated 2013 Equity Incentive Plan, as amended and restated effective January 1, 2024.</w:t>
      </w:r>
    </w:p>
    <w:p>
      <w:pPr>
        <w:spacing w:after="0" w:line="166" w:lineRule="exact"/>
        <w:rPr>
          <w:sz w:val="20"/>
          <w:szCs w:val="20"/>
          <w:color w:val="auto"/>
        </w:rPr>
      </w:pPr>
    </w:p>
    <w:p>
      <w:pPr>
        <w:jc w:val="both"/>
        <w:ind w:left="900" w:hanging="896"/>
        <w:spacing w:after="0" w:line="235" w:lineRule="auto"/>
        <w:tabs>
          <w:tab w:leader="none" w:pos="8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Clearway Energy, Inc. Annual Incentive Plan, as amended and restated effective January 1, 2024.</w:t>
      </w:r>
    </w:p>
    <w:p>
      <w:pPr>
        <w:spacing w:after="0" w:line="227" w:lineRule="exact"/>
        <w:rPr>
          <w:sz w:val="20"/>
          <w:szCs w:val="20"/>
          <w:color w:val="auto"/>
        </w:rPr>
      </w:pPr>
    </w:p>
    <w:p>
      <w:pPr>
        <w:jc w:val="both"/>
        <w:ind w:left="900" w:hanging="896"/>
        <w:spacing w:after="0" w:line="324" w:lineRule="auto"/>
        <w:tabs>
          <w:tab w:leader="none" w:pos="8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Separation Agreement and General Release, dated as of April 30, 2024, by and between Clearway Energy, Inc. and Christopher Sotos.</w:t>
      </w:r>
    </w:p>
    <w:p>
      <w:pPr>
        <w:spacing w:after="0" w:line="166" w:lineRule="exact"/>
        <w:rPr>
          <w:sz w:val="20"/>
          <w:szCs w:val="20"/>
          <w:color w:val="auto"/>
        </w:rPr>
      </w:pPr>
    </w:p>
    <w:p>
      <w:pPr>
        <w:jc w:val="both"/>
        <w:ind w:left="900" w:hanging="896"/>
        <w:spacing w:after="0" w:line="219" w:lineRule="auto"/>
        <w:tabs>
          <w:tab w:leader="none" w:pos="8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Amended and Restated Employment Agreement, dated as of April 30, 2024, by and between Clearway Energy Group LLC, Clearway Energy, Inc., GIP III Zephyr Management Partners, L.P., GIP III Zephyr Midco Holdings, L.P. and Craig Cornelius.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Method of Filing</w:t>
      </w:r>
    </w:p>
    <w:p>
      <w:pPr>
        <w:spacing w:after="0" w:line="7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10.22 to the Company’s Annual Report on Form 10-K filed on February 28, 2019.</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10.23 to the Company’s Annual Report on Form 10-K filed on February 28, 2019.</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10.24 to the Company’s Annual Report on Form 10-K filed on February 28, 2019.</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10.34 to the Company’s Annual Report on Form 10-K, filed on March 1, 2018.</w:t>
      </w:r>
    </w:p>
    <w:p>
      <w:pPr>
        <w:spacing w:after="0" w:line="200" w:lineRule="exact"/>
        <w:rPr>
          <w:sz w:val="20"/>
          <w:szCs w:val="20"/>
          <w:color w:val="auto"/>
        </w:rPr>
      </w:pPr>
    </w:p>
    <w:p>
      <w:pPr>
        <w:spacing w:after="0" w:line="20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May 15, 2015.</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August 23, 2021.</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October 26, 2021.</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December 1, 2021.</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January 18, 2022.</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January 18, 2022.</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10.5 to the Company’s Quarterly Report on Form 10-Q filed on May 5, 2022.</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10.6 to the Company’s Quarterly Report on Form 10-Q filed on May 5, 2022.</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10.7 to the Company’s Quarterly Report on Form 10-Q filed on May 5, 2022.</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29, 2022.</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May 24, 2023.</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10.33 to the Company’s Annual Report on Form 10-K filed on February 22, 2024.</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10.34 to the Company’s Annual Report on Form 10-K filed on February 22, 2024.</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April 30, 2024.</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April 30, 2024.</w:t>
      </w:r>
    </w:p>
    <w:p>
      <w:pPr>
        <w:spacing w:after="0" w:line="375" w:lineRule="exact"/>
        <w:rPr>
          <w:sz w:val="20"/>
          <w:szCs w:val="20"/>
          <w:color w:val="auto"/>
        </w:rPr>
      </w:pPr>
    </w:p>
    <w:p>
      <w:pPr>
        <w:sectPr>
          <w:pgSz w:w="11880" w:h="15480" w:orient="portrait"/>
          <w:cols w:equalWidth="0" w:num="2">
            <w:col w:w="5980" w:space="180"/>
            <w:col w:w="3760"/>
          </w:cols>
          <w:pgMar w:left="980" w:top="6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880" w:h="15480" w:orient="portrait"/>
          <w:cols w:equalWidth="0" w:num="1">
            <w:col w:w="9920"/>
          </w:cols>
          <w:pgMar w:left="980" w:top="659" w:right="980" w:bottom="0" w:gutter="0" w:footer="0" w:header="0"/>
          <w:type w:val="continuous"/>
        </w:sectPr>
      </w:pPr>
    </w:p>
    <w:bookmarkStart w:id="149" w:name="page150"/>
    <w:bookmarkEnd w:id="149"/>
    <w:p>
      <w:pPr>
        <w:ind w:left="1"/>
        <w:spacing w:after="0"/>
        <w:tabs>
          <w:tab w:leader="none" w:pos="881" w:val="left"/>
          <w:tab w:leader="none" w:pos="6141" w:val="left"/>
        </w:tabs>
        <w:rPr>
          <w:sz w:val="20"/>
          <w:szCs w:val="20"/>
          <w:color w:val="auto"/>
        </w:rPr>
      </w:pPr>
      <w:r>
        <w:rPr>
          <w:rFonts w:ascii="Arial" w:cs="Arial" w:eastAsia="Arial" w:hAnsi="Arial"/>
          <w:sz w:val="18"/>
          <w:szCs w:val="18"/>
          <w:b w:val="1"/>
          <w:bCs w:val="1"/>
          <w:color w:val="auto"/>
        </w:rPr>
        <w:t>Number</w:t>
        <w:tab/>
        <w:t>Description</w:t>
      </w:r>
      <w:r>
        <w:rPr>
          <w:sz w:val="20"/>
          <w:szCs w:val="20"/>
          <w:color w:val="auto"/>
        </w:rPr>
        <w:tab/>
      </w:r>
      <w:r>
        <w:rPr>
          <w:rFonts w:ascii="Arial" w:cs="Arial" w:eastAsia="Arial" w:hAnsi="Arial"/>
          <w:sz w:val="15"/>
          <w:szCs w:val="15"/>
          <w:b w:val="1"/>
          <w:bCs w:val="1"/>
          <w:color w:val="auto"/>
        </w:rPr>
        <w:t>Method of Filing</w:t>
      </w:r>
    </w:p>
    <w:p>
      <w:pPr>
        <w:sectPr>
          <w:pgSz w:w="11880" w:h="15480" w:orient="portrait"/>
          <w:cols w:equalWidth="0" w:num="1">
            <w:col w:w="9921"/>
          </w:cols>
          <w:pgMar w:left="979" w:top="659" w:right="980" w:bottom="0" w:gutter="0" w:footer="0" w:header="0"/>
        </w:sectPr>
      </w:pPr>
    </w:p>
    <w:p>
      <w:pPr>
        <w:spacing w:after="0" w:line="77" w:lineRule="exact"/>
        <w:rPr>
          <w:sz w:val="20"/>
          <w:szCs w:val="20"/>
          <w:color w:val="auto"/>
        </w:rPr>
      </w:pPr>
    </w:p>
    <w:p>
      <w:pPr>
        <w:jc w:val="both"/>
        <w:ind w:left="901" w:hanging="896"/>
        <w:spacing w:after="0" w:line="216" w:lineRule="auto"/>
        <w:tabs>
          <w:tab w:leader="none" w:pos="881"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Third Amended and Restated Master Services Agreement and Payroll Sharing Agreement, dated as of February 13, 2025, by and among Clearway Energy, Inc., Clearway Energy Finance Inc., Clearway Energy LLC, Clearway Energy Operating LLC and Clearway Energy Group LLC.</w:t>
      </w:r>
    </w:p>
    <w:p>
      <w:pPr>
        <w:spacing w:after="0" w:line="53" w:lineRule="exact"/>
        <w:rPr>
          <w:sz w:val="20"/>
          <w:szCs w:val="20"/>
          <w:color w:val="auto"/>
        </w:rPr>
      </w:pPr>
    </w:p>
    <w:p>
      <w:pPr>
        <w:jc w:val="both"/>
        <w:ind w:left="901" w:hanging="896"/>
        <w:spacing w:after="0" w:line="235" w:lineRule="auto"/>
        <w:tabs>
          <w:tab w:leader="none" w:pos="881"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Consulting Agreement, dated as of June 20, 2024, by and between Clearway Energy, Inc. and Christopher Sotos.</w:t>
      </w:r>
    </w:p>
    <w:p>
      <w:pPr>
        <w:spacing w:after="0" w:line="227" w:lineRule="exact"/>
        <w:rPr>
          <w:sz w:val="20"/>
          <w:szCs w:val="20"/>
          <w:color w:val="auto"/>
        </w:rPr>
      </w:pPr>
    </w:p>
    <w:p>
      <w:pPr>
        <w:jc w:val="both"/>
        <w:ind w:left="901" w:hanging="896"/>
        <w:spacing w:after="0" w:line="224" w:lineRule="auto"/>
        <w:tabs>
          <w:tab w:leader="none" w:pos="881"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Membership Interest Purchase Agreement, dated as of June 27, 2024, by and between D1-LV CE Seller LLC and LV-Daggett Parent Holdco LLC.</w:t>
      </w:r>
    </w:p>
    <w:p>
      <w:pPr>
        <w:spacing w:after="0" w:line="53" w:lineRule="exact"/>
        <w:rPr>
          <w:sz w:val="20"/>
          <w:szCs w:val="20"/>
          <w:color w:val="auto"/>
        </w:rPr>
      </w:pPr>
    </w:p>
    <w:p>
      <w:pPr>
        <w:jc w:val="both"/>
        <w:ind w:left="901" w:hanging="896"/>
        <w:spacing w:after="0" w:line="224" w:lineRule="auto"/>
        <w:tabs>
          <w:tab w:leader="none" w:pos="881"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Second Amended and Restated Exchange Agreement, dated as of October 28, 2024, by and among Clearway Energy, Inc., Clearway Energy LLC and Clearway Energy Group LLC.</w:t>
      </w:r>
    </w:p>
    <w:p>
      <w:pPr>
        <w:spacing w:after="0" w:line="53" w:lineRule="exact"/>
        <w:rPr>
          <w:sz w:val="20"/>
          <w:szCs w:val="20"/>
          <w:color w:val="auto"/>
        </w:rPr>
      </w:pPr>
    </w:p>
    <w:p>
      <w:pPr>
        <w:jc w:val="both"/>
        <w:ind w:left="901" w:hanging="896"/>
        <w:spacing w:after="0" w:line="259" w:lineRule="auto"/>
        <w:tabs>
          <w:tab w:leader="none" w:pos="881"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5"/>
          <w:szCs w:val="15"/>
          <w:color w:val="auto"/>
        </w:rPr>
        <w:t>Equity Distribution Agreement, dated as of August 6, 2025, by and among Clearway Energy, Inc., Clearway Energy LLC, Morgan Stanley</w:t>
      </w:r>
    </w:p>
    <w:p>
      <w:pPr>
        <w:spacing w:after="0" w:line="1" w:lineRule="exact"/>
        <w:rPr>
          <w:sz w:val="20"/>
          <w:szCs w:val="20"/>
          <w:color w:val="auto"/>
        </w:rPr>
      </w:pPr>
    </w:p>
    <w:p>
      <w:pPr>
        <w:ind w:left="901" w:hanging="4"/>
        <w:spacing w:after="0" w:line="223" w:lineRule="auto"/>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 LLC, BofA Securities, Inc., Citigroup Global Markets Inc., J.P. Morgan Securities LLC and Wells Fargo Securities, LLC.</w:t>
      </w:r>
    </w:p>
    <w:p>
      <w:pPr>
        <w:spacing w:after="0" w:line="21"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10.28*^</w:t>
            </w:r>
          </w:p>
        </w:tc>
        <w:tc>
          <w:tcPr>
            <w:tcW w:w="5240" w:type="dxa"/>
            <w:vAlign w:val="bottom"/>
          </w:tcPr>
          <w:p>
            <w:pPr>
              <w:ind w:left="160"/>
              <w:spacing w:after="0"/>
              <w:rPr>
                <w:sz w:val="20"/>
                <w:szCs w:val="20"/>
                <w:color w:val="auto"/>
              </w:rPr>
            </w:pPr>
            <w:r>
              <w:rPr>
                <w:rFonts w:ascii="Arial" w:cs="Arial" w:eastAsia="Arial" w:hAnsi="Arial"/>
                <w:sz w:val="18"/>
                <w:szCs w:val="18"/>
                <w:color w:val="auto"/>
                <w:w w:val="93"/>
              </w:rPr>
              <w:t>Purchase and Sale Agreement, dated as of October 3, 2025, by and</w:t>
            </w:r>
          </w:p>
        </w:tc>
      </w:tr>
      <w:tr>
        <w:trPr>
          <w:trHeight w:val="176"/>
        </w:trPr>
        <w:tc>
          <w:tcPr>
            <w:tcW w:w="740" w:type="dxa"/>
            <w:vAlign w:val="bottom"/>
          </w:tcPr>
          <w:p>
            <w:pPr>
              <w:spacing w:after="0"/>
              <w:rPr>
                <w:sz w:val="15"/>
                <w:szCs w:val="15"/>
                <w:color w:val="auto"/>
              </w:rPr>
            </w:pPr>
          </w:p>
        </w:tc>
        <w:tc>
          <w:tcPr>
            <w:tcW w:w="5240" w:type="dxa"/>
            <w:vAlign w:val="bottom"/>
          </w:tcPr>
          <w:p>
            <w:pPr>
              <w:ind w:left="160"/>
              <w:spacing w:after="0" w:line="176" w:lineRule="exact"/>
              <w:rPr>
                <w:sz w:val="20"/>
                <w:szCs w:val="20"/>
                <w:color w:val="auto"/>
              </w:rPr>
            </w:pPr>
            <w:r>
              <w:rPr>
                <w:rFonts w:ascii="Arial" w:cs="Arial" w:eastAsia="Arial" w:hAnsi="Arial"/>
                <w:sz w:val="18"/>
                <w:szCs w:val="18"/>
                <w:color w:val="auto"/>
                <w:w w:val="98"/>
              </w:rPr>
              <w:t>among Cardinal Purchaser LLC, Deriva Energy, LLC, Symphony</w:t>
            </w:r>
          </w:p>
        </w:tc>
      </w:tr>
      <w:tr>
        <w:trPr>
          <w:trHeight w:val="229"/>
        </w:trPr>
        <w:tc>
          <w:tcPr>
            <w:tcW w:w="74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Breeze, LLC and Symphony Sun, LLC.</w:t>
            </w:r>
          </w:p>
        </w:tc>
      </w:tr>
      <w:tr>
        <w:trPr>
          <w:trHeight w:val="227"/>
        </w:trPr>
        <w:tc>
          <w:tcPr>
            <w:tcW w:w="740" w:type="dxa"/>
            <w:vAlign w:val="bottom"/>
          </w:tcPr>
          <w:p>
            <w:pPr>
              <w:spacing w:after="0"/>
              <w:rPr>
                <w:sz w:val="20"/>
                <w:szCs w:val="20"/>
                <w:color w:val="auto"/>
              </w:rPr>
            </w:pPr>
            <w:r>
              <w:rPr>
                <w:rFonts w:ascii="Arial" w:cs="Arial" w:eastAsia="Arial" w:hAnsi="Arial"/>
                <w:sz w:val="18"/>
                <w:szCs w:val="18"/>
                <w:color w:val="auto"/>
              </w:rPr>
              <w:t>10.29*^</w:t>
            </w:r>
          </w:p>
        </w:tc>
        <w:tc>
          <w:tcPr>
            <w:tcW w:w="5240" w:type="dxa"/>
            <w:vAlign w:val="bottom"/>
          </w:tcPr>
          <w:p>
            <w:pPr>
              <w:ind w:left="160"/>
              <w:spacing w:after="0"/>
              <w:rPr>
                <w:sz w:val="20"/>
                <w:szCs w:val="20"/>
                <w:color w:val="auto"/>
              </w:rPr>
            </w:pPr>
            <w:r>
              <w:rPr>
                <w:rFonts w:ascii="Arial" w:cs="Arial" w:eastAsia="Arial" w:hAnsi="Arial"/>
                <w:sz w:val="18"/>
                <w:szCs w:val="18"/>
                <w:color w:val="auto"/>
                <w:w w:val="93"/>
              </w:rPr>
              <w:t>Purchase and Sale Agreement, dated as of October 3, 2025, by and</w:t>
            </w:r>
          </w:p>
        </w:tc>
      </w:tr>
      <w:tr>
        <w:trPr>
          <w:trHeight w:val="176"/>
        </w:trPr>
        <w:tc>
          <w:tcPr>
            <w:tcW w:w="740" w:type="dxa"/>
            <w:vAlign w:val="bottom"/>
          </w:tcPr>
          <w:p>
            <w:pPr>
              <w:spacing w:after="0"/>
              <w:rPr>
                <w:sz w:val="15"/>
                <w:szCs w:val="15"/>
                <w:color w:val="auto"/>
              </w:rPr>
            </w:pPr>
          </w:p>
        </w:tc>
        <w:tc>
          <w:tcPr>
            <w:tcW w:w="5240" w:type="dxa"/>
            <w:vAlign w:val="bottom"/>
          </w:tcPr>
          <w:p>
            <w:pPr>
              <w:ind w:left="160"/>
              <w:spacing w:after="0" w:line="176" w:lineRule="exact"/>
              <w:rPr>
                <w:sz w:val="20"/>
                <w:szCs w:val="20"/>
                <w:color w:val="auto"/>
              </w:rPr>
            </w:pPr>
            <w:r>
              <w:rPr>
                <w:rFonts w:ascii="Arial" w:cs="Arial" w:eastAsia="Arial" w:hAnsi="Arial"/>
                <w:sz w:val="18"/>
                <w:szCs w:val="18"/>
                <w:color w:val="auto"/>
                <w:w w:val="94"/>
              </w:rPr>
              <w:t>among Cardinal JV Purchaser LLC, Fengate Cardinal Blocker LLC,</w:t>
            </w:r>
          </w:p>
        </w:tc>
      </w:tr>
      <w:tr>
        <w:trPr>
          <w:trHeight w:val="176"/>
        </w:trPr>
        <w:tc>
          <w:tcPr>
            <w:tcW w:w="740" w:type="dxa"/>
            <w:vAlign w:val="bottom"/>
          </w:tcPr>
          <w:p>
            <w:pPr>
              <w:spacing w:after="0"/>
              <w:rPr>
                <w:sz w:val="15"/>
                <w:szCs w:val="15"/>
                <w:color w:val="auto"/>
              </w:rPr>
            </w:pPr>
          </w:p>
        </w:tc>
        <w:tc>
          <w:tcPr>
            <w:tcW w:w="5240" w:type="dxa"/>
            <w:vAlign w:val="bottom"/>
          </w:tcPr>
          <w:p>
            <w:pPr>
              <w:ind w:left="160"/>
              <w:spacing w:after="0" w:line="176" w:lineRule="exact"/>
              <w:rPr>
                <w:sz w:val="20"/>
                <w:szCs w:val="20"/>
                <w:color w:val="auto"/>
              </w:rPr>
            </w:pPr>
            <w:r>
              <w:rPr>
                <w:rFonts w:ascii="Arial" w:cs="Arial" w:eastAsia="Arial" w:hAnsi="Arial"/>
                <w:sz w:val="18"/>
                <w:szCs w:val="18"/>
                <w:color w:val="auto"/>
              </w:rPr>
              <w:t>Fengate Yield (VCOC) UBTI Blocker LLC, Deriva Energy, LLC,</w:t>
            </w:r>
          </w:p>
        </w:tc>
      </w:tr>
      <w:tr>
        <w:trPr>
          <w:trHeight w:val="229"/>
        </w:trPr>
        <w:tc>
          <w:tcPr>
            <w:tcW w:w="74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Symphony Breeze, LLC and Symphony Sun, LLC.</w:t>
            </w:r>
          </w:p>
        </w:tc>
      </w:tr>
      <w:tr>
        <w:trPr>
          <w:trHeight w:val="227"/>
        </w:trPr>
        <w:tc>
          <w:tcPr>
            <w:tcW w:w="740" w:type="dxa"/>
            <w:vAlign w:val="bottom"/>
          </w:tcPr>
          <w:p>
            <w:pPr>
              <w:spacing w:after="0"/>
              <w:rPr>
                <w:sz w:val="20"/>
                <w:szCs w:val="20"/>
                <w:color w:val="auto"/>
              </w:rPr>
            </w:pPr>
            <w:r>
              <w:rPr>
                <w:rFonts w:ascii="Arial" w:cs="Arial" w:eastAsia="Arial" w:hAnsi="Arial"/>
                <w:sz w:val="18"/>
                <w:szCs w:val="18"/>
                <w:color w:val="auto"/>
              </w:rPr>
              <w:t>10.30*^</w:t>
            </w:r>
          </w:p>
        </w:tc>
        <w:tc>
          <w:tcPr>
            <w:tcW w:w="5240" w:type="dxa"/>
            <w:vAlign w:val="bottom"/>
          </w:tcPr>
          <w:p>
            <w:pPr>
              <w:ind w:left="160"/>
              <w:spacing w:after="0"/>
              <w:rPr>
                <w:sz w:val="20"/>
                <w:szCs w:val="20"/>
                <w:color w:val="auto"/>
              </w:rPr>
            </w:pPr>
            <w:r>
              <w:rPr>
                <w:rFonts w:ascii="Arial" w:cs="Arial" w:eastAsia="Arial" w:hAnsi="Arial"/>
                <w:sz w:val="18"/>
                <w:szCs w:val="18"/>
                <w:color w:val="auto"/>
                <w:w w:val="91"/>
              </w:rPr>
              <w:t>Membership Interest Purchase Agreement, dated as of November 24,</w:t>
            </w:r>
          </w:p>
        </w:tc>
      </w:tr>
      <w:tr>
        <w:trPr>
          <w:trHeight w:val="176"/>
        </w:trPr>
        <w:tc>
          <w:tcPr>
            <w:tcW w:w="740" w:type="dxa"/>
            <w:vAlign w:val="bottom"/>
          </w:tcPr>
          <w:p>
            <w:pPr>
              <w:spacing w:after="0"/>
              <w:rPr>
                <w:sz w:val="15"/>
                <w:szCs w:val="15"/>
                <w:color w:val="auto"/>
              </w:rPr>
            </w:pPr>
          </w:p>
        </w:tc>
        <w:tc>
          <w:tcPr>
            <w:tcW w:w="5240" w:type="dxa"/>
            <w:vAlign w:val="bottom"/>
          </w:tcPr>
          <w:p>
            <w:pPr>
              <w:ind w:left="160"/>
              <w:spacing w:after="0" w:line="176" w:lineRule="exact"/>
              <w:rPr>
                <w:sz w:val="20"/>
                <w:szCs w:val="20"/>
                <w:color w:val="auto"/>
              </w:rPr>
            </w:pPr>
            <w:r>
              <w:rPr>
                <w:rFonts w:ascii="Arial" w:cs="Arial" w:eastAsia="Arial" w:hAnsi="Arial"/>
                <w:sz w:val="18"/>
                <w:szCs w:val="18"/>
                <w:color w:val="auto"/>
                <w:w w:val="93"/>
              </w:rPr>
              <w:t>2025, by and between RS2-Spindle CE Seller LLC and RS2-Spindle</w:t>
            </w:r>
          </w:p>
        </w:tc>
      </w:tr>
      <w:tr>
        <w:trPr>
          <w:trHeight w:val="229"/>
        </w:trPr>
        <w:tc>
          <w:tcPr>
            <w:tcW w:w="74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Purchaser LLC.</w:t>
            </w:r>
          </w:p>
        </w:tc>
      </w:tr>
      <w:tr>
        <w:trPr>
          <w:trHeight w:val="279"/>
        </w:trPr>
        <w:tc>
          <w:tcPr>
            <w:tcW w:w="740" w:type="dxa"/>
            <w:vAlign w:val="bottom"/>
          </w:tcPr>
          <w:p>
            <w:pPr>
              <w:spacing w:after="0"/>
              <w:rPr>
                <w:sz w:val="20"/>
                <w:szCs w:val="20"/>
                <w:color w:val="auto"/>
              </w:rPr>
            </w:pPr>
            <w:r>
              <w:rPr>
                <w:rFonts w:ascii="Arial" w:cs="Arial" w:eastAsia="Arial" w:hAnsi="Arial"/>
                <w:sz w:val="18"/>
                <w:szCs w:val="18"/>
                <w:color w:val="auto"/>
              </w:rPr>
              <w:t>16.1</w:t>
            </w:r>
          </w:p>
        </w:tc>
        <w:tc>
          <w:tcPr>
            <w:tcW w:w="5240" w:type="dxa"/>
            <w:vAlign w:val="bottom"/>
          </w:tcPr>
          <w:p>
            <w:pPr>
              <w:ind w:left="160"/>
              <w:spacing w:after="0"/>
              <w:rPr>
                <w:sz w:val="20"/>
                <w:szCs w:val="20"/>
                <w:color w:val="auto"/>
              </w:rPr>
            </w:pPr>
            <w:r>
              <w:rPr>
                <w:rFonts w:ascii="Arial" w:cs="Arial" w:eastAsia="Arial" w:hAnsi="Arial"/>
                <w:sz w:val="18"/>
                <w:szCs w:val="18"/>
                <w:color w:val="auto"/>
              </w:rPr>
              <w:t>Letter from Ernst &amp; Young LLP, dated May 10, 2024.</w:t>
            </w:r>
          </w:p>
        </w:tc>
      </w:tr>
      <w:tr>
        <w:trPr>
          <w:trHeight w:val="632"/>
        </w:trPr>
        <w:tc>
          <w:tcPr>
            <w:tcW w:w="740" w:type="dxa"/>
            <w:vAlign w:val="bottom"/>
          </w:tcPr>
          <w:p>
            <w:pPr>
              <w:spacing w:after="0"/>
              <w:rPr>
                <w:sz w:val="20"/>
                <w:szCs w:val="20"/>
                <w:color w:val="auto"/>
              </w:rPr>
            </w:pPr>
            <w:r>
              <w:rPr>
                <w:rFonts w:ascii="Arial" w:cs="Arial" w:eastAsia="Arial" w:hAnsi="Arial"/>
                <w:sz w:val="18"/>
                <w:szCs w:val="18"/>
                <w:color w:val="auto"/>
              </w:rPr>
              <w:t>19.1</w:t>
            </w:r>
          </w:p>
        </w:tc>
        <w:tc>
          <w:tcPr>
            <w:tcW w:w="5240" w:type="dxa"/>
            <w:vAlign w:val="bottom"/>
          </w:tcPr>
          <w:p>
            <w:pPr>
              <w:ind w:left="160"/>
              <w:spacing w:after="0"/>
              <w:rPr>
                <w:sz w:val="20"/>
                <w:szCs w:val="20"/>
                <w:color w:val="auto"/>
              </w:rPr>
            </w:pPr>
            <w:r>
              <w:rPr>
                <w:rFonts w:ascii="Arial" w:cs="Arial" w:eastAsia="Arial" w:hAnsi="Arial"/>
                <w:sz w:val="18"/>
                <w:szCs w:val="18"/>
                <w:color w:val="auto"/>
                <w:w w:val="94"/>
              </w:rPr>
              <w:t>Clearway Energy, Inc. Securities Trading and Nondisclosure Policy.</w:t>
            </w:r>
          </w:p>
        </w:tc>
      </w:tr>
      <w:tr>
        <w:trPr>
          <w:trHeight w:val="632"/>
        </w:trPr>
        <w:tc>
          <w:tcPr>
            <w:tcW w:w="740" w:type="dxa"/>
            <w:vAlign w:val="bottom"/>
          </w:tcPr>
          <w:p>
            <w:pPr>
              <w:spacing w:after="0"/>
              <w:rPr>
                <w:sz w:val="20"/>
                <w:szCs w:val="20"/>
                <w:color w:val="auto"/>
              </w:rPr>
            </w:pPr>
            <w:r>
              <w:rPr>
                <w:rFonts w:ascii="Arial" w:cs="Arial" w:eastAsia="Arial" w:hAnsi="Arial"/>
                <w:sz w:val="18"/>
                <w:szCs w:val="18"/>
                <w:color w:val="auto"/>
              </w:rPr>
              <w:t>21.1</w:t>
            </w:r>
          </w:p>
        </w:tc>
        <w:tc>
          <w:tcPr>
            <w:tcW w:w="5240" w:type="dxa"/>
            <w:vAlign w:val="bottom"/>
          </w:tcPr>
          <w:p>
            <w:pPr>
              <w:ind w:left="160"/>
              <w:spacing w:after="0"/>
              <w:rPr>
                <w:sz w:val="20"/>
                <w:szCs w:val="20"/>
                <w:color w:val="auto"/>
              </w:rPr>
            </w:pPr>
            <w:r>
              <w:rPr>
                <w:rFonts w:ascii="Arial" w:cs="Arial" w:eastAsia="Arial" w:hAnsi="Arial"/>
                <w:sz w:val="18"/>
                <w:szCs w:val="18"/>
                <w:color w:val="auto"/>
              </w:rPr>
              <w:t>Subsidiaries of Clearway Energy, Inc.</w:t>
            </w:r>
          </w:p>
        </w:tc>
      </w:tr>
      <w:tr>
        <w:trPr>
          <w:trHeight w:val="279"/>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5240" w:type="dxa"/>
            <w:vAlign w:val="bottom"/>
          </w:tcPr>
          <w:p>
            <w:pPr>
              <w:ind w:left="160"/>
              <w:spacing w:after="0"/>
              <w:rPr>
                <w:sz w:val="20"/>
                <w:szCs w:val="20"/>
                <w:color w:val="auto"/>
              </w:rPr>
            </w:pPr>
            <w:r>
              <w:rPr>
                <w:rFonts w:ascii="Arial" w:cs="Arial" w:eastAsia="Arial" w:hAnsi="Arial"/>
                <w:sz w:val="18"/>
                <w:szCs w:val="18"/>
                <w:color w:val="auto"/>
              </w:rPr>
              <w:t>Consent of PricewaterhouseCoopers LLP.</w:t>
            </w:r>
          </w:p>
        </w:tc>
      </w:tr>
      <w:tr>
        <w:trPr>
          <w:trHeight w:val="279"/>
        </w:trPr>
        <w:tc>
          <w:tcPr>
            <w:tcW w:w="740" w:type="dxa"/>
            <w:vAlign w:val="bottom"/>
          </w:tcPr>
          <w:p>
            <w:pPr>
              <w:spacing w:after="0"/>
              <w:rPr>
                <w:sz w:val="20"/>
                <w:szCs w:val="20"/>
                <w:color w:val="auto"/>
              </w:rPr>
            </w:pPr>
            <w:r>
              <w:rPr>
                <w:rFonts w:ascii="Arial" w:cs="Arial" w:eastAsia="Arial" w:hAnsi="Arial"/>
                <w:sz w:val="18"/>
                <w:szCs w:val="18"/>
                <w:color w:val="auto"/>
              </w:rPr>
              <w:t>23.2</w:t>
            </w:r>
          </w:p>
        </w:tc>
        <w:tc>
          <w:tcPr>
            <w:tcW w:w="5240" w:type="dxa"/>
            <w:vAlign w:val="bottom"/>
          </w:tcPr>
          <w:p>
            <w:pPr>
              <w:ind w:left="160"/>
              <w:spacing w:after="0"/>
              <w:rPr>
                <w:sz w:val="20"/>
                <w:szCs w:val="20"/>
                <w:color w:val="auto"/>
              </w:rPr>
            </w:pPr>
            <w:r>
              <w:rPr>
                <w:rFonts w:ascii="Arial" w:cs="Arial" w:eastAsia="Arial" w:hAnsi="Arial"/>
                <w:sz w:val="18"/>
                <w:szCs w:val="18"/>
                <w:color w:val="auto"/>
              </w:rPr>
              <w:t>Consent of Ernst &amp; Young LLP.</w:t>
            </w:r>
          </w:p>
        </w:tc>
      </w:tr>
      <w:tr>
        <w:trPr>
          <w:trHeight w:val="279"/>
        </w:trPr>
        <w:tc>
          <w:tcPr>
            <w:tcW w:w="740" w:type="dxa"/>
            <w:vAlign w:val="bottom"/>
          </w:tcPr>
          <w:p>
            <w:pPr>
              <w:spacing w:after="0"/>
              <w:rPr>
                <w:sz w:val="20"/>
                <w:szCs w:val="20"/>
                <w:color w:val="auto"/>
              </w:rPr>
            </w:pPr>
            <w:r>
              <w:rPr>
                <w:rFonts w:ascii="Arial" w:cs="Arial" w:eastAsia="Arial" w:hAnsi="Arial"/>
                <w:sz w:val="18"/>
                <w:szCs w:val="18"/>
                <w:color w:val="auto"/>
              </w:rPr>
              <w:t>24.1</w:t>
            </w:r>
          </w:p>
        </w:tc>
        <w:tc>
          <w:tcPr>
            <w:tcW w:w="5240" w:type="dxa"/>
            <w:vAlign w:val="bottom"/>
          </w:tcPr>
          <w:p>
            <w:pPr>
              <w:ind w:left="160"/>
              <w:spacing w:after="0"/>
              <w:rPr>
                <w:sz w:val="20"/>
                <w:szCs w:val="20"/>
                <w:color w:val="auto"/>
              </w:rPr>
            </w:pPr>
            <w:r>
              <w:rPr>
                <w:rFonts w:ascii="Arial" w:cs="Arial" w:eastAsia="Arial" w:hAnsi="Arial"/>
                <w:sz w:val="18"/>
                <w:szCs w:val="18"/>
                <w:color w:val="auto"/>
              </w:rPr>
              <w:t>Power of Attorney</w:t>
            </w:r>
          </w:p>
        </w:tc>
      </w:tr>
      <w:tr>
        <w:trPr>
          <w:trHeight w:val="456"/>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5240" w:type="dxa"/>
            <w:vAlign w:val="bottom"/>
          </w:tcPr>
          <w:p>
            <w:pPr>
              <w:ind w:left="160"/>
              <w:spacing w:after="0"/>
              <w:rPr>
                <w:sz w:val="20"/>
                <w:szCs w:val="20"/>
                <w:color w:val="auto"/>
              </w:rPr>
            </w:pPr>
            <w:r>
              <w:rPr>
                <w:rFonts w:ascii="Arial" w:cs="Arial" w:eastAsia="Arial" w:hAnsi="Arial"/>
                <w:sz w:val="18"/>
                <w:szCs w:val="18"/>
                <w:color w:val="auto"/>
              </w:rPr>
              <w:t>Rule 13a-14(a)/15d-14(a) certification of Craig Cornelius.</w:t>
            </w:r>
          </w:p>
        </w:tc>
      </w:tr>
      <w:tr>
        <w:trPr>
          <w:trHeight w:val="279"/>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5240" w:type="dxa"/>
            <w:vAlign w:val="bottom"/>
          </w:tcPr>
          <w:p>
            <w:pPr>
              <w:ind w:left="160"/>
              <w:spacing w:after="0"/>
              <w:rPr>
                <w:sz w:val="20"/>
                <w:szCs w:val="20"/>
                <w:color w:val="auto"/>
              </w:rPr>
            </w:pPr>
            <w:r>
              <w:rPr>
                <w:rFonts w:ascii="Arial" w:cs="Arial" w:eastAsia="Arial" w:hAnsi="Arial"/>
                <w:sz w:val="18"/>
                <w:szCs w:val="18"/>
                <w:color w:val="auto"/>
              </w:rPr>
              <w:t>Rule 13a-14(a)/15d-14(a) certification of Sarah Rubenstein.</w:t>
            </w:r>
          </w:p>
        </w:tc>
      </w:tr>
      <w:tr>
        <w:trPr>
          <w:trHeight w:val="279"/>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5240" w:type="dxa"/>
            <w:vAlign w:val="bottom"/>
          </w:tcPr>
          <w:p>
            <w:pPr>
              <w:ind w:left="160"/>
              <w:spacing w:after="0"/>
              <w:rPr>
                <w:sz w:val="20"/>
                <w:szCs w:val="20"/>
                <w:color w:val="auto"/>
              </w:rPr>
            </w:pPr>
            <w:r>
              <w:rPr>
                <w:rFonts w:ascii="Arial" w:cs="Arial" w:eastAsia="Arial" w:hAnsi="Arial"/>
                <w:sz w:val="18"/>
                <w:szCs w:val="18"/>
                <w:color w:val="auto"/>
              </w:rPr>
              <w:t>Section 1350 Certification.</w:t>
            </w:r>
          </w:p>
        </w:tc>
      </w:tr>
    </w:tbl>
    <w:p>
      <w:pPr>
        <w:spacing w:after="0" w:line="50" w:lineRule="exact"/>
        <w:rPr>
          <w:sz w:val="20"/>
          <w:szCs w:val="20"/>
          <w:color w:val="auto"/>
        </w:rPr>
      </w:pPr>
    </w:p>
    <w:p>
      <w:pPr>
        <w:ind w:left="901" w:hanging="901"/>
        <w:spacing w:after="0" w:line="235" w:lineRule="auto"/>
        <w:tabs>
          <w:tab w:leader="none" w:pos="901" w:val="left"/>
        </w:tabs>
        <w:numPr>
          <w:ilvl w:val="0"/>
          <w:numId w:val="84"/>
        </w:numPr>
        <w:rPr>
          <w:rFonts w:ascii="Arial" w:cs="Arial" w:eastAsia="Arial" w:hAnsi="Arial"/>
          <w:sz w:val="18"/>
          <w:szCs w:val="18"/>
          <w:color w:val="auto"/>
        </w:rPr>
      </w:pPr>
      <w:r>
        <w:rPr>
          <w:rFonts w:ascii="Arial" w:cs="Arial" w:eastAsia="Arial" w:hAnsi="Arial"/>
          <w:sz w:val="18"/>
          <w:szCs w:val="18"/>
          <w:color w:val="auto"/>
        </w:rPr>
        <w:t>Clearway Energy, Inc. Policy on Recoupment of Incentive Compensation.</w:t>
      </w:r>
    </w:p>
    <w:p>
      <w:pPr>
        <w:spacing w:after="0" w:line="227" w:lineRule="exact"/>
        <w:rPr>
          <w:sz w:val="20"/>
          <w:szCs w:val="20"/>
          <w:color w:val="auto"/>
        </w:rPr>
      </w:pPr>
    </w:p>
    <w:tbl>
      <w:tblPr>
        <w:tblLayout w:type="fixed"/>
        <w:tblInd w:w="1" w:type="dxa"/>
        <w:tblCellMar>
          <w:top w:w="0" w:type="dxa"/>
          <w:left w:w="0" w:type="dxa"/>
          <w:bottom w:w="0" w:type="dxa"/>
          <w:right w:w="0" w:type="dxa"/>
        </w:tblCellMar>
      </w:tblPr>
      <w:tr>
        <w:trPr>
          <w:trHeight w:val="229"/>
        </w:trPr>
        <w:tc>
          <w:tcPr>
            <w:tcW w:w="280" w:type="dxa"/>
            <w:vAlign w:val="bottom"/>
          </w:tcPr>
          <w:p>
            <w:pPr>
              <w:spacing w:after="0"/>
              <w:rPr>
                <w:sz w:val="20"/>
                <w:szCs w:val="20"/>
                <w:color w:val="auto"/>
              </w:rPr>
            </w:pPr>
            <w:r>
              <w:rPr>
                <w:rFonts w:ascii="Arial" w:cs="Arial" w:eastAsia="Arial" w:hAnsi="Arial"/>
                <w:sz w:val="18"/>
                <w:szCs w:val="18"/>
                <w:color w:val="auto"/>
                <w:w w:val="86"/>
              </w:rPr>
              <w:t>101</w:t>
            </w:r>
          </w:p>
        </w:tc>
        <w:tc>
          <w:tcPr>
            <w:tcW w:w="500" w:type="dxa"/>
            <w:vAlign w:val="bottom"/>
          </w:tcPr>
          <w:p>
            <w:pPr>
              <w:ind w:left="20"/>
              <w:spacing w:after="0"/>
              <w:rPr>
                <w:sz w:val="20"/>
                <w:szCs w:val="20"/>
                <w:color w:val="auto"/>
              </w:rPr>
            </w:pPr>
            <w:r>
              <w:rPr>
                <w:rFonts w:ascii="Arial" w:cs="Arial" w:eastAsia="Arial" w:hAnsi="Arial"/>
                <w:sz w:val="18"/>
                <w:szCs w:val="18"/>
                <w:color w:val="auto"/>
              </w:rPr>
              <w:t>INS</w:t>
            </w:r>
          </w:p>
        </w:tc>
        <w:tc>
          <w:tcPr>
            <w:tcW w:w="4260" w:type="dxa"/>
            <w:vAlign w:val="bottom"/>
          </w:tcPr>
          <w:p>
            <w:pPr>
              <w:ind w:left="120"/>
              <w:spacing w:after="0"/>
              <w:rPr>
                <w:sz w:val="20"/>
                <w:szCs w:val="20"/>
                <w:color w:val="auto"/>
              </w:rPr>
            </w:pPr>
            <w:r>
              <w:rPr>
                <w:rFonts w:ascii="Arial" w:cs="Arial" w:eastAsia="Arial" w:hAnsi="Arial"/>
                <w:sz w:val="18"/>
                <w:szCs w:val="18"/>
                <w:color w:val="auto"/>
              </w:rPr>
              <w:t>Inline XBRL Instance Document.</w:t>
            </w:r>
          </w:p>
        </w:tc>
      </w:tr>
      <w:tr>
        <w:trPr>
          <w:trHeight w:val="279"/>
        </w:trPr>
        <w:tc>
          <w:tcPr>
            <w:tcW w:w="780" w:type="dxa"/>
            <w:vAlign w:val="bottom"/>
            <w:gridSpan w:val="2"/>
          </w:tcPr>
          <w:p>
            <w:pPr>
              <w:spacing w:after="0"/>
              <w:rPr>
                <w:sz w:val="20"/>
                <w:szCs w:val="20"/>
                <w:color w:val="auto"/>
              </w:rPr>
            </w:pPr>
            <w:r>
              <w:rPr>
                <w:rFonts w:ascii="Arial" w:cs="Arial" w:eastAsia="Arial" w:hAnsi="Arial"/>
                <w:sz w:val="18"/>
                <w:szCs w:val="18"/>
                <w:color w:val="auto"/>
              </w:rPr>
              <w:t>101 SCH</w:t>
            </w:r>
          </w:p>
        </w:tc>
        <w:tc>
          <w:tcPr>
            <w:tcW w:w="4260" w:type="dxa"/>
            <w:vAlign w:val="bottom"/>
          </w:tcPr>
          <w:p>
            <w:pPr>
              <w:ind w:left="120"/>
              <w:spacing w:after="0"/>
              <w:rPr>
                <w:sz w:val="20"/>
                <w:szCs w:val="20"/>
                <w:color w:val="auto"/>
              </w:rPr>
            </w:pPr>
            <w:r>
              <w:rPr>
                <w:rFonts w:ascii="Arial" w:cs="Arial" w:eastAsia="Arial" w:hAnsi="Arial"/>
                <w:sz w:val="18"/>
                <w:szCs w:val="18"/>
                <w:color w:val="auto"/>
              </w:rPr>
              <w:t>Inline XBRL Taxonomy Extension Schema.</w:t>
            </w:r>
          </w:p>
        </w:tc>
      </w:tr>
      <w:tr>
        <w:trPr>
          <w:trHeight w:val="279"/>
        </w:trPr>
        <w:tc>
          <w:tcPr>
            <w:tcW w:w="280" w:type="dxa"/>
            <w:vAlign w:val="bottom"/>
          </w:tcPr>
          <w:p>
            <w:pPr>
              <w:spacing w:after="0"/>
              <w:rPr>
                <w:sz w:val="20"/>
                <w:szCs w:val="20"/>
                <w:color w:val="auto"/>
              </w:rPr>
            </w:pPr>
            <w:r>
              <w:rPr>
                <w:rFonts w:ascii="Arial" w:cs="Arial" w:eastAsia="Arial" w:hAnsi="Arial"/>
                <w:sz w:val="18"/>
                <w:szCs w:val="18"/>
                <w:color w:val="auto"/>
                <w:w w:val="86"/>
              </w:rPr>
              <w:t>101</w:t>
            </w:r>
          </w:p>
        </w:tc>
        <w:tc>
          <w:tcPr>
            <w:tcW w:w="500" w:type="dxa"/>
            <w:vAlign w:val="bottom"/>
          </w:tcPr>
          <w:p>
            <w:pPr>
              <w:ind w:left="20"/>
              <w:spacing w:after="0"/>
              <w:rPr>
                <w:sz w:val="20"/>
                <w:szCs w:val="20"/>
                <w:color w:val="auto"/>
              </w:rPr>
            </w:pPr>
            <w:r>
              <w:rPr>
                <w:rFonts w:ascii="Arial" w:cs="Arial" w:eastAsia="Arial" w:hAnsi="Arial"/>
                <w:sz w:val="18"/>
                <w:szCs w:val="18"/>
                <w:color w:val="auto"/>
              </w:rPr>
              <w:t>CAL</w:t>
            </w:r>
          </w:p>
        </w:tc>
        <w:tc>
          <w:tcPr>
            <w:tcW w:w="4260" w:type="dxa"/>
            <w:vAlign w:val="bottom"/>
          </w:tcPr>
          <w:p>
            <w:pPr>
              <w:ind w:left="120"/>
              <w:spacing w:after="0"/>
              <w:rPr>
                <w:sz w:val="20"/>
                <w:szCs w:val="20"/>
                <w:color w:val="auto"/>
              </w:rPr>
            </w:pPr>
            <w:r>
              <w:rPr>
                <w:rFonts w:ascii="Arial" w:cs="Arial" w:eastAsia="Arial" w:hAnsi="Arial"/>
                <w:sz w:val="18"/>
                <w:szCs w:val="18"/>
                <w:color w:val="auto"/>
                <w:w w:val="92"/>
              </w:rPr>
              <w:t>Inline XBRL Taxonomy Extension Calculation Linkbase.</w:t>
            </w:r>
          </w:p>
        </w:tc>
      </w:tr>
      <w:tr>
        <w:trPr>
          <w:trHeight w:val="279"/>
        </w:trPr>
        <w:tc>
          <w:tcPr>
            <w:tcW w:w="280" w:type="dxa"/>
            <w:vAlign w:val="bottom"/>
          </w:tcPr>
          <w:p>
            <w:pPr>
              <w:spacing w:after="0"/>
              <w:rPr>
                <w:sz w:val="20"/>
                <w:szCs w:val="20"/>
                <w:color w:val="auto"/>
              </w:rPr>
            </w:pPr>
            <w:r>
              <w:rPr>
                <w:rFonts w:ascii="Arial" w:cs="Arial" w:eastAsia="Arial" w:hAnsi="Arial"/>
                <w:sz w:val="18"/>
                <w:szCs w:val="18"/>
                <w:color w:val="auto"/>
                <w:w w:val="86"/>
              </w:rPr>
              <w:t>101</w:t>
            </w:r>
          </w:p>
        </w:tc>
        <w:tc>
          <w:tcPr>
            <w:tcW w:w="500" w:type="dxa"/>
            <w:vAlign w:val="bottom"/>
          </w:tcPr>
          <w:p>
            <w:pPr>
              <w:ind w:left="20"/>
              <w:spacing w:after="0"/>
              <w:rPr>
                <w:sz w:val="20"/>
                <w:szCs w:val="20"/>
                <w:color w:val="auto"/>
              </w:rPr>
            </w:pPr>
            <w:r>
              <w:rPr>
                <w:rFonts w:ascii="Arial" w:cs="Arial" w:eastAsia="Arial" w:hAnsi="Arial"/>
                <w:sz w:val="18"/>
                <w:szCs w:val="18"/>
                <w:color w:val="auto"/>
              </w:rPr>
              <w:t>DEF</w:t>
            </w:r>
          </w:p>
        </w:tc>
        <w:tc>
          <w:tcPr>
            <w:tcW w:w="4260" w:type="dxa"/>
            <w:vAlign w:val="bottom"/>
          </w:tcPr>
          <w:p>
            <w:pPr>
              <w:ind w:left="120"/>
              <w:spacing w:after="0"/>
              <w:rPr>
                <w:sz w:val="20"/>
                <w:szCs w:val="20"/>
                <w:color w:val="auto"/>
              </w:rPr>
            </w:pPr>
            <w:r>
              <w:rPr>
                <w:rFonts w:ascii="Arial" w:cs="Arial" w:eastAsia="Arial" w:hAnsi="Arial"/>
                <w:sz w:val="18"/>
                <w:szCs w:val="18"/>
                <w:color w:val="auto"/>
                <w:w w:val="95"/>
              </w:rPr>
              <w:t>Inline XBRL Taxonomy Extension Definition Linkbase.</w:t>
            </w:r>
          </w:p>
        </w:tc>
      </w:tr>
      <w:tr>
        <w:trPr>
          <w:trHeight w:val="279"/>
        </w:trPr>
        <w:tc>
          <w:tcPr>
            <w:tcW w:w="280" w:type="dxa"/>
            <w:vAlign w:val="bottom"/>
          </w:tcPr>
          <w:p>
            <w:pPr>
              <w:spacing w:after="0"/>
              <w:rPr>
                <w:sz w:val="20"/>
                <w:szCs w:val="20"/>
                <w:color w:val="auto"/>
              </w:rPr>
            </w:pPr>
            <w:r>
              <w:rPr>
                <w:rFonts w:ascii="Arial" w:cs="Arial" w:eastAsia="Arial" w:hAnsi="Arial"/>
                <w:sz w:val="18"/>
                <w:szCs w:val="18"/>
                <w:color w:val="auto"/>
                <w:w w:val="86"/>
              </w:rPr>
              <w:t>101</w:t>
            </w:r>
          </w:p>
        </w:tc>
        <w:tc>
          <w:tcPr>
            <w:tcW w:w="500" w:type="dxa"/>
            <w:vAlign w:val="bottom"/>
          </w:tcPr>
          <w:p>
            <w:pPr>
              <w:ind w:left="20"/>
              <w:spacing w:after="0"/>
              <w:rPr>
                <w:sz w:val="20"/>
                <w:szCs w:val="20"/>
                <w:color w:val="auto"/>
              </w:rPr>
            </w:pPr>
            <w:r>
              <w:rPr>
                <w:rFonts w:ascii="Arial" w:cs="Arial" w:eastAsia="Arial" w:hAnsi="Arial"/>
                <w:sz w:val="18"/>
                <w:szCs w:val="18"/>
                <w:color w:val="auto"/>
              </w:rPr>
              <w:t>LAB</w:t>
            </w:r>
          </w:p>
        </w:tc>
        <w:tc>
          <w:tcPr>
            <w:tcW w:w="426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w:t>
            </w:r>
          </w:p>
        </w:tc>
      </w:tr>
      <w:tr>
        <w:trPr>
          <w:trHeight w:val="279"/>
        </w:trPr>
        <w:tc>
          <w:tcPr>
            <w:tcW w:w="280" w:type="dxa"/>
            <w:vAlign w:val="bottom"/>
          </w:tcPr>
          <w:p>
            <w:pPr>
              <w:spacing w:after="0"/>
              <w:rPr>
                <w:sz w:val="20"/>
                <w:szCs w:val="20"/>
                <w:color w:val="auto"/>
              </w:rPr>
            </w:pPr>
            <w:r>
              <w:rPr>
                <w:rFonts w:ascii="Arial" w:cs="Arial" w:eastAsia="Arial" w:hAnsi="Arial"/>
                <w:sz w:val="18"/>
                <w:szCs w:val="18"/>
                <w:color w:val="auto"/>
                <w:w w:val="86"/>
              </w:rPr>
              <w:t>101</w:t>
            </w:r>
          </w:p>
        </w:tc>
        <w:tc>
          <w:tcPr>
            <w:tcW w:w="500" w:type="dxa"/>
            <w:vAlign w:val="bottom"/>
          </w:tcPr>
          <w:p>
            <w:pPr>
              <w:ind w:left="20"/>
              <w:spacing w:after="0"/>
              <w:rPr>
                <w:sz w:val="20"/>
                <w:szCs w:val="20"/>
                <w:color w:val="auto"/>
              </w:rPr>
            </w:pPr>
            <w:r>
              <w:rPr>
                <w:rFonts w:ascii="Arial" w:cs="Arial" w:eastAsia="Arial" w:hAnsi="Arial"/>
                <w:sz w:val="18"/>
                <w:szCs w:val="18"/>
                <w:color w:val="auto"/>
              </w:rPr>
              <w:t>PRE</w:t>
            </w:r>
          </w:p>
        </w:tc>
        <w:tc>
          <w:tcPr>
            <w:tcW w:w="4260" w:type="dxa"/>
            <w:vAlign w:val="bottom"/>
          </w:tcPr>
          <w:p>
            <w:pPr>
              <w:ind w:left="120"/>
              <w:spacing w:after="0"/>
              <w:rPr>
                <w:sz w:val="20"/>
                <w:szCs w:val="20"/>
                <w:color w:val="auto"/>
              </w:rPr>
            </w:pPr>
            <w:r>
              <w:rPr>
                <w:rFonts w:ascii="Arial" w:cs="Arial" w:eastAsia="Arial" w:hAnsi="Arial"/>
                <w:sz w:val="18"/>
                <w:szCs w:val="18"/>
                <w:color w:val="auto"/>
                <w:w w:val="90"/>
              </w:rPr>
              <w:t>Inline XBRL Taxonomy Extension Presentation Linkbase.</w:t>
            </w:r>
          </w:p>
        </w:tc>
      </w:tr>
    </w:tbl>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10.32 to the Company’s Annual Report on Form 10-K filed on February 25, 2025.</w:t>
      </w:r>
    </w:p>
    <w:p>
      <w:pPr>
        <w:spacing w:after="0" w:line="200" w:lineRule="exact"/>
        <w:rPr>
          <w:sz w:val="20"/>
          <w:szCs w:val="20"/>
          <w:color w:val="auto"/>
        </w:rPr>
      </w:pPr>
    </w:p>
    <w:p>
      <w:pPr>
        <w:spacing w:after="0" w:line="20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June 25, 2024.</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July 3, 2024.</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10.2 to the Company’s Quarterly Report on Form 10-Q filed on October 30, 2024.</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1.1 to the Company’s Current Report on Form 8-K filed on August 6, 2025.</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October 6, 2025.</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10.2 to the Company’s Current Report on Form 8-K filed on October 6, 2025.</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10.1 to the Company’s Current Report on Form 8-K filed on December 2, 2025.</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16.1 to the Company’s Current Report on Form 8-K filed on May 10, 2024.</w:t>
      </w:r>
    </w:p>
    <w:p>
      <w:pPr>
        <w:spacing w:after="0" w:line="5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19.1 to the Company’s Annual Report on Form 10-K filed on February 25, 2025.</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Included on the signature page of this Annual Report on Form 10-K.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7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Incorporated herein by reference to Exhibit 97 to the Company’s Annual Report on Form 10-K filed on February 22, 2024.</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2" w:lineRule="exact"/>
        <w:rPr>
          <w:sz w:val="20"/>
          <w:szCs w:val="20"/>
          <w:color w:val="auto"/>
        </w:rPr>
      </w:pPr>
    </w:p>
    <w:p>
      <w:pPr>
        <w:sectPr>
          <w:pgSz w:w="11880" w:h="15480" w:orient="portrait"/>
          <w:cols w:equalWidth="0" w:num="2">
            <w:col w:w="5981" w:space="180"/>
            <w:col w:w="3760"/>
          </w:cols>
          <w:pgMar w:left="979" w:top="659"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ectPr>
          <w:pgSz w:w="11880" w:h="15480" w:orient="portrait"/>
          <w:cols w:equalWidth="0" w:num="1">
            <w:col w:w="9921"/>
          </w:cols>
          <w:pgMar w:left="979" w:top="659" w:right="980" w:bottom="0" w:gutter="0" w:footer="0" w:header="0"/>
          <w:type w:val="continuous"/>
        </w:sectPr>
      </w:pPr>
    </w:p>
    <w:bookmarkStart w:id="150" w:name="page151"/>
    <w:bookmarkEnd w:id="150"/>
    <w:p>
      <w:pPr>
        <w:ind w:left="16"/>
        <w:spacing w:after="0"/>
        <w:tabs>
          <w:tab w:leader="none" w:pos="895" w:val="left"/>
          <w:tab w:leader="none" w:pos="6155" w:val="left"/>
        </w:tabs>
        <w:rPr>
          <w:sz w:val="20"/>
          <w:szCs w:val="20"/>
          <w:color w:val="auto"/>
        </w:rPr>
      </w:pPr>
      <w:r>
        <w:rPr>
          <w:rFonts w:ascii="Arial" w:cs="Arial" w:eastAsia="Arial" w:hAnsi="Arial"/>
          <w:sz w:val="18"/>
          <w:szCs w:val="18"/>
          <w:b w:val="1"/>
          <w:bCs w:val="1"/>
          <w:color w:val="auto"/>
        </w:rPr>
        <w:t>Number</w:t>
        <w:tab/>
        <w:t>Description</w:t>
      </w:r>
      <w:r>
        <w:rPr>
          <w:sz w:val="20"/>
          <w:szCs w:val="20"/>
          <w:color w:val="auto"/>
        </w:rPr>
        <w:tab/>
      </w:r>
      <w:r>
        <w:rPr>
          <w:rFonts w:ascii="Arial" w:cs="Arial" w:eastAsia="Arial" w:hAnsi="Arial"/>
          <w:sz w:val="15"/>
          <w:szCs w:val="15"/>
          <w:b w:val="1"/>
          <w:bCs w:val="1"/>
          <w:color w:val="auto"/>
        </w:rPr>
        <w:t>Method of Filing</w:t>
      </w:r>
    </w:p>
    <w:p>
      <w:pPr>
        <w:spacing w:after="0" w:line="77" w:lineRule="exact"/>
        <w:rPr>
          <w:sz w:val="20"/>
          <w:szCs w:val="20"/>
          <w:color w:val="auto"/>
        </w:rPr>
      </w:pPr>
    </w:p>
    <w:p>
      <w:pPr>
        <w:jc w:val="both"/>
        <w:ind w:left="916" w:right="3760" w:hanging="901"/>
        <w:spacing w:after="0" w:line="224" w:lineRule="auto"/>
        <w:tabs>
          <w:tab w:leader="none" w:pos="916"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does not appear in Exhibit 104 because its Inline XBRL tags are embedded within the Inline XBRL document)</w:t>
      </w:r>
    </w:p>
    <w:p>
      <w:pPr>
        <w:spacing w:after="0" w:line="209" w:lineRule="exact"/>
        <w:rPr>
          <w:rFonts w:ascii="Arial" w:cs="Arial" w:eastAsia="Arial" w:hAnsi="Arial"/>
          <w:sz w:val="18"/>
          <w:szCs w:val="18"/>
          <w:color w:val="auto"/>
        </w:rPr>
      </w:pPr>
    </w:p>
    <w:p>
      <w:pPr>
        <w:ind w:left="596" w:hanging="596"/>
        <w:spacing w:after="0"/>
        <w:tabs>
          <w:tab w:leader="none" w:pos="5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Indicates exhibits that constitute compensatory plans or arrangements.</w:t>
      </w:r>
    </w:p>
    <w:p>
      <w:pPr>
        <w:spacing w:after="0" w:line="72" w:lineRule="exact"/>
        <w:rPr>
          <w:sz w:val="20"/>
          <w:szCs w:val="20"/>
          <w:color w:val="auto"/>
        </w:rPr>
      </w:pPr>
    </w:p>
    <w:p>
      <w:pPr>
        <w:ind w:left="596" w:right="20" w:hanging="596"/>
        <w:spacing w:after="0" w:line="257" w:lineRule="auto"/>
        <w:tabs>
          <w:tab w:leader="none" w:pos="596"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This filing excludes schedules or similar attachments pursuant to Item 601(a)(5) of Regulation S-K, which the registrant agrees to furnish supplementary to the Securities and Exchange Commission upon request by the Commission.</w:t>
      </w:r>
    </w:p>
    <w:p>
      <w:pPr>
        <w:spacing w:after="0" w:line="169" w:lineRule="exact"/>
        <w:rPr>
          <w:sz w:val="20"/>
          <w:szCs w:val="20"/>
          <w:color w:val="auto"/>
        </w:rPr>
      </w:pPr>
    </w:p>
    <w:p>
      <w:pPr>
        <w:ind w:left="596" w:hanging="596"/>
        <w:spacing w:after="0" w:line="238" w:lineRule="auto"/>
        <w:tabs>
          <w:tab w:leader="none" w:pos="596" w:val="left"/>
        </w:tabs>
        <w:numPr>
          <w:ilvl w:val="0"/>
          <w:numId w:val="87"/>
        </w:numPr>
        <w:rPr>
          <w:rFonts w:ascii="Arial" w:cs="Arial" w:eastAsia="Arial" w:hAnsi="Arial"/>
          <w:sz w:val="17"/>
          <w:szCs w:val="17"/>
          <w:color w:val="auto"/>
        </w:rPr>
      </w:pPr>
      <w:r>
        <w:rPr>
          <w:rFonts w:ascii="Arial" w:cs="Arial" w:eastAsia="Arial" w:hAnsi="Arial"/>
          <w:sz w:val="17"/>
          <w:szCs w:val="17"/>
          <w:color w:val="auto"/>
        </w:rPr>
        <w:t>Certain portions of this exhibit have been redacted pursuant to Item 601(b)(10)(iv) of Regulation S-K because it (i) is not material and (ii) would likely cause competitive harm to the Registrant if disclosed. The registrant agrees to furnish supplementary an unredacted copy of this exhibit to the Securities and Exchange Commission upon request.</w:t>
      </w:r>
    </w:p>
    <w:p>
      <w:pPr>
        <w:sectPr>
          <w:pgSz w:w="11880" w:h="15480" w:orient="portrait"/>
          <w:cols w:equalWidth="0" w:num="1">
            <w:col w:w="9756"/>
          </w:cols>
          <w:pgMar w:left="964" w:top="65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5"/>
        <w:spacing w:after="0"/>
        <w:rPr>
          <w:sz w:val="20"/>
          <w:szCs w:val="20"/>
          <w:color w:val="auto"/>
        </w:rPr>
      </w:pPr>
      <w:r>
        <w:rPr>
          <w:rFonts w:ascii="Arial" w:cs="Arial" w:eastAsia="Arial" w:hAnsi="Arial"/>
          <w:sz w:val="16"/>
          <w:szCs w:val="16"/>
          <w:color w:val="auto"/>
        </w:rPr>
        <w:t>149</w:t>
      </w:r>
    </w:p>
    <w:p>
      <w:pPr>
        <w:sectPr>
          <w:pgSz w:w="11880" w:h="15480" w:orient="portrait"/>
          <w:cols w:equalWidth="0" w:num="1">
            <w:col w:w="9756"/>
          </w:cols>
          <w:pgMar w:left="964" w:top="659" w:right="1160" w:bottom="0" w:gutter="0" w:footer="0" w:header="0"/>
          <w:type w:val="continuous"/>
        </w:sectPr>
      </w:pPr>
    </w:p>
    <w:bookmarkStart w:id="151" w:name="page152"/>
    <w:bookmarkEnd w:id="151"/>
    <w:p>
      <w:pPr>
        <w:spacing w:after="0"/>
        <w:rPr>
          <w:sz w:val="20"/>
          <w:szCs w:val="20"/>
          <w:color w:val="auto"/>
        </w:rPr>
      </w:pPr>
      <w:r>
        <w:rPr>
          <w:rFonts w:ascii="Arial" w:cs="Arial" w:eastAsia="Arial" w:hAnsi="Arial"/>
          <w:sz w:val="17"/>
          <w:szCs w:val="17"/>
          <w:b w:val="1"/>
          <w:bCs w:val="1"/>
          <w:color w:val="auto"/>
        </w:rPr>
        <w:t>Item 16 — Form 10-K Summary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520"/>
          </w:cols>
          <w:pgMar w:left="920" w:top="57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150</w:t>
      </w:r>
    </w:p>
    <w:p>
      <w:pPr>
        <w:sectPr>
          <w:pgSz w:w="11880" w:h="15480" w:orient="portrait"/>
          <w:cols w:equalWidth="0" w:num="1">
            <w:col w:w="9520"/>
          </w:cols>
          <w:pgMar w:left="920" w:top="577" w:right="1440" w:bottom="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20"/>
          <w:szCs w:val="20"/>
          <w:b w:val="1"/>
          <w:bCs w:val="1"/>
          <w:color w:val="auto"/>
        </w:rPr>
        <w:t>SIGNATURES</w:t>
      </w:r>
    </w:p>
    <w:p>
      <w:pPr>
        <w:spacing w:after="0" w:line="189" w:lineRule="exact"/>
        <w:rPr>
          <w:sz w:val="20"/>
          <w:szCs w:val="20"/>
          <w:color w:val="auto"/>
        </w:rPr>
      </w:pPr>
    </w:p>
    <w:p>
      <w:pPr>
        <w:ind w:firstLine="309"/>
        <w:spacing w:after="0" w:line="271"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80"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CLEARWAY ENERGY, INC.</w:t>
      </w:r>
    </w:p>
    <w:p>
      <w:pPr>
        <w:ind w:left="6400"/>
        <w:spacing w:after="0"/>
        <w:rPr>
          <w:sz w:val="20"/>
          <w:szCs w:val="20"/>
          <w:color w:val="auto"/>
        </w:rPr>
      </w:pPr>
      <w:r>
        <w:rPr>
          <w:rFonts w:ascii="Arial" w:cs="Arial" w:eastAsia="Arial" w:hAnsi="Arial"/>
          <w:sz w:val="20"/>
          <w:szCs w:val="20"/>
          <w:color w:val="auto"/>
        </w:rPr>
        <w:t>(Registrant)</w:t>
      </w:r>
    </w:p>
    <w:p>
      <w:pPr>
        <w:spacing w:after="0" w:line="307"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/s/ CRAIG CORNELIUS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4027805</wp:posOffset>
                </wp:positionH>
                <wp:positionV relativeFrom="paragraph">
                  <wp:posOffset>24130</wp:posOffset>
                </wp:positionV>
                <wp:extent cx="186690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15pt,1.9pt" to="464.15pt,1.9pt" o:allowincell="f" strokecolor="#000000" strokeweight="1pt"/>
            </w:pict>
          </mc:Fallback>
        </mc:AlternateContent>
      </w:r>
    </w:p>
    <w:p>
      <w:pPr>
        <w:spacing w:after="0" w:line="29"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Craig Cornelius</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20"/>
          <w:szCs w:val="20"/>
          <w:b w:val="1"/>
          <w:bCs w:val="1"/>
          <w:i w:val="1"/>
          <w:iCs w:val="1"/>
          <w:color w:val="auto"/>
        </w:rPr>
        <w:t>Chief Executive Officer</w:t>
      </w:r>
    </w:p>
    <w:p>
      <w:pPr>
        <w:ind w:left="6400"/>
        <w:spacing w:after="0"/>
        <w:rPr>
          <w:sz w:val="20"/>
          <w:szCs w:val="20"/>
          <w:color w:val="auto"/>
        </w:rPr>
      </w:pPr>
      <w:r>
        <w:rPr>
          <w:rFonts w:ascii="Arial" w:cs="Arial" w:eastAsia="Arial" w:hAnsi="Arial"/>
          <w:sz w:val="20"/>
          <w:szCs w:val="20"/>
          <w:b w:val="1"/>
          <w:bCs w:val="1"/>
          <w:i w:val="1"/>
          <w:iCs w:val="1"/>
          <w:color w:val="auto"/>
        </w:rPr>
        <w:t>(Principal Executive Officer)</w:t>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Date: February 24, 2026</w:t>
      </w:r>
    </w:p>
    <w:p>
      <w:pPr>
        <w:sectPr>
          <w:pgSz w:w="11880" w:h="15480" w:orient="portrait"/>
          <w:cols w:equalWidth="0" w:num="1">
            <w:col w:w="10040"/>
          </w:cols>
          <w:pgMar w:left="920" w:top="98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ectPr>
          <w:pgSz w:w="11880" w:h="15480" w:orient="portrait"/>
          <w:cols w:equalWidth="0" w:num="1">
            <w:col w:w="10040"/>
          </w:cols>
          <w:pgMar w:left="920" w:top="989" w:right="920" w:bottom="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169" w:lineRule="exact"/>
        <w:rPr>
          <w:sz w:val="20"/>
          <w:szCs w:val="20"/>
          <w:color w:val="auto"/>
        </w:rPr>
      </w:pPr>
    </w:p>
    <w:p>
      <w:pPr>
        <w:jc w:val="both"/>
        <w:ind w:firstLine="485"/>
        <w:spacing w:after="0" w:line="299" w:lineRule="auto"/>
        <w:rPr>
          <w:sz w:val="20"/>
          <w:szCs w:val="20"/>
          <w:color w:val="auto"/>
        </w:rPr>
      </w:pPr>
      <w:r>
        <w:rPr>
          <w:rFonts w:ascii="Arial" w:cs="Arial" w:eastAsia="Arial" w:hAnsi="Arial"/>
          <w:sz w:val="17"/>
          <w:szCs w:val="17"/>
          <w:color w:val="auto"/>
        </w:rPr>
        <w:t>Each person whose signature appears below constitutes and appoints Craig Cornelius,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110" w:lineRule="exact"/>
        <w:rPr>
          <w:sz w:val="20"/>
          <w:szCs w:val="20"/>
          <w:color w:val="auto"/>
        </w:rPr>
      </w:pPr>
    </w:p>
    <w:p>
      <w:pPr>
        <w:jc w:val="both"/>
        <w:ind w:firstLine="485"/>
        <w:spacing w:after="0" w:line="271"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880" w:h="15480" w:orient="portrait"/>
          <w:cols w:equalWidth="0" w:num="1">
            <w:col w:w="10040"/>
          </w:cols>
          <w:pgMar w:left="920" w:top="577" w:right="920" w:bottom="0" w:gutter="0" w:footer="0" w:header="0"/>
        </w:sectPr>
      </w:pPr>
    </w:p>
    <w:p>
      <w:pPr>
        <w:spacing w:after="0" w:line="210" w:lineRule="exact"/>
        <w:rPr>
          <w:sz w:val="20"/>
          <w:szCs w:val="20"/>
          <w:color w:val="auto"/>
        </w:rPr>
      </w:pPr>
    </w:p>
    <w:p>
      <w:pPr>
        <w:ind w:left="1180"/>
        <w:spacing w:after="0"/>
        <w:rPr>
          <w:sz w:val="20"/>
          <w:szCs w:val="20"/>
          <w:color w:val="auto"/>
        </w:rPr>
      </w:pPr>
      <w:r>
        <w:rPr>
          <w:rFonts w:ascii="Arial" w:cs="Arial" w:eastAsia="Arial" w:hAnsi="Arial"/>
          <w:sz w:val="20"/>
          <w:szCs w:val="20"/>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26670</wp:posOffset>
                </wp:positionV>
                <wp:extent cx="202501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1pt" to="159.1pt,2.1pt" o:allowincell="f" strokecolor="#000000" strokeweight="1pt"/>
            </w:pict>
          </mc:Fallback>
        </mc:AlternateConten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 CRAIG CORNELIUS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202501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159.1pt,1.9pt" o:allowincell="f" strokecolor="#000000" strokeweight="1pt"/>
            </w:pict>
          </mc:Fallback>
        </mc:AlternateContent>
      </w:r>
    </w:p>
    <w:p>
      <w:pPr>
        <w:spacing w:after="0" w:line="31"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Craig Cornelius</w:t>
      </w:r>
    </w:p>
    <w:p>
      <w:pPr>
        <w:spacing w:after="0" w:line="209"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SARAH RUBENSTEIN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202501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159.1pt,1.9pt" o:allowincell="f" strokecolor="#000000" strokeweight="1pt"/>
            </w:pict>
          </mc:Fallback>
        </mc:AlternateContent>
      </w:r>
    </w:p>
    <w:p>
      <w:pPr>
        <w:spacing w:after="0" w:line="31"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Sarah Rubenstein</w:t>
      </w:r>
    </w:p>
    <w:p>
      <w:pPr>
        <w:spacing w:after="0" w:line="200" w:lineRule="exact"/>
        <w:rPr>
          <w:sz w:val="20"/>
          <w:szCs w:val="20"/>
          <w:color w:val="auto"/>
        </w:rPr>
      </w:pPr>
    </w:p>
    <w:p>
      <w:pPr>
        <w:spacing w:after="0" w:line="201"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JONATHAN BRAM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202501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159.1pt,1.9pt" o:allowincell="f" strokecolor="#000000" strokeweight="1pt"/>
            </w:pict>
          </mc:Fallback>
        </mc:AlternateContent>
      </w:r>
    </w:p>
    <w:p>
      <w:pPr>
        <w:spacing w:after="0" w:line="29"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Jonathan Bram</w:t>
      </w:r>
    </w:p>
    <w:p>
      <w:pPr>
        <w:spacing w:after="0" w:line="196" w:lineRule="exact"/>
        <w:rPr>
          <w:sz w:val="20"/>
          <w:szCs w:val="20"/>
          <w:color w:val="auto"/>
        </w:rPr>
      </w:pPr>
    </w:p>
    <w:p>
      <w:pPr>
        <w:jc w:val="center"/>
        <w:ind w:left="300"/>
        <w:spacing w:after="0"/>
        <w:rPr>
          <w:sz w:val="20"/>
          <w:szCs w:val="20"/>
          <w:color w:val="auto"/>
        </w:rPr>
      </w:pPr>
      <w:r>
        <w:rPr>
          <w:rFonts w:ascii="Arial" w:cs="Arial" w:eastAsia="Arial" w:hAnsi="Arial"/>
          <w:sz w:val="19"/>
          <w:szCs w:val="19"/>
          <w:color w:val="auto"/>
        </w:rPr>
        <w:t>/s/ NATHANIEL ANSCHUETZ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31115</wp:posOffset>
                </wp:positionV>
                <wp:extent cx="202501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45pt" to="159.1pt,2.45pt" o:allowincell="f" strokecolor="#000000" strokeweight="1pt"/>
            </w:pict>
          </mc:Fallback>
        </mc:AlternateContent>
      </w:r>
    </w:p>
    <w:p>
      <w:pPr>
        <w:spacing w:after="0" w:line="41"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Nathaniel Anschuetz</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/s/ BRIAN FORD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202501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159.1pt,1.9pt" o:allowincell="f" strokecolor="#000000" strokeweight="1pt"/>
            </w:pict>
          </mc:Fallback>
        </mc:AlternateContent>
      </w:r>
    </w:p>
    <w:p>
      <w:pPr>
        <w:spacing w:after="0" w:line="2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Brian Ford</w:t>
      </w:r>
    </w:p>
    <w:p>
      <w:pPr>
        <w:spacing w:after="0" w:line="196"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BRUCE MACLENNAN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202501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159.1pt,1.9pt" o:allowincell="f" strokecolor="#000000" strokeweight="1pt"/>
            </w:pict>
          </mc:Fallback>
        </mc:AlternateContent>
      </w:r>
    </w:p>
    <w:p>
      <w:pPr>
        <w:spacing w:after="0" w:line="29"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Bruce MacLennan</w:t>
      </w:r>
    </w:p>
    <w:p>
      <w:pPr>
        <w:spacing w:after="0" w:line="196"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DANIEL B. MORE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202501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159.1pt,1.9pt" o:allowincell="f" strokecolor="#000000" strokeweight="1pt"/>
            </w:pict>
          </mc:Fallback>
        </mc:AlternateContent>
      </w:r>
    </w:p>
    <w:p>
      <w:pPr>
        <w:spacing w:after="0" w:line="29"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Daniel B. More</w:t>
      </w:r>
    </w:p>
    <w:p>
      <w:pPr>
        <w:spacing w:after="0" w:line="196"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E. STANLEY O’NEAL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202501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159.1pt,1.9pt" o:allowincell="f" strokecolor="#000000" strokeweight="1pt"/>
            </w:pict>
          </mc:Fallback>
        </mc:AlternateContent>
      </w:r>
    </w:p>
    <w:p>
      <w:pPr>
        <w:spacing w:after="0" w:line="29"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E. Stanley O’Neal</w:t>
      </w:r>
    </w:p>
    <w:p>
      <w:pPr>
        <w:spacing w:after="0" w:line="196"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JENNIFER LOWRY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202501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159.1pt,1.9pt" o:allowincell="f" strokecolor="#000000" strokeweight="1pt"/>
            </w:pict>
          </mc:Fallback>
        </mc:AlternateContent>
      </w:r>
    </w:p>
    <w:p>
      <w:pPr>
        <w:spacing w:after="0" w:line="29"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Jennifer Lowry</w:t>
      </w:r>
    </w:p>
    <w:p>
      <w:pPr>
        <w:spacing w:after="0" w:line="196" w:lineRule="exact"/>
        <w:rPr>
          <w:sz w:val="20"/>
          <w:szCs w:val="20"/>
          <w:color w:val="auto"/>
        </w:rPr>
      </w:pPr>
    </w:p>
    <w:p>
      <w:pPr>
        <w:jc w:val="center"/>
        <w:ind w:left="300"/>
        <w:spacing w:after="0"/>
        <w:rPr>
          <w:sz w:val="20"/>
          <w:szCs w:val="20"/>
          <w:color w:val="auto"/>
        </w:rPr>
      </w:pPr>
      <w:r>
        <w:rPr>
          <w:rFonts w:ascii="Arial" w:cs="Arial" w:eastAsia="Arial" w:hAnsi="Arial"/>
          <w:sz w:val="19"/>
          <w:szCs w:val="19"/>
          <w:color w:val="auto"/>
        </w:rPr>
        <w:t>/s/ MARC-ANTOINE PIGNON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31115</wp:posOffset>
                </wp:positionV>
                <wp:extent cx="202501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45pt" to="159.1pt,2.45pt" o:allowincell="f" strokecolor="#000000" strokeweight="1pt"/>
            </w:pict>
          </mc:Fallback>
        </mc:AlternateContent>
      </w:r>
    </w:p>
    <w:p>
      <w:pPr>
        <w:spacing w:after="0" w:line="41"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Marc-Antoine Pignon</w:t>
      </w:r>
    </w:p>
    <w:p>
      <w:pPr>
        <w:spacing w:after="0" w:line="196"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OLIVIER JOUNY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202501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159.1pt,1.9pt" o:allowincell="f" strokecolor="#000000" strokeweight="1pt"/>
            </w:pict>
          </mc:Fallback>
        </mc:AlternateContent>
      </w:r>
    </w:p>
    <w:p>
      <w:pPr>
        <w:spacing w:after="0" w:line="29"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Olivier Jouny</w:t>
      </w:r>
    </w:p>
    <w:p>
      <w:pPr>
        <w:spacing w:after="0" w:line="196"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/s/ PAIGE GOODWIN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202501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50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159.1pt,1.9pt" o:allowincell="f" strokecolor="#000000" strokeweight="1pt"/>
            </w:pict>
          </mc:Fallback>
        </mc:AlternateContent>
      </w:r>
    </w:p>
    <w:p>
      <w:pPr>
        <w:spacing w:after="0" w:line="29"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Paige Goodwin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Title</w:t>
            </w:r>
          </w:p>
        </w:tc>
        <w:tc>
          <w:tcPr>
            <w:tcW w:w="80" w:type="dxa"/>
            <w:vAlign w:val="bottom"/>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Date</w:t>
            </w:r>
          </w:p>
        </w:tc>
        <w:tc>
          <w:tcPr>
            <w:tcW w:w="0" w:type="dxa"/>
            <w:vAlign w:val="bottom"/>
          </w:tcPr>
          <w:p>
            <w:pPr>
              <w:spacing w:after="0"/>
              <w:rPr>
                <w:sz w:val="1"/>
                <w:szCs w:val="1"/>
                <w:color w:val="auto"/>
              </w:rPr>
            </w:pPr>
          </w:p>
        </w:tc>
      </w:tr>
      <w:tr>
        <w:trPr>
          <w:trHeight w:val="403"/>
        </w:trPr>
        <w:tc>
          <w:tcPr>
            <w:tcW w:w="4760" w:type="dxa"/>
            <w:vAlign w:val="bottom"/>
          </w:tcPr>
          <w:p>
            <w:pPr>
              <w:jc w:val="center"/>
              <w:spacing w:after="0"/>
              <w:rPr>
                <w:sz w:val="20"/>
                <w:szCs w:val="20"/>
                <w:color w:val="auto"/>
              </w:rPr>
            </w:pPr>
            <w:r>
              <w:rPr>
                <w:rFonts w:ascii="Arial" w:cs="Arial" w:eastAsia="Arial" w:hAnsi="Arial"/>
                <w:sz w:val="20"/>
                <w:szCs w:val="20"/>
                <w:color w:val="auto"/>
                <w:w w:val="90"/>
              </w:rPr>
              <w:t>President, Chief Executive Officer and Director</w:t>
            </w:r>
          </w:p>
        </w:tc>
        <w:tc>
          <w:tcPr>
            <w:tcW w:w="80" w:type="dxa"/>
            <w:vAlign w:val="bottom"/>
          </w:tcPr>
          <w:p>
            <w:pPr>
              <w:spacing w:after="0"/>
              <w:rPr>
                <w:sz w:val="24"/>
                <w:szCs w:val="24"/>
                <w:color w:val="auto"/>
              </w:rPr>
            </w:pPr>
          </w:p>
        </w:tc>
        <w:tc>
          <w:tcPr>
            <w:tcW w:w="1940" w:type="dxa"/>
            <w:vAlign w:val="bottom"/>
            <w:vMerge w:val="restart"/>
          </w:tcPr>
          <w:p>
            <w:pPr>
              <w:jc w:val="center"/>
              <w:spacing w:after="0"/>
              <w:rPr>
                <w:sz w:val="20"/>
                <w:szCs w:val="20"/>
                <w:color w:val="auto"/>
              </w:rPr>
            </w:pPr>
            <w:r>
              <w:rPr>
                <w:rFonts w:ascii="Arial" w:cs="Arial" w:eastAsia="Arial" w:hAnsi="Arial"/>
                <w:sz w:val="20"/>
                <w:szCs w:val="20"/>
                <w:color w:val="auto"/>
                <w:w w:val="89"/>
              </w:rPr>
              <w:t>February 24, 2026</w:t>
            </w:r>
          </w:p>
        </w:tc>
        <w:tc>
          <w:tcPr>
            <w:tcW w:w="0" w:type="dxa"/>
            <w:vAlign w:val="bottom"/>
          </w:tcPr>
          <w:p>
            <w:pPr>
              <w:spacing w:after="0"/>
              <w:rPr>
                <w:sz w:val="1"/>
                <w:szCs w:val="1"/>
                <w:color w:val="auto"/>
              </w:rPr>
            </w:pPr>
          </w:p>
        </w:tc>
      </w:tr>
      <w:tr>
        <w:trPr>
          <w:trHeight w:val="74"/>
        </w:trPr>
        <w:tc>
          <w:tcPr>
            <w:tcW w:w="4760" w:type="dxa"/>
            <w:vAlign w:val="bottom"/>
            <w:vMerge w:val="restart"/>
          </w:tcPr>
          <w:p>
            <w:pPr>
              <w:jc w:val="center"/>
              <w:spacing w:after="0"/>
              <w:rPr>
                <w:sz w:val="20"/>
                <w:szCs w:val="20"/>
                <w:color w:val="auto"/>
              </w:rPr>
            </w:pPr>
            <w:r>
              <w:rPr>
                <w:rFonts w:ascii="Arial" w:cs="Arial" w:eastAsia="Arial" w:hAnsi="Arial"/>
                <w:sz w:val="20"/>
                <w:szCs w:val="20"/>
                <w:color w:val="auto"/>
                <w:w w:val="92"/>
              </w:rPr>
              <w:t>(Principal Executive Officer)</w:t>
            </w:r>
          </w:p>
        </w:tc>
        <w:tc>
          <w:tcPr>
            <w:tcW w:w="8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4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760" w:type="dxa"/>
            <w:vAlign w:val="bottom"/>
          </w:tcPr>
          <w:p>
            <w:pPr>
              <w:jc w:val="center"/>
              <w:spacing w:after="0"/>
              <w:rPr>
                <w:sz w:val="20"/>
                <w:szCs w:val="20"/>
                <w:color w:val="auto"/>
              </w:rPr>
            </w:pPr>
            <w:r>
              <w:rPr>
                <w:rFonts w:ascii="Arial" w:cs="Arial" w:eastAsia="Arial" w:hAnsi="Arial"/>
                <w:sz w:val="20"/>
                <w:szCs w:val="20"/>
                <w:color w:val="auto"/>
                <w:w w:val="90"/>
              </w:rPr>
              <w:t>Executive Vice President and Chief Financial Officer</w:t>
            </w:r>
          </w:p>
        </w:tc>
        <w:tc>
          <w:tcPr>
            <w:tcW w:w="80" w:type="dxa"/>
            <w:vAlign w:val="bottom"/>
          </w:tcPr>
          <w:p>
            <w:pPr>
              <w:spacing w:after="0"/>
              <w:rPr>
                <w:sz w:val="24"/>
                <w:szCs w:val="24"/>
                <w:color w:val="auto"/>
              </w:rPr>
            </w:pPr>
          </w:p>
        </w:tc>
        <w:tc>
          <w:tcPr>
            <w:tcW w:w="1940" w:type="dxa"/>
            <w:vAlign w:val="bottom"/>
            <w:vMerge w:val="restart"/>
          </w:tcPr>
          <w:p>
            <w:pPr>
              <w:jc w:val="center"/>
              <w:spacing w:after="0"/>
              <w:rPr>
                <w:sz w:val="20"/>
                <w:szCs w:val="20"/>
                <w:color w:val="auto"/>
              </w:rPr>
            </w:pPr>
            <w:r>
              <w:rPr>
                <w:rFonts w:ascii="Arial" w:cs="Arial" w:eastAsia="Arial" w:hAnsi="Arial"/>
                <w:sz w:val="20"/>
                <w:szCs w:val="20"/>
                <w:color w:val="auto"/>
                <w:w w:val="89"/>
              </w:rPr>
              <w:t>February 24, 2026</w:t>
            </w:r>
          </w:p>
        </w:tc>
        <w:tc>
          <w:tcPr>
            <w:tcW w:w="0" w:type="dxa"/>
            <w:vAlign w:val="bottom"/>
          </w:tcPr>
          <w:p>
            <w:pPr>
              <w:spacing w:after="0"/>
              <w:rPr>
                <w:sz w:val="1"/>
                <w:szCs w:val="1"/>
                <w:color w:val="auto"/>
              </w:rPr>
            </w:pPr>
          </w:p>
        </w:tc>
      </w:tr>
      <w:tr>
        <w:trPr>
          <w:trHeight w:val="170"/>
        </w:trPr>
        <w:tc>
          <w:tcPr>
            <w:tcW w:w="4760" w:type="dxa"/>
            <w:vAlign w:val="bottom"/>
            <w:vMerge w:val="restart"/>
          </w:tcPr>
          <w:p>
            <w:pPr>
              <w:jc w:val="center"/>
              <w:spacing w:after="0"/>
              <w:rPr>
                <w:sz w:val="20"/>
                <w:szCs w:val="20"/>
                <w:color w:val="auto"/>
              </w:rPr>
            </w:pPr>
            <w:r>
              <w:rPr>
                <w:rFonts w:ascii="Arial" w:cs="Arial" w:eastAsia="Arial" w:hAnsi="Arial"/>
                <w:sz w:val="20"/>
                <w:szCs w:val="20"/>
                <w:color w:val="auto"/>
                <w:w w:val="91"/>
              </w:rPr>
              <w:t>(Principal Financial Officer and</w:t>
            </w:r>
          </w:p>
        </w:tc>
        <w:tc>
          <w:tcPr>
            <w:tcW w:w="8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7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760" w:type="dxa"/>
            <w:vAlign w:val="bottom"/>
          </w:tcPr>
          <w:p>
            <w:pPr>
              <w:jc w:val="center"/>
              <w:spacing w:after="0"/>
              <w:rPr>
                <w:sz w:val="20"/>
                <w:szCs w:val="20"/>
                <w:color w:val="auto"/>
              </w:rPr>
            </w:pPr>
            <w:r>
              <w:rPr>
                <w:rFonts w:ascii="Arial" w:cs="Arial" w:eastAsia="Arial" w:hAnsi="Arial"/>
                <w:sz w:val="20"/>
                <w:szCs w:val="20"/>
                <w:color w:val="auto"/>
                <w:w w:val="93"/>
              </w:rPr>
              <w:t>Principal Accounting Officer)</w:t>
            </w:r>
          </w:p>
        </w:tc>
        <w:tc>
          <w:tcPr>
            <w:tcW w:w="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4760" w:type="dxa"/>
            <w:vAlign w:val="bottom"/>
          </w:tcPr>
          <w:p>
            <w:pPr>
              <w:jc w:val="center"/>
              <w:spacing w:after="0"/>
              <w:rPr>
                <w:sz w:val="20"/>
                <w:szCs w:val="20"/>
                <w:color w:val="auto"/>
              </w:rPr>
            </w:pPr>
            <w:r>
              <w:rPr>
                <w:rFonts w:ascii="Arial" w:cs="Arial" w:eastAsia="Arial" w:hAnsi="Arial"/>
                <w:sz w:val="20"/>
                <w:szCs w:val="20"/>
                <w:color w:val="auto"/>
                <w:w w:val="89"/>
              </w:rPr>
              <w:t>Chairman of the Board</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February 24, 2026</w:t>
            </w:r>
          </w:p>
        </w:tc>
        <w:tc>
          <w:tcPr>
            <w:tcW w:w="0" w:type="dxa"/>
            <w:vAlign w:val="bottom"/>
          </w:tcPr>
          <w:p>
            <w:pPr>
              <w:spacing w:after="0"/>
              <w:rPr>
                <w:sz w:val="1"/>
                <w:szCs w:val="1"/>
                <w:color w:val="auto"/>
              </w:rPr>
            </w:pPr>
          </w:p>
        </w:tc>
      </w:tr>
      <w:tr>
        <w:trPr>
          <w:trHeight w:val="706"/>
        </w:trPr>
        <w:tc>
          <w:tcPr>
            <w:tcW w:w="476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February 24, 2026</w:t>
            </w:r>
          </w:p>
        </w:tc>
        <w:tc>
          <w:tcPr>
            <w:tcW w:w="0" w:type="dxa"/>
            <w:vAlign w:val="bottom"/>
          </w:tcPr>
          <w:p>
            <w:pPr>
              <w:spacing w:after="0"/>
              <w:rPr>
                <w:sz w:val="1"/>
                <w:szCs w:val="1"/>
                <w:color w:val="auto"/>
              </w:rPr>
            </w:pPr>
          </w:p>
        </w:tc>
      </w:tr>
      <w:tr>
        <w:trPr>
          <w:trHeight w:val="706"/>
        </w:trPr>
        <w:tc>
          <w:tcPr>
            <w:tcW w:w="476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February 24, 2026</w:t>
            </w:r>
          </w:p>
        </w:tc>
        <w:tc>
          <w:tcPr>
            <w:tcW w:w="0" w:type="dxa"/>
            <w:vAlign w:val="bottom"/>
          </w:tcPr>
          <w:p>
            <w:pPr>
              <w:spacing w:after="0"/>
              <w:rPr>
                <w:sz w:val="1"/>
                <w:szCs w:val="1"/>
                <w:color w:val="auto"/>
              </w:rPr>
            </w:pPr>
          </w:p>
        </w:tc>
      </w:tr>
      <w:tr>
        <w:trPr>
          <w:trHeight w:val="706"/>
        </w:trPr>
        <w:tc>
          <w:tcPr>
            <w:tcW w:w="476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February 24, 2026</w:t>
            </w:r>
          </w:p>
        </w:tc>
        <w:tc>
          <w:tcPr>
            <w:tcW w:w="0" w:type="dxa"/>
            <w:vAlign w:val="bottom"/>
          </w:tcPr>
          <w:p>
            <w:pPr>
              <w:spacing w:after="0"/>
              <w:rPr>
                <w:sz w:val="1"/>
                <w:szCs w:val="1"/>
                <w:color w:val="auto"/>
              </w:rPr>
            </w:pPr>
          </w:p>
        </w:tc>
      </w:tr>
      <w:tr>
        <w:trPr>
          <w:trHeight w:val="706"/>
        </w:trPr>
        <w:tc>
          <w:tcPr>
            <w:tcW w:w="476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February 24, 2026</w:t>
            </w:r>
          </w:p>
        </w:tc>
        <w:tc>
          <w:tcPr>
            <w:tcW w:w="0" w:type="dxa"/>
            <w:vAlign w:val="bottom"/>
          </w:tcPr>
          <w:p>
            <w:pPr>
              <w:spacing w:after="0"/>
              <w:rPr>
                <w:sz w:val="1"/>
                <w:szCs w:val="1"/>
                <w:color w:val="auto"/>
              </w:rPr>
            </w:pPr>
          </w:p>
        </w:tc>
      </w:tr>
      <w:tr>
        <w:trPr>
          <w:trHeight w:val="706"/>
        </w:trPr>
        <w:tc>
          <w:tcPr>
            <w:tcW w:w="476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February 24, 2026</w:t>
            </w:r>
          </w:p>
        </w:tc>
        <w:tc>
          <w:tcPr>
            <w:tcW w:w="0" w:type="dxa"/>
            <w:vAlign w:val="bottom"/>
          </w:tcPr>
          <w:p>
            <w:pPr>
              <w:spacing w:after="0"/>
              <w:rPr>
                <w:sz w:val="1"/>
                <w:szCs w:val="1"/>
                <w:color w:val="auto"/>
              </w:rPr>
            </w:pPr>
          </w:p>
        </w:tc>
      </w:tr>
      <w:tr>
        <w:trPr>
          <w:trHeight w:val="706"/>
        </w:trPr>
        <w:tc>
          <w:tcPr>
            <w:tcW w:w="476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February 24, 2026</w:t>
            </w:r>
          </w:p>
        </w:tc>
        <w:tc>
          <w:tcPr>
            <w:tcW w:w="0" w:type="dxa"/>
            <w:vAlign w:val="bottom"/>
          </w:tcPr>
          <w:p>
            <w:pPr>
              <w:spacing w:after="0"/>
              <w:rPr>
                <w:sz w:val="1"/>
                <w:szCs w:val="1"/>
                <w:color w:val="auto"/>
              </w:rPr>
            </w:pPr>
          </w:p>
        </w:tc>
      </w:tr>
      <w:tr>
        <w:trPr>
          <w:trHeight w:val="706"/>
        </w:trPr>
        <w:tc>
          <w:tcPr>
            <w:tcW w:w="476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February 24, 2026</w:t>
            </w:r>
          </w:p>
        </w:tc>
        <w:tc>
          <w:tcPr>
            <w:tcW w:w="0" w:type="dxa"/>
            <w:vAlign w:val="bottom"/>
          </w:tcPr>
          <w:p>
            <w:pPr>
              <w:spacing w:after="0"/>
              <w:rPr>
                <w:sz w:val="1"/>
                <w:szCs w:val="1"/>
                <w:color w:val="auto"/>
              </w:rPr>
            </w:pPr>
          </w:p>
        </w:tc>
      </w:tr>
      <w:tr>
        <w:trPr>
          <w:trHeight w:val="706"/>
        </w:trPr>
        <w:tc>
          <w:tcPr>
            <w:tcW w:w="476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February 24, 2026</w:t>
            </w:r>
          </w:p>
        </w:tc>
        <w:tc>
          <w:tcPr>
            <w:tcW w:w="0" w:type="dxa"/>
            <w:vAlign w:val="bottom"/>
          </w:tcPr>
          <w:p>
            <w:pPr>
              <w:spacing w:after="0"/>
              <w:rPr>
                <w:sz w:val="1"/>
                <w:szCs w:val="1"/>
                <w:color w:val="auto"/>
              </w:rPr>
            </w:pPr>
          </w:p>
        </w:tc>
      </w:tr>
      <w:tr>
        <w:trPr>
          <w:trHeight w:val="706"/>
        </w:trPr>
        <w:tc>
          <w:tcPr>
            <w:tcW w:w="4760" w:type="dxa"/>
            <w:vAlign w:val="bottom"/>
          </w:tcPr>
          <w:p>
            <w:pPr>
              <w:jc w:val="center"/>
              <w:spacing w:after="0"/>
              <w:rPr>
                <w:sz w:val="20"/>
                <w:szCs w:val="20"/>
                <w:color w:val="auto"/>
              </w:rPr>
            </w:pPr>
            <w:r>
              <w:rPr>
                <w:rFonts w:ascii="Arial" w:cs="Arial" w:eastAsia="Arial" w:hAnsi="Arial"/>
                <w:sz w:val="20"/>
                <w:szCs w:val="20"/>
                <w:color w:val="auto"/>
                <w:w w:val="91"/>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9"/>
              </w:rPr>
              <w:t>February 24, 2026</w:t>
            </w: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880" w:h="15480" w:orient="portrait"/>
          <w:cols w:equalWidth="0" w:num="2">
            <w:col w:w="2880" w:space="380"/>
            <w:col w:w="6780"/>
          </w:cols>
          <w:pgMar w:left="920" w:top="57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ectPr>
          <w:pgSz w:w="11880" w:h="15480" w:orient="portrait"/>
          <w:cols w:equalWidth="0" w:num="1">
            <w:col w:w="10040"/>
          </w:cols>
          <w:pgMar w:left="920" w:top="577" w:right="920" w:bottom="0" w:gutter="0" w:footer="0" w:header="0"/>
          <w:type w:val="continuous"/>
        </w:sectPr>
      </w:pPr>
    </w:p>
    <w:bookmarkStart w:id="154" w:name="page155"/>
    <w:bookmarkEnd w:id="154"/>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2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Clearway Energy, Inc.</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FFFFFF"/>
        </w:rPr>
        <w:t>300 Carnegie Center</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FFFFFF"/>
        </w:rPr>
        <w:t>Suite 300</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FFFFFF"/>
        </w:rPr>
        <w:t>Princeton, NJ</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FFFFFF"/>
        </w:rPr>
        <w:t>08540-6213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clearwayenergy.com</w:t>
      </w:r>
    </w:p>
    <w:sectPr>
      <w:pgSz w:w="11880" w:h="15480" w:orient="portrait"/>
      <w:cols w:equalWidth="0" w:num="1">
        <w:col w:w="9220"/>
      </w:cols>
      <w:pgMar w:left="1220" w:top="1440" w:right="1440" w:bottom="43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lowerLetter"/>
      <w:start w:val="1"/>
    </w:lvl>
  </w:abstractNum>
  <w:abstractNum w:abstractNumId="3">
    <w:nsid w:val="7A6D8D3C"/>
    <w:multiLevelType w:val="hybridMultilevel"/>
    <w:lvl w:ilvl="0">
      <w:lvlJc w:val="left"/>
      <w:lvlText w:val="&amp;"/>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1)"/>
      <w:numFmt w:val="lowerRoman"/>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1)"/>
      <w:numFmt w:val="lowerLetter"/>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1)"/>
      <w:numFmt w:val="lowerLetter"/>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1)"/>
      <w:numFmt w:val="lowerLetter"/>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1)"/>
      <w:numFmt w:val="lowerRoman"/>
      <w:start w:val="1"/>
    </w:lvl>
  </w:abstractNum>
  <w:abstractNum w:abstractNumId="32">
    <w:nsid w:val="741226BB"/>
    <w:multiLevelType w:val="hybridMultilevel"/>
    <w:lvl w:ilvl="0">
      <w:lvlJc w:val="left"/>
      <w:lvlText w:val="(%1)"/>
      <w:numFmt w:val="lowerLetter"/>
      <w:start w:val="1"/>
    </w:lvl>
  </w:abstractNum>
  <w:abstractNum w:abstractNumId="33">
    <w:nsid w:val="D34B6A8"/>
    <w:multiLevelType w:val="hybridMultilevel"/>
    <w:lvl w:ilvl="0">
      <w:lvlJc w:val="left"/>
      <w:lvlText w:val="(%1)"/>
      <w:numFmt w:val="lowerLetter"/>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amp;"/>
      <w:numFmt w:val="bullet"/>
      <w:start w:val="1"/>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lowerLetter"/>
      <w:start w:val="2"/>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lowerLetter"/>
      <w:start w:val="1"/>
    </w:lvl>
  </w:abstractNum>
  <w:abstractNum w:abstractNumId="42">
    <w:nsid w:val="2F305DEF"/>
    <w:multiLevelType w:val="hybridMultilevel"/>
    <w:lvl w:ilvl="0">
      <w:lvlJc w:val="left"/>
      <w:lvlText w:val="(%1)"/>
      <w:numFmt w:val="lowerLetter"/>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lowerLetter"/>
      <w:start w:val="1"/>
    </w:lvl>
  </w:abstractNum>
  <w:abstractNum w:abstractNumId="49">
    <w:nsid w:val="100F8FCA"/>
    <w:multiLevelType w:val="hybridMultilevel"/>
    <w:lvl w:ilvl="0">
      <w:lvlJc w:val="left"/>
      <w:lvlText w:val="(%1)"/>
      <w:numFmt w:val="lowerLetter"/>
      <w:start w:val="1"/>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1)"/>
      <w:numFmt w:val="lowerLetter"/>
      <w:start w:val="1"/>
    </w:lvl>
  </w:abstractNum>
  <w:abstractNum w:abstractNumId="52">
    <w:nsid w:val="5F5E7FD0"/>
    <w:multiLevelType w:val="hybridMultilevel"/>
    <w:lvl w:ilvl="0">
      <w:lvlJc w:val="left"/>
      <w:lvlText w:val="(%1)"/>
      <w:numFmt w:val="lowerLetter"/>
      <w:start w:val="1"/>
    </w:lvl>
  </w:abstractNum>
  <w:abstractNum w:abstractNumId="53">
    <w:nsid w:val="98A3148"/>
    <w:multiLevelType w:val="hybridMultilevel"/>
    <w:lvl w:ilvl="0">
      <w:lvlJc w:val="left"/>
      <w:lvlText w:val="(%1)"/>
      <w:numFmt w:val="lowerLetter"/>
      <w:start w:val="2"/>
    </w:lvl>
  </w:abstractNum>
  <w:abstractNum w:abstractNumId="54">
    <w:nsid w:val="799D0247"/>
    <w:multiLevelType w:val="hybridMultilevel"/>
    <w:lvl w:ilvl="0">
      <w:lvlJc w:val="left"/>
      <w:lvlText w:val="(%1)"/>
      <w:numFmt w:val="lowerLetter"/>
      <w:start w:val="1"/>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1)"/>
      <w:numFmt w:val="lowerLetter"/>
      <w:start w:val="2"/>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amp;"/>
      <w:numFmt w:val="bullet"/>
      <w:start w:val="1"/>
    </w:lvl>
  </w:abstractNum>
  <w:abstractNum w:abstractNumId="59">
    <w:nsid w:val="661E3F1E"/>
    <w:multiLevelType w:val="hybridMultilevel"/>
    <w:lvl w:ilvl="0">
      <w:lvlJc w:val="left"/>
      <w:lvlText w:val="(%1)"/>
      <w:numFmt w:val="lowerLetter"/>
      <w:start w:val="1"/>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1)"/>
      <w:numFmt w:val="lowerLetter"/>
      <w:start w:val="1"/>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Roman"/>
      <w:start w:val="2"/>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1)"/>
      <w:numFmt w:val="lowerLetter"/>
      <w:start w:val="1"/>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1)"/>
      <w:numFmt w:val="lowerLetter"/>
      <w:start w:val="1"/>
    </w:lvl>
  </w:abstractNum>
  <w:abstractNum w:abstractNumId="77">
    <w:nsid w:val="7FFFCA11"/>
    <w:multiLevelType w:val="hybridMultilevel"/>
    <w:lvl w:ilvl="0">
      <w:lvlJc w:val="left"/>
      <w:lvlText w:val="(%1)"/>
      <w:numFmt w:val="lowerLetter"/>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1"/>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lowerLetter"/>
      <w:start w:val="1"/>
    </w:lvl>
  </w:abstractNum>
  <w:abstractNum w:abstractNumId="82">
    <w:nsid w:val="6EB5BD4"/>
    <w:multiLevelType w:val="hybridMultilevel"/>
    <w:lvl w:ilvl="0">
      <w:lvlJc w:val="left"/>
      <w:lvlText w:val="&amp;"/>
      <w:numFmt w:val="bullet"/>
      <w:start w:val="1"/>
    </w:lvl>
  </w:abstractNum>
  <w:abstractNum w:abstractNumId="83">
    <w:nsid w:val="6F6DD9AC"/>
    <w:multiLevelType w:val="hybridMultilevel"/>
    <w:lvl w:ilvl="0">
      <w:lvlJc w:val="left"/>
      <w:lvlText w:val="%1"/>
      <w:numFmt w:val="decimal"/>
      <w:start w:val="97"/>
    </w:lvl>
  </w:abstractNum>
  <w:abstractNum w:abstractNumId="84">
    <w:nsid w:val="94211F2"/>
    <w:multiLevelType w:val="hybridMultilevel"/>
    <w:lvl w:ilvl="0">
      <w:lvlJc w:val="left"/>
      <w:lvlText w:val="†"/>
      <w:numFmt w:val="bullet"/>
      <w:start w:val="1"/>
    </w:lvl>
    <w:lvl w:ilvl="1">
      <w:lvlJc w:val="left"/>
      <w:lvlText w:val="%2"/>
      <w:numFmt w:val="decimal"/>
      <w:start w:val="104"/>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2026-03-25T05:14:39Z</dcterms:created>
  <dcterms:modified xsi:type="dcterms:W3CDTF">2026-03-25T05:14:39Z</dcterms:modified>
</cp:coreProperties>
</file>