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30,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00"/>
          </w:cols>
          <w:pgMar w:left="240" w:top="544" w:right="259" w:bottom="181" w:gutter="0" w:footer="0" w:header="0"/>
          <w:type w:val="continuous"/>
        </w:sectPr>
      </w:pPr>
    </w:p>
    <w:p>
      <w:pPr>
        <w:spacing w:after="0" w:line="22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840"/>
        <w:spacing w:after="0"/>
        <w:tabs>
          <w:tab w:leader="none" w:pos="8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4"/>
          <w:szCs w:val="24"/>
          <w:color w:val="auto"/>
        </w:rPr>
      </w:pPr>
    </w:p>
    <w:p>
      <w:pPr>
        <w:ind w:firstLine="495"/>
        <w:spacing w:after="0" w:line="270" w:lineRule="auto"/>
        <w:rPr>
          <w:sz w:val="20"/>
          <w:szCs w:val="20"/>
          <w:color w:val="auto"/>
        </w:rPr>
      </w:pPr>
      <w:r>
        <w:rPr>
          <w:rFonts w:ascii="Arial" w:cs="Arial" w:eastAsia="Arial" w:hAnsi="Arial"/>
          <w:sz w:val="17"/>
          <w:szCs w:val="17"/>
          <w:color w:val="auto"/>
        </w:rPr>
        <w:t>On August 30, 2018, NRG Yield Operating LLC (now known as Clearway Energy Operating LLC) (“Clearway Operating LLC”), a subsidiary of NRG Yield LLC (now known as Clearway Energy LLC) (“Clearway LLC”), the guarantors currently party to the 2024 Notes Indenture (defined below), Central CA Fuel Cell 1, LLC (the “Guaranteeing Subsidiary”) and Delaware Trust Company (as successor in interest to Law Debenture Trust Company of New York), as trustee (the “Trustee”), entered into the eighth supplemental indenture (the “Eighth Supplemental Indenture”), supplementing the indenture, dated as of August 5, 2014 (as amended or supplemented to the date hereof, the “2024 Notes Indenture”), by and among Clearway Operating LLC, the guarantors party thereto and the Trustee, pursuant to which Yield Operating issued $500,000,000 in aggregate principal amount of its 5.375% Senior Notes due 2024 (the “2024 Notes”). Pursuant to the Eighth Supplemental Indenture, the Guaranteeing Subsidiary became a guarantor of Clearway Operating LLC’s obligations under the 2024 Notes. Each of Clearway Operating LLC, Clearway LLC and the Guaranteeing Subsidiary are subsidiaries of Clearway Energy, Inc. (formerly known as NRG Yield, Inc.).</w:t>
      </w:r>
    </w:p>
    <w:p>
      <w:pPr>
        <w:spacing w:after="0" w:line="182" w:lineRule="exact"/>
        <w:rPr>
          <w:sz w:val="24"/>
          <w:szCs w:val="24"/>
          <w:color w:val="auto"/>
        </w:rPr>
      </w:pPr>
    </w:p>
    <w:p>
      <w:pPr>
        <w:ind w:right="400" w:firstLine="495"/>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4.1 to this Current Report on Form 8-K and is incorporated by reference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Fourth Supplemental Indenture</w:t>
      </w:r>
    </w:p>
    <w:p>
      <w:pPr>
        <w:sectPr>
          <w:pgSz w:w="11900" w:h="16838" w:orient="portrait"/>
          <w:cols w:equalWidth="0" w:num="1">
            <w:col w:w="11400"/>
          </w:cols>
          <w:pgMar w:left="240" w:top="544" w:right="259" w:bottom="181" w:gutter="0" w:footer="0" w:header="0"/>
          <w:type w:val="continuous"/>
        </w:sectPr>
      </w:pPr>
    </w:p>
    <w:bookmarkStart w:id="1" w:name="page2"/>
    <w:bookmarkEnd w:id="1"/>
    <w:p>
      <w:pPr>
        <w:ind w:right="160" w:firstLine="495"/>
        <w:spacing w:after="0" w:line="297" w:lineRule="auto"/>
        <w:rPr>
          <w:sz w:val="20"/>
          <w:szCs w:val="20"/>
          <w:color w:val="auto"/>
        </w:rPr>
      </w:pPr>
      <w:r>
        <w:rPr>
          <w:rFonts w:ascii="Arial" w:cs="Arial" w:eastAsia="Arial" w:hAnsi="Arial"/>
          <w:sz w:val="16"/>
          <w:szCs w:val="16"/>
          <w:color w:val="auto"/>
        </w:rPr>
        <w:t>On August 30, 2018, Clearway Operating LLC, the guarantors currently party to the 2026 Notes Indenture (defined below), the Guaranteeing Subsidiary and the Trustee also entered into the fourth supplemental indenture (the “Fourth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Fourth Supplemental Indenture, the Guaranteeing Subsidiary became a guarantor of Clearway Operating LLC’s obligations under the 2026 Notes.</w:t>
      </w:r>
    </w:p>
    <w:p>
      <w:pPr>
        <w:spacing w:after="0" w:line="158" w:lineRule="exact"/>
        <w:rPr>
          <w:sz w:val="20"/>
          <w:szCs w:val="20"/>
          <w:color w:val="auto"/>
        </w:rPr>
      </w:pPr>
    </w:p>
    <w:p>
      <w:pPr>
        <w:ind w:right="460" w:firstLine="495"/>
        <w:spacing w:after="0" w:line="308" w:lineRule="auto"/>
        <w:rPr>
          <w:sz w:val="20"/>
          <w:szCs w:val="20"/>
          <w:color w:val="auto"/>
        </w:rPr>
      </w:pPr>
      <w:r>
        <w:rPr>
          <w:rFonts w:ascii="Arial" w:cs="Arial" w:eastAsia="Arial" w:hAnsi="Arial"/>
          <w:sz w:val="17"/>
          <w:szCs w:val="17"/>
          <w:color w:val="auto"/>
        </w:rPr>
        <w:t>The foregoing description of the Fourth Supplemental Indenture does not purport to be complete and is qualified in its entirety by reference to the Fourth Supplemental Indenture, which is attached as Exhibit 4.2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3"/>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Eighth Supplemental Indenture, dated as of August 30, 2018, among NRG Yield Operating LLC, the guarantors named therein and</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Fourth Supplemental Indenture, dated as of August 30, 2018, among NRG Yield Operating LLC, the guarantors named therein and</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7160" w:type="dxa"/>
            <w:vAlign w:val="bottom"/>
            <w:tcBorders>
              <w:top w:val="single" w:sz="8" w:color="0000EE"/>
            </w:tcBorders>
          </w:tcPr>
          <w:p>
            <w:pPr>
              <w:jc w:val="right"/>
              <w:ind w:right="2839"/>
              <w:spacing w:after="0"/>
              <w:rPr>
                <w:sz w:val="20"/>
                <w:szCs w:val="20"/>
                <w:color w:val="auto"/>
              </w:rPr>
            </w:pPr>
            <w:r>
              <w:rPr>
                <w:rFonts w:ascii="Arial" w:cs="Arial" w:eastAsia="Arial" w:hAnsi="Arial"/>
                <w:sz w:val="18"/>
                <w:szCs w:val="18"/>
                <w:color w:val="auto"/>
              </w:rPr>
              <w:t>2</w:t>
            </w: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1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EIGHTH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August 30, 2018, among Central CA Fuel Cell 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LLC</w:t>
      </w:r>
    </w:p>
    <w:p>
      <w:pPr>
        <w:sectPr>
          <w:pgSz w:w="11900" w:h="16888" w:orient="portrait"/>
          <w:cols w:equalWidth="0" w:num="1">
            <w:col w:w="11420"/>
          </w:cols>
          <w:pgMar w:left="240" w:top="121" w:right="239" w:bottom="0" w:gutter="0" w:footer="0" w:header="0"/>
        </w:sectPr>
      </w:pPr>
    </w:p>
    <w:bookmarkStart w:id="3" w:name="page4"/>
    <w:bookmarkEnd w:id="3"/>
    <w:p>
      <w:pPr>
        <w:ind w:left="4520"/>
        <w:spacing w:after="0"/>
        <w:rPr>
          <w:sz w:val="20"/>
          <w:szCs w:val="20"/>
          <w:color w:val="auto"/>
        </w:rPr>
      </w:pPr>
      <w:r>
        <w:rPr>
          <w:rFonts w:ascii="Arial" w:cs="Arial" w:eastAsia="Arial" w:hAnsi="Arial"/>
          <w:sz w:val="18"/>
          <w:szCs w:val="18"/>
          <w:color w:val="auto"/>
        </w:rPr>
        <w:t>NRG YIELD DGPV HOLDING LLC</w:t>
      </w:r>
    </w:p>
    <w:p>
      <w:pPr>
        <w:spacing w:after="0" w:line="225"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FOURTH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August 30, 2018, among Central CA Fuel Cell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right="8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-2729230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DGPV HOLDING LLC</w:t>
      </w:r>
    </w:p>
    <w:p>
      <w:pPr>
        <w:sectPr>
          <w:pgSz w:w="11900" w:h="16888" w:orient="portrait"/>
          <w:cols w:equalWidth="0" w:num="1">
            <w:col w:w="11420"/>
          </w:cols>
          <w:pgMar w:left="240" w:top="121" w:right="239" w:bottom="0" w:gutter="0" w:footer="0" w:header="0"/>
        </w:sectPr>
      </w:pPr>
    </w:p>
    <w:bookmarkStart w:id="5" w:name="page6"/>
    <w:bookmarkEnd w:id="5"/>
    <w:p>
      <w:pPr>
        <w:ind w:left="45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207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2073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2019-12-28T19:54:12Z</dcterms:created>
  <dcterms:modified xsi:type="dcterms:W3CDTF">2019-12-28T19:54:12Z</dcterms:modified>
</cp:coreProperties>
</file>